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628E01" w14:textId="40DF6D4C" w:rsidR="004A5F33" w:rsidRPr="004A0212" w:rsidRDefault="5E6A5E66" w:rsidP="0A27D6D4">
      <w:pPr>
        <w:keepLines w:val="0"/>
        <w:widowControl w:val="0"/>
        <w:rPr>
          <w:rFonts w:ascii="Arial" w:hAnsi="Arial" w:cs="Arial"/>
          <w:b/>
          <w:bCs/>
          <w:color w:val="4F7D29" w:themeColor="accent4"/>
          <w:sz w:val="96"/>
          <w:szCs w:val="96"/>
        </w:rPr>
      </w:pPr>
      <w:proofErr w:type="spellStart"/>
      <w:r w:rsidRPr="004A0212">
        <w:rPr>
          <w:rFonts w:ascii="Arial" w:hAnsi="Arial" w:cs="Arial"/>
          <w:b/>
          <w:bCs/>
          <w:color w:val="4F7D29" w:themeColor="accent4"/>
          <w:sz w:val="96"/>
          <w:szCs w:val="96"/>
        </w:rPr>
        <w:t>Wāhanga</w:t>
      </w:r>
      <w:proofErr w:type="spellEnd"/>
      <w:r w:rsidRPr="004A0212">
        <w:rPr>
          <w:rFonts w:ascii="Arial" w:hAnsi="Arial" w:cs="Arial"/>
          <w:b/>
          <w:bCs/>
          <w:color w:val="4F7D29" w:themeColor="accent4"/>
          <w:sz w:val="96"/>
          <w:szCs w:val="96"/>
        </w:rPr>
        <w:t xml:space="preserve"> 2: </w:t>
      </w:r>
    </w:p>
    <w:p w14:paraId="43B4CFBD" w14:textId="4DEEBA01" w:rsidR="0F79C9EB" w:rsidRPr="004A0212" w:rsidRDefault="00D668D0" w:rsidP="0A27D6D4">
      <w:pPr>
        <w:keepLines w:val="0"/>
        <w:widowControl w:val="0"/>
        <w:rPr>
          <w:rFonts w:ascii="Arial" w:hAnsi="Arial" w:cs="Arial"/>
          <w:b/>
          <w:bCs/>
          <w:color w:val="4F7D29" w:themeColor="accent4"/>
          <w:sz w:val="96"/>
          <w:szCs w:val="96"/>
        </w:rPr>
      </w:pPr>
      <w:r w:rsidRPr="004A0212">
        <w:rPr>
          <w:rFonts w:ascii="Arial" w:hAnsi="Arial" w:cs="Arial"/>
          <w:b/>
          <w:bCs/>
          <w:color w:val="4F7D29" w:themeColor="accent4"/>
          <w:sz w:val="96"/>
          <w:szCs w:val="96"/>
        </w:rPr>
        <w:t xml:space="preserve">He </w:t>
      </w:r>
      <w:proofErr w:type="spellStart"/>
      <w:r w:rsidRPr="004A0212">
        <w:rPr>
          <w:rFonts w:ascii="Arial" w:hAnsi="Arial" w:cs="Arial"/>
          <w:b/>
          <w:bCs/>
          <w:color w:val="4F7D29" w:themeColor="accent4"/>
          <w:sz w:val="96"/>
          <w:szCs w:val="96"/>
        </w:rPr>
        <w:t>auhi</w:t>
      </w:r>
      <w:proofErr w:type="spellEnd"/>
      <w:r w:rsidRPr="004A0212">
        <w:rPr>
          <w:rFonts w:ascii="Arial" w:hAnsi="Arial" w:cs="Arial"/>
          <w:b/>
          <w:bCs/>
          <w:color w:val="4F7D29" w:themeColor="accent4"/>
          <w:sz w:val="96"/>
          <w:szCs w:val="96"/>
        </w:rPr>
        <w:t xml:space="preserve"> </w:t>
      </w:r>
      <w:proofErr w:type="spellStart"/>
      <w:r w:rsidRPr="004A0212">
        <w:rPr>
          <w:rFonts w:ascii="Arial" w:hAnsi="Arial" w:cs="Arial"/>
          <w:b/>
          <w:bCs/>
          <w:color w:val="4F7D29" w:themeColor="accent4"/>
          <w:sz w:val="96"/>
          <w:szCs w:val="96"/>
        </w:rPr>
        <w:t>n</w:t>
      </w:r>
      <w:r w:rsidRPr="004A0212">
        <w:rPr>
          <w:rFonts w:ascii="Arial" w:hAnsi="Arial" w:cs="Arial" w:hint="eastAsia"/>
          <w:b/>
          <w:bCs/>
          <w:color w:val="4F7D29" w:themeColor="accent4"/>
          <w:sz w:val="96"/>
          <w:szCs w:val="96"/>
        </w:rPr>
        <w:t>ō</w:t>
      </w:r>
      <w:proofErr w:type="spellEnd"/>
      <w:r w:rsidRPr="004A0212">
        <w:rPr>
          <w:rFonts w:ascii="Arial" w:hAnsi="Arial" w:cs="Arial"/>
          <w:b/>
          <w:bCs/>
          <w:color w:val="4F7D29" w:themeColor="accent4"/>
          <w:sz w:val="96"/>
          <w:szCs w:val="96"/>
        </w:rPr>
        <w:t xml:space="preserve"> </w:t>
      </w:r>
      <w:proofErr w:type="spellStart"/>
      <w:r w:rsidRPr="004A0212">
        <w:rPr>
          <w:rFonts w:ascii="Arial" w:hAnsi="Arial" w:cs="Arial"/>
          <w:b/>
          <w:bCs/>
          <w:color w:val="4F7D29" w:themeColor="accent4"/>
          <w:sz w:val="96"/>
          <w:szCs w:val="96"/>
        </w:rPr>
        <w:t>te</w:t>
      </w:r>
      <w:proofErr w:type="spellEnd"/>
      <w:r w:rsidRPr="004A0212">
        <w:rPr>
          <w:rFonts w:ascii="Arial" w:hAnsi="Arial" w:cs="Arial"/>
          <w:b/>
          <w:bCs/>
          <w:color w:val="4F7D29" w:themeColor="accent4"/>
          <w:sz w:val="96"/>
          <w:szCs w:val="96"/>
        </w:rPr>
        <w:t xml:space="preserve"> </w:t>
      </w:r>
      <w:proofErr w:type="spellStart"/>
      <w:r w:rsidRPr="004A0212">
        <w:rPr>
          <w:rFonts w:ascii="Arial" w:hAnsi="Arial" w:cs="Arial"/>
          <w:b/>
          <w:bCs/>
          <w:color w:val="4F7D29" w:themeColor="accent4"/>
          <w:sz w:val="96"/>
          <w:szCs w:val="96"/>
        </w:rPr>
        <w:t>puku</w:t>
      </w:r>
      <w:proofErr w:type="spellEnd"/>
      <w:r w:rsidRPr="004A0212">
        <w:rPr>
          <w:rFonts w:ascii="Arial" w:hAnsi="Arial" w:cs="Arial"/>
          <w:b/>
          <w:bCs/>
          <w:color w:val="4F7D29" w:themeColor="accent4"/>
          <w:sz w:val="96"/>
          <w:szCs w:val="96"/>
        </w:rPr>
        <w:t xml:space="preserve"> </w:t>
      </w:r>
    </w:p>
    <w:p w14:paraId="6DD654B4" w14:textId="39F9AFD7" w:rsidR="0081438D" w:rsidRPr="004A0212" w:rsidRDefault="00CF5475" w:rsidP="00B71C17">
      <w:pPr>
        <w:keepLines w:val="0"/>
        <w:widowControl w:val="0"/>
        <w:rPr>
          <w:rFonts w:ascii="Arial" w:hAnsi="Arial" w:cs="Arial"/>
          <w:b/>
          <w:color w:val="4F7D29" w:themeColor="accent4"/>
          <w:sz w:val="96"/>
          <w:szCs w:val="96"/>
        </w:rPr>
      </w:pPr>
      <w:bookmarkStart w:id="0" w:name="_Hlk124323669"/>
      <w:r w:rsidRPr="004A0212">
        <w:rPr>
          <w:rFonts w:ascii="Arial" w:hAnsi="Arial" w:cs="Arial"/>
          <w:b/>
          <w:color w:val="4F7D29" w:themeColor="accent4"/>
          <w:sz w:val="96"/>
          <w:szCs w:val="96"/>
        </w:rPr>
        <w:t>Part</w:t>
      </w:r>
      <w:r w:rsidR="003147D2" w:rsidRPr="004A0212">
        <w:rPr>
          <w:rFonts w:ascii="Arial" w:hAnsi="Arial" w:cs="Arial"/>
          <w:b/>
          <w:color w:val="4F7D29" w:themeColor="accent4"/>
          <w:sz w:val="96"/>
          <w:szCs w:val="96"/>
        </w:rPr>
        <w:t xml:space="preserve"> </w:t>
      </w:r>
      <w:r w:rsidR="6A7DD1B5" w:rsidRPr="004A0212">
        <w:rPr>
          <w:rFonts w:ascii="Arial" w:hAnsi="Arial" w:cs="Arial"/>
          <w:b/>
          <w:color w:val="4F7D29" w:themeColor="accent4"/>
          <w:sz w:val="96"/>
          <w:szCs w:val="96"/>
        </w:rPr>
        <w:t>2</w:t>
      </w:r>
      <w:r w:rsidR="006C52BA" w:rsidRPr="004A0212">
        <w:rPr>
          <w:rFonts w:ascii="Arial" w:hAnsi="Arial" w:cs="Arial"/>
          <w:b/>
          <w:color w:val="4F7D29" w:themeColor="accent4"/>
          <w:sz w:val="96"/>
          <w:szCs w:val="96"/>
        </w:rPr>
        <w:t>:</w:t>
      </w:r>
    </w:p>
    <w:p w14:paraId="2F64D048" w14:textId="77777777" w:rsidR="00625A18" w:rsidRDefault="154F2706" w:rsidP="00F079BC">
      <w:pPr>
        <w:keepLines w:val="0"/>
        <w:widowControl w:val="0"/>
        <w:spacing w:after="0"/>
        <w:ind w:right="-45"/>
        <w:rPr>
          <w:rFonts w:ascii="Arial" w:hAnsi="Arial" w:cs="Arial"/>
          <w:b/>
          <w:bCs/>
          <w:color w:val="4F7D29" w:themeColor="accent4"/>
          <w:sz w:val="96"/>
          <w:szCs w:val="96"/>
        </w:rPr>
      </w:pPr>
      <w:r w:rsidRPr="004A0212">
        <w:rPr>
          <w:rFonts w:ascii="Arial" w:hAnsi="Arial" w:cs="Arial"/>
          <w:b/>
          <w:bCs/>
          <w:color w:val="4F7D29" w:themeColor="accent4"/>
          <w:sz w:val="96"/>
          <w:szCs w:val="96"/>
        </w:rPr>
        <w:t>C</w:t>
      </w:r>
      <w:r w:rsidR="51DCFE46" w:rsidRPr="004A0212">
        <w:rPr>
          <w:rFonts w:ascii="Arial" w:hAnsi="Arial" w:cs="Arial"/>
          <w:b/>
          <w:bCs/>
          <w:color w:val="4F7D29" w:themeColor="accent4"/>
          <w:sz w:val="96"/>
          <w:szCs w:val="96"/>
        </w:rPr>
        <w:t>o</w:t>
      </w:r>
      <w:r w:rsidR="51DCFE46" w:rsidRPr="000B0EAF">
        <w:rPr>
          <w:rFonts w:ascii="Arial" w:hAnsi="Arial" w:cs="Arial"/>
          <w:b/>
          <w:bCs/>
          <w:color w:val="4F7D29"/>
          <w:sz w:val="96"/>
          <w:szCs w:val="96"/>
        </w:rPr>
        <w:t>nt</w:t>
      </w:r>
      <w:r w:rsidR="51DCFE46" w:rsidRPr="004A0212">
        <w:rPr>
          <w:rFonts w:ascii="Arial" w:hAnsi="Arial" w:cs="Arial"/>
          <w:b/>
          <w:bCs/>
          <w:color w:val="4F7D29" w:themeColor="accent4"/>
          <w:sz w:val="96"/>
          <w:szCs w:val="96"/>
        </w:rPr>
        <w:t>ext</w:t>
      </w:r>
    </w:p>
    <w:p w14:paraId="104AA40E" w14:textId="77777777" w:rsidR="00625A18" w:rsidRDefault="00625A18" w:rsidP="00F079BC">
      <w:pPr>
        <w:keepLines w:val="0"/>
        <w:widowControl w:val="0"/>
        <w:spacing w:after="0"/>
        <w:ind w:right="-45"/>
        <w:rPr>
          <w:rFonts w:ascii="Arial" w:hAnsi="Arial" w:cs="Arial"/>
          <w:b/>
          <w:bCs/>
          <w:color w:val="4F7D29" w:themeColor="accent4"/>
          <w:sz w:val="96"/>
          <w:szCs w:val="96"/>
        </w:rPr>
      </w:pPr>
    </w:p>
    <w:p w14:paraId="654B8903" w14:textId="1698D3F9" w:rsidR="00BE6E41" w:rsidRPr="000B0EAF" w:rsidRDefault="00625A18" w:rsidP="000B0EAF">
      <w:pPr>
        <w:pStyle w:val="BodyText"/>
        <w:rPr>
          <w:color w:val="4F7D29"/>
        </w:rPr>
      </w:pPr>
      <w:r w:rsidRPr="000B0EAF">
        <w:rPr>
          <w:color w:val="4F7D29"/>
        </w:rPr>
        <w:t>THROUGH PAIN AND TRAUMA, FROM DARKNESS TO LIGHT</w:t>
      </w:r>
    </w:p>
    <w:p w14:paraId="40B0A8D3" w14:textId="671C34C2" w:rsidR="0081438D" w:rsidRDefault="0081438D" w:rsidP="00B71C17">
      <w:pPr>
        <w:keepLines w:val="0"/>
        <w:widowControl w:val="0"/>
        <w:rPr>
          <w:rFonts w:ascii="Arial" w:hAnsi="Arial" w:cs="Arial"/>
          <w:color w:val="4F7D29" w:themeColor="accent4"/>
        </w:rPr>
      </w:pPr>
      <w:r w:rsidRPr="004A0212">
        <w:rPr>
          <w:rFonts w:ascii="Arial" w:hAnsi="Arial" w:cs="Arial"/>
          <w:color w:val="4F7D29" w:themeColor="accent4"/>
        </w:rPr>
        <w:br w:type="page"/>
      </w:r>
    </w:p>
    <w:p w14:paraId="65961F89" w14:textId="77777777" w:rsidR="00030D69" w:rsidRDefault="00030D69" w:rsidP="00B71C17">
      <w:pPr>
        <w:keepLines w:val="0"/>
        <w:widowControl w:val="0"/>
        <w:rPr>
          <w:rFonts w:ascii="Arial" w:hAnsi="Arial" w:cs="Arial"/>
          <w:color w:val="4F7D29" w:themeColor="accent4"/>
        </w:rPr>
      </w:pPr>
    </w:p>
    <w:p w14:paraId="1D153F4F" w14:textId="77777777" w:rsidR="00030D69" w:rsidRDefault="00030D69" w:rsidP="00030D69">
      <w:pPr>
        <w:pStyle w:val="Heading1"/>
      </w:pPr>
      <w:bookmarkStart w:id="1" w:name="_Toc168638865"/>
      <w:proofErr w:type="spellStart"/>
      <w:r w:rsidRPr="00030D69">
        <w:t>Whakairihia</w:t>
      </w:r>
      <w:proofErr w:type="spellEnd"/>
      <w:r w:rsidRPr="00030D69">
        <w:t xml:space="preserve"> ki </w:t>
      </w:r>
      <w:proofErr w:type="spellStart"/>
      <w:r w:rsidRPr="00030D69">
        <w:t>te</w:t>
      </w:r>
      <w:proofErr w:type="spellEnd"/>
      <w:r w:rsidRPr="00030D69">
        <w:t xml:space="preserve"> </w:t>
      </w:r>
      <w:proofErr w:type="spellStart"/>
      <w:r w:rsidRPr="00030D69">
        <w:t>tihi</w:t>
      </w:r>
      <w:proofErr w:type="spellEnd"/>
      <w:r w:rsidR="004F2609">
        <w:t xml:space="preserve"> </w:t>
      </w:r>
      <w:r w:rsidRPr="00030D69">
        <w:t xml:space="preserve">o </w:t>
      </w:r>
      <w:proofErr w:type="spellStart"/>
      <w:r w:rsidRPr="00030D69">
        <w:t>Maungārongo</w:t>
      </w:r>
      <w:bookmarkEnd w:id="1"/>
      <w:proofErr w:type="spellEnd"/>
    </w:p>
    <w:p w14:paraId="1E51E185" w14:textId="77777777" w:rsidR="00030D69" w:rsidRDefault="00030D69" w:rsidP="00F82DF2">
      <w:pPr>
        <w:pStyle w:val="Heading1"/>
      </w:pPr>
    </w:p>
    <w:p w14:paraId="46457BDD" w14:textId="77777777" w:rsidR="00404501" w:rsidRPr="00802A71" w:rsidRDefault="00404501" w:rsidP="00404501">
      <w:pPr>
        <w:pStyle w:val="Heading1"/>
      </w:pPr>
      <w:bookmarkStart w:id="2" w:name="_Toc168638866"/>
      <w:r w:rsidRPr="00802A71">
        <w:t xml:space="preserve">He </w:t>
      </w:r>
      <w:proofErr w:type="spellStart"/>
      <w:r w:rsidRPr="00802A71">
        <w:t>auhi</w:t>
      </w:r>
      <w:proofErr w:type="spellEnd"/>
      <w:r w:rsidRPr="00802A71">
        <w:t xml:space="preserve"> </w:t>
      </w:r>
      <w:proofErr w:type="spellStart"/>
      <w:r w:rsidRPr="00802A71">
        <w:t>nō</w:t>
      </w:r>
      <w:proofErr w:type="spellEnd"/>
      <w:r w:rsidRPr="00802A71">
        <w:t xml:space="preserve"> </w:t>
      </w:r>
      <w:proofErr w:type="spellStart"/>
      <w:r w:rsidRPr="00802A71">
        <w:t>te</w:t>
      </w:r>
      <w:proofErr w:type="spellEnd"/>
      <w:r w:rsidRPr="00802A71">
        <w:t xml:space="preserve"> </w:t>
      </w:r>
      <w:proofErr w:type="spellStart"/>
      <w:r w:rsidRPr="00802A71">
        <w:t>puku</w:t>
      </w:r>
      <w:bookmarkEnd w:id="2"/>
      <w:proofErr w:type="spellEnd"/>
    </w:p>
    <w:p w14:paraId="72ADB13D" w14:textId="77777777" w:rsidR="00404501" w:rsidRPr="0091787B" w:rsidRDefault="00404501" w:rsidP="00404501">
      <w:pPr>
        <w:pStyle w:val="BodyText"/>
        <w:rPr>
          <w:rFonts w:ascii="Arial" w:hAnsi="Arial" w:cs="Arial"/>
          <w:sz w:val="22"/>
          <w:szCs w:val="22"/>
        </w:rPr>
      </w:pPr>
      <w:r w:rsidRPr="0091787B">
        <w:rPr>
          <w:rFonts w:ascii="Arial" w:hAnsi="Arial" w:cs="Arial"/>
          <w:sz w:val="22"/>
          <w:szCs w:val="22"/>
        </w:rPr>
        <w:t xml:space="preserve">This title is from a line from the </w:t>
      </w:r>
      <w:proofErr w:type="spellStart"/>
      <w:r w:rsidRPr="0091787B">
        <w:rPr>
          <w:rFonts w:ascii="Arial" w:hAnsi="Arial" w:cs="Arial"/>
          <w:sz w:val="22"/>
          <w:szCs w:val="22"/>
        </w:rPr>
        <w:t>waiata</w:t>
      </w:r>
      <w:proofErr w:type="spellEnd"/>
      <w:r w:rsidRPr="0091787B">
        <w:rPr>
          <w:rFonts w:ascii="Arial" w:hAnsi="Arial" w:cs="Arial"/>
          <w:sz w:val="22"/>
          <w:szCs w:val="22"/>
        </w:rPr>
        <w:t xml:space="preserve"> that refers to the extreme grief and sorrow caused by the abuse and neglect suffered in care. It is used as the title for this Part, to capture the pain and sorrow felt when reflecting on the wider context that led to the many forms of abuse and neglect occurring.</w:t>
      </w:r>
    </w:p>
    <w:p w14:paraId="242D83C3" w14:textId="532A7185" w:rsidR="0091787B" w:rsidRDefault="0091787B" w:rsidP="00F82DF2">
      <w:pPr>
        <w:pStyle w:val="Heading1"/>
        <w:rPr>
          <w:b w:val="0"/>
          <w:bCs w:val="0"/>
        </w:rPr>
      </w:pPr>
      <w:r>
        <w:br w:type="page"/>
      </w:r>
    </w:p>
    <w:p w14:paraId="13645217" w14:textId="77777777" w:rsidR="007E403D" w:rsidRPr="007E403D" w:rsidRDefault="007E403D" w:rsidP="00D47E07">
      <w:pPr>
        <w:pStyle w:val="Heading1"/>
      </w:pPr>
      <w:bookmarkStart w:id="3" w:name="_Toc168638867"/>
      <w:r w:rsidRPr="007E403D">
        <w:t xml:space="preserve">He </w:t>
      </w:r>
      <w:proofErr w:type="spellStart"/>
      <w:r w:rsidRPr="007E403D">
        <w:t>karakia</w:t>
      </w:r>
      <w:bookmarkEnd w:id="3"/>
      <w:proofErr w:type="spellEnd"/>
    </w:p>
    <w:p w14:paraId="0AADFFCB"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E </w:t>
      </w:r>
      <w:proofErr w:type="spellStart"/>
      <w:r w:rsidRPr="00F34479">
        <w:rPr>
          <w:rFonts w:ascii="Arial" w:hAnsi="Arial" w:cs="Arial"/>
          <w:sz w:val="22"/>
        </w:rPr>
        <w:t>tāmara</w:t>
      </w:r>
      <w:proofErr w:type="spellEnd"/>
      <w:r w:rsidRPr="00F34479">
        <w:rPr>
          <w:rFonts w:ascii="Arial" w:hAnsi="Arial" w:cs="Arial"/>
          <w:sz w:val="22"/>
        </w:rPr>
        <w:t xml:space="preserve"> </w:t>
      </w:r>
      <w:proofErr w:type="spellStart"/>
      <w:r w:rsidRPr="00F34479">
        <w:rPr>
          <w:rFonts w:ascii="Arial" w:hAnsi="Arial" w:cs="Arial"/>
          <w:sz w:val="22"/>
        </w:rPr>
        <w:t>mā</w:t>
      </w:r>
      <w:proofErr w:type="spellEnd"/>
      <w:r w:rsidRPr="00F34479">
        <w:rPr>
          <w:rFonts w:ascii="Arial" w:hAnsi="Arial" w:cs="Arial"/>
          <w:sz w:val="22"/>
        </w:rPr>
        <w:t xml:space="preserve">, koutou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pūtake</w:t>
      </w:r>
      <w:proofErr w:type="spellEnd"/>
      <w:r w:rsidRPr="00F34479">
        <w:rPr>
          <w:rFonts w:ascii="Arial" w:hAnsi="Arial" w:cs="Arial"/>
          <w:sz w:val="22"/>
        </w:rPr>
        <w:t xml:space="preserve"> o </w:t>
      </w:r>
      <w:proofErr w:type="spellStart"/>
      <w:r w:rsidRPr="00F34479">
        <w:rPr>
          <w:rFonts w:ascii="Arial" w:hAnsi="Arial" w:cs="Arial"/>
          <w:sz w:val="22"/>
        </w:rPr>
        <w:t>ēnei</w:t>
      </w:r>
      <w:proofErr w:type="spellEnd"/>
      <w:r w:rsidRPr="00F34479">
        <w:rPr>
          <w:rFonts w:ascii="Arial" w:hAnsi="Arial" w:cs="Arial"/>
          <w:sz w:val="22"/>
        </w:rPr>
        <w:t xml:space="preserve"> </w:t>
      </w:r>
      <w:proofErr w:type="spellStart"/>
      <w:r w:rsidRPr="00F34479">
        <w:rPr>
          <w:rFonts w:ascii="Arial" w:hAnsi="Arial" w:cs="Arial"/>
          <w:sz w:val="22"/>
        </w:rPr>
        <w:t>kōwhiringa</w:t>
      </w:r>
      <w:proofErr w:type="spellEnd"/>
      <w:r w:rsidRPr="00F34479">
        <w:rPr>
          <w:rFonts w:ascii="Arial" w:hAnsi="Arial" w:cs="Arial"/>
          <w:sz w:val="22"/>
        </w:rPr>
        <w:t xml:space="preserve">, </w:t>
      </w:r>
      <w:proofErr w:type="spellStart"/>
      <w:r w:rsidRPr="00F34479">
        <w:rPr>
          <w:rFonts w:ascii="Arial" w:hAnsi="Arial" w:cs="Arial"/>
          <w:sz w:val="22"/>
        </w:rPr>
        <w:t>kua</w:t>
      </w:r>
      <w:proofErr w:type="spellEnd"/>
      <w:r w:rsidRPr="00F34479">
        <w:rPr>
          <w:rFonts w:ascii="Arial" w:hAnsi="Arial" w:cs="Arial"/>
          <w:sz w:val="22"/>
        </w:rPr>
        <w:t xml:space="preserve"> </w:t>
      </w:r>
      <w:proofErr w:type="spellStart"/>
      <w:r w:rsidRPr="00F34479">
        <w:rPr>
          <w:rFonts w:ascii="Arial" w:hAnsi="Arial" w:cs="Arial"/>
          <w:sz w:val="22"/>
        </w:rPr>
        <w:t>horaina</w:t>
      </w:r>
      <w:proofErr w:type="spellEnd"/>
      <w:r w:rsidRPr="00F34479">
        <w:rPr>
          <w:rFonts w:ascii="Arial" w:hAnsi="Arial" w:cs="Arial"/>
          <w:sz w:val="22"/>
        </w:rPr>
        <w:t xml:space="preserve"> </w:t>
      </w:r>
      <w:proofErr w:type="spellStart"/>
      <w:r w:rsidRPr="00F34479">
        <w:rPr>
          <w:rFonts w:ascii="Arial" w:hAnsi="Arial" w:cs="Arial"/>
          <w:sz w:val="22"/>
        </w:rPr>
        <w:t>nei</w:t>
      </w:r>
      <w:proofErr w:type="spellEnd"/>
    </w:p>
    <w:p w14:paraId="503AD481"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E </w:t>
      </w:r>
      <w:proofErr w:type="spellStart"/>
      <w:r w:rsidRPr="00F34479">
        <w:rPr>
          <w:rFonts w:ascii="Arial" w:hAnsi="Arial" w:cs="Arial"/>
          <w:sz w:val="22"/>
        </w:rPr>
        <w:t>tohe</w:t>
      </w:r>
      <w:proofErr w:type="spellEnd"/>
      <w:r w:rsidRPr="00F34479">
        <w:rPr>
          <w:rFonts w:ascii="Arial" w:hAnsi="Arial" w:cs="Arial"/>
          <w:sz w:val="22"/>
        </w:rPr>
        <w:t xml:space="preserve"> </w:t>
      </w:r>
      <w:proofErr w:type="spellStart"/>
      <w:r w:rsidRPr="00F34479">
        <w:rPr>
          <w:rFonts w:ascii="Arial" w:hAnsi="Arial" w:cs="Arial"/>
          <w:sz w:val="22"/>
        </w:rPr>
        <w:t>tonu</w:t>
      </w:r>
      <w:proofErr w:type="spellEnd"/>
      <w:r w:rsidRPr="00F34479">
        <w:rPr>
          <w:rFonts w:ascii="Arial" w:hAnsi="Arial" w:cs="Arial"/>
          <w:sz w:val="22"/>
        </w:rPr>
        <w:t xml:space="preserve"> </w:t>
      </w:r>
      <w:proofErr w:type="spellStart"/>
      <w:r w:rsidRPr="00F34479">
        <w:rPr>
          <w:rFonts w:ascii="Arial" w:hAnsi="Arial" w:cs="Arial"/>
          <w:sz w:val="22"/>
        </w:rPr>
        <w:t>nei</w:t>
      </w:r>
      <w:proofErr w:type="spellEnd"/>
      <w:r w:rsidRPr="00F34479">
        <w:rPr>
          <w:rFonts w:ascii="Arial" w:hAnsi="Arial" w:cs="Arial"/>
          <w:sz w:val="22"/>
        </w:rPr>
        <w:t xml:space="preserve"> </w:t>
      </w: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ara</w:t>
      </w:r>
      <w:proofErr w:type="spellEnd"/>
      <w:r w:rsidRPr="00F34479">
        <w:rPr>
          <w:rFonts w:ascii="Arial" w:hAnsi="Arial" w:cs="Arial"/>
          <w:sz w:val="22"/>
        </w:rPr>
        <w:t xml:space="preserve"> o </w:t>
      </w:r>
      <w:proofErr w:type="spellStart"/>
      <w:r w:rsidRPr="00F34479">
        <w:rPr>
          <w:rFonts w:ascii="Arial" w:hAnsi="Arial" w:cs="Arial"/>
          <w:sz w:val="22"/>
        </w:rPr>
        <w:t>te</w:t>
      </w:r>
      <w:proofErr w:type="spellEnd"/>
      <w:r w:rsidRPr="00F34479">
        <w:rPr>
          <w:rFonts w:ascii="Arial" w:hAnsi="Arial" w:cs="Arial"/>
          <w:sz w:val="22"/>
        </w:rPr>
        <w:t xml:space="preserve"> tika</w:t>
      </w:r>
    </w:p>
    <w:p w14:paraId="7BF736D2"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E </w:t>
      </w:r>
      <w:proofErr w:type="spellStart"/>
      <w:r w:rsidRPr="00F34479">
        <w:rPr>
          <w:rFonts w:ascii="Arial" w:hAnsi="Arial" w:cs="Arial"/>
          <w:sz w:val="22"/>
        </w:rPr>
        <w:t>ngaki</w:t>
      </w:r>
      <w:proofErr w:type="spellEnd"/>
      <w:r w:rsidRPr="00F34479">
        <w:rPr>
          <w:rFonts w:ascii="Arial" w:hAnsi="Arial" w:cs="Arial"/>
          <w:sz w:val="22"/>
        </w:rPr>
        <w:t xml:space="preserve"> </w:t>
      </w:r>
      <w:proofErr w:type="spellStart"/>
      <w:r w:rsidRPr="00F34479">
        <w:rPr>
          <w:rFonts w:ascii="Arial" w:hAnsi="Arial" w:cs="Arial"/>
          <w:sz w:val="22"/>
        </w:rPr>
        <w:t>tonu</w:t>
      </w:r>
      <w:proofErr w:type="spellEnd"/>
      <w:r w:rsidRPr="00F34479">
        <w:rPr>
          <w:rFonts w:ascii="Arial" w:hAnsi="Arial" w:cs="Arial"/>
          <w:sz w:val="22"/>
        </w:rPr>
        <w:t xml:space="preserve"> ana </w:t>
      </w: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māra</w:t>
      </w:r>
      <w:proofErr w:type="spellEnd"/>
      <w:r w:rsidRPr="00F34479">
        <w:rPr>
          <w:rFonts w:ascii="Arial" w:hAnsi="Arial" w:cs="Arial"/>
          <w:sz w:val="22"/>
        </w:rPr>
        <w:t xml:space="preserve"> </w:t>
      </w:r>
      <w:proofErr w:type="spellStart"/>
      <w:r w:rsidRPr="00F34479">
        <w:rPr>
          <w:rFonts w:ascii="Arial" w:hAnsi="Arial" w:cs="Arial"/>
          <w:sz w:val="22"/>
        </w:rPr>
        <w:t>tipu</w:t>
      </w:r>
      <w:proofErr w:type="spellEnd"/>
    </w:p>
    <w:p w14:paraId="55FF0DF3"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Anei</w:t>
      </w:r>
      <w:proofErr w:type="spellEnd"/>
      <w:r w:rsidRPr="00F34479">
        <w:rPr>
          <w:rFonts w:ascii="Arial" w:hAnsi="Arial" w:cs="Arial"/>
          <w:sz w:val="22"/>
        </w:rPr>
        <w:t xml:space="preserve"> koutou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whakairihia</w:t>
      </w:r>
      <w:proofErr w:type="spellEnd"/>
      <w:r w:rsidRPr="00F34479">
        <w:rPr>
          <w:rFonts w:ascii="Arial" w:hAnsi="Arial" w:cs="Arial"/>
          <w:sz w:val="22"/>
        </w:rPr>
        <w:t xml:space="preserve"> ki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tihi</w:t>
      </w:r>
      <w:proofErr w:type="spellEnd"/>
      <w:r w:rsidRPr="00F34479">
        <w:rPr>
          <w:rFonts w:ascii="Arial" w:hAnsi="Arial" w:cs="Arial"/>
          <w:sz w:val="22"/>
        </w:rPr>
        <w:t xml:space="preserve"> o</w:t>
      </w:r>
    </w:p>
    <w:p w14:paraId="34C70044"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Maungārongo</w:t>
      </w:r>
      <w:proofErr w:type="spellEnd"/>
      <w:r w:rsidRPr="00F34479">
        <w:rPr>
          <w:rFonts w:ascii="Arial" w:hAnsi="Arial" w:cs="Arial"/>
          <w:sz w:val="22"/>
        </w:rPr>
        <w:t xml:space="preserve">, kia tau </w:t>
      </w:r>
      <w:proofErr w:type="spellStart"/>
      <w:r w:rsidRPr="00F34479">
        <w:rPr>
          <w:rFonts w:ascii="Arial" w:hAnsi="Arial" w:cs="Arial"/>
          <w:sz w:val="22"/>
        </w:rPr>
        <w:t>te</w:t>
      </w:r>
      <w:proofErr w:type="spellEnd"/>
      <w:r w:rsidRPr="00F34479">
        <w:rPr>
          <w:rFonts w:ascii="Arial" w:hAnsi="Arial" w:cs="Arial"/>
          <w:sz w:val="22"/>
        </w:rPr>
        <w:t xml:space="preserve"> mauri.</w:t>
      </w:r>
    </w:p>
    <w:p w14:paraId="5161F423"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Rukuhia</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pū</w:t>
      </w:r>
      <w:proofErr w:type="spellEnd"/>
      <w:r w:rsidRPr="00F34479">
        <w:rPr>
          <w:rFonts w:ascii="Arial" w:hAnsi="Arial" w:cs="Arial"/>
          <w:sz w:val="22"/>
        </w:rPr>
        <w:t xml:space="preserve"> o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hinengaro</w:t>
      </w:r>
      <w:proofErr w:type="spellEnd"/>
    </w:p>
    <w:p w14:paraId="35DFCED6"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kia </w:t>
      </w:r>
      <w:proofErr w:type="spellStart"/>
      <w:r w:rsidRPr="00F34479">
        <w:rPr>
          <w:rFonts w:ascii="Arial" w:hAnsi="Arial" w:cs="Arial"/>
          <w:sz w:val="22"/>
        </w:rPr>
        <w:t>tāea</w:t>
      </w:r>
      <w:proofErr w:type="spellEnd"/>
      <w:r w:rsidRPr="00F34479">
        <w:rPr>
          <w:rFonts w:ascii="Arial" w:hAnsi="Arial" w:cs="Arial"/>
          <w:sz w:val="22"/>
        </w:rPr>
        <w:t xml:space="preserve"> ko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kukunitanga</w:t>
      </w:r>
      <w:proofErr w:type="spellEnd"/>
      <w:r w:rsidRPr="00F34479">
        <w:rPr>
          <w:rFonts w:ascii="Arial" w:hAnsi="Arial" w:cs="Arial"/>
          <w:sz w:val="22"/>
        </w:rPr>
        <w:t xml:space="preserve"> </w:t>
      </w:r>
      <w:proofErr w:type="spellStart"/>
      <w:r w:rsidRPr="00F34479">
        <w:rPr>
          <w:rFonts w:ascii="Arial" w:hAnsi="Arial" w:cs="Arial"/>
          <w:sz w:val="22"/>
        </w:rPr>
        <w:t>mai</w:t>
      </w:r>
      <w:proofErr w:type="spellEnd"/>
      <w:r w:rsidRPr="00F34479">
        <w:rPr>
          <w:rFonts w:ascii="Arial" w:hAnsi="Arial" w:cs="Arial"/>
          <w:sz w:val="22"/>
        </w:rPr>
        <w:t xml:space="preserve"> o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whakaaro</w:t>
      </w:r>
      <w:proofErr w:type="spellEnd"/>
      <w:r w:rsidRPr="00F34479">
        <w:rPr>
          <w:rFonts w:ascii="Arial" w:hAnsi="Arial" w:cs="Arial"/>
          <w:sz w:val="22"/>
        </w:rPr>
        <w:t xml:space="preserve"> </w:t>
      </w:r>
      <w:proofErr w:type="spellStart"/>
      <w:r w:rsidRPr="00F34479">
        <w:rPr>
          <w:rFonts w:ascii="Arial" w:hAnsi="Arial" w:cs="Arial"/>
          <w:sz w:val="22"/>
        </w:rPr>
        <w:t>nui</w:t>
      </w:r>
      <w:proofErr w:type="spellEnd"/>
      <w:r w:rsidRPr="00F34479">
        <w:rPr>
          <w:rFonts w:ascii="Arial" w:hAnsi="Arial" w:cs="Arial"/>
          <w:sz w:val="22"/>
        </w:rPr>
        <w:t>.</w:t>
      </w:r>
    </w:p>
    <w:p w14:paraId="660EC5B3"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Kia </w:t>
      </w:r>
      <w:proofErr w:type="spellStart"/>
      <w:r w:rsidRPr="00F34479">
        <w:rPr>
          <w:rFonts w:ascii="Arial" w:hAnsi="Arial" w:cs="Arial"/>
          <w:sz w:val="22"/>
        </w:rPr>
        <w:t>piere</w:t>
      </w:r>
      <w:proofErr w:type="spellEnd"/>
      <w:r w:rsidRPr="00F34479">
        <w:rPr>
          <w:rFonts w:ascii="Arial" w:hAnsi="Arial" w:cs="Arial"/>
          <w:sz w:val="22"/>
        </w:rPr>
        <w:t xml:space="preserve"> ko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ngākau</w:t>
      </w:r>
      <w:proofErr w:type="spellEnd"/>
      <w:r w:rsidRPr="00F34479">
        <w:rPr>
          <w:rFonts w:ascii="Arial" w:hAnsi="Arial" w:cs="Arial"/>
          <w:sz w:val="22"/>
        </w:rPr>
        <w:t xml:space="preserve"> </w:t>
      </w:r>
      <w:proofErr w:type="spellStart"/>
      <w:r w:rsidRPr="00F34479">
        <w:rPr>
          <w:rFonts w:ascii="Arial" w:hAnsi="Arial" w:cs="Arial"/>
          <w:sz w:val="22"/>
        </w:rPr>
        <w:t>mahora</w:t>
      </w:r>
      <w:proofErr w:type="spellEnd"/>
    </w:p>
    <w:p w14:paraId="5FC35BB0"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kia </w:t>
      </w:r>
      <w:proofErr w:type="spellStart"/>
      <w:r w:rsidRPr="00F34479">
        <w:rPr>
          <w:rFonts w:ascii="Arial" w:hAnsi="Arial" w:cs="Arial"/>
          <w:sz w:val="22"/>
        </w:rPr>
        <w:t>tūwhera</w:t>
      </w:r>
      <w:proofErr w:type="spellEnd"/>
      <w:r w:rsidRPr="00F34479">
        <w:rPr>
          <w:rFonts w:ascii="Arial" w:hAnsi="Arial" w:cs="Arial"/>
          <w:sz w:val="22"/>
        </w:rPr>
        <w:t xml:space="preserve"> </w:t>
      </w:r>
      <w:proofErr w:type="spellStart"/>
      <w:r w:rsidRPr="00F34479">
        <w:rPr>
          <w:rFonts w:ascii="Arial" w:hAnsi="Arial" w:cs="Arial"/>
          <w:sz w:val="22"/>
        </w:rPr>
        <w:t>mai</w:t>
      </w:r>
      <w:proofErr w:type="spellEnd"/>
      <w:r w:rsidRPr="00F34479">
        <w:rPr>
          <w:rFonts w:ascii="Arial" w:hAnsi="Arial" w:cs="Arial"/>
          <w:sz w:val="22"/>
        </w:rPr>
        <w:t xml:space="preserve"> he </w:t>
      </w:r>
      <w:proofErr w:type="spellStart"/>
      <w:r w:rsidRPr="00F34479">
        <w:rPr>
          <w:rFonts w:ascii="Arial" w:hAnsi="Arial" w:cs="Arial"/>
          <w:sz w:val="22"/>
        </w:rPr>
        <w:t>wairua</w:t>
      </w:r>
      <w:proofErr w:type="spellEnd"/>
      <w:r w:rsidRPr="00F34479">
        <w:rPr>
          <w:rFonts w:ascii="Arial" w:hAnsi="Arial" w:cs="Arial"/>
          <w:sz w:val="22"/>
        </w:rPr>
        <w:t xml:space="preserve"> tau.</w:t>
      </w:r>
    </w:p>
    <w:p w14:paraId="64A14BD9"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Koinei</w:t>
      </w:r>
      <w:proofErr w:type="spellEnd"/>
      <w:r w:rsidRPr="00F34479">
        <w:rPr>
          <w:rFonts w:ascii="Arial" w:hAnsi="Arial" w:cs="Arial"/>
          <w:sz w:val="22"/>
        </w:rPr>
        <w:t xml:space="preserve"> </w:t>
      </w:r>
      <w:proofErr w:type="spellStart"/>
      <w:r w:rsidRPr="00F34479">
        <w:rPr>
          <w:rFonts w:ascii="Arial" w:hAnsi="Arial" w:cs="Arial"/>
          <w:sz w:val="22"/>
        </w:rPr>
        <w:t>ngā</w:t>
      </w:r>
      <w:proofErr w:type="spellEnd"/>
      <w:r w:rsidRPr="00F34479">
        <w:rPr>
          <w:rFonts w:ascii="Arial" w:hAnsi="Arial" w:cs="Arial"/>
          <w:sz w:val="22"/>
        </w:rPr>
        <w:t xml:space="preserve"> </w:t>
      </w:r>
      <w:proofErr w:type="spellStart"/>
      <w:r w:rsidRPr="00F34479">
        <w:rPr>
          <w:rFonts w:ascii="Arial" w:hAnsi="Arial" w:cs="Arial"/>
          <w:sz w:val="22"/>
        </w:rPr>
        <w:t>pou</w:t>
      </w:r>
      <w:proofErr w:type="spellEnd"/>
      <w:r w:rsidRPr="00F34479">
        <w:rPr>
          <w:rFonts w:ascii="Arial" w:hAnsi="Arial" w:cs="Arial"/>
          <w:sz w:val="22"/>
        </w:rPr>
        <w:t xml:space="preserve"> </w:t>
      </w:r>
      <w:proofErr w:type="spellStart"/>
      <w:r w:rsidRPr="00F34479">
        <w:rPr>
          <w:rFonts w:ascii="Arial" w:hAnsi="Arial" w:cs="Arial"/>
          <w:sz w:val="22"/>
        </w:rPr>
        <w:t>whakairinga</w:t>
      </w:r>
      <w:proofErr w:type="spellEnd"/>
      <w:r w:rsidRPr="00F34479">
        <w:rPr>
          <w:rFonts w:ascii="Arial" w:hAnsi="Arial" w:cs="Arial"/>
          <w:sz w:val="22"/>
        </w:rPr>
        <w:t xml:space="preserve"> </w:t>
      </w: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tāhuhu</w:t>
      </w:r>
      <w:proofErr w:type="spellEnd"/>
    </w:p>
    <w:p w14:paraId="1AE7A6AA"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o </w:t>
      </w:r>
      <w:proofErr w:type="spellStart"/>
      <w:r w:rsidRPr="00F34479">
        <w:rPr>
          <w:rFonts w:ascii="Arial" w:hAnsi="Arial" w:cs="Arial"/>
          <w:sz w:val="22"/>
        </w:rPr>
        <w:t>te</w:t>
      </w:r>
      <w:proofErr w:type="spellEnd"/>
      <w:r w:rsidRPr="00F34479">
        <w:rPr>
          <w:rFonts w:ascii="Arial" w:hAnsi="Arial" w:cs="Arial"/>
          <w:sz w:val="22"/>
        </w:rPr>
        <w:t xml:space="preserve"> Whare o </w:t>
      </w:r>
      <w:proofErr w:type="spellStart"/>
      <w:r w:rsidRPr="00F34479">
        <w:rPr>
          <w:rFonts w:ascii="Arial" w:hAnsi="Arial" w:cs="Arial"/>
          <w:sz w:val="22"/>
        </w:rPr>
        <w:t>Tū</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Mauriora</w:t>
      </w:r>
      <w:proofErr w:type="spellEnd"/>
      <w:r w:rsidRPr="00F34479">
        <w:rPr>
          <w:rFonts w:ascii="Arial" w:hAnsi="Arial" w:cs="Arial"/>
          <w:sz w:val="22"/>
        </w:rPr>
        <w:t>.</w:t>
      </w:r>
    </w:p>
    <w:p w14:paraId="43F191A3"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āhuru</w:t>
      </w:r>
      <w:proofErr w:type="spellEnd"/>
      <w:r w:rsidRPr="00F34479">
        <w:rPr>
          <w:rFonts w:ascii="Arial" w:hAnsi="Arial" w:cs="Arial"/>
          <w:sz w:val="22"/>
        </w:rPr>
        <w:t xml:space="preserve"> </w:t>
      </w:r>
      <w:proofErr w:type="spellStart"/>
      <w:r w:rsidRPr="00F34479">
        <w:rPr>
          <w:rFonts w:ascii="Arial" w:hAnsi="Arial" w:cs="Arial"/>
          <w:sz w:val="22"/>
        </w:rPr>
        <w:t>mōwai</w:t>
      </w:r>
      <w:proofErr w:type="spellEnd"/>
      <w:r w:rsidRPr="00F34479">
        <w:rPr>
          <w:rFonts w:ascii="Arial" w:hAnsi="Arial" w:cs="Arial"/>
          <w:sz w:val="22"/>
        </w:rPr>
        <w:t xml:space="preserve"> o </w:t>
      </w:r>
      <w:proofErr w:type="spellStart"/>
      <w:r w:rsidRPr="00F34479">
        <w:rPr>
          <w:rFonts w:ascii="Arial" w:hAnsi="Arial" w:cs="Arial"/>
          <w:sz w:val="22"/>
        </w:rPr>
        <w:t>Te</w:t>
      </w:r>
      <w:proofErr w:type="spellEnd"/>
      <w:r w:rsidRPr="00F34479">
        <w:rPr>
          <w:rFonts w:ascii="Arial" w:hAnsi="Arial" w:cs="Arial"/>
          <w:sz w:val="22"/>
        </w:rPr>
        <w:t xml:space="preserve"> Pae o </w:t>
      </w:r>
      <w:proofErr w:type="spellStart"/>
      <w:r w:rsidRPr="00F34479">
        <w:rPr>
          <w:rFonts w:ascii="Arial" w:hAnsi="Arial" w:cs="Arial"/>
          <w:sz w:val="22"/>
        </w:rPr>
        <w:t>Rehua</w:t>
      </w:r>
      <w:proofErr w:type="spellEnd"/>
      <w:r w:rsidRPr="00F34479">
        <w:rPr>
          <w:rFonts w:ascii="Arial" w:hAnsi="Arial" w:cs="Arial"/>
          <w:sz w:val="22"/>
        </w:rPr>
        <w:t>,</w:t>
      </w:r>
    </w:p>
    <w:p w14:paraId="256CF7CD"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kaimuru</w:t>
      </w:r>
      <w:proofErr w:type="spellEnd"/>
      <w:r w:rsidRPr="00F34479">
        <w:rPr>
          <w:rFonts w:ascii="Arial" w:hAnsi="Arial" w:cs="Arial"/>
          <w:sz w:val="22"/>
        </w:rPr>
        <w:t xml:space="preserve"> i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hinapōuri</w:t>
      </w:r>
      <w:proofErr w:type="spellEnd"/>
      <w:r w:rsidRPr="00F34479">
        <w:rPr>
          <w:rFonts w:ascii="Arial" w:hAnsi="Arial" w:cs="Arial"/>
          <w:sz w:val="22"/>
        </w:rPr>
        <w:t>,</w:t>
      </w:r>
    </w:p>
    <w:p w14:paraId="606B484A"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kaitohu</w:t>
      </w:r>
      <w:proofErr w:type="spellEnd"/>
      <w:r w:rsidRPr="00F34479">
        <w:rPr>
          <w:rFonts w:ascii="Arial" w:hAnsi="Arial" w:cs="Arial"/>
          <w:sz w:val="22"/>
        </w:rPr>
        <w:t xml:space="preserve"> </w:t>
      </w: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manawa</w:t>
      </w:r>
      <w:proofErr w:type="spellEnd"/>
      <w:r w:rsidRPr="00F34479">
        <w:rPr>
          <w:rFonts w:ascii="Arial" w:hAnsi="Arial" w:cs="Arial"/>
          <w:sz w:val="22"/>
        </w:rPr>
        <w:t xml:space="preserve"> </w:t>
      </w:r>
      <w:proofErr w:type="spellStart"/>
      <w:r w:rsidRPr="00F34479">
        <w:rPr>
          <w:rFonts w:ascii="Arial" w:hAnsi="Arial" w:cs="Arial"/>
          <w:sz w:val="22"/>
        </w:rPr>
        <w:t>hā</w:t>
      </w:r>
      <w:proofErr w:type="spellEnd"/>
      <w:r w:rsidRPr="00F34479">
        <w:rPr>
          <w:rFonts w:ascii="Arial" w:hAnsi="Arial" w:cs="Arial"/>
          <w:sz w:val="22"/>
        </w:rPr>
        <w:t xml:space="preserve"> </w:t>
      </w:r>
      <w:proofErr w:type="spellStart"/>
      <w:r w:rsidRPr="00F34479">
        <w:rPr>
          <w:rFonts w:ascii="Arial" w:hAnsi="Arial" w:cs="Arial"/>
          <w:sz w:val="22"/>
        </w:rPr>
        <w:t>ora</w:t>
      </w:r>
      <w:proofErr w:type="spellEnd"/>
      <w:r w:rsidRPr="00F34479">
        <w:rPr>
          <w:rFonts w:ascii="Arial" w:hAnsi="Arial" w:cs="Arial"/>
          <w:sz w:val="22"/>
        </w:rPr>
        <w:t>,</w:t>
      </w:r>
    </w:p>
    <w:p w14:paraId="0EC13067"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kaihohou</w:t>
      </w:r>
      <w:proofErr w:type="spellEnd"/>
      <w:r w:rsidRPr="00F34479">
        <w:rPr>
          <w:rFonts w:ascii="Arial" w:hAnsi="Arial" w:cs="Arial"/>
          <w:sz w:val="22"/>
        </w:rPr>
        <w:t xml:space="preserve"> </w:t>
      </w: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pai.</w:t>
      </w:r>
    </w:p>
    <w:p w14:paraId="246A9A04"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Nau </w:t>
      </w:r>
      <w:proofErr w:type="spellStart"/>
      <w:r w:rsidRPr="00F34479">
        <w:rPr>
          <w:rFonts w:ascii="Arial" w:hAnsi="Arial" w:cs="Arial"/>
          <w:sz w:val="22"/>
        </w:rPr>
        <w:t>mai</w:t>
      </w:r>
      <w:proofErr w:type="spellEnd"/>
      <w:r w:rsidRPr="00F34479">
        <w:rPr>
          <w:rFonts w:ascii="Arial" w:hAnsi="Arial" w:cs="Arial"/>
          <w:sz w:val="22"/>
        </w:rPr>
        <w:t xml:space="preserve"> e koutou </w:t>
      </w:r>
      <w:proofErr w:type="spellStart"/>
      <w:r w:rsidRPr="00F34479">
        <w:rPr>
          <w:rFonts w:ascii="Arial" w:hAnsi="Arial" w:cs="Arial"/>
          <w:sz w:val="22"/>
        </w:rPr>
        <w:t>kua</w:t>
      </w:r>
      <w:proofErr w:type="spellEnd"/>
      <w:r w:rsidRPr="00F34479">
        <w:rPr>
          <w:rFonts w:ascii="Arial" w:hAnsi="Arial" w:cs="Arial"/>
          <w:sz w:val="22"/>
        </w:rPr>
        <w:t xml:space="preserve"> </w:t>
      </w:r>
      <w:proofErr w:type="spellStart"/>
      <w:r w:rsidRPr="00F34479">
        <w:rPr>
          <w:rFonts w:ascii="Arial" w:hAnsi="Arial" w:cs="Arial"/>
          <w:sz w:val="22"/>
        </w:rPr>
        <w:t>uhia</w:t>
      </w:r>
      <w:proofErr w:type="spellEnd"/>
      <w:r w:rsidRPr="00F34479">
        <w:rPr>
          <w:rFonts w:ascii="Arial" w:hAnsi="Arial" w:cs="Arial"/>
          <w:sz w:val="22"/>
        </w:rPr>
        <w:t xml:space="preserve"> e </w:t>
      </w:r>
      <w:proofErr w:type="spellStart"/>
      <w:r w:rsidRPr="00F34479">
        <w:rPr>
          <w:rFonts w:ascii="Arial" w:hAnsi="Arial" w:cs="Arial"/>
          <w:sz w:val="22"/>
        </w:rPr>
        <w:t>ngā</w:t>
      </w:r>
      <w:proofErr w:type="spellEnd"/>
      <w:r w:rsidRPr="00F34479">
        <w:rPr>
          <w:rFonts w:ascii="Arial" w:hAnsi="Arial" w:cs="Arial"/>
          <w:sz w:val="22"/>
        </w:rPr>
        <w:t xml:space="preserve"> </w:t>
      </w:r>
      <w:proofErr w:type="spellStart"/>
      <w:r w:rsidRPr="00F34479">
        <w:rPr>
          <w:rFonts w:ascii="Arial" w:hAnsi="Arial" w:cs="Arial"/>
          <w:sz w:val="22"/>
        </w:rPr>
        <w:t>haukino</w:t>
      </w:r>
      <w:proofErr w:type="spellEnd"/>
    </w:p>
    <w:p w14:paraId="28A34094"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o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wā</w:t>
      </w:r>
      <w:proofErr w:type="spellEnd"/>
      <w:r w:rsidRPr="00F34479">
        <w:rPr>
          <w:rFonts w:ascii="Arial" w:hAnsi="Arial" w:cs="Arial"/>
          <w:sz w:val="22"/>
        </w:rPr>
        <w:t xml:space="preserve">, </w:t>
      </w:r>
      <w:proofErr w:type="spellStart"/>
      <w:r w:rsidRPr="00F34479">
        <w:rPr>
          <w:rFonts w:ascii="Arial" w:hAnsi="Arial" w:cs="Arial"/>
          <w:sz w:val="22"/>
        </w:rPr>
        <w:t>kua</w:t>
      </w:r>
      <w:proofErr w:type="spellEnd"/>
      <w:r w:rsidRPr="00F34479">
        <w:rPr>
          <w:rFonts w:ascii="Arial" w:hAnsi="Arial" w:cs="Arial"/>
          <w:sz w:val="22"/>
        </w:rPr>
        <w:t xml:space="preserve"> </w:t>
      </w:r>
      <w:proofErr w:type="spellStart"/>
      <w:r w:rsidRPr="00F34479">
        <w:rPr>
          <w:rFonts w:ascii="Arial" w:hAnsi="Arial" w:cs="Arial"/>
          <w:sz w:val="22"/>
        </w:rPr>
        <w:t>pēhia</w:t>
      </w:r>
      <w:proofErr w:type="spellEnd"/>
      <w:r w:rsidRPr="00F34479">
        <w:rPr>
          <w:rFonts w:ascii="Arial" w:hAnsi="Arial" w:cs="Arial"/>
          <w:sz w:val="22"/>
        </w:rPr>
        <w:t xml:space="preserve"> e </w:t>
      </w:r>
      <w:proofErr w:type="spellStart"/>
      <w:r w:rsidRPr="00F34479">
        <w:rPr>
          <w:rFonts w:ascii="Arial" w:hAnsi="Arial" w:cs="Arial"/>
          <w:sz w:val="22"/>
        </w:rPr>
        <w:t>ngā</w:t>
      </w:r>
      <w:proofErr w:type="spellEnd"/>
      <w:r w:rsidRPr="00F34479">
        <w:rPr>
          <w:rFonts w:ascii="Arial" w:hAnsi="Arial" w:cs="Arial"/>
          <w:sz w:val="22"/>
        </w:rPr>
        <w:t xml:space="preserve"> </w:t>
      </w:r>
      <w:proofErr w:type="spellStart"/>
      <w:r w:rsidRPr="00F34479">
        <w:rPr>
          <w:rFonts w:ascii="Arial" w:hAnsi="Arial" w:cs="Arial"/>
          <w:sz w:val="22"/>
        </w:rPr>
        <w:t>whakawai</w:t>
      </w:r>
      <w:proofErr w:type="spellEnd"/>
      <w:r w:rsidRPr="00F34479">
        <w:rPr>
          <w:rFonts w:ascii="Arial" w:hAnsi="Arial" w:cs="Arial"/>
          <w:sz w:val="22"/>
        </w:rPr>
        <w:t xml:space="preserve"> a </w:t>
      </w:r>
      <w:proofErr w:type="spellStart"/>
      <w:r w:rsidRPr="00F34479">
        <w:rPr>
          <w:rFonts w:ascii="Arial" w:hAnsi="Arial" w:cs="Arial"/>
          <w:sz w:val="22"/>
        </w:rPr>
        <w:t>ngā</w:t>
      </w:r>
      <w:proofErr w:type="spellEnd"/>
      <w:r w:rsidRPr="00F34479">
        <w:rPr>
          <w:rFonts w:ascii="Arial" w:hAnsi="Arial" w:cs="Arial"/>
          <w:sz w:val="22"/>
        </w:rPr>
        <w:t xml:space="preserve"> </w:t>
      </w:r>
      <w:proofErr w:type="spellStart"/>
      <w:r w:rsidRPr="00F34479">
        <w:rPr>
          <w:rFonts w:ascii="Arial" w:hAnsi="Arial" w:cs="Arial"/>
          <w:sz w:val="22"/>
        </w:rPr>
        <w:t>tipua</w:t>
      </w:r>
      <w:proofErr w:type="spellEnd"/>
      <w:r w:rsidRPr="00F34479">
        <w:rPr>
          <w:rFonts w:ascii="Arial" w:hAnsi="Arial" w:cs="Arial"/>
          <w:sz w:val="22"/>
        </w:rPr>
        <w:t xml:space="preserve"> </w:t>
      </w:r>
      <w:proofErr w:type="spellStart"/>
      <w:r w:rsidRPr="00F34479">
        <w:rPr>
          <w:rFonts w:ascii="Arial" w:hAnsi="Arial" w:cs="Arial"/>
          <w:sz w:val="22"/>
        </w:rPr>
        <w:t>nei</w:t>
      </w:r>
      <w:proofErr w:type="spellEnd"/>
      <w:r w:rsidRPr="00F34479">
        <w:rPr>
          <w:rFonts w:ascii="Arial" w:hAnsi="Arial" w:cs="Arial"/>
          <w:sz w:val="22"/>
        </w:rPr>
        <w:t>,</w:t>
      </w:r>
    </w:p>
    <w:p w14:paraId="19F13F4A"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a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Ringatūkino</w:t>
      </w:r>
      <w:proofErr w:type="spellEnd"/>
      <w:r w:rsidRPr="00F34479">
        <w:rPr>
          <w:rFonts w:ascii="Arial" w:hAnsi="Arial" w:cs="Arial"/>
          <w:sz w:val="22"/>
        </w:rPr>
        <w:t xml:space="preserve"> </w:t>
      </w:r>
      <w:proofErr w:type="spellStart"/>
      <w:r w:rsidRPr="00F34479">
        <w:rPr>
          <w:rFonts w:ascii="Arial" w:hAnsi="Arial" w:cs="Arial"/>
          <w:sz w:val="22"/>
        </w:rPr>
        <w:t>rāua</w:t>
      </w:r>
      <w:proofErr w:type="spellEnd"/>
      <w:r w:rsidRPr="00F34479">
        <w:rPr>
          <w:rFonts w:ascii="Arial" w:hAnsi="Arial" w:cs="Arial"/>
          <w:sz w:val="22"/>
        </w:rPr>
        <w:t xml:space="preserve"> ko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Kanohihuna</w:t>
      </w:r>
      <w:proofErr w:type="spellEnd"/>
      <w:r w:rsidRPr="00F34479">
        <w:rPr>
          <w:rFonts w:ascii="Arial" w:hAnsi="Arial" w:cs="Arial"/>
          <w:sz w:val="22"/>
        </w:rPr>
        <w:t>.</w:t>
      </w:r>
    </w:p>
    <w:p w14:paraId="5715C556"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Koutou </w:t>
      </w: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whītiki</w:t>
      </w:r>
      <w:proofErr w:type="spellEnd"/>
      <w:r w:rsidRPr="00F34479">
        <w:rPr>
          <w:rFonts w:ascii="Arial" w:hAnsi="Arial" w:cs="Arial"/>
          <w:sz w:val="22"/>
        </w:rPr>
        <w:t xml:space="preserve"> </w:t>
      </w: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tātua</w:t>
      </w:r>
      <w:proofErr w:type="spellEnd"/>
      <w:r w:rsidRPr="00F34479">
        <w:rPr>
          <w:rFonts w:ascii="Arial" w:hAnsi="Arial" w:cs="Arial"/>
          <w:sz w:val="22"/>
        </w:rPr>
        <w:t xml:space="preserve"> o </w:t>
      </w:r>
      <w:proofErr w:type="spellStart"/>
      <w:r w:rsidRPr="00F34479">
        <w:rPr>
          <w:rFonts w:ascii="Arial" w:hAnsi="Arial" w:cs="Arial"/>
          <w:sz w:val="22"/>
        </w:rPr>
        <w:t>te</w:t>
      </w:r>
      <w:proofErr w:type="spellEnd"/>
      <w:r w:rsidRPr="00F34479">
        <w:rPr>
          <w:rFonts w:ascii="Arial" w:hAnsi="Arial" w:cs="Arial"/>
          <w:sz w:val="22"/>
        </w:rPr>
        <w:t xml:space="preserve"> toa,</w:t>
      </w:r>
    </w:p>
    <w:p w14:paraId="79404AB5"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kākahu</w:t>
      </w:r>
      <w:proofErr w:type="spellEnd"/>
      <w:r w:rsidRPr="00F34479">
        <w:rPr>
          <w:rFonts w:ascii="Arial" w:hAnsi="Arial" w:cs="Arial"/>
          <w:sz w:val="22"/>
        </w:rPr>
        <w:t xml:space="preserve"> </w:t>
      </w: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korowai o </w:t>
      </w:r>
      <w:proofErr w:type="spellStart"/>
      <w:r w:rsidRPr="00F34479">
        <w:rPr>
          <w:rFonts w:ascii="Arial" w:hAnsi="Arial" w:cs="Arial"/>
          <w:sz w:val="22"/>
        </w:rPr>
        <w:t>te</w:t>
      </w:r>
      <w:proofErr w:type="spellEnd"/>
      <w:r w:rsidRPr="00F34479">
        <w:rPr>
          <w:rFonts w:ascii="Arial" w:hAnsi="Arial" w:cs="Arial"/>
          <w:sz w:val="22"/>
        </w:rPr>
        <w:t xml:space="preserve"> pono,</w:t>
      </w:r>
    </w:p>
    <w:p w14:paraId="327EF31F"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whakamau</w:t>
      </w:r>
      <w:proofErr w:type="spellEnd"/>
      <w:r w:rsidRPr="00F34479">
        <w:rPr>
          <w:rFonts w:ascii="Arial" w:hAnsi="Arial" w:cs="Arial"/>
          <w:sz w:val="22"/>
        </w:rPr>
        <w:t xml:space="preserve"> </w:t>
      </w: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tīpare</w:t>
      </w:r>
      <w:proofErr w:type="spellEnd"/>
      <w:r w:rsidRPr="00F34479">
        <w:rPr>
          <w:rFonts w:ascii="Arial" w:hAnsi="Arial" w:cs="Arial"/>
          <w:sz w:val="22"/>
        </w:rPr>
        <w:t xml:space="preserve"> o </w:t>
      </w:r>
      <w:proofErr w:type="spellStart"/>
      <w:r w:rsidRPr="00F34479">
        <w:rPr>
          <w:rFonts w:ascii="Arial" w:hAnsi="Arial" w:cs="Arial"/>
          <w:sz w:val="22"/>
        </w:rPr>
        <w:t>tō</w:t>
      </w:r>
      <w:proofErr w:type="spellEnd"/>
      <w:r w:rsidRPr="00F34479">
        <w:rPr>
          <w:rFonts w:ascii="Arial" w:hAnsi="Arial" w:cs="Arial"/>
          <w:sz w:val="22"/>
        </w:rPr>
        <w:t xml:space="preserve"> mana </w:t>
      </w:r>
      <w:proofErr w:type="spellStart"/>
      <w:r w:rsidRPr="00F34479">
        <w:rPr>
          <w:rFonts w:ascii="Arial" w:hAnsi="Arial" w:cs="Arial"/>
          <w:sz w:val="22"/>
        </w:rPr>
        <w:t>motuhake</w:t>
      </w:r>
      <w:proofErr w:type="spellEnd"/>
      <w:r w:rsidRPr="00F34479">
        <w:rPr>
          <w:rFonts w:ascii="Arial" w:hAnsi="Arial" w:cs="Arial"/>
          <w:sz w:val="22"/>
        </w:rPr>
        <w:t>,</w:t>
      </w:r>
    </w:p>
    <w:p w14:paraId="4B41BF5B"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toko </w:t>
      </w:r>
      <w:proofErr w:type="spellStart"/>
      <w:r w:rsidRPr="00F34479">
        <w:rPr>
          <w:rFonts w:ascii="Arial" w:hAnsi="Arial" w:cs="Arial"/>
          <w:sz w:val="22"/>
        </w:rPr>
        <w:t>ake</w:t>
      </w:r>
      <w:proofErr w:type="spellEnd"/>
      <w:r w:rsidRPr="00F34479">
        <w:rPr>
          <w:rFonts w:ascii="Arial" w:hAnsi="Arial" w:cs="Arial"/>
          <w:sz w:val="22"/>
        </w:rPr>
        <w:t xml:space="preserve"> ki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pūaotanga</w:t>
      </w:r>
      <w:proofErr w:type="spellEnd"/>
      <w:r w:rsidRPr="00F34479">
        <w:rPr>
          <w:rFonts w:ascii="Arial" w:hAnsi="Arial" w:cs="Arial"/>
          <w:sz w:val="22"/>
        </w:rPr>
        <w:t xml:space="preserve"> o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āpōpō</w:t>
      </w:r>
      <w:proofErr w:type="spellEnd"/>
      <w:r w:rsidRPr="00F34479">
        <w:rPr>
          <w:rFonts w:ascii="Arial" w:hAnsi="Arial" w:cs="Arial"/>
          <w:sz w:val="22"/>
        </w:rPr>
        <w:t xml:space="preserve"> e </w:t>
      </w:r>
      <w:proofErr w:type="spellStart"/>
      <w:r w:rsidRPr="00F34479">
        <w:rPr>
          <w:rFonts w:ascii="Arial" w:hAnsi="Arial" w:cs="Arial"/>
          <w:sz w:val="22"/>
        </w:rPr>
        <w:t>tatari</w:t>
      </w:r>
      <w:proofErr w:type="spellEnd"/>
      <w:r w:rsidRPr="00F34479">
        <w:rPr>
          <w:rFonts w:ascii="Arial" w:hAnsi="Arial" w:cs="Arial"/>
          <w:sz w:val="22"/>
        </w:rPr>
        <w:t xml:space="preserve"> </w:t>
      </w:r>
      <w:proofErr w:type="spellStart"/>
      <w:r w:rsidRPr="00F34479">
        <w:rPr>
          <w:rFonts w:ascii="Arial" w:hAnsi="Arial" w:cs="Arial"/>
          <w:sz w:val="22"/>
        </w:rPr>
        <w:t>mai</w:t>
      </w:r>
      <w:proofErr w:type="spellEnd"/>
      <w:r w:rsidRPr="00F34479">
        <w:rPr>
          <w:rFonts w:ascii="Arial" w:hAnsi="Arial" w:cs="Arial"/>
          <w:sz w:val="22"/>
        </w:rPr>
        <w:t xml:space="preserve"> </w:t>
      </w:r>
      <w:proofErr w:type="spellStart"/>
      <w:r w:rsidRPr="00F34479">
        <w:rPr>
          <w:rFonts w:ascii="Arial" w:hAnsi="Arial" w:cs="Arial"/>
          <w:sz w:val="22"/>
        </w:rPr>
        <w:t>nei</w:t>
      </w:r>
      <w:proofErr w:type="spellEnd"/>
      <w:r w:rsidRPr="00F34479">
        <w:rPr>
          <w:rFonts w:ascii="Arial" w:hAnsi="Arial" w:cs="Arial"/>
          <w:sz w:val="22"/>
        </w:rPr>
        <w:t xml:space="preserve"> </w:t>
      </w:r>
      <w:proofErr w:type="spellStart"/>
      <w:r w:rsidRPr="00F34479">
        <w:rPr>
          <w:rFonts w:ascii="Arial" w:hAnsi="Arial" w:cs="Arial"/>
          <w:sz w:val="22"/>
        </w:rPr>
        <w:t>i</w:t>
      </w:r>
      <w:proofErr w:type="spellEnd"/>
      <w:r w:rsidRPr="00F34479">
        <w:rPr>
          <w:rFonts w:ascii="Arial" w:hAnsi="Arial" w:cs="Arial"/>
          <w:sz w:val="22"/>
        </w:rPr>
        <w:t xml:space="preserve"> </w:t>
      </w:r>
      <w:proofErr w:type="spellStart"/>
      <w:r w:rsidRPr="00F34479">
        <w:rPr>
          <w:rFonts w:ascii="Arial" w:hAnsi="Arial" w:cs="Arial"/>
          <w:sz w:val="22"/>
        </w:rPr>
        <w:t>tua</w:t>
      </w:r>
      <w:proofErr w:type="spellEnd"/>
      <w:r w:rsidRPr="00F34479">
        <w:rPr>
          <w:rFonts w:ascii="Arial" w:hAnsi="Arial" w:cs="Arial"/>
          <w:sz w:val="22"/>
        </w:rPr>
        <w:t xml:space="preserve"> o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pae</w:t>
      </w:r>
      <w:proofErr w:type="spellEnd"/>
      <w:r w:rsidRPr="00F34479">
        <w:rPr>
          <w:rFonts w:ascii="Arial" w:hAnsi="Arial" w:cs="Arial"/>
          <w:sz w:val="22"/>
        </w:rPr>
        <w:t>,</w:t>
      </w:r>
    </w:p>
    <w:p w14:paraId="3456F0C2"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nōu</w:t>
      </w:r>
      <w:proofErr w:type="spellEnd"/>
      <w:r w:rsidRPr="00F34479">
        <w:rPr>
          <w:rFonts w:ascii="Arial" w:hAnsi="Arial" w:cs="Arial"/>
          <w:sz w:val="22"/>
        </w:rPr>
        <w:t xml:space="preserve">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ao</w:t>
      </w:r>
      <w:proofErr w:type="spellEnd"/>
      <w:r w:rsidRPr="00F34479">
        <w:rPr>
          <w:rFonts w:ascii="Arial" w:hAnsi="Arial" w:cs="Arial"/>
          <w:sz w:val="22"/>
        </w:rPr>
        <w:t xml:space="preserve"> e </w:t>
      </w:r>
      <w:proofErr w:type="spellStart"/>
      <w:r w:rsidRPr="00F34479">
        <w:rPr>
          <w:rFonts w:ascii="Arial" w:hAnsi="Arial" w:cs="Arial"/>
          <w:sz w:val="22"/>
        </w:rPr>
        <w:t>whakaata</w:t>
      </w:r>
      <w:proofErr w:type="spellEnd"/>
      <w:r w:rsidRPr="00F34479">
        <w:rPr>
          <w:rFonts w:ascii="Arial" w:hAnsi="Arial" w:cs="Arial"/>
          <w:sz w:val="22"/>
        </w:rPr>
        <w:t xml:space="preserve"> </w:t>
      </w:r>
      <w:proofErr w:type="spellStart"/>
      <w:r w:rsidRPr="00F34479">
        <w:rPr>
          <w:rFonts w:ascii="Arial" w:hAnsi="Arial" w:cs="Arial"/>
          <w:sz w:val="22"/>
        </w:rPr>
        <w:t>mai</w:t>
      </w:r>
      <w:proofErr w:type="spellEnd"/>
      <w:r w:rsidRPr="00F34479">
        <w:rPr>
          <w:rFonts w:ascii="Arial" w:hAnsi="Arial" w:cs="Arial"/>
          <w:sz w:val="22"/>
        </w:rPr>
        <w:t xml:space="preserve"> </w:t>
      </w:r>
      <w:proofErr w:type="spellStart"/>
      <w:r w:rsidRPr="00F34479">
        <w:rPr>
          <w:rFonts w:ascii="Arial" w:hAnsi="Arial" w:cs="Arial"/>
          <w:sz w:val="22"/>
        </w:rPr>
        <w:t>nei</w:t>
      </w:r>
      <w:proofErr w:type="spellEnd"/>
      <w:r w:rsidRPr="00F34479">
        <w:rPr>
          <w:rFonts w:ascii="Arial" w:hAnsi="Arial" w:cs="Arial"/>
          <w:sz w:val="22"/>
        </w:rPr>
        <w:t>.</w:t>
      </w:r>
    </w:p>
    <w:p w14:paraId="065F0F22"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Kāti</w:t>
      </w:r>
      <w:proofErr w:type="spellEnd"/>
      <w:r w:rsidRPr="00F34479">
        <w:rPr>
          <w:rFonts w:ascii="Arial" w:hAnsi="Arial" w:cs="Arial"/>
          <w:sz w:val="22"/>
        </w:rPr>
        <w:t xml:space="preserve"> </w:t>
      </w:r>
      <w:proofErr w:type="spellStart"/>
      <w:r w:rsidRPr="00F34479">
        <w:rPr>
          <w:rFonts w:ascii="Arial" w:hAnsi="Arial" w:cs="Arial"/>
          <w:sz w:val="22"/>
        </w:rPr>
        <w:t>rā</w:t>
      </w:r>
      <w:proofErr w:type="spellEnd"/>
      <w:r w:rsidRPr="00F34479">
        <w:rPr>
          <w:rFonts w:ascii="Arial" w:hAnsi="Arial" w:cs="Arial"/>
          <w:sz w:val="22"/>
        </w:rPr>
        <w:t xml:space="preserve">, ā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tākiritanga</w:t>
      </w:r>
      <w:proofErr w:type="spellEnd"/>
      <w:r w:rsidRPr="00F34479">
        <w:rPr>
          <w:rFonts w:ascii="Arial" w:hAnsi="Arial" w:cs="Arial"/>
          <w:sz w:val="22"/>
        </w:rPr>
        <w:t xml:space="preserve"> </w:t>
      </w:r>
      <w:proofErr w:type="spellStart"/>
      <w:r w:rsidRPr="00F34479">
        <w:rPr>
          <w:rFonts w:ascii="Arial" w:hAnsi="Arial" w:cs="Arial"/>
          <w:sz w:val="22"/>
        </w:rPr>
        <w:t>mai</w:t>
      </w:r>
      <w:proofErr w:type="spellEnd"/>
      <w:r w:rsidRPr="00F34479">
        <w:rPr>
          <w:rFonts w:ascii="Arial" w:hAnsi="Arial" w:cs="Arial"/>
          <w:sz w:val="22"/>
        </w:rPr>
        <w:t xml:space="preserve"> o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ata</w:t>
      </w:r>
      <w:proofErr w:type="spellEnd"/>
      <w:r w:rsidRPr="00F34479">
        <w:rPr>
          <w:rFonts w:ascii="Arial" w:hAnsi="Arial" w:cs="Arial"/>
          <w:sz w:val="22"/>
        </w:rPr>
        <w:t>,</w:t>
      </w:r>
    </w:p>
    <w:p w14:paraId="07D437DD"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ā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huanga</w:t>
      </w:r>
      <w:proofErr w:type="spellEnd"/>
      <w:r w:rsidRPr="00F34479">
        <w:rPr>
          <w:rFonts w:ascii="Arial" w:hAnsi="Arial" w:cs="Arial"/>
          <w:sz w:val="22"/>
        </w:rPr>
        <w:t xml:space="preserve"> </w:t>
      </w:r>
      <w:proofErr w:type="spellStart"/>
      <w:r w:rsidRPr="00F34479">
        <w:rPr>
          <w:rFonts w:ascii="Arial" w:hAnsi="Arial" w:cs="Arial"/>
          <w:sz w:val="22"/>
        </w:rPr>
        <w:t>ake</w:t>
      </w:r>
      <w:proofErr w:type="spellEnd"/>
      <w:r w:rsidRPr="00F34479">
        <w:rPr>
          <w:rFonts w:ascii="Arial" w:hAnsi="Arial" w:cs="Arial"/>
          <w:sz w:val="22"/>
        </w:rPr>
        <w:t xml:space="preserve"> o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awatea</w:t>
      </w:r>
      <w:proofErr w:type="spellEnd"/>
      <w:r w:rsidRPr="00F34479">
        <w:rPr>
          <w:rFonts w:ascii="Arial" w:hAnsi="Arial" w:cs="Arial"/>
          <w:sz w:val="22"/>
        </w:rPr>
        <w:t>,</w:t>
      </w:r>
    </w:p>
    <w:p w14:paraId="736FC8B6"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kia tau he </w:t>
      </w:r>
      <w:proofErr w:type="spellStart"/>
      <w:r w:rsidRPr="00F34479">
        <w:rPr>
          <w:rFonts w:ascii="Arial" w:hAnsi="Arial" w:cs="Arial"/>
          <w:sz w:val="22"/>
        </w:rPr>
        <w:t>māramatanga</w:t>
      </w:r>
      <w:proofErr w:type="spellEnd"/>
      <w:r w:rsidRPr="00F34479">
        <w:rPr>
          <w:rFonts w:ascii="Arial" w:hAnsi="Arial" w:cs="Arial"/>
          <w:sz w:val="22"/>
        </w:rPr>
        <w:t>,</w:t>
      </w:r>
    </w:p>
    <w:p w14:paraId="2273ED7F"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kia ū ko </w:t>
      </w:r>
      <w:proofErr w:type="spellStart"/>
      <w:r w:rsidRPr="00F34479">
        <w:rPr>
          <w:rFonts w:ascii="Arial" w:hAnsi="Arial" w:cs="Arial"/>
          <w:sz w:val="22"/>
        </w:rPr>
        <w:t>te</w:t>
      </w:r>
      <w:proofErr w:type="spellEnd"/>
      <w:r w:rsidRPr="00F34479">
        <w:rPr>
          <w:rFonts w:ascii="Arial" w:hAnsi="Arial" w:cs="Arial"/>
          <w:sz w:val="22"/>
        </w:rPr>
        <w:t xml:space="preserve"> pai, kia </w:t>
      </w:r>
      <w:proofErr w:type="spellStart"/>
      <w:r w:rsidRPr="00F34479">
        <w:rPr>
          <w:rFonts w:ascii="Arial" w:hAnsi="Arial" w:cs="Arial"/>
          <w:sz w:val="22"/>
        </w:rPr>
        <w:t>mau</w:t>
      </w:r>
      <w:proofErr w:type="spellEnd"/>
      <w:r w:rsidRPr="00F34479">
        <w:rPr>
          <w:rFonts w:ascii="Arial" w:hAnsi="Arial" w:cs="Arial"/>
          <w:sz w:val="22"/>
        </w:rPr>
        <w:t xml:space="preserve"> ko </w:t>
      </w:r>
      <w:proofErr w:type="spellStart"/>
      <w:r w:rsidRPr="00F34479">
        <w:rPr>
          <w:rFonts w:ascii="Arial" w:hAnsi="Arial" w:cs="Arial"/>
          <w:sz w:val="22"/>
        </w:rPr>
        <w:t>te</w:t>
      </w:r>
      <w:proofErr w:type="spellEnd"/>
      <w:r w:rsidRPr="00F34479">
        <w:rPr>
          <w:rFonts w:ascii="Arial" w:hAnsi="Arial" w:cs="Arial"/>
          <w:sz w:val="22"/>
        </w:rPr>
        <w:t xml:space="preserve"> tika.</w:t>
      </w:r>
    </w:p>
    <w:p w14:paraId="546AF2E2"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Koinei</w:t>
      </w:r>
      <w:proofErr w:type="spellEnd"/>
      <w:r w:rsidRPr="00F34479">
        <w:rPr>
          <w:rFonts w:ascii="Arial" w:hAnsi="Arial" w:cs="Arial"/>
          <w:sz w:val="22"/>
        </w:rPr>
        <w:t xml:space="preserve"> ko </w:t>
      </w:r>
      <w:proofErr w:type="spellStart"/>
      <w:r w:rsidRPr="00F34479">
        <w:rPr>
          <w:rFonts w:ascii="Arial" w:hAnsi="Arial" w:cs="Arial"/>
          <w:sz w:val="22"/>
        </w:rPr>
        <w:t>te</w:t>
      </w:r>
      <w:proofErr w:type="spellEnd"/>
      <w:r w:rsidRPr="00F34479">
        <w:rPr>
          <w:rFonts w:ascii="Arial" w:hAnsi="Arial" w:cs="Arial"/>
          <w:sz w:val="22"/>
        </w:rPr>
        <w:t xml:space="preserve"> tangi a </w:t>
      </w:r>
      <w:proofErr w:type="spellStart"/>
      <w:r w:rsidRPr="00F34479">
        <w:rPr>
          <w:rFonts w:ascii="Arial" w:hAnsi="Arial" w:cs="Arial"/>
          <w:sz w:val="22"/>
        </w:rPr>
        <w:t>te</w:t>
      </w:r>
      <w:proofErr w:type="spellEnd"/>
      <w:r w:rsidRPr="00F34479">
        <w:rPr>
          <w:rFonts w:ascii="Arial" w:hAnsi="Arial" w:cs="Arial"/>
          <w:sz w:val="22"/>
        </w:rPr>
        <w:t xml:space="preserve"> </w:t>
      </w:r>
      <w:proofErr w:type="spellStart"/>
      <w:r w:rsidRPr="00F34479">
        <w:rPr>
          <w:rFonts w:ascii="Arial" w:hAnsi="Arial" w:cs="Arial"/>
          <w:sz w:val="22"/>
        </w:rPr>
        <w:t>ngākau</w:t>
      </w:r>
      <w:proofErr w:type="spellEnd"/>
      <w:r w:rsidRPr="00F34479">
        <w:rPr>
          <w:rFonts w:ascii="Arial" w:hAnsi="Arial" w:cs="Arial"/>
          <w:sz w:val="22"/>
        </w:rPr>
        <w:t xml:space="preserve"> e Rongo,</w:t>
      </w:r>
    </w:p>
    <w:p w14:paraId="25F4A876" w14:textId="77777777" w:rsidR="007E403D" w:rsidRPr="00F34479" w:rsidRDefault="007E403D" w:rsidP="006920CA">
      <w:pPr>
        <w:pStyle w:val="BodyText"/>
        <w:spacing w:before="0" w:after="120"/>
        <w:rPr>
          <w:rFonts w:ascii="Arial" w:hAnsi="Arial" w:cs="Arial"/>
          <w:sz w:val="22"/>
        </w:rPr>
      </w:pPr>
      <w:proofErr w:type="spellStart"/>
      <w:r w:rsidRPr="00F34479">
        <w:rPr>
          <w:rFonts w:ascii="Arial" w:hAnsi="Arial" w:cs="Arial"/>
          <w:sz w:val="22"/>
        </w:rPr>
        <w:t>tūturu</w:t>
      </w:r>
      <w:proofErr w:type="spellEnd"/>
      <w:r w:rsidRPr="00F34479">
        <w:rPr>
          <w:rFonts w:ascii="Arial" w:hAnsi="Arial" w:cs="Arial"/>
          <w:sz w:val="22"/>
        </w:rPr>
        <w:t xml:space="preserve"> </w:t>
      </w:r>
      <w:proofErr w:type="spellStart"/>
      <w:r w:rsidRPr="00F34479">
        <w:rPr>
          <w:rFonts w:ascii="Arial" w:hAnsi="Arial" w:cs="Arial"/>
          <w:sz w:val="22"/>
        </w:rPr>
        <w:t>ōwhiti</w:t>
      </w:r>
      <w:proofErr w:type="spellEnd"/>
      <w:r w:rsidRPr="00F34479">
        <w:rPr>
          <w:rFonts w:ascii="Arial" w:hAnsi="Arial" w:cs="Arial"/>
          <w:sz w:val="22"/>
        </w:rPr>
        <w:t xml:space="preserve"> </w:t>
      </w:r>
      <w:proofErr w:type="spellStart"/>
      <w:r w:rsidRPr="00F34479">
        <w:rPr>
          <w:rFonts w:ascii="Arial" w:hAnsi="Arial" w:cs="Arial"/>
          <w:sz w:val="22"/>
        </w:rPr>
        <w:t>whakamaua</w:t>
      </w:r>
      <w:proofErr w:type="spellEnd"/>
    </w:p>
    <w:p w14:paraId="35EF80F9"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kia tina, tina!</w:t>
      </w:r>
    </w:p>
    <w:p w14:paraId="40339C96"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 xml:space="preserve">Hui e, </w:t>
      </w:r>
      <w:proofErr w:type="spellStart"/>
      <w:r w:rsidRPr="00F34479">
        <w:rPr>
          <w:rFonts w:ascii="Arial" w:hAnsi="Arial" w:cs="Arial"/>
          <w:sz w:val="22"/>
        </w:rPr>
        <w:t>tāiki</w:t>
      </w:r>
      <w:proofErr w:type="spellEnd"/>
      <w:r w:rsidRPr="00F34479">
        <w:rPr>
          <w:rFonts w:ascii="Arial" w:hAnsi="Arial" w:cs="Arial"/>
          <w:sz w:val="22"/>
        </w:rPr>
        <w:t xml:space="preserve"> e!</w:t>
      </w:r>
    </w:p>
    <w:p w14:paraId="2353F231" w14:textId="170AEEF3" w:rsidR="00AB2D8B" w:rsidRPr="00F34479" w:rsidRDefault="007E403D" w:rsidP="006920CA">
      <w:pPr>
        <w:pStyle w:val="BodyText"/>
        <w:spacing w:before="0" w:after="120"/>
        <w:rPr>
          <w:rFonts w:ascii="Arial" w:hAnsi="Arial" w:cs="Arial"/>
          <w:sz w:val="22"/>
        </w:rPr>
      </w:pPr>
      <w:r w:rsidRPr="00F34479">
        <w:rPr>
          <w:rFonts w:ascii="Arial" w:hAnsi="Arial" w:cs="Arial"/>
          <w:sz w:val="22"/>
        </w:rPr>
        <w:t xml:space="preserve">– </w:t>
      </w:r>
      <w:proofErr w:type="spellStart"/>
      <w:r w:rsidRPr="00F34479">
        <w:rPr>
          <w:rFonts w:ascii="Arial" w:hAnsi="Arial" w:cs="Arial"/>
          <w:sz w:val="22"/>
        </w:rPr>
        <w:t>Waihoroi</w:t>
      </w:r>
      <w:proofErr w:type="spellEnd"/>
      <w:r w:rsidRPr="00F34479">
        <w:rPr>
          <w:rFonts w:ascii="Arial" w:hAnsi="Arial" w:cs="Arial"/>
          <w:sz w:val="22"/>
        </w:rPr>
        <w:t xml:space="preserve"> </w:t>
      </w:r>
      <w:proofErr w:type="spellStart"/>
      <w:r w:rsidRPr="00F34479">
        <w:rPr>
          <w:rFonts w:ascii="Arial" w:hAnsi="Arial" w:cs="Arial"/>
          <w:sz w:val="22"/>
        </w:rPr>
        <w:t>Paraone</w:t>
      </w:r>
      <w:proofErr w:type="spellEnd"/>
      <w:r w:rsidRPr="00F34479">
        <w:rPr>
          <w:rFonts w:ascii="Arial" w:hAnsi="Arial" w:cs="Arial"/>
          <w:sz w:val="22"/>
        </w:rPr>
        <w:t xml:space="preserve"> </w:t>
      </w:r>
      <w:proofErr w:type="spellStart"/>
      <w:r w:rsidRPr="00F34479">
        <w:rPr>
          <w:rFonts w:ascii="Arial" w:hAnsi="Arial" w:cs="Arial"/>
          <w:sz w:val="22"/>
        </w:rPr>
        <w:t>Hōterene</w:t>
      </w:r>
      <w:proofErr w:type="spellEnd"/>
    </w:p>
    <w:p w14:paraId="28AAE4E0" w14:textId="77777777" w:rsidR="00880BC4" w:rsidRDefault="00880BC4" w:rsidP="007E403D">
      <w:pPr>
        <w:keepLines w:val="0"/>
        <w:widowControl w:val="0"/>
        <w:rPr>
          <w:rFonts w:ascii="Arial" w:hAnsi="Arial" w:cs="Arial"/>
          <w:color w:val="4F7D29" w:themeColor="accent4"/>
        </w:rPr>
      </w:pPr>
    </w:p>
    <w:p w14:paraId="4EF26C4E" w14:textId="77777777" w:rsidR="00880BC4" w:rsidRDefault="00880BC4" w:rsidP="007E403D">
      <w:pPr>
        <w:keepLines w:val="0"/>
        <w:widowControl w:val="0"/>
        <w:rPr>
          <w:rFonts w:ascii="Arial" w:hAnsi="Arial" w:cs="Arial"/>
          <w:color w:val="4F7D29" w:themeColor="accent4"/>
        </w:rPr>
      </w:pPr>
    </w:p>
    <w:p w14:paraId="3768EAFF" w14:textId="77777777" w:rsidR="0091787B" w:rsidRDefault="0091787B">
      <w:pPr>
        <w:keepLines w:val="0"/>
        <w:rPr>
          <w:rFonts w:ascii="Arial" w:hAnsi="Arial" w:cs="Arial"/>
          <w:sz w:val="22"/>
          <w:szCs w:val="22"/>
        </w:rPr>
      </w:pPr>
      <w:r>
        <w:rPr>
          <w:rFonts w:ascii="Arial" w:hAnsi="Arial" w:cs="Arial"/>
          <w:sz w:val="22"/>
          <w:szCs w:val="22"/>
        </w:rPr>
        <w:br w:type="page"/>
      </w:r>
    </w:p>
    <w:p w14:paraId="45165CF8" w14:textId="68E78DBA"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 xml:space="preserve">To you upon whom this inquiry has been </w:t>
      </w:r>
      <w:proofErr w:type="spellStart"/>
      <w:r w:rsidRPr="004A7AEC">
        <w:rPr>
          <w:rFonts w:ascii="Arial" w:hAnsi="Arial" w:cs="Arial"/>
          <w:sz w:val="22"/>
          <w:szCs w:val="22"/>
        </w:rPr>
        <w:t>centered</w:t>
      </w:r>
      <w:proofErr w:type="spellEnd"/>
    </w:p>
    <w:p w14:paraId="05F97914"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Resolute in your pursuit of justice</w:t>
      </w:r>
    </w:p>
    <w:p w14:paraId="4EA6A5B8"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Relentless in your belief for life</w:t>
      </w:r>
    </w:p>
    <w:p w14:paraId="6A30592F"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You have only our highest regard and respect,</w:t>
      </w:r>
    </w:p>
    <w:p w14:paraId="5BDA5C01"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may your peace of mind be assured.</w:t>
      </w:r>
    </w:p>
    <w:p w14:paraId="63087CD6"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Look into the deepest recesses of your being</w:t>
      </w:r>
    </w:p>
    <w:p w14:paraId="57A9FBDA"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and discover the seeds of new hope,</w:t>
      </w:r>
    </w:p>
    <w:p w14:paraId="2F2FB96E"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where the temperate heart might find solace,</w:t>
      </w:r>
    </w:p>
    <w:p w14:paraId="54E985A1"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and the blithe spirit might rise again.</w:t>
      </w:r>
    </w:p>
    <w:p w14:paraId="1DB85512"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Let these be the pillars on which the House of Self,</w:t>
      </w:r>
    </w:p>
    <w:p w14:paraId="43A45660"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reconciliation can stand.</w:t>
      </w:r>
    </w:p>
    <w:p w14:paraId="12927B9E" w14:textId="77777777" w:rsidR="00880BC4" w:rsidRPr="004A7AEC" w:rsidRDefault="00880BC4" w:rsidP="004A7AEC">
      <w:pPr>
        <w:pStyle w:val="BodyText"/>
        <w:spacing w:before="0" w:after="120"/>
        <w:rPr>
          <w:rFonts w:ascii="Arial" w:hAnsi="Arial" w:cs="Arial"/>
          <w:sz w:val="22"/>
          <w:szCs w:val="22"/>
        </w:rPr>
      </w:pPr>
      <w:proofErr w:type="gramStart"/>
      <w:r w:rsidRPr="004A7AEC">
        <w:rPr>
          <w:rFonts w:ascii="Arial" w:hAnsi="Arial" w:cs="Arial"/>
          <w:sz w:val="22"/>
          <w:szCs w:val="22"/>
        </w:rPr>
        <w:t>Safe haven</w:t>
      </w:r>
      <w:proofErr w:type="gramEnd"/>
      <w:r w:rsidRPr="004A7AEC">
        <w:rPr>
          <w:rFonts w:ascii="Arial" w:hAnsi="Arial" w:cs="Arial"/>
          <w:sz w:val="22"/>
          <w:szCs w:val="22"/>
        </w:rPr>
        <w:t xml:space="preserve"> of </w:t>
      </w:r>
      <w:proofErr w:type="spellStart"/>
      <w:r w:rsidRPr="004A7AEC">
        <w:rPr>
          <w:rFonts w:ascii="Arial" w:hAnsi="Arial" w:cs="Arial"/>
          <w:sz w:val="22"/>
          <w:szCs w:val="22"/>
        </w:rPr>
        <w:t>Rehua</w:t>
      </w:r>
      <w:proofErr w:type="spellEnd"/>
      <w:r w:rsidRPr="004A7AEC">
        <w:rPr>
          <w:rFonts w:ascii="Arial" w:hAnsi="Arial" w:cs="Arial"/>
          <w:sz w:val="22"/>
          <w:szCs w:val="22"/>
        </w:rPr>
        <w:t>,</w:t>
      </w:r>
    </w:p>
    <w:p w14:paraId="189D0E9A"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dispatcher of sorrow,</w:t>
      </w:r>
    </w:p>
    <w:p w14:paraId="5C45F83E"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restorer of the breath of life,</w:t>
      </w:r>
    </w:p>
    <w:p w14:paraId="03515B9D"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purveyor of kindness.</w:t>
      </w:r>
    </w:p>
    <w:p w14:paraId="63343787"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Those of you who have faced the ill winds</w:t>
      </w:r>
    </w:p>
    <w:p w14:paraId="6543174D"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of time and made to suffer,</w:t>
      </w:r>
    </w:p>
    <w:p w14:paraId="59E1CCF9"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at the hands of abusers and the hidden faces of persecutors, draw near.</w:t>
      </w:r>
    </w:p>
    <w:p w14:paraId="46814ACB"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You who found courage,</w:t>
      </w:r>
    </w:p>
    <w:p w14:paraId="691F1B85"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cloaked yourselves with your truth,</w:t>
      </w:r>
    </w:p>
    <w:p w14:paraId="696FABFC"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who crowned yourself with dignity,</w:t>
      </w:r>
    </w:p>
    <w:p w14:paraId="7C25C73F"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a new tomorrow awaits beyond the horizon,</w:t>
      </w:r>
    </w:p>
    <w:p w14:paraId="5059C0E2"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your future beckons.</w:t>
      </w:r>
    </w:p>
    <w:p w14:paraId="1E4987D4"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And so, as dawn rises, and a new day begins,</w:t>
      </w:r>
    </w:p>
    <w:p w14:paraId="05EC8ECF"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let clarity and understanding reign,</w:t>
      </w:r>
    </w:p>
    <w:p w14:paraId="5F2F56EA"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goodness surrounds you and</w:t>
      </w:r>
    </w:p>
    <w:p w14:paraId="3626464B"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justice prevails.</w:t>
      </w:r>
    </w:p>
    <w:p w14:paraId="75638BAD"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 xml:space="preserve">Rongo </w:t>
      </w:r>
      <w:proofErr w:type="gramStart"/>
      <w:r w:rsidRPr="004A7AEC">
        <w:rPr>
          <w:rFonts w:ascii="Arial" w:hAnsi="Arial" w:cs="Arial"/>
          <w:sz w:val="22"/>
          <w:szCs w:val="22"/>
        </w:rPr>
        <w:t>god</w:t>
      </w:r>
      <w:proofErr w:type="gramEnd"/>
      <w:r w:rsidRPr="004A7AEC">
        <w:rPr>
          <w:rFonts w:ascii="Arial" w:hAnsi="Arial" w:cs="Arial"/>
          <w:sz w:val="22"/>
          <w:szCs w:val="22"/>
        </w:rPr>
        <w:t xml:space="preserve"> of peace, this the heart desires,</w:t>
      </w:r>
    </w:p>
    <w:p w14:paraId="06F2634A"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we beseech you,</w:t>
      </w:r>
    </w:p>
    <w:p w14:paraId="1BD7AFAE"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let it be,</w:t>
      </w:r>
    </w:p>
    <w:p w14:paraId="3C7B569D"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it is done.</w:t>
      </w:r>
    </w:p>
    <w:p w14:paraId="7AB08A63" w14:textId="62B6ABE9"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 xml:space="preserve">– </w:t>
      </w:r>
      <w:proofErr w:type="spellStart"/>
      <w:r w:rsidRPr="004A7AEC">
        <w:rPr>
          <w:rFonts w:ascii="Arial" w:hAnsi="Arial" w:cs="Arial"/>
          <w:sz w:val="22"/>
          <w:szCs w:val="22"/>
        </w:rPr>
        <w:t>Waihoroi</w:t>
      </w:r>
      <w:proofErr w:type="spellEnd"/>
      <w:r w:rsidRPr="004A7AEC">
        <w:rPr>
          <w:rFonts w:ascii="Arial" w:hAnsi="Arial" w:cs="Arial"/>
          <w:sz w:val="22"/>
          <w:szCs w:val="22"/>
        </w:rPr>
        <w:t xml:space="preserve"> </w:t>
      </w:r>
      <w:proofErr w:type="spellStart"/>
      <w:r w:rsidRPr="004A7AEC">
        <w:rPr>
          <w:rFonts w:ascii="Arial" w:hAnsi="Arial" w:cs="Arial"/>
          <w:sz w:val="22"/>
          <w:szCs w:val="22"/>
        </w:rPr>
        <w:t>Paraone</w:t>
      </w:r>
      <w:proofErr w:type="spellEnd"/>
      <w:r w:rsidRPr="004A7AEC">
        <w:rPr>
          <w:rFonts w:ascii="Arial" w:hAnsi="Arial" w:cs="Arial"/>
          <w:sz w:val="22"/>
          <w:szCs w:val="22"/>
        </w:rPr>
        <w:t xml:space="preserve"> </w:t>
      </w:r>
      <w:proofErr w:type="spellStart"/>
      <w:r w:rsidRPr="004A7AEC">
        <w:rPr>
          <w:rFonts w:ascii="Arial" w:hAnsi="Arial" w:cs="Arial"/>
          <w:sz w:val="22"/>
          <w:szCs w:val="22"/>
        </w:rPr>
        <w:t>Hōterene</w:t>
      </w:r>
      <w:proofErr w:type="spellEnd"/>
    </w:p>
    <w:p w14:paraId="621CDED7" w14:textId="77777777" w:rsidR="00880BC4" w:rsidRDefault="00880BC4" w:rsidP="007E403D">
      <w:pPr>
        <w:keepLines w:val="0"/>
        <w:widowControl w:val="0"/>
        <w:rPr>
          <w:rFonts w:ascii="Arial" w:hAnsi="Arial" w:cs="Arial"/>
          <w:color w:val="4F7D29" w:themeColor="accent4"/>
        </w:rPr>
      </w:pPr>
    </w:p>
    <w:p w14:paraId="0C3317B4" w14:textId="77777777" w:rsidR="0091787B" w:rsidRDefault="0091787B">
      <w:pPr>
        <w:keepLines w:val="0"/>
        <w:rPr>
          <w:rFonts w:ascii="Arial" w:hAnsi="Arial" w:cs="Arial"/>
          <w:b/>
          <w:bCs/>
          <w:color w:val="4F7D29" w:themeColor="accent4"/>
        </w:rPr>
      </w:pPr>
      <w:r>
        <w:rPr>
          <w:rFonts w:ascii="Arial" w:hAnsi="Arial" w:cs="Arial"/>
          <w:b/>
          <w:bCs/>
          <w:color w:val="4F7D29" w:themeColor="accent4"/>
        </w:rPr>
        <w:br w:type="page"/>
      </w:r>
    </w:p>
    <w:p w14:paraId="3346C2A7" w14:textId="77777777" w:rsidR="00A42E55" w:rsidRPr="00A42E55" w:rsidRDefault="00A42E55" w:rsidP="0091787B">
      <w:pPr>
        <w:pStyle w:val="Heading1"/>
      </w:pPr>
      <w:bookmarkStart w:id="4" w:name="_Toc168638868"/>
      <w:proofErr w:type="spellStart"/>
      <w:r w:rsidRPr="00A42E55">
        <w:t>Pānui</w:t>
      </w:r>
      <w:proofErr w:type="spellEnd"/>
      <w:r w:rsidRPr="00A42E55">
        <w:t xml:space="preserve"> </w:t>
      </w:r>
      <w:proofErr w:type="spellStart"/>
      <w:r w:rsidRPr="00A42E55">
        <w:t>whakatūpato</w:t>
      </w:r>
      <w:bookmarkEnd w:id="4"/>
      <w:proofErr w:type="spellEnd"/>
    </w:p>
    <w:p w14:paraId="3CA659E8" w14:textId="77777777" w:rsidR="00A42E55" w:rsidRPr="00D46598" w:rsidRDefault="00A42E55" w:rsidP="00D46598">
      <w:pPr>
        <w:pStyle w:val="BodyText"/>
        <w:spacing w:before="0" w:after="120"/>
        <w:rPr>
          <w:rFonts w:ascii="Arial" w:hAnsi="Arial" w:cs="Arial"/>
          <w:sz w:val="22"/>
          <w:szCs w:val="22"/>
        </w:rPr>
      </w:pPr>
      <w:r w:rsidRPr="00D46598">
        <w:rPr>
          <w:rFonts w:ascii="Arial" w:hAnsi="Arial" w:cs="Arial"/>
          <w:sz w:val="22"/>
          <w:szCs w:val="22"/>
        </w:rPr>
        <w:t xml:space="preserve">Ka </w:t>
      </w:r>
      <w:proofErr w:type="spellStart"/>
      <w:r w:rsidRPr="00D46598">
        <w:rPr>
          <w:rFonts w:ascii="Arial" w:hAnsi="Arial" w:cs="Arial"/>
          <w:sz w:val="22"/>
          <w:szCs w:val="22"/>
        </w:rPr>
        <w:t>nui</w:t>
      </w:r>
      <w:proofErr w:type="spellEnd"/>
      <w:r w:rsidRPr="00D46598">
        <w:rPr>
          <w:rFonts w:ascii="Arial" w:hAnsi="Arial" w:cs="Arial"/>
          <w:sz w:val="22"/>
          <w:szCs w:val="22"/>
        </w:rPr>
        <w:t xml:space="preserve"> </w:t>
      </w:r>
      <w:proofErr w:type="spellStart"/>
      <w:r w:rsidRPr="00D46598">
        <w:rPr>
          <w:rFonts w:ascii="Arial" w:hAnsi="Arial" w:cs="Arial"/>
          <w:sz w:val="22"/>
          <w:szCs w:val="22"/>
        </w:rPr>
        <w:t>tā</w:t>
      </w:r>
      <w:proofErr w:type="spellEnd"/>
      <w:r w:rsidRPr="00D46598">
        <w:rPr>
          <w:rFonts w:ascii="Arial" w:hAnsi="Arial" w:cs="Arial"/>
          <w:sz w:val="22"/>
          <w:szCs w:val="22"/>
        </w:rPr>
        <w:t xml:space="preserve"> </w:t>
      </w:r>
      <w:proofErr w:type="spellStart"/>
      <w:r w:rsidRPr="00D46598">
        <w:rPr>
          <w:rFonts w:ascii="Arial" w:hAnsi="Arial" w:cs="Arial"/>
          <w:sz w:val="22"/>
          <w:szCs w:val="22"/>
        </w:rPr>
        <w:t>mātou</w:t>
      </w:r>
      <w:proofErr w:type="spellEnd"/>
      <w:r w:rsidRPr="00D46598">
        <w:rPr>
          <w:rFonts w:ascii="Arial" w:hAnsi="Arial" w:cs="Arial"/>
          <w:sz w:val="22"/>
          <w:szCs w:val="22"/>
        </w:rPr>
        <w:t xml:space="preserve"> </w:t>
      </w:r>
      <w:proofErr w:type="spellStart"/>
      <w:r w:rsidRPr="00D46598">
        <w:rPr>
          <w:rFonts w:ascii="Arial" w:hAnsi="Arial" w:cs="Arial"/>
          <w:sz w:val="22"/>
          <w:szCs w:val="22"/>
        </w:rPr>
        <w:t>tiaki</w:t>
      </w:r>
      <w:proofErr w:type="spellEnd"/>
      <w:r w:rsidRPr="00D46598">
        <w:rPr>
          <w:rFonts w:ascii="Arial" w:hAnsi="Arial" w:cs="Arial"/>
          <w:sz w:val="22"/>
          <w:szCs w:val="22"/>
        </w:rPr>
        <w:t xml:space="preserve"> me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hāpai</w:t>
      </w:r>
      <w:proofErr w:type="spellEnd"/>
      <w:r w:rsidRPr="00D46598">
        <w:rPr>
          <w:rFonts w:ascii="Arial" w:hAnsi="Arial" w:cs="Arial"/>
          <w:sz w:val="22"/>
          <w:szCs w:val="22"/>
        </w:rPr>
        <w:t xml:space="preserve"> </w:t>
      </w:r>
      <w:proofErr w:type="spellStart"/>
      <w:r w:rsidRPr="00D46598">
        <w:rPr>
          <w:rFonts w:ascii="Arial" w:hAnsi="Arial" w:cs="Arial"/>
          <w:sz w:val="22"/>
          <w:szCs w:val="22"/>
        </w:rPr>
        <w:t>ake</w:t>
      </w:r>
      <w:proofErr w:type="spellEnd"/>
      <w:r w:rsidRPr="00D46598">
        <w:rPr>
          <w:rFonts w:ascii="Arial" w:hAnsi="Arial" w:cs="Arial"/>
          <w:sz w:val="22"/>
          <w:szCs w:val="22"/>
        </w:rPr>
        <w:t xml:space="preserve"> I </w:t>
      </w:r>
      <w:proofErr w:type="spellStart"/>
      <w:r w:rsidRPr="00D46598">
        <w:rPr>
          <w:rFonts w:ascii="Arial" w:hAnsi="Arial" w:cs="Arial"/>
          <w:sz w:val="22"/>
          <w:szCs w:val="22"/>
        </w:rPr>
        <w:t>te</w:t>
      </w:r>
      <w:proofErr w:type="spellEnd"/>
      <w:r w:rsidRPr="00D46598">
        <w:rPr>
          <w:rFonts w:ascii="Arial" w:hAnsi="Arial" w:cs="Arial"/>
          <w:sz w:val="22"/>
          <w:szCs w:val="22"/>
        </w:rPr>
        <w:t xml:space="preserve"> mana o </w:t>
      </w:r>
      <w:proofErr w:type="spellStart"/>
      <w:r w:rsidRPr="00D46598">
        <w:rPr>
          <w:rFonts w:ascii="Arial" w:hAnsi="Arial" w:cs="Arial"/>
          <w:sz w:val="22"/>
          <w:szCs w:val="22"/>
        </w:rPr>
        <w:t>ngā</w:t>
      </w:r>
      <w:proofErr w:type="spellEnd"/>
      <w:r w:rsidRPr="00D46598">
        <w:rPr>
          <w:rFonts w:ascii="Arial" w:hAnsi="Arial" w:cs="Arial"/>
          <w:sz w:val="22"/>
          <w:szCs w:val="22"/>
        </w:rPr>
        <w:t xml:space="preserve"> </w:t>
      </w:r>
      <w:proofErr w:type="spellStart"/>
      <w:r w:rsidRPr="00D46598">
        <w:rPr>
          <w:rFonts w:ascii="Arial" w:hAnsi="Arial" w:cs="Arial"/>
          <w:sz w:val="22"/>
          <w:szCs w:val="22"/>
        </w:rPr>
        <w:t>purapura</w:t>
      </w:r>
      <w:proofErr w:type="spellEnd"/>
    </w:p>
    <w:p w14:paraId="54D3FFEF" w14:textId="77777777" w:rsidR="00A42E55" w:rsidRPr="00D46598" w:rsidRDefault="00A42E55" w:rsidP="00D46598">
      <w:pPr>
        <w:pStyle w:val="BodyText"/>
        <w:spacing w:before="0" w:after="120"/>
        <w:rPr>
          <w:rFonts w:ascii="Arial" w:hAnsi="Arial" w:cs="Arial"/>
          <w:sz w:val="22"/>
          <w:szCs w:val="22"/>
        </w:rPr>
      </w:pPr>
      <w:proofErr w:type="spellStart"/>
      <w:r w:rsidRPr="00D46598">
        <w:rPr>
          <w:rFonts w:ascii="Arial" w:hAnsi="Arial" w:cs="Arial"/>
          <w:sz w:val="22"/>
          <w:szCs w:val="22"/>
        </w:rPr>
        <w:t>ora</w:t>
      </w:r>
      <w:proofErr w:type="spellEnd"/>
      <w:r w:rsidRPr="00D46598">
        <w:rPr>
          <w:rFonts w:ascii="Arial" w:hAnsi="Arial" w:cs="Arial"/>
          <w:sz w:val="22"/>
          <w:szCs w:val="22"/>
        </w:rPr>
        <w:t xml:space="preserve"> I </w:t>
      </w:r>
      <w:proofErr w:type="spellStart"/>
      <w:r w:rsidRPr="00D46598">
        <w:rPr>
          <w:rFonts w:ascii="Arial" w:hAnsi="Arial" w:cs="Arial"/>
          <w:sz w:val="22"/>
          <w:szCs w:val="22"/>
        </w:rPr>
        <w:t>māia</w:t>
      </w:r>
      <w:proofErr w:type="spellEnd"/>
      <w:r w:rsidRPr="00D46598">
        <w:rPr>
          <w:rFonts w:ascii="Arial" w:hAnsi="Arial" w:cs="Arial"/>
          <w:sz w:val="22"/>
          <w:szCs w:val="22"/>
        </w:rPr>
        <w:t xml:space="preserve"> </w:t>
      </w:r>
      <w:proofErr w:type="spellStart"/>
      <w:r w:rsidRPr="00D46598">
        <w:rPr>
          <w:rFonts w:ascii="Arial" w:hAnsi="Arial" w:cs="Arial"/>
          <w:sz w:val="22"/>
          <w:szCs w:val="22"/>
        </w:rPr>
        <w:t>rawa</w:t>
      </w:r>
      <w:proofErr w:type="spellEnd"/>
      <w:r w:rsidRPr="00D46598">
        <w:rPr>
          <w:rFonts w:ascii="Arial" w:hAnsi="Arial" w:cs="Arial"/>
          <w:sz w:val="22"/>
          <w:szCs w:val="22"/>
        </w:rPr>
        <w:t xml:space="preserve"> atua </w:t>
      </w:r>
      <w:proofErr w:type="spellStart"/>
      <w:r w:rsidRPr="00D46598">
        <w:rPr>
          <w:rFonts w:ascii="Arial" w:hAnsi="Arial" w:cs="Arial"/>
          <w:sz w:val="22"/>
          <w:szCs w:val="22"/>
        </w:rPr>
        <w:t>nei</w:t>
      </w:r>
      <w:proofErr w:type="spellEnd"/>
      <w:r w:rsidRPr="00D46598">
        <w:rPr>
          <w:rFonts w:ascii="Arial" w:hAnsi="Arial" w:cs="Arial"/>
          <w:sz w:val="22"/>
          <w:szCs w:val="22"/>
        </w:rPr>
        <w:t xml:space="preserve"> ki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whāriki</w:t>
      </w:r>
      <w:proofErr w:type="spellEnd"/>
      <w:r w:rsidRPr="00D46598">
        <w:rPr>
          <w:rFonts w:ascii="Arial" w:hAnsi="Arial" w:cs="Arial"/>
          <w:sz w:val="22"/>
          <w:szCs w:val="22"/>
        </w:rPr>
        <w:t xml:space="preserve"> I ā </w:t>
      </w:r>
      <w:proofErr w:type="spellStart"/>
      <w:r w:rsidRPr="00D46598">
        <w:rPr>
          <w:rFonts w:ascii="Arial" w:hAnsi="Arial" w:cs="Arial"/>
          <w:sz w:val="22"/>
          <w:szCs w:val="22"/>
        </w:rPr>
        <w:t>rātou</w:t>
      </w:r>
      <w:proofErr w:type="spellEnd"/>
      <w:r w:rsidRPr="00D46598">
        <w:rPr>
          <w:rFonts w:ascii="Arial" w:hAnsi="Arial" w:cs="Arial"/>
          <w:sz w:val="22"/>
          <w:szCs w:val="22"/>
        </w:rPr>
        <w:t xml:space="preserve"> kōrero ki </w:t>
      </w:r>
      <w:proofErr w:type="spellStart"/>
      <w:r w:rsidRPr="00D46598">
        <w:rPr>
          <w:rFonts w:ascii="Arial" w:hAnsi="Arial" w:cs="Arial"/>
          <w:sz w:val="22"/>
          <w:szCs w:val="22"/>
        </w:rPr>
        <w:t>konei</w:t>
      </w:r>
      <w:proofErr w:type="spellEnd"/>
      <w:r w:rsidRPr="00D46598">
        <w:rPr>
          <w:rFonts w:ascii="Arial" w:hAnsi="Arial" w:cs="Arial"/>
          <w:sz w:val="22"/>
          <w:szCs w:val="22"/>
        </w:rPr>
        <w:t>.</w:t>
      </w:r>
    </w:p>
    <w:p w14:paraId="640E47D1" w14:textId="77777777" w:rsidR="00A42E55" w:rsidRPr="00D46598" w:rsidRDefault="00A42E55" w:rsidP="00D46598">
      <w:pPr>
        <w:pStyle w:val="BodyText"/>
        <w:spacing w:before="0" w:after="120"/>
        <w:rPr>
          <w:rFonts w:ascii="Arial" w:hAnsi="Arial" w:cs="Arial"/>
          <w:sz w:val="22"/>
          <w:szCs w:val="22"/>
        </w:rPr>
      </w:pPr>
      <w:r w:rsidRPr="00D46598">
        <w:rPr>
          <w:rFonts w:ascii="Arial" w:hAnsi="Arial" w:cs="Arial"/>
          <w:sz w:val="22"/>
          <w:szCs w:val="22"/>
        </w:rPr>
        <w:t xml:space="preserve">Kei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mōhio</w:t>
      </w:r>
      <w:proofErr w:type="spellEnd"/>
      <w:r w:rsidRPr="00D46598">
        <w:rPr>
          <w:rFonts w:ascii="Arial" w:hAnsi="Arial" w:cs="Arial"/>
          <w:sz w:val="22"/>
          <w:szCs w:val="22"/>
        </w:rPr>
        <w:t xml:space="preserve"> </w:t>
      </w:r>
      <w:proofErr w:type="spellStart"/>
      <w:r w:rsidRPr="00D46598">
        <w:rPr>
          <w:rFonts w:ascii="Arial" w:hAnsi="Arial" w:cs="Arial"/>
          <w:sz w:val="22"/>
          <w:szCs w:val="22"/>
        </w:rPr>
        <w:t>mātopu</w:t>
      </w:r>
      <w:proofErr w:type="spellEnd"/>
      <w:r w:rsidRPr="00D46598">
        <w:rPr>
          <w:rFonts w:ascii="Arial" w:hAnsi="Arial" w:cs="Arial"/>
          <w:sz w:val="22"/>
          <w:szCs w:val="22"/>
        </w:rPr>
        <w:t xml:space="preserve"> ka oho pea </w:t>
      </w:r>
      <w:proofErr w:type="spellStart"/>
      <w:r w:rsidRPr="00D46598">
        <w:rPr>
          <w:rFonts w:ascii="Arial" w:hAnsi="Arial" w:cs="Arial"/>
          <w:sz w:val="22"/>
          <w:szCs w:val="22"/>
        </w:rPr>
        <w:t>te</w:t>
      </w:r>
      <w:proofErr w:type="spellEnd"/>
      <w:r w:rsidRPr="00D46598">
        <w:rPr>
          <w:rFonts w:ascii="Arial" w:hAnsi="Arial" w:cs="Arial"/>
          <w:sz w:val="22"/>
          <w:szCs w:val="22"/>
        </w:rPr>
        <w:t xml:space="preserve"> mauri </w:t>
      </w:r>
      <w:proofErr w:type="spellStart"/>
      <w:r w:rsidRPr="00D46598">
        <w:rPr>
          <w:rFonts w:ascii="Arial" w:hAnsi="Arial" w:cs="Arial"/>
          <w:sz w:val="22"/>
          <w:szCs w:val="22"/>
        </w:rPr>
        <w:t>ētahi</w:t>
      </w:r>
      <w:proofErr w:type="spellEnd"/>
      <w:r w:rsidRPr="00D46598">
        <w:rPr>
          <w:rFonts w:ascii="Arial" w:hAnsi="Arial" w:cs="Arial"/>
          <w:sz w:val="22"/>
          <w:szCs w:val="22"/>
        </w:rPr>
        <w:t xml:space="preserve"> </w:t>
      </w:r>
      <w:proofErr w:type="spellStart"/>
      <w:r w:rsidRPr="00D46598">
        <w:rPr>
          <w:rFonts w:ascii="Arial" w:hAnsi="Arial" w:cs="Arial"/>
          <w:sz w:val="22"/>
          <w:szCs w:val="22"/>
        </w:rPr>
        <w:t>wāhanga</w:t>
      </w:r>
      <w:proofErr w:type="spellEnd"/>
      <w:r w:rsidRPr="00D46598">
        <w:rPr>
          <w:rFonts w:ascii="Arial" w:hAnsi="Arial" w:cs="Arial"/>
          <w:sz w:val="22"/>
          <w:szCs w:val="22"/>
        </w:rPr>
        <w:t xml:space="preserve"> o </w:t>
      </w:r>
      <w:proofErr w:type="spellStart"/>
      <w:r w:rsidRPr="00D46598">
        <w:rPr>
          <w:rFonts w:ascii="Arial" w:hAnsi="Arial" w:cs="Arial"/>
          <w:sz w:val="22"/>
          <w:szCs w:val="22"/>
        </w:rPr>
        <w:t>ngā</w:t>
      </w:r>
      <w:proofErr w:type="spellEnd"/>
    </w:p>
    <w:p w14:paraId="12E60E85" w14:textId="77777777" w:rsidR="00A42E55" w:rsidRPr="00D46598" w:rsidRDefault="00A42E55" w:rsidP="00D46598">
      <w:pPr>
        <w:pStyle w:val="BodyText"/>
        <w:spacing w:before="0" w:after="120"/>
        <w:rPr>
          <w:rFonts w:ascii="Arial" w:hAnsi="Arial" w:cs="Arial"/>
          <w:sz w:val="22"/>
          <w:szCs w:val="22"/>
        </w:rPr>
      </w:pPr>
      <w:r w:rsidRPr="00D46598">
        <w:rPr>
          <w:rFonts w:ascii="Arial" w:hAnsi="Arial" w:cs="Arial"/>
          <w:sz w:val="22"/>
          <w:szCs w:val="22"/>
        </w:rPr>
        <w:t xml:space="preserve">kōrero </w:t>
      </w:r>
      <w:proofErr w:type="spellStart"/>
      <w:r w:rsidRPr="00D46598">
        <w:rPr>
          <w:rFonts w:ascii="Arial" w:hAnsi="Arial" w:cs="Arial"/>
          <w:sz w:val="22"/>
          <w:szCs w:val="22"/>
        </w:rPr>
        <w:t>nei</w:t>
      </w:r>
      <w:proofErr w:type="spellEnd"/>
      <w:r w:rsidRPr="00D46598">
        <w:rPr>
          <w:rFonts w:ascii="Arial" w:hAnsi="Arial" w:cs="Arial"/>
          <w:sz w:val="22"/>
          <w:szCs w:val="22"/>
        </w:rPr>
        <w:t xml:space="preserve"> e pā ana ki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tūkino</w:t>
      </w:r>
      <w:proofErr w:type="spellEnd"/>
      <w:r w:rsidRPr="00D46598">
        <w:rPr>
          <w:rFonts w:ascii="Arial" w:hAnsi="Arial" w:cs="Arial"/>
          <w:sz w:val="22"/>
          <w:szCs w:val="22"/>
        </w:rPr>
        <w:t xml:space="preserve">,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whakatūroro</w:t>
      </w:r>
      <w:proofErr w:type="spellEnd"/>
      <w:r w:rsidRPr="00D46598">
        <w:rPr>
          <w:rFonts w:ascii="Arial" w:hAnsi="Arial" w:cs="Arial"/>
          <w:sz w:val="22"/>
          <w:szCs w:val="22"/>
        </w:rPr>
        <w:t xml:space="preserve"> me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pāmamae</w:t>
      </w:r>
      <w:proofErr w:type="spellEnd"/>
      <w:r w:rsidRPr="00D46598">
        <w:rPr>
          <w:rFonts w:ascii="Arial" w:hAnsi="Arial" w:cs="Arial"/>
          <w:sz w:val="22"/>
          <w:szCs w:val="22"/>
        </w:rPr>
        <w:t>,</w:t>
      </w:r>
    </w:p>
    <w:p w14:paraId="1EC7C5E2" w14:textId="77777777" w:rsidR="00A42E55" w:rsidRPr="00D46598" w:rsidRDefault="00A42E55" w:rsidP="00D46598">
      <w:pPr>
        <w:pStyle w:val="BodyText"/>
        <w:spacing w:before="0" w:after="120"/>
        <w:rPr>
          <w:rFonts w:ascii="Arial" w:hAnsi="Arial" w:cs="Arial"/>
          <w:sz w:val="22"/>
          <w:szCs w:val="22"/>
        </w:rPr>
      </w:pPr>
      <w:r w:rsidRPr="00D46598">
        <w:rPr>
          <w:rFonts w:ascii="Arial" w:hAnsi="Arial" w:cs="Arial"/>
          <w:sz w:val="22"/>
          <w:szCs w:val="22"/>
        </w:rPr>
        <w:t xml:space="preserve">ā, </w:t>
      </w:r>
      <w:proofErr w:type="spellStart"/>
      <w:r w:rsidRPr="00D46598">
        <w:rPr>
          <w:rFonts w:ascii="Arial" w:hAnsi="Arial" w:cs="Arial"/>
          <w:sz w:val="22"/>
          <w:szCs w:val="22"/>
        </w:rPr>
        <w:t>tērā</w:t>
      </w:r>
      <w:proofErr w:type="spellEnd"/>
      <w:r w:rsidRPr="00D46598">
        <w:rPr>
          <w:rFonts w:ascii="Arial" w:hAnsi="Arial" w:cs="Arial"/>
          <w:sz w:val="22"/>
          <w:szCs w:val="22"/>
        </w:rPr>
        <w:t xml:space="preserve"> pea ka </w:t>
      </w:r>
      <w:proofErr w:type="spellStart"/>
      <w:r w:rsidRPr="00D46598">
        <w:rPr>
          <w:rFonts w:ascii="Arial" w:hAnsi="Arial" w:cs="Arial"/>
          <w:sz w:val="22"/>
          <w:szCs w:val="22"/>
        </w:rPr>
        <w:t>tākirihia</w:t>
      </w:r>
      <w:proofErr w:type="spellEnd"/>
      <w:r w:rsidRPr="00D46598">
        <w:rPr>
          <w:rFonts w:ascii="Arial" w:hAnsi="Arial" w:cs="Arial"/>
          <w:sz w:val="22"/>
          <w:szCs w:val="22"/>
        </w:rPr>
        <w:t xml:space="preserve"> </w:t>
      </w:r>
      <w:proofErr w:type="spellStart"/>
      <w:r w:rsidRPr="00D46598">
        <w:rPr>
          <w:rFonts w:ascii="Arial" w:hAnsi="Arial" w:cs="Arial"/>
          <w:sz w:val="22"/>
          <w:szCs w:val="22"/>
        </w:rPr>
        <w:t>ngā</w:t>
      </w:r>
      <w:proofErr w:type="spellEnd"/>
      <w:r w:rsidRPr="00D46598">
        <w:rPr>
          <w:rFonts w:ascii="Arial" w:hAnsi="Arial" w:cs="Arial"/>
          <w:sz w:val="22"/>
          <w:szCs w:val="22"/>
        </w:rPr>
        <w:t xml:space="preserve"> </w:t>
      </w:r>
      <w:proofErr w:type="spellStart"/>
      <w:r w:rsidRPr="00D46598">
        <w:rPr>
          <w:rFonts w:ascii="Arial" w:hAnsi="Arial" w:cs="Arial"/>
          <w:sz w:val="22"/>
          <w:szCs w:val="22"/>
        </w:rPr>
        <w:t>tauwharewarenga</w:t>
      </w:r>
      <w:proofErr w:type="spellEnd"/>
      <w:r w:rsidRPr="00D46598">
        <w:rPr>
          <w:rFonts w:ascii="Arial" w:hAnsi="Arial" w:cs="Arial"/>
          <w:sz w:val="22"/>
          <w:szCs w:val="22"/>
        </w:rPr>
        <w:t xml:space="preserve"> o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ngākau</w:t>
      </w:r>
      <w:proofErr w:type="spellEnd"/>
    </w:p>
    <w:p w14:paraId="70FF201A" w14:textId="77777777" w:rsidR="00A42E55" w:rsidRPr="00D46598" w:rsidRDefault="00A42E55" w:rsidP="00D46598">
      <w:pPr>
        <w:pStyle w:val="BodyText"/>
        <w:spacing w:before="0" w:after="120"/>
        <w:rPr>
          <w:rFonts w:ascii="Arial" w:hAnsi="Arial" w:cs="Arial"/>
          <w:sz w:val="22"/>
          <w:szCs w:val="22"/>
        </w:rPr>
      </w:pPr>
      <w:proofErr w:type="spellStart"/>
      <w:r w:rsidRPr="00D46598">
        <w:rPr>
          <w:rFonts w:ascii="Arial" w:hAnsi="Arial" w:cs="Arial"/>
          <w:sz w:val="22"/>
          <w:szCs w:val="22"/>
        </w:rPr>
        <w:t>tangata</w:t>
      </w:r>
      <w:proofErr w:type="spellEnd"/>
      <w:r w:rsidRPr="00D46598">
        <w:rPr>
          <w:rFonts w:ascii="Arial" w:hAnsi="Arial" w:cs="Arial"/>
          <w:sz w:val="22"/>
          <w:szCs w:val="22"/>
        </w:rPr>
        <w:t xml:space="preserve"> I </w:t>
      </w:r>
      <w:proofErr w:type="spellStart"/>
      <w:r w:rsidRPr="00D46598">
        <w:rPr>
          <w:rFonts w:ascii="Arial" w:hAnsi="Arial" w:cs="Arial"/>
          <w:sz w:val="22"/>
          <w:szCs w:val="22"/>
        </w:rPr>
        <w:t>te</w:t>
      </w:r>
      <w:proofErr w:type="spellEnd"/>
      <w:r w:rsidRPr="00D46598">
        <w:rPr>
          <w:rFonts w:ascii="Arial" w:hAnsi="Arial" w:cs="Arial"/>
          <w:sz w:val="22"/>
          <w:szCs w:val="22"/>
        </w:rPr>
        <w:t xml:space="preserve"> kaha o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tumeke</w:t>
      </w:r>
      <w:proofErr w:type="spellEnd"/>
      <w:r w:rsidRPr="00D46598">
        <w:rPr>
          <w:rFonts w:ascii="Arial" w:hAnsi="Arial" w:cs="Arial"/>
          <w:sz w:val="22"/>
          <w:szCs w:val="22"/>
        </w:rPr>
        <w:t xml:space="preserve">. </w:t>
      </w:r>
      <w:proofErr w:type="spellStart"/>
      <w:r w:rsidRPr="00D46598">
        <w:rPr>
          <w:rFonts w:ascii="Arial" w:hAnsi="Arial" w:cs="Arial"/>
          <w:sz w:val="22"/>
          <w:szCs w:val="22"/>
        </w:rPr>
        <w:t>Ahakoa</w:t>
      </w:r>
      <w:proofErr w:type="spellEnd"/>
      <w:r w:rsidRPr="00D46598">
        <w:rPr>
          <w:rFonts w:ascii="Arial" w:hAnsi="Arial" w:cs="Arial"/>
          <w:sz w:val="22"/>
          <w:szCs w:val="22"/>
        </w:rPr>
        <w:t xml:space="preserve"> </w:t>
      </w:r>
      <w:proofErr w:type="spellStart"/>
      <w:r w:rsidRPr="00D46598">
        <w:rPr>
          <w:rFonts w:ascii="Arial" w:hAnsi="Arial" w:cs="Arial"/>
          <w:sz w:val="22"/>
          <w:szCs w:val="22"/>
        </w:rPr>
        <w:t>kāore</w:t>
      </w:r>
      <w:proofErr w:type="spellEnd"/>
      <w:r w:rsidRPr="00D46598">
        <w:rPr>
          <w:rFonts w:ascii="Arial" w:hAnsi="Arial" w:cs="Arial"/>
          <w:sz w:val="22"/>
          <w:szCs w:val="22"/>
        </w:rPr>
        <w:t xml:space="preserve"> pea </w:t>
      </w:r>
      <w:proofErr w:type="spellStart"/>
      <w:r w:rsidRPr="00D46598">
        <w:rPr>
          <w:rFonts w:ascii="Arial" w:hAnsi="Arial" w:cs="Arial"/>
          <w:sz w:val="22"/>
          <w:szCs w:val="22"/>
        </w:rPr>
        <w:t>tēnei</w:t>
      </w:r>
      <w:proofErr w:type="spellEnd"/>
      <w:r w:rsidRPr="00D46598">
        <w:rPr>
          <w:rFonts w:ascii="Arial" w:hAnsi="Arial" w:cs="Arial"/>
          <w:sz w:val="22"/>
          <w:szCs w:val="22"/>
        </w:rPr>
        <w:t xml:space="preserve"> </w:t>
      </w:r>
      <w:proofErr w:type="spellStart"/>
      <w:r w:rsidRPr="00D46598">
        <w:rPr>
          <w:rFonts w:ascii="Arial" w:hAnsi="Arial" w:cs="Arial"/>
          <w:sz w:val="22"/>
          <w:szCs w:val="22"/>
        </w:rPr>
        <w:t>urupare</w:t>
      </w:r>
      <w:proofErr w:type="spellEnd"/>
    </w:p>
    <w:p w14:paraId="067F7DB6" w14:textId="77777777" w:rsidR="00A42E55" w:rsidRPr="00D46598" w:rsidRDefault="00A42E55" w:rsidP="00D46598">
      <w:pPr>
        <w:pStyle w:val="BodyText"/>
        <w:spacing w:before="0" w:after="120"/>
        <w:rPr>
          <w:rFonts w:ascii="Arial" w:hAnsi="Arial" w:cs="Arial"/>
          <w:sz w:val="22"/>
          <w:szCs w:val="22"/>
        </w:rPr>
      </w:pPr>
      <w:r w:rsidRPr="00D46598">
        <w:rPr>
          <w:rFonts w:ascii="Arial" w:hAnsi="Arial" w:cs="Arial"/>
          <w:sz w:val="22"/>
          <w:szCs w:val="22"/>
        </w:rPr>
        <w:t xml:space="preserve">e tau pai ki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wairua</w:t>
      </w:r>
      <w:proofErr w:type="spellEnd"/>
      <w:r w:rsidRPr="00D46598">
        <w:rPr>
          <w:rFonts w:ascii="Arial" w:hAnsi="Arial" w:cs="Arial"/>
          <w:sz w:val="22"/>
          <w:szCs w:val="22"/>
        </w:rPr>
        <w:t xml:space="preserve"> o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tangata</w:t>
      </w:r>
      <w:proofErr w:type="spellEnd"/>
      <w:r w:rsidRPr="00D46598">
        <w:rPr>
          <w:rFonts w:ascii="Arial" w:hAnsi="Arial" w:cs="Arial"/>
          <w:sz w:val="22"/>
          <w:szCs w:val="22"/>
        </w:rPr>
        <w:t xml:space="preserve">, e pai ana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rongo</w:t>
      </w:r>
      <w:proofErr w:type="spellEnd"/>
      <w:r w:rsidRPr="00D46598">
        <w:rPr>
          <w:rFonts w:ascii="Arial" w:hAnsi="Arial" w:cs="Arial"/>
          <w:sz w:val="22"/>
          <w:szCs w:val="22"/>
        </w:rPr>
        <w:t xml:space="preserve"> I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pouri</w:t>
      </w:r>
      <w:proofErr w:type="spellEnd"/>
      <w:r w:rsidRPr="00D46598">
        <w:rPr>
          <w:rFonts w:ascii="Arial" w:hAnsi="Arial" w:cs="Arial"/>
          <w:sz w:val="22"/>
          <w:szCs w:val="22"/>
        </w:rPr>
        <w:t>.</w:t>
      </w:r>
    </w:p>
    <w:p w14:paraId="640650C2" w14:textId="77777777" w:rsidR="00A42E55" w:rsidRPr="00D46598" w:rsidRDefault="00A42E55" w:rsidP="00D46598">
      <w:pPr>
        <w:pStyle w:val="BodyText"/>
        <w:spacing w:before="0" w:after="120"/>
        <w:rPr>
          <w:rFonts w:ascii="Arial" w:hAnsi="Arial" w:cs="Arial"/>
          <w:sz w:val="22"/>
          <w:szCs w:val="22"/>
        </w:rPr>
      </w:pPr>
      <w:r w:rsidRPr="00D46598">
        <w:rPr>
          <w:rFonts w:ascii="Arial" w:hAnsi="Arial" w:cs="Arial"/>
          <w:sz w:val="22"/>
          <w:szCs w:val="22"/>
        </w:rPr>
        <w:t xml:space="preserve">Heoi, </w:t>
      </w:r>
      <w:proofErr w:type="spellStart"/>
      <w:r w:rsidRPr="00D46598">
        <w:rPr>
          <w:rFonts w:ascii="Arial" w:hAnsi="Arial" w:cs="Arial"/>
          <w:sz w:val="22"/>
          <w:szCs w:val="22"/>
        </w:rPr>
        <w:t>mehemea</w:t>
      </w:r>
      <w:proofErr w:type="spellEnd"/>
      <w:r w:rsidRPr="00D46598">
        <w:rPr>
          <w:rFonts w:ascii="Arial" w:hAnsi="Arial" w:cs="Arial"/>
          <w:sz w:val="22"/>
          <w:szCs w:val="22"/>
        </w:rPr>
        <w:t xml:space="preserve"> ka </w:t>
      </w:r>
      <w:proofErr w:type="spellStart"/>
      <w:r w:rsidRPr="00D46598">
        <w:rPr>
          <w:rFonts w:ascii="Arial" w:hAnsi="Arial" w:cs="Arial"/>
          <w:sz w:val="22"/>
          <w:szCs w:val="22"/>
        </w:rPr>
        <w:t>whakataumaha</w:t>
      </w:r>
      <w:proofErr w:type="spellEnd"/>
      <w:r w:rsidRPr="00D46598">
        <w:rPr>
          <w:rFonts w:ascii="Arial" w:hAnsi="Arial" w:cs="Arial"/>
          <w:sz w:val="22"/>
          <w:szCs w:val="22"/>
        </w:rPr>
        <w:t xml:space="preserve"> </w:t>
      </w:r>
      <w:proofErr w:type="spellStart"/>
      <w:r w:rsidRPr="00D46598">
        <w:rPr>
          <w:rFonts w:ascii="Arial" w:hAnsi="Arial" w:cs="Arial"/>
          <w:sz w:val="22"/>
          <w:szCs w:val="22"/>
        </w:rPr>
        <w:t>tēnei</w:t>
      </w:r>
      <w:proofErr w:type="spellEnd"/>
      <w:r w:rsidRPr="00D46598">
        <w:rPr>
          <w:rFonts w:ascii="Arial" w:hAnsi="Arial" w:cs="Arial"/>
          <w:sz w:val="22"/>
          <w:szCs w:val="22"/>
        </w:rPr>
        <w:t xml:space="preserve"> </w:t>
      </w:r>
      <w:proofErr w:type="spellStart"/>
      <w:r w:rsidRPr="00D46598">
        <w:rPr>
          <w:rFonts w:ascii="Arial" w:hAnsi="Arial" w:cs="Arial"/>
          <w:sz w:val="22"/>
          <w:szCs w:val="22"/>
        </w:rPr>
        <w:t>i</w:t>
      </w:r>
      <w:proofErr w:type="spellEnd"/>
      <w:r w:rsidRPr="00D46598">
        <w:rPr>
          <w:rFonts w:ascii="Arial" w:hAnsi="Arial" w:cs="Arial"/>
          <w:sz w:val="22"/>
          <w:szCs w:val="22"/>
        </w:rPr>
        <w:t xml:space="preserve"> </w:t>
      </w:r>
      <w:proofErr w:type="spellStart"/>
      <w:r w:rsidRPr="00D46598">
        <w:rPr>
          <w:rFonts w:ascii="Arial" w:hAnsi="Arial" w:cs="Arial"/>
          <w:sz w:val="22"/>
          <w:szCs w:val="22"/>
        </w:rPr>
        <w:t>ētahi</w:t>
      </w:r>
      <w:proofErr w:type="spellEnd"/>
      <w:r w:rsidRPr="00D46598">
        <w:rPr>
          <w:rFonts w:ascii="Arial" w:hAnsi="Arial" w:cs="Arial"/>
          <w:sz w:val="22"/>
          <w:szCs w:val="22"/>
        </w:rPr>
        <w:t xml:space="preserve"> o </w:t>
      </w:r>
      <w:proofErr w:type="spellStart"/>
      <w:r w:rsidRPr="00D46598">
        <w:rPr>
          <w:rFonts w:ascii="Arial" w:hAnsi="Arial" w:cs="Arial"/>
          <w:sz w:val="22"/>
          <w:szCs w:val="22"/>
        </w:rPr>
        <w:t>tō</w:t>
      </w:r>
      <w:proofErr w:type="spellEnd"/>
      <w:r w:rsidRPr="00D46598">
        <w:rPr>
          <w:rFonts w:ascii="Arial" w:hAnsi="Arial" w:cs="Arial"/>
          <w:sz w:val="22"/>
          <w:szCs w:val="22"/>
        </w:rPr>
        <w:t xml:space="preserve"> whānau, me</w:t>
      </w:r>
    </w:p>
    <w:p w14:paraId="615511AB" w14:textId="77777777" w:rsidR="00A42E55" w:rsidRPr="00D46598" w:rsidRDefault="00A42E55" w:rsidP="00D46598">
      <w:pPr>
        <w:pStyle w:val="BodyText"/>
        <w:spacing w:before="0" w:after="120"/>
        <w:rPr>
          <w:rFonts w:ascii="Arial" w:hAnsi="Arial" w:cs="Arial"/>
          <w:sz w:val="22"/>
          <w:szCs w:val="22"/>
        </w:rPr>
      </w:pPr>
      <w:proofErr w:type="spellStart"/>
      <w:r w:rsidRPr="00D46598">
        <w:rPr>
          <w:rFonts w:ascii="Arial" w:hAnsi="Arial" w:cs="Arial"/>
          <w:sz w:val="22"/>
          <w:szCs w:val="22"/>
        </w:rPr>
        <w:t>whakapā</w:t>
      </w:r>
      <w:proofErr w:type="spellEnd"/>
      <w:r w:rsidRPr="00D46598">
        <w:rPr>
          <w:rFonts w:ascii="Arial" w:hAnsi="Arial" w:cs="Arial"/>
          <w:sz w:val="22"/>
          <w:szCs w:val="22"/>
        </w:rPr>
        <w:t xml:space="preserve"> </w:t>
      </w:r>
      <w:proofErr w:type="spellStart"/>
      <w:r w:rsidRPr="00D46598">
        <w:rPr>
          <w:rFonts w:ascii="Arial" w:hAnsi="Arial" w:cs="Arial"/>
          <w:sz w:val="22"/>
          <w:szCs w:val="22"/>
        </w:rPr>
        <w:t>atu</w:t>
      </w:r>
      <w:proofErr w:type="spellEnd"/>
      <w:r w:rsidRPr="00D46598">
        <w:rPr>
          <w:rFonts w:ascii="Arial" w:hAnsi="Arial" w:cs="Arial"/>
          <w:sz w:val="22"/>
          <w:szCs w:val="22"/>
        </w:rPr>
        <w:t xml:space="preserve"> ki </w:t>
      </w:r>
      <w:proofErr w:type="spellStart"/>
      <w:r w:rsidRPr="00D46598">
        <w:rPr>
          <w:rFonts w:ascii="Arial" w:hAnsi="Arial" w:cs="Arial"/>
          <w:sz w:val="22"/>
          <w:szCs w:val="22"/>
        </w:rPr>
        <w:t>tō</w:t>
      </w:r>
      <w:proofErr w:type="spellEnd"/>
      <w:r w:rsidRPr="00D46598">
        <w:rPr>
          <w:rFonts w:ascii="Arial" w:hAnsi="Arial" w:cs="Arial"/>
          <w:sz w:val="22"/>
          <w:szCs w:val="22"/>
        </w:rPr>
        <w:t xml:space="preserve"> </w:t>
      </w:r>
      <w:proofErr w:type="spellStart"/>
      <w:r w:rsidRPr="00D46598">
        <w:rPr>
          <w:rFonts w:ascii="Arial" w:hAnsi="Arial" w:cs="Arial"/>
          <w:sz w:val="22"/>
          <w:szCs w:val="22"/>
        </w:rPr>
        <w:t>tākuta</w:t>
      </w:r>
      <w:proofErr w:type="spellEnd"/>
      <w:r w:rsidRPr="00D46598">
        <w:rPr>
          <w:rFonts w:ascii="Arial" w:hAnsi="Arial" w:cs="Arial"/>
          <w:sz w:val="22"/>
          <w:szCs w:val="22"/>
        </w:rPr>
        <w:t xml:space="preserve">, ki </w:t>
      </w:r>
      <w:proofErr w:type="spellStart"/>
      <w:r w:rsidRPr="00D46598">
        <w:rPr>
          <w:rFonts w:ascii="Arial" w:hAnsi="Arial" w:cs="Arial"/>
          <w:sz w:val="22"/>
          <w:szCs w:val="22"/>
        </w:rPr>
        <w:t>tō</w:t>
      </w:r>
      <w:proofErr w:type="spellEnd"/>
      <w:r w:rsidRPr="00D46598">
        <w:rPr>
          <w:rFonts w:ascii="Arial" w:hAnsi="Arial" w:cs="Arial"/>
          <w:sz w:val="22"/>
          <w:szCs w:val="22"/>
        </w:rPr>
        <w:t xml:space="preserve"> </w:t>
      </w:r>
      <w:proofErr w:type="spellStart"/>
      <w:r w:rsidRPr="00D46598">
        <w:rPr>
          <w:rFonts w:ascii="Arial" w:hAnsi="Arial" w:cs="Arial"/>
          <w:sz w:val="22"/>
          <w:szCs w:val="22"/>
        </w:rPr>
        <w:t>ratongo</w:t>
      </w:r>
      <w:proofErr w:type="spellEnd"/>
      <w:r w:rsidRPr="00D46598">
        <w:rPr>
          <w:rFonts w:ascii="Arial" w:hAnsi="Arial" w:cs="Arial"/>
          <w:sz w:val="22"/>
          <w:szCs w:val="22"/>
        </w:rPr>
        <w:t xml:space="preserve"> Hauora </w:t>
      </w:r>
      <w:proofErr w:type="spellStart"/>
      <w:r w:rsidRPr="00D46598">
        <w:rPr>
          <w:rFonts w:ascii="Arial" w:hAnsi="Arial" w:cs="Arial"/>
          <w:sz w:val="22"/>
          <w:szCs w:val="22"/>
        </w:rPr>
        <w:t>rānei</w:t>
      </w:r>
      <w:proofErr w:type="spellEnd"/>
      <w:r w:rsidRPr="00D46598">
        <w:rPr>
          <w:rFonts w:ascii="Arial" w:hAnsi="Arial" w:cs="Arial"/>
          <w:sz w:val="22"/>
          <w:szCs w:val="22"/>
        </w:rPr>
        <w:t xml:space="preserve">. </w:t>
      </w:r>
      <w:proofErr w:type="spellStart"/>
      <w:r w:rsidRPr="00D46598">
        <w:rPr>
          <w:rFonts w:ascii="Arial" w:hAnsi="Arial" w:cs="Arial"/>
          <w:sz w:val="22"/>
          <w:szCs w:val="22"/>
        </w:rPr>
        <w:t>Whakatetia</w:t>
      </w:r>
      <w:proofErr w:type="spellEnd"/>
    </w:p>
    <w:p w14:paraId="1793BC3E" w14:textId="77777777" w:rsidR="00A42E55" w:rsidRPr="00D46598" w:rsidRDefault="00A42E55" w:rsidP="00D46598">
      <w:pPr>
        <w:pStyle w:val="BodyText"/>
        <w:spacing w:before="0" w:after="120"/>
        <w:rPr>
          <w:rFonts w:ascii="Arial" w:hAnsi="Arial" w:cs="Arial"/>
          <w:sz w:val="22"/>
          <w:szCs w:val="22"/>
        </w:rPr>
      </w:pPr>
      <w:proofErr w:type="spellStart"/>
      <w:r w:rsidRPr="00D46598">
        <w:rPr>
          <w:rFonts w:ascii="Arial" w:hAnsi="Arial" w:cs="Arial"/>
          <w:sz w:val="22"/>
          <w:szCs w:val="22"/>
        </w:rPr>
        <w:t>ngā</w:t>
      </w:r>
      <w:proofErr w:type="spellEnd"/>
      <w:r w:rsidRPr="00D46598">
        <w:rPr>
          <w:rFonts w:ascii="Arial" w:hAnsi="Arial" w:cs="Arial"/>
          <w:sz w:val="22"/>
          <w:szCs w:val="22"/>
        </w:rPr>
        <w:t xml:space="preserve"> kōrero a </w:t>
      </w:r>
      <w:proofErr w:type="spellStart"/>
      <w:r w:rsidRPr="00D46598">
        <w:rPr>
          <w:rFonts w:ascii="Arial" w:hAnsi="Arial" w:cs="Arial"/>
          <w:sz w:val="22"/>
          <w:szCs w:val="22"/>
        </w:rPr>
        <w:t>ētahi</w:t>
      </w:r>
      <w:proofErr w:type="spellEnd"/>
      <w:r w:rsidRPr="00D46598">
        <w:rPr>
          <w:rFonts w:ascii="Arial" w:hAnsi="Arial" w:cs="Arial"/>
          <w:sz w:val="22"/>
          <w:szCs w:val="22"/>
        </w:rPr>
        <w:t xml:space="preserve">, kia tau </w:t>
      </w:r>
      <w:proofErr w:type="spellStart"/>
      <w:r w:rsidRPr="00D46598">
        <w:rPr>
          <w:rFonts w:ascii="Arial" w:hAnsi="Arial" w:cs="Arial"/>
          <w:sz w:val="22"/>
          <w:szCs w:val="22"/>
        </w:rPr>
        <w:t>te</w:t>
      </w:r>
      <w:proofErr w:type="spellEnd"/>
      <w:r w:rsidRPr="00D46598">
        <w:rPr>
          <w:rFonts w:ascii="Arial" w:hAnsi="Arial" w:cs="Arial"/>
          <w:sz w:val="22"/>
          <w:szCs w:val="22"/>
        </w:rPr>
        <w:t xml:space="preserve"> mauri, </w:t>
      </w:r>
      <w:proofErr w:type="spellStart"/>
      <w:r w:rsidRPr="00D46598">
        <w:rPr>
          <w:rFonts w:ascii="Arial" w:hAnsi="Arial" w:cs="Arial"/>
          <w:sz w:val="22"/>
          <w:szCs w:val="22"/>
        </w:rPr>
        <w:t>tiakina</w:t>
      </w:r>
      <w:proofErr w:type="spellEnd"/>
      <w:r w:rsidRPr="00D46598">
        <w:rPr>
          <w:rFonts w:ascii="Arial" w:hAnsi="Arial" w:cs="Arial"/>
          <w:sz w:val="22"/>
          <w:szCs w:val="22"/>
        </w:rPr>
        <w:t xml:space="preserve">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wairua</w:t>
      </w:r>
      <w:proofErr w:type="spellEnd"/>
      <w:r w:rsidRPr="00D46598">
        <w:rPr>
          <w:rFonts w:ascii="Arial" w:hAnsi="Arial" w:cs="Arial"/>
          <w:sz w:val="22"/>
          <w:szCs w:val="22"/>
        </w:rPr>
        <w:t>, ā, kia</w:t>
      </w:r>
    </w:p>
    <w:p w14:paraId="19A95850" w14:textId="77777777" w:rsidR="00A42E55" w:rsidRPr="00D46598" w:rsidRDefault="00A42E55" w:rsidP="00D46598">
      <w:pPr>
        <w:pStyle w:val="BodyText"/>
        <w:spacing w:before="0" w:after="120"/>
        <w:rPr>
          <w:rFonts w:ascii="Arial" w:hAnsi="Arial" w:cs="Arial"/>
          <w:sz w:val="22"/>
          <w:szCs w:val="22"/>
        </w:rPr>
      </w:pPr>
      <w:proofErr w:type="spellStart"/>
      <w:r w:rsidRPr="00D46598">
        <w:rPr>
          <w:rFonts w:ascii="Arial" w:hAnsi="Arial" w:cs="Arial"/>
          <w:sz w:val="22"/>
          <w:szCs w:val="22"/>
        </w:rPr>
        <w:t>māmā</w:t>
      </w:r>
      <w:proofErr w:type="spellEnd"/>
      <w:r w:rsidRPr="00D46598">
        <w:rPr>
          <w:rFonts w:ascii="Arial" w:hAnsi="Arial" w:cs="Arial"/>
          <w:sz w:val="22"/>
          <w:szCs w:val="22"/>
        </w:rPr>
        <w:t xml:space="preserve"> </w:t>
      </w:r>
      <w:proofErr w:type="spellStart"/>
      <w:r w:rsidRPr="00D46598">
        <w:rPr>
          <w:rFonts w:ascii="Arial" w:hAnsi="Arial" w:cs="Arial"/>
          <w:sz w:val="22"/>
          <w:szCs w:val="22"/>
        </w:rPr>
        <w:t>te</w:t>
      </w:r>
      <w:proofErr w:type="spellEnd"/>
      <w:r w:rsidRPr="00D46598">
        <w:rPr>
          <w:rFonts w:ascii="Arial" w:hAnsi="Arial" w:cs="Arial"/>
          <w:sz w:val="22"/>
          <w:szCs w:val="22"/>
        </w:rPr>
        <w:t xml:space="preserve"> </w:t>
      </w:r>
      <w:proofErr w:type="spellStart"/>
      <w:r w:rsidRPr="00D46598">
        <w:rPr>
          <w:rFonts w:ascii="Arial" w:hAnsi="Arial" w:cs="Arial"/>
          <w:sz w:val="22"/>
          <w:szCs w:val="22"/>
        </w:rPr>
        <w:t>ngākau</w:t>
      </w:r>
      <w:proofErr w:type="spellEnd"/>
      <w:r w:rsidRPr="00D46598">
        <w:rPr>
          <w:rFonts w:ascii="Arial" w:hAnsi="Arial" w:cs="Arial"/>
          <w:sz w:val="22"/>
          <w:szCs w:val="22"/>
        </w:rPr>
        <w:t>.</w:t>
      </w:r>
    </w:p>
    <w:p w14:paraId="10ADBAF9" w14:textId="77777777" w:rsidR="00A42E55" w:rsidRPr="00A42E55" w:rsidRDefault="00A42E55" w:rsidP="00D46598">
      <w:pPr>
        <w:pStyle w:val="Heading1"/>
        <w:spacing w:before="360"/>
      </w:pPr>
      <w:bookmarkStart w:id="5" w:name="_Toc168638869"/>
      <w:r w:rsidRPr="00A42E55">
        <w:t>Distressing content warning</w:t>
      </w:r>
      <w:bookmarkEnd w:id="5"/>
    </w:p>
    <w:p w14:paraId="2A6EA846" w14:textId="0AECF56D" w:rsidR="00673310" w:rsidRPr="00D46598" w:rsidRDefault="00A42E55" w:rsidP="00A35461">
      <w:pPr>
        <w:pStyle w:val="BodyText"/>
        <w:spacing w:line="360" w:lineRule="auto"/>
        <w:rPr>
          <w:rFonts w:ascii="Arial" w:hAnsi="Arial" w:cs="Arial"/>
          <w:sz w:val="22"/>
          <w:szCs w:val="22"/>
        </w:rPr>
      </w:pPr>
      <w:r w:rsidRPr="00D46598">
        <w:rPr>
          <w:rFonts w:ascii="Arial" w:hAnsi="Arial" w:cs="Arial"/>
          <w:sz w:val="22"/>
          <w:szCs w:val="22"/>
        </w:rPr>
        <w:t>We honour and uphold the dignity of survivors who have so</w:t>
      </w:r>
      <w:r w:rsidR="006C0ED8" w:rsidRPr="00A35461">
        <w:rPr>
          <w:rFonts w:ascii="Arial" w:hAnsi="Arial" w:cs="Arial"/>
          <w:sz w:val="22"/>
          <w:szCs w:val="22"/>
        </w:rPr>
        <w:t xml:space="preserve"> </w:t>
      </w:r>
      <w:r w:rsidRPr="00D46598">
        <w:rPr>
          <w:rFonts w:ascii="Arial" w:hAnsi="Arial" w:cs="Arial"/>
          <w:sz w:val="22"/>
          <w:szCs w:val="22"/>
        </w:rPr>
        <w:t>bravely shared their stories here. We acknowledge that some</w:t>
      </w:r>
      <w:r w:rsidR="006C0ED8" w:rsidRPr="00A35461">
        <w:rPr>
          <w:rFonts w:ascii="Arial" w:hAnsi="Arial" w:cs="Arial"/>
          <w:sz w:val="22"/>
          <w:szCs w:val="22"/>
        </w:rPr>
        <w:t xml:space="preserve"> </w:t>
      </w:r>
      <w:r w:rsidRPr="00D46598">
        <w:rPr>
          <w:rFonts w:ascii="Arial" w:hAnsi="Arial" w:cs="Arial"/>
          <w:sz w:val="22"/>
          <w:szCs w:val="22"/>
        </w:rPr>
        <w:t xml:space="preserve">content contains explicit descriptions of </w:t>
      </w:r>
      <w:proofErr w:type="spellStart"/>
      <w:r w:rsidRPr="00D46598">
        <w:rPr>
          <w:rFonts w:ascii="Arial" w:hAnsi="Arial" w:cs="Arial"/>
          <w:sz w:val="22"/>
          <w:szCs w:val="22"/>
        </w:rPr>
        <w:t>tūkino</w:t>
      </w:r>
      <w:proofErr w:type="spellEnd"/>
      <w:r w:rsidRPr="00D46598">
        <w:rPr>
          <w:rFonts w:ascii="Arial" w:hAnsi="Arial" w:cs="Arial"/>
          <w:sz w:val="22"/>
          <w:szCs w:val="22"/>
        </w:rPr>
        <w:t xml:space="preserve"> – abuse, harm</w:t>
      </w:r>
      <w:r w:rsidR="006C0ED8" w:rsidRPr="00A35461">
        <w:rPr>
          <w:rFonts w:ascii="Arial" w:hAnsi="Arial" w:cs="Arial"/>
          <w:sz w:val="22"/>
          <w:szCs w:val="22"/>
        </w:rPr>
        <w:t xml:space="preserve"> </w:t>
      </w:r>
      <w:r w:rsidRPr="00D46598">
        <w:rPr>
          <w:rFonts w:ascii="Arial" w:hAnsi="Arial" w:cs="Arial"/>
          <w:sz w:val="22"/>
          <w:szCs w:val="22"/>
        </w:rPr>
        <w:t>and trauma – and may evoke strong negative, emotional</w:t>
      </w:r>
      <w:r w:rsidR="006C0ED8" w:rsidRPr="00A35461">
        <w:rPr>
          <w:rFonts w:ascii="Arial" w:hAnsi="Arial" w:cs="Arial"/>
          <w:sz w:val="22"/>
          <w:szCs w:val="22"/>
        </w:rPr>
        <w:t xml:space="preserve"> </w:t>
      </w:r>
      <w:r w:rsidRPr="00D46598">
        <w:rPr>
          <w:rFonts w:ascii="Arial" w:hAnsi="Arial" w:cs="Arial"/>
          <w:sz w:val="22"/>
          <w:szCs w:val="22"/>
        </w:rPr>
        <w:t>responses for readers. Although this response may be</w:t>
      </w:r>
      <w:r w:rsidR="006C0ED8" w:rsidRPr="00A35461">
        <w:rPr>
          <w:rFonts w:ascii="Arial" w:hAnsi="Arial" w:cs="Arial"/>
          <w:sz w:val="22"/>
          <w:szCs w:val="22"/>
        </w:rPr>
        <w:t xml:space="preserve"> </w:t>
      </w:r>
      <w:r w:rsidRPr="00D46598">
        <w:rPr>
          <w:rFonts w:ascii="Arial" w:hAnsi="Arial" w:cs="Arial"/>
          <w:sz w:val="22"/>
          <w:szCs w:val="22"/>
        </w:rPr>
        <w:t>unpleasant and difficult to tolerate, it is also appropriate to feel</w:t>
      </w:r>
      <w:r w:rsidR="006C0ED8" w:rsidRPr="00A35461">
        <w:rPr>
          <w:rFonts w:ascii="Arial" w:hAnsi="Arial" w:cs="Arial"/>
          <w:sz w:val="22"/>
          <w:szCs w:val="22"/>
        </w:rPr>
        <w:t xml:space="preserve"> </w:t>
      </w:r>
      <w:r w:rsidRPr="00D46598">
        <w:rPr>
          <w:rFonts w:ascii="Arial" w:hAnsi="Arial" w:cs="Arial"/>
          <w:sz w:val="22"/>
          <w:szCs w:val="22"/>
        </w:rPr>
        <w:t>upset. However, if you or someone in your close circle needs</w:t>
      </w:r>
      <w:r w:rsidR="006C0ED8" w:rsidRPr="00A35461">
        <w:rPr>
          <w:rFonts w:ascii="Arial" w:hAnsi="Arial" w:cs="Arial"/>
          <w:sz w:val="22"/>
          <w:szCs w:val="22"/>
        </w:rPr>
        <w:t xml:space="preserve"> </w:t>
      </w:r>
      <w:r w:rsidRPr="00D46598">
        <w:rPr>
          <w:rFonts w:ascii="Arial" w:hAnsi="Arial" w:cs="Arial"/>
          <w:sz w:val="22"/>
          <w:szCs w:val="22"/>
        </w:rPr>
        <w:t>support, please contact your GP or healthcare provider.</w:t>
      </w:r>
      <w:r w:rsidR="006C0ED8" w:rsidRPr="00A35461">
        <w:rPr>
          <w:rFonts w:ascii="Arial" w:hAnsi="Arial" w:cs="Arial"/>
          <w:sz w:val="22"/>
          <w:szCs w:val="22"/>
        </w:rPr>
        <w:t xml:space="preserve"> </w:t>
      </w:r>
      <w:r w:rsidRPr="00D46598">
        <w:rPr>
          <w:rFonts w:ascii="Arial" w:hAnsi="Arial" w:cs="Arial"/>
          <w:sz w:val="22"/>
          <w:szCs w:val="22"/>
        </w:rPr>
        <w:t>Respect others’ truths, breathe deeply, take care of your</w:t>
      </w:r>
      <w:r w:rsidR="006C0ED8" w:rsidRPr="00A35461">
        <w:rPr>
          <w:rFonts w:ascii="Arial" w:hAnsi="Arial" w:cs="Arial"/>
          <w:sz w:val="22"/>
          <w:szCs w:val="22"/>
        </w:rPr>
        <w:t xml:space="preserve"> </w:t>
      </w:r>
      <w:r w:rsidRPr="00D46598">
        <w:rPr>
          <w:rFonts w:ascii="Arial" w:hAnsi="Arial" w:cs="Arial"/>
          <w:sz w:val="22"/>
          <w:szCs w:val="22"/>
        </w:rPr>
        <w:t>spirit and be gentle with your heart.</w:t>
      </w:r>
    </w:p>
    <w:p w14:paraId="1E0A51F5" w14:textId="77777777" w:rsidR="00673310" w:rsidRDefault="00673310" w:rsidP="007E403D">
      <w:pPr>
        <w:keepLines w:val="0"/>
        <w:widowControl w:val="0"/>
        <w:rPr>
          <w:rFonts w:ascii="Arial" w:hAnsi="Arial" w:cs="Arial"/>
          <w:color w:val="4F7D29" w:themeColor="accent4"/>
        </w:rPr>
      </w:pPr>
    </w:p>
    <w:p w14:paraId="29256399" w14:textId="77777777" w:rsidR="00AB2D8B" w:rsidRPr="004A0212" w:rsidRDefault="00AB2D8B" w:rsidP="00B71C17">
      <w:pPr>
        <w:keepLines w:val="0"/>
        <w:widowControl w:val="0"/>
        <w:rPr>
          <w:rFonts w:ascii="Arial" w:hAnsi="Arial" w:cs="Arial"/>
          <w:b/>
          <w:color w:val="4F7D29" w:themeColor="accent4"/>
          <w:sz w:val="32"/>
          <w:szCs w:val="32"/>
          <w:lang w:eastAsia="en-NZ"/>
        </w:rPr>
      </w:pPr>
    </w:p>
    <w:p w14:paraId="062C86C6" w14:textId="0E472548" w:rsidR="00D46598" w:rsidRDefault="00D46598">
      <w:pPr>
        <w:keepLines w:val="0"/>
        <w:rPr>
          <w:rFonts w:ascii="Arial" w:hAnsi="Arial" w:cs="Arial"/>
          <w:b/>
          <w:color w:val="4F7D29" w:themeColor="accent4"/>
          <w:sz w:val="32"/>
          <w:szCs w:val="32"/>
          <w:lang w:eastAsia="en-NZ"/>
        </w:rPr>
      </w:pPr>
      <w:r>
        <w:rPr>
          <w:rFonts w:ascii="Arial" w:hAnsi="Arial" w:cs="Arial"/>
          <w:b/>
          <w:color w:val="4F7D29" w:themeColor="accent4"/>
          <w:sz w:val="32"/>
          <w:szCs w:val="32"/>
          <w:lang w:eastAsia="en-NZ"/>
        </w:rPr>
        <w:br w:type="page"/>
      </w:r>
    </w:p>
    <w:p w14:paraId="5A6DF214" w14:textId="1B7C791A" w:rsidR="00D46598" w:rsidRPr="004A0212" w:rsidRDefault="00B4757D" w:rsidP="004B1F7C">
      <w:pPr>
        <w:pStyle w:val="Heading1"/>
      </w:pPr>
      <w:bookmarkStart w:id="6" w:name="_Toc168638870"/>
      <w:proofErr w:type="spellStart"/>
      <w:r>
        <w:t>Ngā</w:t>
      </w:r>
      <w:proofErr w:type="spellEnd"/>
      <w:r>
        <w:t xml:space="preserve"> take</w:t>
      </w:r>
      <w:r w:rsidR="004B1F7C">
        <w:t xml:space="preserve"> | Contents</w:t>
      </w:r>
      <w:bookmarkEnd w:id="6"/>
    </w:p>
    <w:sdt>
      <w:sdtPr>
        <w:rPr>
          <w:b w:val="0"/>
          <w:noProof/>
          <w:color w:val="404040" w:themeColor="text1" w:themeTint="BF"/>
        </w:rPr>
        <w:id w:val="437683647"/>
        <w:docPartObj>
          <w:docPartGallery w:val="Table of Contents"/>
          <w:docPartUnique/>
        </w:docPartObj>
      </w:sdtPr>
      <w:sdtEndPr/>
      <w:sdtContent>
        <w:p w14:paraId="35A38B71" w14:textId="390AB221" w:rsidR="00A57862" w:rsidRDefault="2E6C9B25">
          <w:pPr>
            <w:pStyle w:val="TOC1"/>
            <w:rPr>
              <w:rFonts w:asciiTheme="minorHAnsi" w:eastAsiaTheme="minorEastAsia" w:hAnsiTheme="minorHAnsi" w:cstheme="minorBidi"/>
              <w:b w:val="0"/>
              <w:noProof/>
              <w:color w:val="auto"/>
              <w:szCs w:val="22"/>
              <w:lang w:eastAsia="en-NZ"/>
            </w:rPr>
          </w:pPr>
          <w:r w:rsidRPr="004A0212">
            <w:fldChar w:fldCharType="begin"/>
          </w:r>
          <w:r w:rsidRPr="004A0212">
            <w:instrText>TOC \o "1-5" \z \u \h</w:instrText>
          </w:r>
          <w:r w:rsidRPr="004A0212">
            <w:fldChar w:fldCharType="separate"/>
          </w:r>
          <w:hyperlink w:anchor="_Toc168638865" w:history="1">
            <w:r w:rsidR="00A57862" w:rsidRPr="00A139B3">
              <w:rPr>
                <w:rStyle w:val="Hyperlink"/>
                <w:noProof/>
              </w:rPr>
              <w:t>Whakairihia ki te tihi o Maungārongo</w:t>
            </w:r>
            <w:r w:rsidR="00A57862">
              <w:rPr>
                <w:noProof/>
                <w:webHidden/>
              </w:rPr>
              <w:tab/>
            </w:r>
            <w:r w:rsidR="00A57862">
              <w:rPr>
                <w:noProof/>
                <w:webHidden/>
              </w:rPr>
              <w:fldChar w:fldCharType="begin"/>
            </w:r>
            <w:r w:rsidR="00A57862">
              <w:rPr>
                <w:noProof/>
                <w:webHidden/>
              </w:rPr>
              <w:instrText xml:space="preserve"> PAGEREF _Toc168638865 \h </w:instrText>
            </w:r>
            <w:r w:rsidR="00A57862">
              <w:rPr>
                <w:noProof/>
                <w:webHidden/>
              </w:rPr>
            </w:r>
            <w:r w:rsidR="00A57862">
              <w:rPr>
                <w:noProof/>
                <w:webHidden/>
              </w:rPr>
              <w:fldChar w:fldCharType="separate"/>
            </w:r>
            <w:r w:rsidR="00A57862">
              <w:rPr>
                <w:noProof/>
                <w:webHidden/>
              </w:rPr>
              <w:t>2</w:t>
            </w:r>
            <w:r w:rsidR="00A57862">
              <w:rPr>
                <w:noProof/>
                <w:webHidden/>
              </w:rPr>
              <w:fldChar w:fldCharType="end"/>
            </w:r>
          </w:hyperlink>
        </w:p>
        <w:p w14:paraId="5E294ABC" w14:textId="1A76E14B" w:rsidR="00A57862" w:rsidRDefault="00912091">
          <w:pPr>
            <w:pStyle w:val="TOC1"/>
            <w:rPr>
              <w:rFonts w:asciiTheme="minorHAnsi" w:eastAsiaTheme="minorEastAsia" w:hAnsiTheme="minorHAnsi" w:cstheme="minorBidi"/>
              <w:b w:val="0"/>
              <w:noProof/>
              <w:color w:val="auto"/>
              <w:szCs w:val="22"/>
              <w:lang w:eastAsia="en-NZ"/>
            </w:rPr>
          </w:pPr>
          <w:hyperlink w:anchor="_Toc168638866" w:history="1">
            <w:r w:rsidR="00A57862" w:rsidRPr="00A139B3">
              <w:rPr>
                <w:rStyle w:val="Hyperlink"/>
                <w:noProof/>
              </w:rPr>
              <w:t>He auhi nō te puku</w:t>
            </w:r>
            <w:r w:rsidR="00A57862">
              <w:rPr>
                <w:noProof/>
                <w:webHidden/>
              </w:rPr>
              <w:tab/>
            </w:r>
            <w:r w:rsidR="00A57862">
              <w:rPr>
                <w:noProof/>
                <w:webHidden/>
              </w:rPr>
              <w:fldChar w:fldCharType="begin"/>
            </w:r>
            <w:r w:rsidR="00A57862">
              <w:rPr>
                <w:noProof/>
                <w:webHidden/>
              </w:rPr>
              <w:instrText xml:space="preserve"> PAGEREF _Toc168638866 \h </w:instrText>
            </w:r>
            <w:r w:rsidR="00A57862">
              <w:rPr>
                <w:noProof/>
                <w:webHidden/>
              </w:rPr>
            </w:r>
            <w:r w:rsidR="00A57862">
              <w:rPr>
                <w:noProof/>
                <w:webHidden/>
              </w:rPr>
              <w:fldChar w:fldCharType="separate"/>
            </w:r>
            <w:r w:rsidR="00A57862">
              <w:rPr>
                <w:noProof/>
                <w:webHidden/>
              </w:rPr>
              <w:t>2</w:t>
            </w:r>
            <w:r w:rsidR="00A57862">
              <w:rPr>
                <w:noProof/>
                <w:webHidden/>
              </w:rPr>
              <w:fldChar w:fldCharType="end"/>
            </w:r>
          </w:hyperlink>
        </w:p>
        <w:p w14:paraId="71250295" w14:textId="284DC2D6" w:rsidR="00A57862" w:rsidRDefault="00912091">
          <w:pPr>
            <w:pStyle w:val="TOC1"/>
            <w:rPr>
              <w:rFonts w:asciiTheme="minorHAnsi" w:eastAsiaTheme="minorEastAsia" w:hAnsiTheme="minorHAnsi" w:cstheme="minorBidi"/>
              <w:b w:val="0"/>
              <w:noProof/>
              <w:color w:val="auto"/>
              <w:szCs w:val="22"/>
              <w:lang w:eastAsia="en-NZ"/>
            </w:rPr>
          </w:pPr>
          <w:hyperlink w:anchor="_Toc168638867" w:history="1">
            <w:r w:rsidR="00A57862" w:rsidRPr="00A139B3">
              <w:rPr>
                <w:rStyle w:val="Hyperlink"/>
                <w:noProof/>
              </w:rPr>
              <w:t>He karakia</w:t>
            </w:r>
            <w:r w:rsidR="00A57862">
              <w:rPr>
                <w:noProof/>
                <w:webHidden/>
              </w:rPr>
              <w:tab/>
            </w:r>
            <w:r w:rsidR="00A57862">
              <w:rPr>
                <w:noProof/>
                <w:webHidden/>
              </w:rPr>
              <w:fldChar w:fldCharType="begin"/>
            </w:r>
            <w:r w:rsidR="00A57862">
              <w:rPr>
                <w:noProof/>
                <w:webHidden/>
              </w:rPr>
              <w:instrText xml:space="preserve"> PAGEREF _Toc168638867 \h </w:instrText>
            </w:r>
            <w:r w:rsidR="00A57862">
              <w:rPr>
                <w:noProof/>
                <w:webHidden/>
              </w:rPr>
            </w:r>
            <w:r w:rsidR="00A57862">
              <w:rPr>
                <w:noProof/>
                <w:webHidden/>
              </w:rPr>
              <w:fldChar w:fldCharType="separate"/>
            </w:r>
            <w:r w:rsidR="00A57862">
              <w:rPr>
                <w:noProof/>
                <w:webHidden/>
              </w:rPr>
              <w:t>3</w:t>
            </w:r>
            <w:r w:rsidR="00A57862">
              <w:rPr>
                <w:noProof/>
                <w:webHidden/>
              </w:rPr>
              <w:fldChar w:fldCharType="end"/>
            </w:r>
          </w:hyperlink>
        </w:p>
        <w:p w14:paraId="33E10ABC" w14:textId="2D7A5D3E" w:rsidR="00A57862" w:rsidRDefault="00912091">
          <w:pPr>
            <w:pStyle w:val="TOC1"/>
            <w:rPr>
              <w:rFonts w:asciiTheme="minorHAnsi" w:eastAsiaTheme="minorEastAsia" w:hAnsiTheme="minorHAnsi" w:cstheme="minorBidi"/>
              <w:b w:val="0"/>
              <w:noProof/>
              <w:color w:val="auto"/>
              <w:szCs w:val="22"/>
              <w:lang w:eastAsia="en-NZ"/>
            </w:rPr>
          </w:pPr>
          <w:hyperlink w:anchor="_Toc168638868" w:history="1">
            <w:r w:rsidR="00A57862" w:rsidRPr="00A139B3">
              <w:rPr>
                <w:rStyle w:val="Hyperlink"/>
                <w:noProof/>
              </w:rPr>
              <w:t>Pānui whakatūpato</w:t>
            </w:r>
            <w:r w:rsidR="00A57862">
              <w:rPr>
                <w:noProof/>
                <w:webHidden/>
              </w:rPr>
              <w:tab/>
            </w:r>
            <w:r w:rsidR="00A57862">
              <w:rPr>
                <w:noProof/>
                <w:webHidden/>
              </w:rPr>
              <w:fldChar w:fldCharType="begin"/>
            </w:r>
            <w:r w:rsidR="00A57862">
              <w:rPr>
                <w:noProof/>
                <w:webHidden/>
              </w:rPr>
              <w:instrText xml:space="preserve"> PAGEREF _Toc168638868 \h </w:instrText>
            </w:r>
            <w:r w:rsidR="00A57862">
              <w:rPr>
                <w:noProof/>
                <w:webHidden/>
              </w:rPr>
            </w:r>
            <w:r w:rsidR="00A57862">
              <w:rPr>
                <w:noProof/>
                <w:webHidden/>
              </w:rPr>
              <w:fldChar w:fldCharType="separate"/>
            </w:r>
            <w:r w:rsidR="00A57862">
              <w:rPr>
                <w:noProof/>
                <w:webHidden/>
              </w:rPr>
              <w:t>5</w:t>
            </w:r>
            <w:r w:rsidR="00A57862">
              <w:rPr>
                <w:noProof/>
                <w:webHidden/>
              </w:rPr>
              <w:fldChar w:fldCharType="end"/>
            </w:r>
          </w:hyperlink>
        </w:p>
        <w:p w14:paraId="5B65AAD5" w14:textId="38F71774" w:rsidR="00A57862" w:rsidRDefault="00912091">
          <w:pPr>
            <w:pStyle w:val="TOC1"/>
            <w:rPr>
              <w:rFonts w:asciiTheme="minorHAnsi" w:eastAsiaTheme="minorEastAsia" w:hAnsiTheme="minorHAnsi" w:cstheme="minorBidi"/>
              <w:b w:val="0"/>
              <w:noProof/>
              <w:color w:val="auto"/>
              <w:szCs w:val="22"/>
              <w:lang w:eastAsia="en-NZ"/>
            </w:rPr>
          </w:pPr>
          <w:hyperlink w:anchor="_Toc168638869" w:history="1">
            <w:r w:rsidR="00A57862" w:rsidRPr="00A139B3">
              <w:rPr>
                <w:rStyle w:val="Hyperlink"/>
                <w:noProof/>
              </w:rPr>
              <w:t>Distressing content warning</w:t>
            </w:r>
            <w:r w:rsidR="00A57862">
              <w:rPr>
                <w:noProof/>
                <w:webHidden/>
              </w:rPr>
              <w:tab/>
            </w:r>
            <w:r w:rsidR="00A57862">
              <w:rPr>
                <w:noProof/>
                <w:webHidden/>
              </w:rPr>
              <w:fldChar w:fldCharType="begin"/>
            </w:r>
            <w:r w:rsidR="00A57862">
              <w:rPr>
                <w:noProof/>
                <w:webHidden/>
              </w:rPr>
              <w:instrText xml:space="preserve"> PAGEREF _Toc168638869 \h </w:instrText>
            </w:r>
            <w:r w:rsidR="00A57862">
              <w:rPr>
                <w:noProof/>
                <w:webHidden/>
              </w:rPr>
            </w:r>
            <w:r w:rsidR="00A57862">
              <w:rPr>
                <w:noProof/>
                <w:webHidden/>
              </w:rPr>
              <w:fldChar w:fldCharType="separate"/>
            </w:r>
            <w:r w:rsidR="00A57862">
              <w:rPr>
                <w:noProof/>
                <w:webHidden/>
              </w:rPr>
              <w:t>5</w:t>
            </w:r>
            <w:r w:rsidR="00A57862">
              <w:rPr>
                <w:noProof/>
                <w:webHidden/>
              </w:rPr>
              <w:fldChar w:fldCharType="end"/>
            </w:r>
          </w:hyperlink>
        </w:p>
        <w:p w14:paraId="665793BB" w14:textId="27C735C7" w:rsidR="00A57862" w:rsidRDefault="00912091">
          <w:pPr>
            <w:pStyle w:val="TOC1"/>
            <w:rPr>
              <w:rFonts w:asciiTheme="minorHAnsi" w:eastAsiaTheme="minorEastAsia" w:hAnsiTheme="minorHAnsi" w:cstheme="minorBidi"/>
              <w:b w:val="0"/>
              <w:noProof/>
              <w:color w:val="auto"/>
              <w:szCs w:val="22"/>
              <w:lang w:eastAsia="en-NZ"/>
            </w:rPr>
          </w:pPr>
          <w:hyperlink w:anchor="_Toc168638870" w:history="1">
            <w:r w:rsidR="00A57862" w:rsidRPr="00A139B3">
              <w:rPr>
                <w:rStyle w:val="Hyperlink"/>
                <w:noProof/>
              </w:rPr>
              <w:t>Ngā take | Contents</w:t>
            </w:r>
            <w:r w:rsidR="00A57862">
              <w:rPr>
                <w:noProof/>
                <w:webHidden/>
              </w:rPr>
              <w:tab/>
            </w:r>
            <w:r w:rsidR="00A57862">
              <w:rPr>
                <w:noProof/>
                <w:webHidden/>
              </w:rPr>
              <w:fldChar w:fldCharType="begin"/>
            </w:r>
            <w:r w:rsidR="00A57862">
              <w:rPr>
                <w:noProof/>
                <w:webHidden/>
              </w:rPr>
              <w:instrText xml:space="preserve"> PAGEREF _Toc168638870 \h </w:instrText>
            </w:r>
            <w:r w:rsidR="00A57862">
              <w:rPr>
                <w:noProof/>
                <w:webHidden/>
              </w:rPr>
            </w:r>
            <w:r w:rsidR="00A57862">
              <w:rPr>
                <w:noProof/>
                <w:webHidden/>
              </w:rPr>
              <w:fldChar w:fldCharType="separate"/>
            </w:r>
            <w:r w:rsidR="00A57862">
              <w:rPr>
                <w:noProof/>
                <w:webHidden/>
              </w:rPr>
              <w:t>6</w:t>
            </w:r>
            <w:r w:rsidR="00A57862">
              <w:rPr>
                <w:noProof/>
                <w:webHidden/>
              </w:rPr>
              <w:fldChar w:fldCharType="end"/>
            </w:r>
          </w:hyperlink>
        </w:p>
        <w:p w14:paraId="48CB4B6B" w14:textId="46006897" w:rsidR="00A57862" w:rsidRDefault="00912091">
          <w:pPr>
            <w:pStyle w:val="TOC1"/>
            <w:rPr>
              <w:rFonts w:asciiTheme="minorHAnsi" w:eastAsiaTheme="minorEastAsia" w:hAnsiTheme="minorHAnsi" w:cstheme="minorBidi"/>
              <w:b w:val="0"/>
              <w:noProof/>
              <w:color w:val="auto"/>
              <w:szCs w:val="22"/>
              <w:lang w:eastAsia="en-NZ"/>
            </w:rPr>
          </w:pPr>
          <w:hyperlink w:anchor="_Toc168638871" w:history="1">
            <w:r w:rsidR="00A57862" w:rsidRPr="00A139B3">
              <w:rPr>
                <w:rStyle w:val="Hyperlink"/>
                <w:noProof/>
              </w:rPr>
              <w:t>Kuputaka | Glossary</w:t>
            </w:r>
            <w:r w:rsidR="00A57862">
              <w:rPr>
                <w:noProof/>
                <w:webHidden/>
              </w:rPr>
              <w:tab/>
            </w:r>
            <w:r w:rsidR="00A57862">
              <w:rPr>
                <w:noProof/>
                <w:webHidden/>
              </w:rPr>
              <w:fldChar w:fldCharType="begin"/>
            </w:r>
            <w:r w:rsidR="00A57862">
              <w:rPr>
                <w:noProof/>
                <w:webHidden/>
              </w:rPr>
              <w:instrText xml:space="preserve"> PAGEREF _Toc168638871 \h </w:instrText>
            </w:r>
            <w:r w:rsidR="00A57862">
              <w:rPr>
                <w:noProof/>
                <w:webHidden/>
              </w:rPr>
            </w:r>
            <w:r w:rsidR="00A57862">
              <w:rPr>
                <w:noProof/>
                <w:webHidden/>
              </w:rPr>
              <w:fldChar w:fldCharType="separate"/>
            </w:r>
            <w:r w:rsidR="00A57862">
              <w:rPr>
                <w:noProof/>
                <w:webHidden/>
              </w:rPr>
              <w:t>14</w:t>
            </w:r>
            <w:r w:rsidR="00A57862">
              <w:rPr>
                <w:noProof/>
                <w:webHidden/>
              </w:rPr>
              <w:fldChar w:fldCharType="end"/>
            </w:r>
          </w:hyperlink>
        </w:p>
        <w:p w14:paraId="3A192396" w14:textId="3336F5D6" w:rsidR="00A57862" w:rsidRDefault="00912091">
          <w:pPr>
            <w:pStyle w:val="TOC1"/>
            <w:rPr>
              <w:rFonts w:asciiTheme="minorHAnsi" w:eastAsiaTheme="minorEastAsia" w:hAnsiTheme="minorHAnsi" w:cstheme="minorBidi"/>
              <w:b w:val="0"/>
              <w:noProof/>
              <w:color w:val="auto"/>
              <w:szCs w:val="22"/>
              <w:lang w:eastAsia="en-NZ"/>
            </w:rPr>
          </w:pPr>
          <w:hyperlink w:anchor="_Toc168638872" w:history="1">
            <w:r w:rsidR="00A57862" w:rsidRPr="00A139B3">
              <w:rPr>
                <w:rStyle w:val="Hyperlink"/>
                <w:noProof/>
              </w:rPr>
              <w:t>Ūpoko 1: He whakataki</w:t>
            </w:r>
            <w:r w:rsidR="00A57862">
              <w:rPr>
                <w:noProof/>
                <w:webHidden/>
              </w:rPr>
              <w:tab/>
            </w:r>
            <w:r w:rsidR="00A57862">
              <w:rPr>
                <w:noProof/>
                <w:webHidden/>
              </w:rPr>
              <w:fldChar w:fldCharType="begin"/>
            </w:r>
            <w:r w:rsidR="00A57862">
              <w:rPr>
                <w:noProof/>
                <w:webHidden/>
              </w:rPr>
              <w:instrText xml:space="preserve"> PAGEREF _Toc168638872 \h </w:instrText>
            </w:r>
            <w:r w:rsidR="00A57862">
              <w:rPr>
                <w:noProof/>
                <w:webHidden/>
              </w:rPr>
            </w:r>
            <w:r w:rsidR="00A57862">
              <w:rPr>
                <w:noProof/>
                <w:webHidden/>
              </w:rPr>
              <w:fldChar w:fldCharType="separate"/>
            </w:r>
            <w:r w:rsidR="00A57862">
              <w:rPr>
                <w:noProof/>
                <w:webHidden/>
              </w:rPr>
              <w:t>16</w:t>
            </w:r>
            <w:r w:rsidR="00A57862">
              <w:rPr>
                <w:noProof/>
                <w:webHidden/>
              </w:rPr>
              <w:fldChar w:fldCharType="end"/>
            </w:r>
          </w:hyperlink>
        </w:p>
        <w:p w14:paraId="7176F18E" w14:textId="388EF4EF" w:rsidR="00A57862" w:rsidRDefault="00912091">
          <w:pPr>
            <w:pStyle w:val="TOC1"/>
            <w:rPr>
              <w:rFonts w:asciiTheme="minorHAnsi" w:eastAsiaTheme="minorEastAsia" w:hAnsiTheme="minorHAnsi" w:cstheme="minorBidi"/>
              <w:b w:val="0"/>
              <w:noProof/>
              <w:color w:val="auto"/>
              <w:szCs w:val="22"/>
              <w:lang w:eastAsia="en-NZ"/>
            </w:rPr>
          </w:pPr>
          <w:hyperlink w:anchor="_Toc168638873" w:history="1">
            <w:r w:rsidR="00A57862" w:rsidRPr="00A139B3">
              <w:rPr>
                <w:rStyle w:val="Hyperlink"/>
                <w:noProof/>
              </w:rPr>
              <w:t>Chapter 1: Introduction</w:t>
            </w:r>
            <w:r w:rsidR="00A57862">
              <w:rPr>
                <w:noProof/>
                <w:webHidden/>
              </w:rPr>
              <w:tab/>
            </w:r>
            <w:r w:rsidR="00A57862">
              <w:rPr>
                <w:noProof/>
                <w:webHidden/>
              </w:rPr>
              <w:fldChar w:fldCharType="begin"/>
            </w:r>
            <w:r w:rsidR="00A57862">
              <w:rPr>
                <w:noProof/>
                <w:webHidden/>
              </w:rPr>
              <w:instrText xml:space="preserve"> PAGEREF _Toc168638873 \h </w:instrText>
            </w:r>
            <w:r w:rsidR="00A57862">
              <w:rPr>
                <w:noProof/>
                <w:webHidden/>
              </w:rPr>
            </w:r>
            <w:r w:rsidR="00A57862">
              <w:rPr>
                <w:noProof/>
                <w:webHidden/>
              </w:rPr>
              <w:fldChar w:fldCharType="separate"/>
            </w:r>
            <w:r w:rsidR="00A57862">
              <w:rPr>
                <w:noProof/>
                <w:webHidden/>
              </w:rPr>
              <w:t>16</w:t>
            </w:r>
            <w:r w:rsidR="00A57862">
              <w:rPr>
                <w:noProof/>
                <w:webHidden/>
              </w:rPr>
              <w:fldChar w:fldCharType="end"/>
            </w:r>
          </w:hyperlink>
        </w:p>
        <w:p w14:paraId="7B1DBA09" w14:textId="31F2B8E4" w:rsidR="00A57862" w:rsidRDefault="00912091">
          <w:pPr>
            <w:pStyle w:val="TOC1"/>
            <w:rPr>
              <w:rFonts w:asciiTheme="minorHAnsi" w:eastAsiaTheme="minorEastAsia" w:hAnsiTheme="minorHAnsi" w:cstheme="minorBidi"/>
              <w:b w:val="0"/>
              <w:noProof/>
              <w:color w:val="auto"/>
              <w:szCs w:val="22"/>
              <w:lang w:eastAsia="en-NZ"/>
            </w:rPr>
          </w:pPr>
          <w:hyperlink w:anchor="_Toc168638874" w:history="1">
            <w:r w:rsidR="00A57862" w:rsidRPr="00A139B3">
              <w:rPr>
                <w:rStyle w:val="Hyperlink"/>
                <w:noProof/>
              </w:rPr>
              <w:t>Ūpoko 2: Ngā waiaro ā-pāpori tuku iho ki te taurimatanga</w:t>
            </w:r>
            <w:r w:rsidR="00A57862">
              <w:rPr>
                <w:noProof/>
                <w:webHidden/>
              </w:rPr>
              <w:tab/>
            </w:r>
            <w:r w:rsidR="00A57862">
              <w:rPr>
                <w:noProof/>
                <w:webHidden/>
              </w:rPr>
              <w:fldChar w:fldCharType="begin"/>
            </w:r>
            <w:r w:rsidR="00A57862">
              <w:rPr>
                <w:noProof/>
                <w:webHidden/>
              </w:rPr>
              <w:instrText xml:space="preserve"> PAGEREF _Toc168638874 \h </w:instrText>
            </w:r>
            <w:r w:rsidR="00A57862">
              <w:rPr>
                <w:noProof/>
                <w:webHidden/>
              </w:rPr>
            </w:r>
            <w:r w:rsidR="00A57862">
              <w:rPr>
                <w:noProof/>
                <w:webHidden/>
              </w:rPr>
              <w:fldChar w:fldCharType="separate"/>
            </w:r>
            <w:r w:rsidR="00A57862">
              <w:rPr>
                <w:noProof/>
                <w:webHidden/>
              </w:rPr>
              <w:t>17</w:t>
            </w:r>
            <w:r w:rsidR="00A57862">
              <w:rPr>
                <w:noProof/>
                <w:webHidden/>
              </w:rPr>
              <w:fldChar w:fldCharType="end"/>
            </w:r>
          </w:hyperlink>
        </w:p>
        <w:p w14:paraId="3E76E960" w14:textId="73AFD8A0" w:rsidR="00A57862" w:rsidRDefault="00912091">
          <w:pPr>
            <w:pStyle w:val="TOC1"/>
            <w:rPr>
              <w:rFonts w:asciiTheme="minorHAnsi" w:eastAsiaTheme="minorEastAsia" w:hAnsiTheme="minorHAnsi" w:cstheme="minorBidi"/>
              <w:b w:val="0"/>
              <w:noProof/>
              <w:color w:val="auto"/>
              <w:szCs w:val="22"/>
              <w:lang w:eastAsia="en-NZ"/>
            </w:rPr>
          </w:pPr>
          <w:hyperlink w:anchor="_Toc168638875" w:history="1">
            <w:r w:rsidR="00A57862" w:rsidRPr="00A139B3">
              <w:rPr>
                <w:rStyle w:val="Hyperlink"/>
                <w:noProof/>
              </w:rPr>
              <w:t>Chapter 2: Traditional societal attitudes to care</w:t>
            </w:r>
            <w:r w:rsidR="00A57862">
              <w:rPr>
                <w:noProof/>
                <w:webHidden/>
              </w:rPr>
              <w:tab/>
            </w:r>
            <w:r w:rsidR="00A57862">
              <w:rPr>
                <w:noProof/>
                <w:webHidden/>
              </w:rPr>
              <w:fldChar w:fldCharType="begin"/>
            </w:r>
            <w:r w:rsidR="00A57862">
              <w:rPr>
                <w:noProof/>
                <w:webHidden/>
              </w:rPr>
              <w:instrText xml:space="preserve"> PAGEREF _Toc168638875 \h </w:instrText>
            </w:r>
            <w:r w:rsidR="00A57862">
              <w:rPr>
                <w:noProof/>
                <w:webHidden/>
              </w:rPr>
            </w:r>
            <w:r w:rsidR="00A57862">
              <w:rPr>
                <w:noProof/>
                <w:webHidden/>
              </w:rPr>
              <w:fldChar w:fldCharType="separate"/>
            </w:r>
            <w:r w:rsidR="00A57862">
              <w:rPr>
                <w:noProof/>
                <w:webHidden/>
              </w:rPr>
              <w:t>17</w:t>
            </w:r>
            <w:r w:rsidR="00A57862">
              <w:rPr>
                <w:noProof/>
                <w:webHidden/>
              </w:rPr>
              <w:fldChar w:fldCharType="end"/>
            </w:r>
          </w:hyperlink>
        </w:p>
        <w:p w14:paraId="72E3D652" w14:textId="13B4579E" w:rsidR="00A57862" w:rsidRDefault="00912091">
          <w:pPr>
            <w:pStyle w:val="TOC2"/>
            <w:rPr>
              <w:rFonts w:asciiTheme="minorHAnsi" w:eastAsiaTheme="minorEastAsia" w:hAnsiTheme="minorHAnsi" w:cstheme="minorBidi"/>
              <w:color w:val="auto"/>
              <w:szCs w:val="22"/>
              <w:lang w:eastAsia="en-NZ"/>
            </w:rPr>
          </w:pPr>
          <w:hyperlink w:anchor="_Toc168638876" w:history="1">
            <w:r w:rsidR="00A57862" w:rsidRPr="00A139B3">
              <w:rPr>
                <w:rStyle w:val="Hyperlink"/>
                <w:rFonts w:cs="Arial"/>
              </w:rPr>
              <w:t>Ngā waiaro o te Māori ki te taurimatanga | Māori attitudes to care</w:t>
            </w:r>
            <w:r w:rsidR="00A57862">
              <w:rPr>
                <w:webHidden/>
              </w:rPr>
              <w:tab/>
            </w:r>
            <w:r w:rsidR="00A57862">
              <w:rPr>
                <w:webHidden/>
              </w:rPr>
              <w:fldChar w:fldCharType="begin"/>
            </w:r>
            <w:r w:rsidR="00A57862">
              <w:rPr>
                <w:webHidden/>
              </w:rPr>
              <w:instrText xml:space="preserve"> PAGEREF _Toc168638876 \h </w:instrText>
            </w:r>
            <w:r w:rsidR="00A57862">
              <w:rPr>
                <w:webHidden/>
              </w:rPr>
            </w:r>
            <w:r w:rsidR="00A57862">
              <w:rPr>
                <w:webHidden/>
              </w:rPr>
              <w:fldChar w:fldCharType="separate"/>
            </w:r>
            <w:r w:rsidR="00A57862">
              <w:rPr>
                <w:webHidden/>
              </w:rPr>
              <w:t>17</w:t>
            </w:r>
            <w:r w:rsidR="00A57862">
              <w:rPr>
                <w:webHidden/>
              </w:rPr>
              <w:fldChar w:fldCharType="end"/>
            </w:r>
          </w:hyperlink>
        </w:p>
        <w:p w14:paraId="29A20ED0" w14:textId="22135F72" w:rsidR="00A57862" w:rsidRDefault="00912091">
          <w:pPr>
            <w:pStyle w:val="TOC3"/>
            <w:rPr>
              <w:rFonts w:asciiTheme="minorHAnsi" w:eastAsiaTheme="minorEastAsia" w:hAnsiTheme="minorHAnsi" w:cstheme="minorBidi"/>
              <w:color w:val="auto"/>
              <w:szCs w:val="22"/>
              <w:lang w:eastAsia="en-NZ"/>
            </w:rPr>
          </w:pPr>
          <w:hyperlink w:anchor="_Toc168638877" w:history="1">
            <w:r w:rsidR="00A57862" w:rsidRPr="00A139B3">
              <w:rPr>
                <w:rStyle w:val="Hyperlink"/>
                <w:rFonts w:cs="Arial"/>
              </w:rPr>
              <w:t>Ngā tikanga a te Māori ki te whakatipu tamariki | Traditional Māori models of parenting</w:t>
            </w:r>
            <w:r w:rsidR="00A57862">
              <w:rPr>
                <w:webHidden/>
              </w:rPr>
              <w:tab/>
            </w:r>
            <w:r w:rsidR="00A57862">
              <w:rPr>
                <w:webHidden/>
              </w:rPr>
              <w:fldChar w:fldCharType="begin"/>
            </w:r>
            <w:r w:rsidR="00A57862">
              <w:rPr>
                <w:webHidden/>
              </w:rPr>
              <w:instrText xml:space="preserve"> PAGEREF _Toc168638877 \h </w:instrText>
            </w:r>
            <w:r w:rsidR="00A57862">
              <w:rPr>
                <w:webHidden/>
              </w:rPr>
            </w:r>
            <w:r w:rsidR="00A57862">
              <w:rPr>
                <w:webHidden/>
              </w:rPr>
              <w:fldChar w:fldCharType="separate"/>
            </w:r>
            <w:r w:rsidR="00A57862">
              <w:rPr>
                <w:webHidden/>
              </w:rPr>
              <w:t>17</w:t>
            </w:r>
            <w:r w:rsidR="00A57862">
              <w:rPr>
                <w:webHidden/>
              </w:rPr>
              <w:fldChar w:fldCharType="end"/>
            </w:r>
          </w:hyperlink>
        </w:p>
        <w:p w14:paraId="491F0154" w14:textId="2BD1D377" w:rsidR="00A57862" w:rsidRDefault="00912091">
          <w:pPr>
            <w:pStyle w:val="TOC3"/>
            <w:rPr>
              <w:rFonts w:asciiTheme="minorHAnsi" w:eastAsiaTheme="minorEastAsia" w:hAnsiTheme="minorHAnsi" w:cstheme="minorBidi"/>
              <w:color w:val="auto"/>
              <w:szCs w:val="22"/>
              <w:lang w:eastAsia="en-NZ"/>
            </w:rPr>
          </w:pPr>
          <w:hyperlink w:anchor="_Toc168638878" w:history="1">
            <w:r w:rsidR="00A57862" w:rsidRPr="00A139B3">
              <w:rPr>
                <w:rStyle w:val="Hyperlink"/>
                <w:rFonts w:cs="Arial"/>
              </w:rPr>
              <w:t>Ngā waiaro me ngā rautaki o te Māori ki te hauora me te whaikaha</w:t>
            </w:r>
            <w:r w:rsidR="00A57862">
              <w:rPr>
                <w:webHidden/>
              </w:rPr>
              <w:tab/>
            </w:r>
            <w:r w:rsidR="00A57862">
              <w:rPr>
                <w:webHidden/>
              </w:rPr>
              <w:fldChar w:fldCharType="begin"/>
            </w:r>
            <w:r w:rsidR="00A57862">
              <w:rPr>
                <w:webHidden/>
              </w:rPr>
              <w:instrText xml:space="preserve"> PAGEREF _Toc168638878 \h </w:instrText>
            </w:r>
            <w:r w:rsidR="00A57862">
              <w:rPr>
                <w:webHidden/>
              </w:rPr>
            </w:r>
            <w:r w:rsidR="00A57862">
              <w:rPr>
                <w:webHidden/>
              </w:rPr>
              <w:fldChar w:fldCharType="separate"/>
            </w:r>
            <w:r w:rsidR="00A57862">
              <w:rPr>
                <w:webHidden/>
              </w:rPr>
              <w:t>18</w:t>
            </w:r>
            <w:r w:rsidR="00A57862">
              <w:rPr>
                <w:webHidden/>
              </w:rPr>
              <w:fldChar w:fldCharType="end"/>
            </w:r>
          </w:hyperlink>
        </w:p>
        <w:p w14:paraId="4582BD18" w14:textId="1E60BD34" w:rsidR="00A57862" w:rsidRDefault="00912091">
          <w:pPr>
            <w:pStyle w:val="TOC3"/>
            <w:rPr>
              <w:rFonts w:asciiTheme="minorHAnsi" w:eastAsiaTheme="minorEastAsia" w:hAnsiTheme="minorHAnsi" w:cstheme="minorBidi"/>
              <w:color w:val="auto"/>
              <w:szCs w:val="22"/>
              <w:lang w:eastAsia="en-NZ"/>
            </w:rPr>
          </w:pPr>
          <w:hyperlink w:anchor="_Toc168638879" w:history="1">
            <w:r w:rsidR="00A57862" w:rsidRPr="00A139B3">
              <w:rPr>
                <w:rStyle w:val="Hyperlink"/>
                <w:rFonts w:cs="Arial"/>
              </w:rPr>
              <w:t>Māori attitudes and approaches to health and disability</w:t>
            </w:r>
            <w:r w:rsidR="00A57862">
              <w:rPr>
                <w:webHidden/>
              </w:rPr>
              <w:tab/>
            </w:r>
            <w:r w:rsidR="00A57862">
              <w:rPr>
                <w:webHidden/>
              </w:rPr>
              <w:fldChar w:fldCharType="begin"/>
            </w:r>
            <w:r w:rsidR="00A57862">
              <w:rPr>
                <w:webHidden/>
              </w:rPr>
              <w:instrText xml:space="preserve"> PAGEREF _Toc168638879 \h </w:instrText>
            </w:r>
            <w:r w:rsidR="00A57862">
              <w:rPr>
                <w:webHidden/>
              </w:rPr>
            </w:r>
            <w:r w:rsidR="00A57862">
              <w:rPr>
                <w:webHidden/>
              </w:rPr>
              <w:fldChar w:fldCharType="separate"/>
            </w:r>
            <w:r w:rsidR="00A57862">
              <w:rPr>
                <w:webHidden/>
              </w:rPr>
              <w:t>18</w:t>
            </w:r>
            <w:r w:rsidR="00A57862">
              <w:rPr>
                <w:webHidden/>
              </w:rPr>
              <w:fldChar w:fldCharType="end"/>
            </w:r>
          </w:hyperlink>
        </w:p>
        <w:p w14:paraId="439D29CB" w14:textId="69ED5937" w:rsidR="00A57862" w:rsidRDefault="00912091">
          <w:pPr>
            <w:pStyle w:val="TOC3"/>
            <w:rPr>
              <w:rFonts w:asciiTheme="minorHAnsi" w:eastAsiaTheme="minorEastAsia" w:hAnsiTheme="minorHAnsi" w:cstheme="minorBidi"/>
              <w:color w:val="auto"/>
              <w:szCs w:val="22"/>
              <w:lang w:eastAsia="en-NZ"/>
            </w:rPr>
          </w:pPr>
          <w:hyperlink w:anchor="_Toc168638880" w:history="1">
            <w:r w:rsidR="00A57862" w:rsidRPr="00A139B3">
              <w:rPr>
                <w:rStyle w:val="Hyperlink"/>
                <w:rFonts w:cs="Arial"/>
              </w:rPr>
              <w:t>Ngā waiaro o te Māori ki te iatanga me te hemahematanga</w:t>
            </w:r>
            <w:r w:rsidR="00A57862">
              <w:rPr>
                <w:webHidden/>
              </w:rPr>
              <w:tab/>
            </w:r>
            <w:r w:rsidR="00A57862">
              <w:rPr>
                <w:webHidden/>
              </w:rPr>
              <w:fldChar w:fldCharType="begin"/>
            </w:r>
            <w:r w:rsidR="00A57862">
              <w:rPr>
                <w:webHidden/>
              </w:rPr>
              <w:instrText xml:space="preserve"> PAGEREF _Toc168638880 \h </w:instrText>
            </w:r>
            <w:r w:rsidR="00A57862">
              <w:rPr>
                <w:webHidden/>
              </w:rPr>
            </w:r>
            <w:r w:rsidR="00A57862">
              <w:rPr>
                <w:webHidden/>
              </w:rPr>
              <w:fldChar w:fldCharType="separate"/>
            </w:r>
            <w:r w:rsidR="00A57862">
              <w:rPr>
                <w:webHidden/>
              </w:rPr>
              <w:t>19</w:t>
            </w:r>
            <w:r w:rsidR="00A57862">
              <w:rPr>
                <w:webHidden/>
              </w:rPr>
              <w:fldChar w:fldCharType="end"/>
            </w:r>
          </w:hyperlink>
        </w:p>
        <w:p w14:paraId="7F59360C" w14:textId="0487C987" w:rsidR="00A57862" w:rsidRDefault="00912091">
          <w:pPr>
            <w:pStyle w:val="TOC3"/>
            <w:rPr>
              <w:rFonts w:asciiTheme="minorHAnsi" w:eastAsiaTheme="minorEastAsia" w:hAnsiTheme="minorHAnsi" w:cstheme="minorBidi"/>
              <w:color w:val="auto"/>
              <w:szCs w:val="22"/>
              <w:lang w:eastAsia="en-NZ"/>
            </w:rPr>
          </w:pPr>
          <w:hyperlink w:anchor="_Toc168638881" w:history="1">
            <w:r w:rsidR="00A57862" w:rsidRPr="00A139B3">
              <w:rPr>
                <w:rStyle w:val="Hyperlink"/>
                <w:rFonts w:cs="Arial"/>
              </w:rPr>
              <w:t>Māori attitudes towards gender and sexuality</w:t>
            </w:r>
            <w:r w:rsidR="00A57862">
              <w:rPr>
                <w:webHidden/>
              </w:rPr>
              <w:tab/>
            </w:r>
            <w:r w:rsidR="00A57862">
              <w:rPr>
                <w:webHidden/>
              </w:rPr>
              <w:fldChar w:fldCharType="begin"/>
            </w:r>
            <w:r w:rsidR="00A57862">
              <w:rPr>
                <w:webHidden/>
              </w:rPr>
              <w:instrText xml:space="preserve"> PAGEREF _Toc168638881 \h </w:instrText>
            </w:r>
            <w:r w:rsidR="00A57862">
              <w:rPr>
                <w:webHidden/>
              </w:rPr>
            </w:r>
            <w:r w:rsidR="00A57862">
              <w:rPr>
                <w:webHidden/>
              </w:rPr>
              <w:fldChar w:fldCharType="separate"/>
            </w:r>
            <w:r w:rsidR="00A57862">
              <w:rPr>
                <w:webHidden/>
              </w:rPr>
              <w:t>19</w:t>
            </w:r>
            <w:r w:rsidR="00A57862">
              <w:rPr>
                <w:webHidden/>
              </w:rPr>
              <w:fldChar w:fldCharType="end"/>
            </w:r>
          </w:hyperlink>
        </w:p>
        <w:p w14:paraId="1C7B5A61" w14:textId="27A47DA0" w:rsidR="00A57862" w:rsidRDefault="00912091">
          <w:pPr>
            <w:pStyle w:val="TOC2"/>
            <w:rPr>
              <w:rFonts w:asciiTheme="minorHAnsi" w:eastAsiaTheme="minorEastAsia" w:hAnsiTheme="minorHAnsi" w:cstheme="minorBidi"/>
              <w:color w:val="auto"/>
              <w:szCs w:val="22"/>
              <w:lang w:eastAsia="en-NZ"/>
            </w:rPr>
          </w:pPr>
          <w:hyperlink w:anchor="_Toc168638882" w:history="1">
            <w:r w:rsidR="00A57862" w:rsidRPr="00A139B3">
              <w:rPr>
                <w:rStyle w:val="Hyperlink"/>
                <w:rFonts w:cs="Arial"/>
              </w:rPr>
              <w:t>Ngā waiaro o ngā iwi Pasifika ki te taurimatanga</w:t>
            </w:r>
            <w:r w:rsidR="00A57862">
              <w:rPr>
                <w:webHidden/>
              </w:rPr>
              <w:tab/>
            </w:r>
            <w:r w:rsidR="00A57862">
              <w:rPr>
                <w:webHidden/>
              </w:rPr>
              <w:fldChar w:fldCharType="begin"/>
            </w:r>
            <w:r w:rsidR="00A57862">
              <w:rPr>
                <w:webHidden/>
              </w:rPr>
              <w:instrText xml:space="preserve"> PAGEREF _Toc168638882 \h </w:instrText>
            </w:r>
            <w:r w:rsidR="00A57862">
              <w:rPr>
                <w:webHidden/>
              </w:rPr>
            </w:r>
            <w:r w:rsidR="00A57862">
              <w:rPr>
                <w:webHidden/>
              </w:rPr>
              <w:fldChar w:fldCharType="separate"/>
            </w:r>
            <w:r w:rsidR="00A57862">
              <w:rPr>
                <w:webHidden/>
              </w:rPr>
              <w:t>19</w:t>
            </w:r>
            <w:r w:rsidR="00A57862">
              <w:rPr>
                <w:webHidden/>
              </w:rPr>
              <w:fldChar w:fldCharType="end"/>
            </w:r>
          </w:hyperlink>
        </w:p>
        <w:p w14:paraId="434703FE" w14:textId="07F485C2" w:rsidR="00A57862" w:rsidRDefault="00912091">
          <w:pPr>
            <w:pStyle w:val="TOC2"/>
            <w:rPr>
              <w:rFonts w:asciiTheme="minorHAnsi" w:eastAsiaTheme="minorEastAsia" w:hAnsiTheme="minorHAnsi" w:cstheme="minorBidi"/>
              <w:color w:val="auto"/>
              <w:szCs w:val="22"/>
              <w:lang w:eastAsia="en-NZ"/>
            </w:rPr>
          </w:pPr>
          <w:hyperlink w:anchor="_Toc168638883" w:history="1">
            <w:r w:rsidR="00A57862" w:rsidRPr="00A139B3">
              <w:rPr>
                <w:rStyle w:val="Hyperlink"/>
                <w:rFonts w:cs="Arial"/>
              </w:rPr>
              <w:t>Pacific Peoples’ attitudes to care</w:t>
            </w:r>
            <w:r w:rsidR="00A57862">
              <w:rPr>
                <w:webHidden/>
              </w:rPr>
              <w:tab/>
            </w:r>
            <w:r w:rsidR="00A57862">
              <w:rPr>
                <w:webHidden/>
              </w:rPr>
              <w:fldChar w:fldCharType="begin"/>
            </w:r>
            <w:r w:rsidR="00A57862">
              <w:rPr>
                <w:webHidden/>
              </w:rPr>
              <w:instrText xml:space="preserve"> PAGEREF _Toc168638883 \h </w:instrText>
            </w:r>
            <w:r w:rsidR="00A57862">
              <w:rPr>
                <w:webHidden/>
              </w:rPr>
            </w:r>
            <w:r w:rsidR="00A57862">
              <w:rPr>
                <w:webHidden/>
              </w:rPr>
              <w:fldChar w:fldCharType="separate"/>
            </w:r>
            <w:r w:rsidR="00A57862">
              <w:rPr>
                <w:webHidden/>
              </w:rPr>
              <w:t>19</w:t>
            </w:r>
            <w:r w:rsidR="00A57862">
              <w:rPr>
                <w:webHidden/>
              </w:rPr>
              <w:fldChar w:fldCharType="end"/>
            </w:r>
          </w:hyperlink>
        </w:p>
        <w:p w14:paraId="16710F6D" w14:textId="10400F46" w:rsidR="00A57862" w:rsidRDefault="00912091">
          <w:pPr>
            <w:pStyle w:val="TOC3"/>
            <w:rPr>
              <w:rFonts w:asciiTheme="minorHAnsi" w:eastAsiaTheme="minorEastAsia" w:hAnsiTheme="minorHAnsi" w:cstheme="minorBidi"/>
              <w:color w:val="auto"/>
              <w:szCs w:val="22"/>
              <w:lang w:eastAsia="en-NZ"/>
            </w:rPr>
          </w:pPr>
          <w:hyperlink w:anchor="_Toc168638884" w:history="1">
            <w:r w:rsidR="00A57862" w:rsidRPr="00A139B3">
              <w:rPr>
                <w:rStyle w:val="Hyperlink"/>
              </w:rPr>
              <w:t>Ngā tikanga o ngā iwi Paskifika ki te whakatipu tamariki</w:t>
            </w:r>
            <w:r w:rsidR="00A57862">
              <w:rPr>
                <w:webHidden/>
              </w:rPr>
              <w:tab/>
            </w:r>
            <w:r w:rsidR="00A57862">
              <w:rPr>
                <w:webHidden/>
              </w:rPr>
              <w:fldChar w:fldCharType="begin"/>
            </w:r>
            <w:r w:rsidR="00A57862">
              <w:rPr>
                <w:webHidden/>
              </w:rPr>
              <w:instrText xml:space="preserve"> PAGEREF _Toc168638884 \h </w:instrText>
            </w:r>
            <w:r w:rsidR="00A57862">
              <w:rPr>
                <w:webHidden/>
              </w:rPr>
            </w:r>
            <w:r w:rsidR="00A57862">
              <w:rPr>
                <w:webHidden/>
              </w:rPr>
              <w:fldChar w:fldCharType="separate"/>
            </w:r>
            <w:r w:rsidR="00A57862">
              <w:rPr>
                <w:webHidden/>
              </w:rPr>
              <w:t>19</w:t>
            </w:r>
            <w:r w:rsidR="00A57862">
              <w:rPr>
                <w:webHidden/>
              </w:rPr>
              <w:fldChar w:fldCharType="end"/>
            </w:r>
          </w:hyperlink>
        </w:p>
        <w:p w14:paraId="0A698E82" w14:textId="04EE364C" w:rsidR="00A57862" w:rsidRDefault="00912091">
          <w:pPr>
            <w:pStyle w:val="TOC3"/>
            <w:rPr>
              <w:rFonts w:asciiTheme="minorHAnsi" w:eastAsiaTheme="minorEastAsia" w:hAnsiTheme="minorHAnsi" w:cstheme="minorBidi"/>
              <w:color w:val="auto"/>
              <w:szCs w:val="22"/>
              <w:lang w:eastAsia="en-NZ"/>
            </w:rPr>
          </w:pPr>
          <w:hyperlink w:anchor="_Toc168638885" w:history="1">
            <w:r w:rsidR="00A57862" w:rsidRPr="00A139B3">
              <w:rPr>
                <w:rStyle w:val="Hyperlink"/>
                <w:rFonts w:cs="Arial"/>
              </w:rPr>
              <w:t>Pacific models of parenting</w:t>
            </w:r>
            <w:r w:rsidR="00A57862">
              <w:rPr>
                <w:webHidden/>
              </w:rPr>
              <w:tab/>
            </w:r>
            <w:r w:rsidR="00A57862">
              <w:rPr>
                <w:webHidden/>
              </w:rPr>
              <w:fldChar w:fldCharType="begin"/>
            </w:r>
            <w:r w:rsidR="00A57862">
              <w:rPr>
                <w:webHidden/>
              </w:rPr>
              <w:instrText xml:space="preserve"> PAGEREF _Toc168638885 \h </w:instrText>
            </w:r>
            <w:r w:rsidR="00A57862">
              <w:rPr>
                <w:webHidden/>
              </w:rPr>
            </w:r>
            <w:r w:rsidR="00A57862">
              <w:rPr>
                <w:webHidden/>
              </w:rPr>
              <w:fldChar w:fldCharType="separate"/>
            </w:r>
            <w:r w:rsidR="00A57862">
              <w:rPr>
                <w:webHidden/>
              </w:rPr>
              <w:t>19</w:t>
            </w:r>
            <w:r w:rsidR="00A57862">
              <w:rPr>
                <w:webHidden/>
              </w:rPr>
              <w:fldChar w:fldCharType="end"/>
            </w:r>
          </w:hyperlink>
        </w:p>
        <w:p w14:paraId="0E8CD6C3" w14:textId="469BA5AE" w:rsidR="00A57862" w:rsidRDefault="00912091">
          <w:pPr>
            <w:pStyle w:val="TOC3"/>
            <w:rPr>
              <w:rFonts w:asciiTheme="minorHAnsi" w:eastAsiaTheme="minorEastAsia" w:hAnsiTheme="minorHAnsi" w:cstheme="minorBidi"/>
              <w:color w:val="auto"/>
              <w:szCs w:val="22"/>
              <w:lang w:eastAsia="en-NZ"/>
            </w:rPr>
          </w:pPr>
          <w:hyperlink w:anchor="_Toc168638886" w:history="1">
            <w:r w:rsidR="00A57862" w:rsidRPr="00A139B3">
              <w:rPr>
                <w:rStyle w:val="Hyperlink"/>
                <w:rFonts w:cs="Arial"/>
              </w:rPr>
              <w:t>Ngā waiaor me ngā rautaki o ngā iwi Pasifika ki te hauora me te whaikaha</w:t>
            </w:r>
            <w:r w:rsidR="00A57862">
              <w:rPr>
                <w:webHidden/>
              </w:rPr>
              <w:tab/>
            </w:r>
            <w:r w:rsidR="00A57862">
              <w:rPr>
                <w:webHidden/>
              </w:rPr>
              <w:fldChar w:fldCharType="begin"/>
            </w:r>
            <w:r w:rsidR="00A57862">
              <w:rPr>
                <w:webHidden/>
              </w:rPr>
              <w:instrText xml:space="preserve"> PAGEREF _Toc168638886 \h </w:instrText>
            </w:r>
            <w:r w:rsidR="00A57862">
              <w:rPr>
                <w:webHidden/>
              </w:rPr>
            </w:r>
            <w:r w:rsidR="00A57862">
              <w:rPr>
                <w:webHidden/>
              </w:rPr>
              <w:fldChar w:fldCharType="separate"/>
            </w:r>
            <w:r w:rsidR="00A57862">
              <w:rPr>
                <w:webHidden/>
              </w:rPr>
              <w:t>20</w:t>
            </w:r>
            <w:r w:rsidR="00A57862">
              <w:rPr>
                <w:webHidden/>
              </w:rPr>
              <w:fldChar w:fldCharType="end"/>
            </w:r>
          </w:hyperlink>
        </w:p>
        <w:p w14:paraId="4C17BFE5" w14:textId="4C527C52" w:rsidR="00A57862" w:rsidRDefault="00912091">
          <w:pPr>
            <w:pStyle w:val="TOC3"/>
            <w:rPr>
              <w:rFonts w:asciiTheme="minorHAnsi" w:eastAsiaTheme="minorEastAsia" w:hAnsiTheme="minorHAnsi" w:cstheme="minorBidi"/>
              <w:color w:val="auto"/>
              <w:szCs w:val="22"/>
              <w:lang w:eastAsia="en-NZ"/>
            </w:rPr>
          </w:pPr>
          <w:hyperlink w:anchor="_Toc168638887" w:history="1">
            <w:r w:rsidR="00A57862" w:rsidRPr="00A139B3">
              <w:rPr>
                <w:rStyle w:val="Hyperlink"/>
                <w:rFonts w:cs="Arial"/>
              </w:rPr>
              <w:t>Pacific Peoples’ approaches to health and disability</w:t>
            </w:r>
            <w:r w:rsidR="00A57862">
              <w:rPr>
                <w:webHidden/>
              </w:rPr>
              <w:tab/>
            </w:r>
            <w:r w:rsidR="00A57862">
              <w:rPr>
                <w:webHidden/>
              </w:rPr>
              <w:fldChar w:fldCharType="begin"/>
            </w:r>
            <w:r w:rsidR="00A57862">
              <w:rPr>
                <w:webHidden/>
              </w:rPr>
              <w:instrText xml:space="preserve"> PAGEREF _Toc168638887 \h </w:instrText>
            </w:r>
            <w:r w:rsidR="00A57862">
              <w:rPr>
                <w:webHidden/>
              </w:rPr>
            </w:r>
            <w:r w:rsidR="00A57862">
              <w:rPr>
                <w:webHidden/>
              </w:rPr>
              <w:fldChar w:fldCharType="separate"/>
            </w:r>
            <w:r w:rsidR="00A57862">
              <w:rPr>
                <w:webHidden/>
              </w:rPr>
              <w:t>20</w:t>
            </w:r>
            <w:r w:rsidR="00A57862">
              <w:rPr>
                <w:webHidden/>
              </w:rPr>
              <w:fldChar w:fldCharType="end"/>
            </w:r>
          </w:hyperlink>
        </w:p>
        <w:p w14:paraId="462991DA" w14:textId="15072087" w:rsidR="00A57862" w:rsidRDefault="00912091">
          <w:pPr>
            <w:pStyle w:val="TOC2"/>
            <w:rPr>
              <w:rFonts w:asciiTheme="minorHAnsi" w:eastAsiaTheme="minorEastAsia" w:hAnsiTheme="minorHAnsi" w:cstheme="minorBidi"/>
              <w:color w:val="auto"/>
              <w:szCs w:val="22"/>
              <w:lang w:eastAsia="en-NZ"/>
            </w:rPr>
          </w:pPr>
          <w:hyperlink w:anchor="_Toc168638888" w:history="1">
            <w:r w:rsidR="00A57862" w:rsidRPr="00A139B3">
              <w:rPr>
                <w:rStyle w:val="Hyperlink"/>
                <w:rFonts w:cs="Arial"/>
              </w:rPr>
              <w:t>Ngā waiaro o ngā iwi manene ki te taurimatanga</w:t>
            </w:r>
            <w:r w:rsidR="00A57862">
              <w:rPr>
                <w:webHidden/>
              </w:rPr>
              <w:tab/>
            </w:r>
            <w:r w:rsidR="00A57862">
              <w:rPr>
                <w:webHidden/>
              </w:rPr>
              <w:fldChar w:fldCharType="begin"/>
            </w:r>
            <w:r w:rsidR="00A57862">
              <w:rPr>
                <w:webHidden/>
              </w:rPr>
              <w:instrText xml:space="preserve"> PAGEREF _Toc168638888 \h </w:instrText>
            </w:r>
            <w:r w:rsidR="00A57862">
              <w:rPr>
                <w:webHidden/>
              </w:rPr>
            </w:r>
            <w:r w:rsidR="00A57862">
              <w:rPr>
                <w:webHidden/>
              </w:rPr>
              <w:fldChar w:fldCharType="separate"/>
            </w:r>
            <w:r w:rsidR="00A57862">
              <w:rPr>
                <w:webHidden/>
              </w:rPr>
              <w:t>20</w:t>
            </w:r>
            <w:r w:rsidR="00A57862">
              <w:rPr>
                <w:webHidden/>
              </w:rPr>
              <w:fldChar w:fldCharType="end"/>
            </w:r>
          </w:hyperlink>
        </w:p>
        <w:p w14:paraId="43CD33FC" w14:textId="32CD0FDD" w:rsidR="00A57862" w:rsidRDefault="00912091">
          <w:pPr>
            <w:pStyle w:val="TOC2"/>
            <w:rPr>
              <w:rFonts w:asciiTheme="minorHAnsi" w:eastAsiaTheme="minorEastAsia" w:hAnsiTheme="minorHAnsi" w:cstheme="minorBidi"/>
              <w:color w:val="auto"/>
              <w:szCs w:val="22"/>
              <w:lang w:eastAsia="en-NZ"/>
            </w:rPr>
          </w:pPr>
          <w:hyperlink w:anchor="_Toc168638889" w:history="1">
            <w:r w:rsidR="00A57862" w:rsidRPr="00A139B3">
              <w:rPr>
                <w:rStyle w:val="Hyperlink"/>
                <w:rFonts w:cs="Arial"/>
              </w:rPr>
              <w:t>Settlers’ attitudes towards care</w:t>
            </w:r>
            <w:r w:rsidR="00A57862">
              <w:rPr>
                <w:webHidden/>
              </w:rPr>
              <w:tab/>
            </w:r>
            <w:r w:rsidR="00A57862">
              <w:rPr>
                <w:webHidden/>
              </w:rPr>
              <w:fldChar w:fldCharType="begin"/>
            </w:r>
            <w:r w:rsidR="00A57862">
              <w:rPr>
                <w:webHidden/>
              </w:rPr>
              <w:instrText xml:space="preserve"> PAGEREF _Toc168638889 \h </w:instrText>
            </w:r>
            <w:r w:rsidR="00A57862">
              <w:rPr>
                <w:webHidden/>
              </w:rPr>
            </w:r>
            <w:r w:rsidR="00A57862">
              <w:rPr>
                <w:webHidden/>
              </w:rPr>
              <w:fldChar w:fldCharType="separate"/>
            </w:r>
            <w:r w:rsidR="00A57862">
              <w:rPr>
                <w:webHidden/>
              </w:rPr>
              <w:t>20</w:t>
            </w:r>
            <w:r w:rsidR="00A57862">
              <w:rPr>
                <w:webHidden/>
              </w:rPr>
              <w:fldChar w:fldCharType="end"/>
            </w:r>
          </w:hyperlink>
        </w:p>
        <w:p w14:paraId="32501194" w14:textId="19977AF3" w:rsidR="00A57862" w:rsidRDefault="00912091">
          <w:pPr>
            <w:pStyle w:val="TOC3"/>
            <w:rPr>
              <w:rFonts w:asciiTheme="minorHAnsi" w:eastAsiaTheme="minorEastAsia" w:hAnsiTheme="minorHAnsi" w:cstheme="minorBidi"/>
              <w:color w:val="auto"/>
              <w:szCs w:val="22"/>
              <w:lang w:eastAsia="en-NZ"/>
            </w:rPr>
          </w:pPr>
          <w:hyperlink w:anchor="_Toc168638890" w:history="1">
            <w:r w:rsidR="00A57862" w:rsidRPr="00A139B3">
              <w:rPr>
                <w:rStyle w:val="Hyperlink"/>
              </w:rPr>
              <w:t>Te taurima i te hunga e rongo ana i te wairangitanga</w:t>
            </w:r>
            <w:r w:rsidR="00A57862">
              <w:rPr>
                <w:webHidden/>
              </w:rPr>
              <w:tab/>
            </w:r>
            <w:r w:rsidR="00A57862">
              <w:rPr>
                <w:webHidden/>
              </w:rPr>
              <w:fldChar w:fldCharType="begin"/>
            </w:r>
            <w:r w:rsidR="00A57862">
              <w:rPr>
                <w:webHidden/>
              </w:rPr>
              <w:instrText xml:space="preserve"> PAGEREF _Toc168638890 \h </w:instrText>
            </w:r>
            <w:r w:rsidR="00A57862">
              <w:rPr>
                <w:webHidden/>
              </w:rPr>
            </w:r>
            <w:r w:rsidR="00A57862">
              <w:rPr>
                <w:webHidden/>
              </w:rPr>
              <w:fldChar w:fldCharType="separate"/>
            </w:r>
            <w:r w:rsidR="00A57862">
              <w:rPr>
                <w:webHidden/>
              </w:rPr>
              <w:t>20</w:t>
            </w:r>
            <w:r w:rsidR="00A57862">
              <w:rPr>
                <w:webHidden/>
              </w:rPr>
              <w:fldChar w:fldCharType="end"/>
            </w:r>
          </w:hyperlink>
        </w:p>
        <w:p w14:paraId="44BF3C19" w14:textId="54601DE6" w:rsidR="00A57862" w:rsidRDefault="00912091">
          <w:pPr>
            <w:pStyle w:val="TOC3"/>
            <w:rPr>
              <w:rFonts w:asciiTheme="minorHAnsi" w:eastAsiaTheme="minorEastAsia" w:hAnsiTheme="minorHAnsi" w:cstheme="minorBidi"/>
              <w:color w:val="auto"/>
              <w:szCs w:val="22"/>
              <w:lang w:eastAsia="en-NZ"/>
            </w:rPr>
          </w:pPr>
          <w:hyperlink w:anchor="_Toc168638891" w:history="1">
            <w:r w:rsidR="00A57862" w:rsidRPr="00A139B3">
              <w:rPr>
                <w:rStyle w:val="Hyperlink"/>
              </w:rPr>
              <w:t>Caring for people experiencing mental distress</w:t>
            </w:r>
            <w:r w:rsidR="00A57862">
              <w:rPr>
                <w:webHidden/>
              </w:rPr>
              <w:tab/>
            </w:r>
            <w:r w:rsidR="00A57862">
              <w:rPr>
                <w:webHidden/>
              </w:rPr>
              <w:fldChar w:fldCharType="begin"/>
            </w:r>
            <w:r w:rsidR="00A57862">
              <w:rPr>
                <w:webHidden/>
              </w:rPr>
              <w:instrText xml:space="preserve"> PAGEREF _Toc168638891 \h </w:instrText>
            </w:r>
            <w:r w:rsidR="00A57862">
              <w:rPr>
                <w:webHidden/>
              </w:rPr>
            </w:r>
            <w:r w:rsidR="00A57862">
              <w:rPr>
                <w:webHidden/>
              </w:rPr>
              <w:fldChar w:fldCharType="separate"/>
            </w:r>
            <w:r w:rsidR="00A57862">
              <w:rPr>
                <w:webHidden/>
              </w:rPr>
              <w:t>20</w:t>
            </w:r>
            <w:r w:rsidR="00A57862">
              <w:rPr>
                <w:webHidden/>
              </w:rPr>
              <w:fldChar w:fldCharType="end"/>
            </w:r>
          </w:hyperlink>
        </w:p>
        <w:p w14:paraId="7771630B" w14:textId="5F27D573" w:rsidR="00A57862" w:rsidRDefault="00912091">
          <w:pPr>
            <w:pStyle w:val="TOC3"/>
            <w:rPr>
              <w:rFonts w:asciiTheme="minorHAnsi" w:eastAsiaTheme="minorEastAsia" w:hAnsiTheme="minorHAnsi" w:cstheme="minorBidi"/>
              <w:color w:val="auto"/>
              <w:szCs w:val="22"/>
              <w:lang w:eastAsia="en-NZ"/>
            </w:rPr>
          </w:pPr>
          <w:hyperlink w:anchor="_Toc168638892" w:history="1">
            <w:r w:rsidR="00A57862" w:rsidRPr="00A139B3">
              <w:rPr>
                <w:rStyle w:val="Hyperlink"/>
                <w:rFonts w:cs="Arial"/>
              </w:rPr>
              <w:t>Te taurima tamariki | Caring for children</w:t>
            </w:r>
            <w:r w:rsidR="00A57862">
              <w:rPr>
                <w:webHidden/>
              </w:rPr>
              <w:tab/>
            </w:r>
            <w:r w:rsidR="00A57862">
              <w:rPr>
                <w:webHidden/>
              </w:rPr>
              <w:fldChar w:fldCharType="begin"/>
            </w:r>
            <w:r w:rsidR="00A57862">
              <w:rPr>
                <w:webHidden/>
              </w:rPr>
              <w:instrText xml:space="preserve"> PAGEREF _Toc168638892 \h </w:instrText>
            </w:r>
            <w:r w:rsidR="00A57862">
              <w:rPr>
                <w:webHidden/>
              </w:rPr>
            </w:r>
            <w:r w:rsidR="00A57862">
              <w:rPr>
                <w:webHidden/>
              </w:rPr>
              <w:fldChar w:fldCharType="separate"/>
            </w:r>
            <w:r w:rsidR="00A57862">
              <w:rPr>
                <w:webHidden/>
              </w:rPr>
              <w:t>21</w:t>
            </w:r>
            <w:r w:rsidR="00A57862">
              <w:rPr>
                <w:webHidden/>
              </w:rPr>
              <w:fldChar w:fldCharType="end"/>
            </w:r>
          </w:hyperlink>
        </w:p>
        <w:p w14:paraId="53F1A6A3" w14:textId="1001F249" w:rsidR="00A57862" w:rsidRDefault="00912091">
          <w:pPr>
            <w:pStyle w:val="TOC3"/>
            <w:rPr>
              <w:rFonts w:asciiTheme="minorHAnsi" w:eastAsiaTheme="minorEastAsia" w:hAnsiTheme="minorHAnsi" w:cstheme="minorBidi"/>
              <w:color w:val="auto"/>
              <w:szCs w:val="22"/>
              <w:lang w:eastAsia="en-NZ"/>
            </w:rPr>
          </w:pPr>
          <w:hyperlink w:anchor="_Toc168638893" w:history="1">
            <w:r w:rsidR="00A57862" w:rsidRPr="00A139B3">
              <w:rPr>
                <w:rStyle w:val="Hyperlink"/>
                <w:rFonts w:cs="Arial"/>
              </w:rPr>
              <w:t>Te orokohanga o ngā whakaritenga taurima i Aotearoa</w:t>
            </w:r>
            <w:r w:rsidR="00A57862">
              <w:rPr>
                <w:webHidden/>
              </w:rPr>
              <w:tab/>
            </w:r>
            <w:r w:rsidR="00A57862">
              <w:rPr>
                <w:webHidden/>
              </w:rPr>
              <w:fldChar w:fldCharType="begin"/>
            </w:r>
            <w:r w:rsidR="00A57862">
              <w:rPr>
                <w:webHidden/>
              </w:rPr>
              <w:instrText xml:space="preserve"> PAGEREF _Toc168638893 \h </w:instrText>
            </w:r>
            <w:r w:rsidR="00A57862">
              <w:rPr>
                <w:webHidden/>
              </w:rPr>
            </w:r>
            <w:r w:rsidR="00A57862">
              <w:rPr>
                <w:webHidden/>
              </w:rPr>
              <w:fldChar w:fldCharType="separate"/>
            </w:r>
            <w:r w:rsidR="00A57862">
              <w:rPr>
                <w:webHidden/>
              </w:rPr>
              <w:t>22</w:t>
            </w:r>
            <w:r w:rsidR="00A57862">
              <w:rPr>
                <w:webHidden/>
              </w:rPr>
              <w:fldChar w:fldCharType="end"/>
            </w:r>
          </w:hyperlink>
        </w:p>
        <w:p w14:paraId="7892AEFA" w14:textId="3CBCC8AB" w:rsidR="00A57862" w:rsidRDefault="00912091">
          <w:pPr>
            <w:pStyle w:val="TOC3"/>
            <w:rPr>
              <w:rFonts w:asciiTheme="minorHAnsi" w:eastAsiaTheme="minorEastAsia" w:hAnsiTheme="minorHAnsi" w:cstheme="minorBidi"/>
              <w:color w:val="auto"/>
              <w:szCs w:val="22"/>
              <w:lang w:eastAsia="en-NZ"/>
            </w:rPr>
          </w:pPr>
          <w:hyperlink w:anchor="_Toc168638894" w:history="1">
            <w:r w:rsidR="00A57862" w:rsidRPr="00A139B3">
              <w:rPr>
                <w:rStyle w:val="Hyperlink"/>
                <w:rFonts w:cs="Arial"/>
              </w:rPr>
              <w:t>Origins of care settings in Aotearoa New Zealand</w:t>
            </w:r>
            <w:r w:rsidR="00A57862">
              <w:rPr>
                <w:webHidden/>
              </w:rPr>
              <w:tab/>
            </w:r>
            <w:r w:rsidR="00A57862">
              <w:rPr>
                <w:webHidden/>
              </w:rPr>
              <w:fldChar w:fldCharType="begin"/>
            </w:r>
            <w:r w:rsidR="00A57862">
              <w:rPr>
                <w:webHidden/>
              </w:rPr>
              <w:instrText xml:space="preserve"> PAGEREF _Toc168638894 \h </w:instrText>
            </w:r>
            <w:r w:rsidR="00A57862">
              <w:rPr>
                <w:webHidden/>
              </w:rPr>
            </w:r>
            <w:r w:rsidR="00A57862">
              <w:rPr>
                <w:webHidden/>
              </w:rPr>
              <w:fldChar w:fldCharType="separate"/>
            </w:r>
            <w:r w:rsidR="00A57862">
              <w:rPr>
                <w:webHidden/>
              </w:rPr>
              <w:t>22</w:t>
            </w:r>
            <w:r w:rsidR="00A57862">
              <w:rPr>
                <w:webHidden/>
              </w:rPr>
              <w:fldChar w:fldCharType="end"/>
            </w:r>
          </w:hyperlink>
        </w:p>
        <w:p w14:paraId="2E4F9F03" w14:textId="0D3CFE94" w:rsidR="00A57862" w:rsidRDefault="00912091">
          <w:pPr>
            <w:pStyle w:val="TOC4"/>
            <w:rPr>
              <w:rFonts w:asciiTheme="minorHAnsi" w:eastAsiaTheme="minorEastAsia" w:hAnsiTheme="minorHAnsi" w:cstheme="minorBidi"/>
              <w:color w:val="auto"/>
              <w:szCs w:val="22"/>
              <w:lang w:eastAsia="en-NZ"/>
            </w:rPr>
          </w:pPr>
          <w:hyperlink w:anchor="_Toc168638895" w:history="1">
            <w:r w:rsidR="00A57862" w:rsidRPr="00A139B3">
              <w:rPr>
                <w:rStyle w:val="Hyperlink"/>
              </w:rPr>
              <w:t>Te mākohakoha me te taurima i te hunga rawakore i te rautau 19 i Piritana</w:t>
            </w:r>
            <w:r w:rsidR="00A57862">
              <w:rPr>
                <w:webHidden/>
              </w:rPr>
              <w:tab/>
            </w:r>
            <w:r w:rsidR="00A57862">
              <w:rPr>
                <w:webHidden/>
              </w:rPr>
              <w:fldChar w:fldCharType="begin"/>
            </w:r>
            <w:r w:rsidR="00A57862">
              <w:rPr>
                <w:webHidden/>
              </w:rPr>
              <w:instrText xml:space="preserve"> PAGEREF _Toc168638895 \h </w:instrText>
            </w:r>
            <w:r w:rsidR="00A57862">
              <w:rPr>
                <w:webHidden/>
              </w:rPr>
            </w:r>
            <w:r w:rsidR="00A57862">
              <w:rPr>
                <w:webHidden/>
              </w:rPr>
              <w:fldChar w:fldCharType="separate"/>
            </w:r>
            <w:r w:rsidR="00A57862">
              <w:rPr>
                <w:webHidden/>
              </w:rPr>
              <w:t>22</w:t>
            </w:r>
            <w:r w:rsidR="00A57862">
              <w:rPr>
                <w:webHidden/>
              </w:rPr>
              <w:fldChar w:fldCharType="end"/>
            </w:r>
          </w:hyperlink>
        </w:p>
        <w:p w14:paraId="3F940909" w14:textId="4CA4D0AB" w:rsidR="00A57862" w:rsidRDefault="00912091">
          <w:pPr>
            <w:pStyle w:val="TOC4"/>
            <w:rPr>
              <w:rFonts w:asciiTheme="minorHAnsi" w:eastAsiaTheme="minorEastAsia" w:hAnsiTheme="minorHAnsi" w:cstheme="minorBidi"/>
              <w:color w:val="auto"/>
              <w:szCs w:val="22"/>
              <w:lang w:eastAsia="en-NZ"/>
            </w:rPr>
          </w:pPr>
          <w:hyperlink w:anchor="_Toc168638896" w:history="1">
            <w:r w:rsidR="00A57862" w:rsidRPr="00A139B3">
              <w:rPr>
                <w:rStyle w:val="Hyperlink"/>
              </w:rPr>
              <w:t>Charity and care for the poor in 19</w:t>
            </w:r>
            <w:r w:rsidR="00A57862" w:rsidRPr="00A139B3">
              <w:rPr>
                <w:rStyle w:val="Hyperlink"/>
                <w:vertAlign w:val="superscript"/>
              </w:rPr>
              <w:t>th</w:t>
            </w:r>
            <w:r w:rsidR="00A57862" w:rsidRPr="00A139B3">
              <w:rPr>
                <w:rStyle w:val="Hyperlink"/>
              </w:rPr>
              <w:t xml:space="preserve"> century Britain</w:t>
            </w:r>
            <w:r w:rsidR="00A57862">
              <w:rPr>
                <w:webHidden/>
              </w:rPr>
              <w:tab/>
            </w:r>
            <w:r w:rsidR="00A57862">
              <w:rPr>
                <w:webHidden/>
              </w:rPr>
              <w:fldChar w:fldCharType="begin"/>
            </w:r>
            <w:r w:rsidR="00A57862">
              <w:rPr>
                <w:webHidden/>
              </w:rPr>
              <w:instrText xml:space="preserve"> PAGEREF _Toc168638896 \h </w:instrText>
            </w:r>
            <w:r w:rsidR="00A57862">
              <w:rPr>
                <w:webHidden/>
              </w:rPr>
            </w:r>
            <w:r w:rsidR="00A57862">
              <w:rPr>
                <w:webHidden/>
              </w:rPr>
              <w:fldChar w:fldCharType="separate"/>
            </w:r>
            <w:r w:rsidR="00A57862">
              <w:rPr>
                <w:webHidden/>
              </w:rPr>
              <w:t>22</w:t>
            </w:r>
            <w:r w:rsidR="00A57862">
              <w:rPr>
                <w:webHidden/>
              </w:rPr>
              <w:fldChar w:fldCharType="end"/>
            </w:r>
          </w:hyperlink>
        </w:p>
        <w:p w14:paraId="2D2B7B08" w14:textId="6FD60553" w:rsidR="00A57862" w:rsidRDefault="00912091">
          <w:pPr>
            <w:pStyle w:val="TOC4"/>
            <w:rPr>
              <w:rFonts w:asciiTheme="minorHAnsi" w:eastAsiaTheme="minorEastAsia" w:hAnsiTheme="minorHAnsi" w:cstheme="minorBidi"/>
              <w:color w:val="auto"/>
              <w:szCs w:val="22"/>
              <w:lang w:eastAsia="en-NZ"/>
            </w:rPr>
          </w:pPr>
          <w:hyperlink w:anchor="_Toc168638897" w:history="1">
            <w:r w:rsidR="00A57862" w:rsidRPr="00A139B3">
              <w:rPr>
                <w:rStyle w:val="Hyperlink"/>
              </w:rPr>
              <w:t>Te taurimatanga me te tokoora i te rautau 19 Aotearoa</w:t>
            </w:r>
            <w:r w:rsidR="00A57862">
              <w:rPr>
                <w:webHidden/>
              </w:rPr>
              <w:tab/>
            </w:r>
            <w:r w:rsidR="00A57862">
              <w:rPr>
                <w:webHidden/>
              </w:rPr>
              <w:fldChar w:fldCharType="begin"/>
            </w:r>
            <w:r w:rsidR="00A57862">
              <w:rPr>
                <w:webHidden/>
              </w:rPr>
              <w:instrText xml:space="preserve"> PAGEREF _Toc168638897 \h </w:instrText>
            </w:r>
            <w:r w:rsidR="00A57862">
              <w:rPr>
                <w:webHidden/>
              </w:rPr>
            </w:r>
            <w:r w:rsidR="00A57862">
              <w:rPr>
                <w:webHidden/>
              </w:rPr>
              <w:fldChar w:fldCharType="separate"/>
            </w:r>
            <w:r w:rsidR="00A57862">
              <w:rPr>
                <w:webHidden/>
              </w:rPr>
              <w:t>23</w:t>
            </w:r>
            <w:r w:rsidR="00A57862">
              <w:rPr>
                <w:webHidden/>
              </w:rPr>
              <w:fldChar w:fldCharType="end"/>
            </w:r>
          </w:hyperlink>
        </w:p>
        <w:p w14:paraId="781BB6CC" w14:textId="40B9D853" w:rsidR="00A57862" w:rsidRDefault="00912091">
          <w:pPr>
            <w:pStyle w:val="TOC4"/>
            <w:rPr>
              <w:rFonts w:asciiTheme="minorHAnsi" w:eastAsiaTheme="minorEastAsia" w:hAnsiTheme="minorHAnsi" w:cstheme="minorBidi"/>
              <w:color w:val="auto"/>
              <w:szCs w:val="22"/>
              <w:lang w:eastAsia="en-NZ"/>
            </w:rPr>
          </w:pPr>
          <w:hyperlink w:anchor="_Toc168638898" w:history="1">
            <w:r w:rsidR="00A57862" w:rsidRPr="00A139B3">
              <w:rPr>
                <w:rStyle w:val="Hyperlink"/>
              </w:rPr>
              <w:t>Care and welfare in 19</w:t>
            </w:r>
            <w:r w:rsidR="00A57862" w:rsidRPr="00A139B3">
              <w:rPr>
                <w:rStyle w:val="Hyperlink"/>
                <w:vertAlign w:val="superscript"/>
              </w:rPr>
              <w:t>th</w:t>
            </w:r>
            <w:r w:rsidR="00A57862" w:rsidRPr="00A139B3">
              <w:rPr>
                <w:rStyle w:val="Hyperlink"/>
              </w:rPr>
              <w:t xml:space="preserve"> century Aotearoa New Zealand</w:t>
            </w:r>
            <w:r w:rsidR="00A57862">
              <w:rPr>
                <w:webHidden/>
              </w:rPr>
              <w:tab/>
            </w:r>
            <w:r w:rsidR="00A57862">
              <w:rPr>
                <w:webHidden/>
              </w:rPr>
              <w:fldChar w:fldCharType="begin"/>
            </w:r>
            <w:r w:rsidR="00A57862">
              <w:rPr>
                <w:webHidden/>
              </w:rPr>
              <w:instrText xml:space="preserve"> PAGEREF _Toc168638898 \h </w:instrText>
            </w:r>
            <w:r w:rsidR="00A57862">
              <w:rPr>
                <w:webHidden/>
              </w:rPr>
            </w:r>
            <w:r w:rsidR="00A57862">
              <w:rPr>
                <w:webHidden/>
              </w:rPr>
              <w:fldChar w:fldCharType="separate"/>
            </w:r>
            <w:r w:rsidR="00A57862">
              <w:rPr>
                <w:webHidden/>
              </w:rPr>
              <w:t>23</w:t>
            </w:r>
            <w:r w:rsidR="00A57862">
              <w:rPr>
                <w:webHidden/>
              </w:rPr>
              <w:fldChar w:fldCharType="end"/>
            </w:r>
          </w:hyperlink>
        </w:p>
        <w:p w14:paraId="5A40A898" w14:textId="76138357" w:rsidR="00A57862" w:rsidRDefault="00912091">
          <w:pPr>
            <w:pStyle w:val="TOC1"/>
            <w:rPr>
              <w:rFonts w:asciiTheme="minorHAnsi" w:eastAsiaTheme="minorEastAsia" w:hAnsiTheme="minorHAnsi" w:cstheme="minorBidi"/>
              <w:b w:val="0"/>
              <w:noProof/>
              <w:color w:val="auto"/>
              <w:szCs w:val="22"/>
              <w:lang w:eastAsia="en-NZ"/>
            </w:rPr>
          </w:pPr>
          <w:hyperlink w:anchor="_Toc168638899" w:history="1">
            <w:r w:rsidR="00A57862" w:rsidRPr="00A139B3">
              <w:rPr>
                <w:rStyle w:val="Hyperlink"/>
                <w:noProof/>
                <w:lang w:val="pt-BR"/>
              </w:rPr>
              <w:t>Ngā wheako o te purapura ora</w:t>
            </w:r>
            <w:r w:rsidR="00A57862">
              <w:rPr>
                <w:noProof/>
                <w:webHidden/>
              </w:rPr>
              <w:tab/>
            </w:r>
            <w:r w:rsidR="00A57862">
              <w:rPr>
                <w:noProof/>
                <w:webHidden/>
              </w:rPr>
              <w:fldChar w:fldCharType="begin"/>
            </w:r>
            <w:r w:rsidR="00A57862">
              <w:rPr>
                <w:noProof/>
                <w:webHidden/>
              </w:rPr>
              <w:instrText xml:space="preserve"> PAGEREF _Toc168638899 \h </w:instrText>
            </w:r>
            <w:r w:rsidR="00A57862">
              <w:rPr>
                <w:noProof/>
                <w:webHidden/>
              </w:rPr>
            </w:r>
            <w:r w:rsidR="00A57862">
              <w:rPr>
                <w:noProof/>
                <w:webHidden/>
              </w:rPr>
              <w:fldChar w:fldCharType="separate"/>
            </w:r>
            <w:r w:rsidR="00A57862">
              <w:rPr>
                <w:noProof/>
                <w:webHidden/>
              </w:rPr>
              <w:t>26</w:t>
            </w:r>
            <w:r w:rsidR="00A57862">
              <w:rPr>
                <w:noProof/>
                <w:webHidden/>
              </w:rPr>
              <w:fldChar w:fldCharType="end"/>
            </w:r>
          </w:hyperlink>
        </w:p>
        <w:p w14:paraId="7D90AC0D" w14:textId="7CD7AA0C" w:rsidR="00A57862" w:rsidRDefault="00912091">
          <w:pPr>
            <w:pStyle w:val="TOC1"/>
            <w:rPr>
              <w:rFonts w:asciiTheme="minorHAnsi" w:eastAsiaTheme="minorEastAsia" w:hAnsiTheme="minorHAnsi" w:cstheme="minorBidi"/>
              <w:b w:val="0"/>
              <w:noProof/>
              <w:color w:val="auto"/>
              <w:szCs w:val="22"/>
              <w:lang w:eastAsia="en-NZ"/>
            </w:rPr>
          </w:pPr>
          <w:hyperlink w:anchor="_Toc168638900" w:history="1">
            <w:r w:rsidR="00A57862" w:rsidRPr="00A139B3">
              <w:rPr>
                <w:rStyle w:val="Hyperlink"/>
                <w:noProof/>
                <w:lang w:val="pt-BR"/>
              </w:rPr>
              <w:t>Survivor experience: Whiti Ronaki</w:t>
            </w:r>
            <w:r w:rsidR="00A57862">
              <w:rPr>
                <w:noProof/>
                <w:webHidden/>
              </w:rPr>
              <w:tab/>
            </w:r>
            <w:r w:rsidR="00A57862">
              <w:rPr>
                <w:noProof/>
                <w:webHidden/>
              </w:rPr>
              <w:fldChar w:fldCharType="begin"/>
            </w:r>
            <w:r w:rsidR="00A57862">
              <w:rPr>
                <w:noProof/>
                <w:webHidden/>
              </w:rPr>
              <w:instrText xml:space="preserve"> PAGEREF _Toc168638900 \h </w:instrText>
            </w:r>
            <w:r w:rsidR="00A57862">
              <w:rPr>
                <w:noProof/>
                <w:webHidden/>
              </w:rPr>
            </w:r>
            <w:r w:rsidR="00A57862">
              <w:rPr>
                <w:noProof/>
                <w:webHidden/>
              </w:rPr>
              <w:fldChar w:fldCharType="separate"/>
            </w:r>
            <w:r w:rsidR="00A57862">
              <w:rPr>
                <w:noProof/>
                <w:webHidden/>
              </w:rPr>
              <w:t>26</w:t>
            </w:r>
            <w:r w:rsidR="00A57862">
              <w:rPr>
                <w:noProof/>
                <w:webHidden/>
              </w:rPr>
              <w:fldChar w:fldCharType="end"/>
            </w:r>
          </w:hyperlink>
        </w:p>
        <w:p w14:paraId="322570F3" w14:textId="1E3D065D" w:rsidR="00A57862" w:rsidRDefault="00912091">
          <w:pPr>
            <w:pStyle w:val="TOC1"/>
            <w:rPr>
              <w:rFonts w:asciiTheme="minorHAnsi" w:eastAsiaTheme="minorEastAsia" w:hAnsiTheme="minorHAnsi" w:cstheme="minorBidi"/>
              <w:b w:val="0"/>
              <w:noProof/>
              <w:color w:val="auto"/>
              <w:szCs w:val="22"/>
              <w:lang w:eastAsia="en-NZ"/>
            </w:rPr>
          </w:pPr>
          <w:hyperlink w:anchor="_Toc168638901" w:history="1">
            <w:r w:rsidR="00A57862" w:rsidRPr="00A139B3">
              <w:rPr>
                <w:rStyle w:val="Hyperlink"/>
                <w:noProof/>
              </w:rPr>
              <w:t>Ūpoko 3: Ngā mihinare me te tīmatanga o te tāmitanga</w:t>
            </w:r>
            <w:r w:rsidR="00A57862">
              <w:rPr>
                <w:noProof/>
                <w:webHidden/>
              </w:rPr>
              <w:tab/>
            </w:r>
            <w:r w:rsidR="00A57862">
              <w:rPr>
                <w:noProof/>
                <w:webHidden/>
              </w:rPr>
              <w:fldChar w:fldCharType="begin"/>
            </w:r>
            <w:r w:rsidR="00A57862">
              <w:rPr>
                <w:noProof/>
                <w:webHidden/>
              </w:rPr>
              <w:instrText xml:space="preserve"> PAGEREF _Toc168638901 \h </w:instrText>
            </w:r>
            <w:r w:rsidR="00A57862">
              <w:rPr>
                <w:noProof/>
                <w:webHidden/>
              </w:rPr>
            </w:r>
            <w:r w:rsidR="00A57862">
              <w:rPr>
                <w:noProof/>
                <w:webHidden/>
              </w:rPr>
              <w:fldChar w:fldCharType="separate"/>
            </w:r>
            <w:r w:rsidR="00A57862">
              <w:rPr>
                <w:noProof/>
                <w:webHidden/>
              </w:rPr>
              <w:t>30</w:t>
            </w:r>
            <w:r w:rsidR="00A57862">
              <w:rPr>
                <w:noProof/>
                <w:webHidden/>
              </w:rPr>
              <w:fldChar w:fldCharType="end"/>
            </w:r>
          </w:hyperlink>
        </w:p>
        <w:p w14:paraId="616AE86D" w14:textId="309FAB5C" w:rsidR="00A57862" w:rsidRDefault="00912091">
          <w:pPr>
            <w:pStyle w:val="TOC1"/>
            <w:rPr>
              <w:rFonts w:asciiTheme="minorHAnsi" w:eastAsiaTheme="minorEastAsia" w:hAnsiTheme="minorHAnsi" w:cstheme="minorBidi"/>
              <w:b w:val="0"/>
              <w:noProof/>
              <w:color w:val="auto"/>
              <w:szCs w:val="22"/>
              <w:lang w:eastAsia="en-NZ"/>
            </w:rPr>
          </w:pPr>
          <w:hyperlink w:anchor="_Toc168638902" w:history="1">
            <w:r w:rsidR="00A57862" w:rsidRPr="00A139B3">
              <w:rPr>
                <w:rStyle w:val="Hyperlink"/>
                <w:noProof/>
              </w:rPr>
              <w:t>Chapter 3: Missionaries and the start of colonisation</w:t>
            </w:r>
            <w:r w:rsidR="00A57862">
              <w:rPr>
                <w:noProof/>
                <w:webHidden/>
              </w:rPr>
              <w:tab/>
            </w:r>
            <w:r w:rsidR="00A57862">
              <w:rPr>
                <w:noProof/>
                <w:webHidden/>
              </w:rPr>
              <w:fldChar w:fldCharType="begin"/>
            </w:r>
            <w:r w:rsidR="00A57862">
              <w:rPr>
                <w:noProof/>
                <w:webHidden/>
              </w:rPr>
              <w:instrText xml:space="preserve"> PAGEREF _Toc168638902 \h </w:instrText>
            </w:r>
            <w:r w:rsidR="00A57862">
              <w:rPr>
                <w:noProof/>
                <w:webHidden/>
              </w:rPr>
            </w:r>
            <w:r w:rsidR="00A57862">
              <w:rPr>
                <w:noProof/>
                <w:webHidden/>
              </w:rPr>
              <w:fldChar w:fldCharType="separate"/>
            </w:r>
            <w:r w:rsidR="00A57862">
              <w:rPr>
                <w:noProof/>
                <w:webHidden/>
              </w:rPr>
              <w:t>30</w:t>
            </w:r>
            <w:r w:rsidR="00A57862">
              <w:rPr>
                <w:noProof/>
                <w:webHidden/>
              </w:rPr>
              <w:fldChar w:fldCharType="end"/>
            </w:r>
          </w:hyperlink>
        </w:p>
        <w:p w14:paraId="5D6388BE" w14:textId="5D93831C" w:rsidR="00A57862" w:rsidRDefault="00912091">
          <w:pPr>
            <w:pStyle w:val="TOC2"/>
            <w:rPr>
              <w:rFonts w:asciiTheme="minorHAnsi" w:eastAsiaTheme="minorEastAsia" w:hAnsiTheme="minorHAnsi" w:cstheme="minorBidi"/>
              <w:color w:val="auto"/>
              <w:szCs w:val="22"/>
              <w:lang w:eastAsia="en-NZ"/>
            </w:rPr>
          </w:pPr>
          <w:hyperlink w:anchor="_Toc168638903" w:history="1">
            <w:r w:rsidR="00A57862" w:rsidRPr="00A139B3">
              <w:rPr>
                <w:rStyle w:val="Hyperlink"/>
                <w:rFonts w:cs="Arial"/>
              </w:rPr>
              <w:t>Te taenga mai o ngā mihinare ki Aotearoa</w:t>
            </w:r>
            <w:r w:rsidR="00A57862">
              <w:rPr>
                <w:webHidden/>
              </w:rPr>
              <w:tab/>
            </w:r>
            <w:r w:rsidR="00A57862">
              <w:rPr>
                <w:webHidden/>
              </w:rPr>
              <w:fldChar w:fldCharType="begin"/>
            </w:r>
            <w:r w:rsidR="00A57862">
              <w:rPr>
                <w:webHidden/>
              </w:rPr>
              <w:instrText xml:space="preserve"> PAGEREF _Toc168638903 \h </w:instrText>
            </w:r>
            <w:r w:rsidR="00A57862">
              <w:rPr>
                <w:webHidden/>
              </w:rPr>
            </w:r>
            <w:r w:rsidR="00A57862">
              <w:rPr>
                <w:webHidden/>
              </w:rPr>
              <w:fldChar w:fldCharType="separate"/>
            </w:r>
            <w:r w:rsidR="00A57862">
              <w:rPr>
                <w:webHidden/>
              </w:rPr>
              <w:t>30</w:t>
            </w:r>
            <w:r w:rsidR="00A57862">
              <w:rPr>
                <w:webHidden/>
              </w:rPr>
              <w:fldChar w:fldCharType="end"/>
            </w:r>
          </w:hyperlink>
        </w:p>
        <w:p w14:paraId="4E81D77C" w14:textId="3EFFB285" w:rsidR="00A57862" w:rsidRDefault="00912091">
          <w:pPr>
            <w:pStyle w:val="TOC2"/>
            <w:rPr>
              <w:rFonts w:asciiTheme="minorHAnsi" w:eastAsiaTheme="minorEastAsia" w:hAnsiTheme="minorHAnsi" w:cstheme="minorBidi"/>
              <w:color w:val="auto"/>
              <w:szCs w:val="22"/>
              <w:lang w:eastAsia="en-NZ"/>
            </w:rPr>
          </w:pPr>
          <w:hyperlink w:anchor="_Toc168638904" w:history="1">
            <w:r w:rsidR="00A57862" w:rsidRPr="00A139B3">
              <w:rPr>
                <w:rStyle w:val="Hyperlink"/>
                <w:rFonts w:cs="Arial"/>
              </w:rPr>
              <w:t>Arrival of missionaries in Aotearoa New Zealand</w:t>
            </w:r>
            <w:r w:rsidR="00A57862">
              <w:rPr>
                <w:webHidden/>
              </w:rPr>
              <w:tab/>
            </w:r>
            <w:r w:rsidR="00A57862">
              <w:rPr>
                <w:webHidden/>
              </w:rPr>
              <w:fldChar w:fldCharType="begin"/>
            </w:r>
            <w:r w:rsidR="00A57862">
              <w:rPr>
                <w:webHidden/>
              </w:rPr>
              <w:instrText xml:space="preserve"> PAGEREF _Toc168638904 \h </w:instrText>
            </w:r>
            <w:r w:rsidR="00A57862">
              <w:rPr>
                <w:webHidden/>
              </w:rPr>
            </w:r>
            <w:r w:rsidR="00A57862">
              <w:rPr>
                <w:webHidden/>
              </w:rPr>
              <w:fldChar w:fldCharType="separate"/>
            </w:r>
            <w:r w:rsidR="00A57862">
              <w:rPr>
                <w:webHidden/>
              </w:rPr>
              <w:t>30</w:t>
            </w:r>
            <w:r w:rsidR="00A57862">
              <w:rPr>
                <w:webHidden/>
              </w:rPr>
              <w:fldChar w:fldCharType="end"/>
            </w:r>
          </w:hyperlink>
        </w:p>
        <w:p w14:paraId="6634908D" w14:textId="63BD3726" w:rsidR="00A57862" w:rsidRDefault="00912091">
          <w:pPr>
            <w:pStyle w:val="TOC3"/>
            <w:rPr>
              <w:rFonts w:asciiTheme="minorHAnsi" w:eastAsiaTheme="minorEastAsia" w:hAnsiTheme="minorHAnsi" w:cstheme="minorBidi"/>
              <w:color w:val="auto"/>
              <w:szCs w:val="22"/>
              <w:lang w:eastAsia="en-NZ"/>
            </w:rPr>
          </w:pPr>
          <w:hyperlink w:anchor="_Toc168638905" w:history="1">
            <w:r w:rsidR="00A57862" w:rsidRPr="00A139B3">
              <w:rPr>
                <w:rStyle w:val="Hyperlink"/>
                <w:rFonts w:cs="Arial"/>
              </w:rPr>
              <w:t>Ngā whakaaro o te Māori ki te Karaitianatanga | Māori responses to Christianity</w:t>
            </w:r>
            <w:r w:rsidR="00A57862">
              <w:rPr>
                <w:webHidden/>
              </w:rPr>
              <w:tab/>
            </w:r>
            <w:r w:rsidR="00A57862">
              <w:rPr>
                <w:webHidden/>
              </w:rPr>
              <w:fldChar w:fldCharType="begin"/>
            </w:r>
            <w:r w:rsidR="00A57862">
              <w:rPr>
                <w:webHidden/>
              </w:rPr>
              <w:instrText xml:space="preserve"> PAGEREF _Toc168638905 \h </w:instrText>
            </w:r>
            <w:r w:rsidR="00A57862">
              <w:rPr>
                <w:webHidden/>
              </w:rPr>
            </w:r>
            <w:r w:rsidR="00A57862">
              <w:rPr>
                <w:webHidden/>
              </w:rPr>
              <w:fldChar w:fldCharType="separate"/>
            </w:r>
            <w:r w:rsidR="00A57862">
              <w:rPr>
                <w:webHidden/>
              </w:rPr>
              <w:t>30</w:t>
            </w:r>
            <w:r w:rsidR="00A57862">
              <w:rPr>
                <w:webHidden/>
              </w:rPr>
              <w:fldChar w:fldCharType="end"/>
            </w:r>
          </w:hyperlink>
        </w:p>
        <w:p w14:paraId="099A6FA1" w14:textId="4F674160" w:rsidR="00A57862" w:rsidRDefault="00912091">
          <w:pPr>
            <w:pStyle w:val="TOC3"/>
            <w:rPr>
              <w:rFonts w:asciiTheme="minorHAnsi" w:eastAsiaTheme="minorEastAsia" w:hAnsiTheme="minorHAnsi" w:cstheme="minorBidi"/>
              <w:color w:val="auto"/>
              <w:szCs w:val="22"/>
              <w:lang w:eastAsia="en-NZ"/>
            </w:rPr>
          </w:pPr>
          <w:hyperlink w:anchor="_Toc168638906" w:history="1">
            <w:r w:rsidR="00A57862" w:rsidRPr="00A139B3">
              <w:rPr>
                <w:rStyle w:val="Hyperlink"/>
                <w:rFonts w:cs="Arial"/>
              </w:rPr>
              <w:t>Ka tīmata te Kāwanatanga ki te tuku pūtea tautoko mō te mātauranga</w:t>
            </w:r>
            <w:r w:rsidR="00A57862">
              <w:rPr>
                <w:webHidden/>
              </w:rPr>
              <w:tab/>
            </w:r>
            <w:r w:rsidR="00A57862">
              <w:rPr>
                <w:webHidden/>
              </w:rPr>
              <w:fldChar w:fldCharType="begin"/>
            </w:r>
            <w:r w:rsidR="00A57862">
              <w:rPr>
                <w:webHidden/>
              </w:rPr>
              <w:instrText xml:space="preserve"> PAGEREF _Toc168638906 \h </w:instrText>
            </w:r>
            <w:r w:rsidR="00A57862">
              <w:rPr>
                <w:webHidden/>
              </w:rPr>
            </w:r>
            <w:r w:rsidR="00A57862">
              <w:rPr>
                <w:webHidden/>
              </w:rPr>
              <w:fldChar w:fldCharType="separate"/>
            </w:r>
            <w:r w:rsidR="00A57862">
              <w:rPr>
                <w:webHidden/>
              </w:rPr>
              <w:t>31</w:t>
            </w:r>
            <w:r w:rsidR="00A57862">
              <w:rPr>
                <w:webHidden/>
              </w:rPr>
              <w:fldChar w:fldCharType="end"/>
            </w:r>
          </w:hyperlink>
        </w:p>
        <w:p w14:paraId="04B93761" w14:textId="35DFDB76" w:rsidR="00A57862" w:rsidRDefault="00912091">
          <w:pPr>
            <w:pStyle w:val="TOC3"/>
            <w:rPr>
              <w:rFonts w:asciiTheme="minorHAnsi" w:eastAsiaTheme="minorEastAsia" w:hAnsiTheme="minorHAnsi" w:cstheme="minorBidi"/>
              <w:color w:val="auto"/>
              <w:szCs w:val="22"/>
              <w:lang w:eastAsia="en-NZ"/>
            </w:rPr>
          </w:pPr>
          <w:hyperlink w:anchor="_Toc168638907" w:history="1">
            <w:r w:rsidR="00A57862" w:rsidRPr="00A139B3">
              <w:rPr>
                <w:rStyle w:val="Hyperlink"/>
                <w:rFonts w:cs="Arial"/>
              </w:rPr>
              <w:t>State begins to fund education</w:t>
            </w:r>
            <w:r w:rsidR="00A57862">
              <w:rPr>
                <w:webHidden/>
              </w:rPr>
              <w:tab/>
            </w:r>
            <w:r w:rsidR="00A57862">
              <w:rPr>
                <w:webHidden/>
              </w:rPr>
              <w:fldChar w:fldCharType="begin"/>
            </w:r>
            <w:r w:rsidR="00A57862">
              <w:rPr>
                <w:webHidden/>
              </w:rPr>
              <w:instrText xml:space="preserve"> PAGEREF _Toc168638907 \h </w:instrText>
            </w:r>
            <w:r w:rsidR="00A57862">
              <w:rPr>
                <w:webHidden/>
              </w:rPr>
            </w:r>
            <w:r w:rsidR="00A57862">
              <w:rPr>
                <w:webHidden/>
              </w:rPr>
              <w:fldChar w:fldCharType="separate"/>
            </w:r>
            <w:r w:rsidR="00A57862">
              <w:rPr>
                <w:webHidden/>
              </w:rPr>
              <w:t>31</w:t>
            </w:r>
            <w:r w:rsidR="00A57862">
              <w:rPr>
                <w:webHidden/>
              </w:rPr>
              <w:fldChar w:fldCharType="end"/>
            </w:r>
          </w:hyperlink>
        </w:p>
        <w:p w14:paraId="508E2714" w14:textId="52BE273F" w:rsidR="00A57862" w:rsidRDefault="00912091">
          <w:pPr>
            <w:pStyle w:val="TOC2"/>
            <w:rPr>
              <w:rFonts w:asciiTheme="minorHAnsi" w:eastAsiaTheme="minorEastAsia" w:hAnsiTheme="minorHAnsi" w:cstheme="minorBidi"/>
              <w:color w:val="auto"/>
              <w:szCs w:val="22"/>
              <w:lang w:eastAsia="en-NZ"/>
            </w:rPr>
          </w:pPr>
          <w:hyperlink w:anchor="_Toc168638908" w:history="1">
            <w:r w:rsidR="00A57862" w:rsidRPr="00A139B3">
              <w:rPr>
                <w:rStyle w:val="Hyperlink"/>
                <w:rFonts w:cs="Arial"/>
              </w:rPr>
              <w:t>Te taenga o ngā mihinare ki te Moana nui a Kiwa</w:t>
            </w:r>
            <w:r w:rsidR="00A57862">
              <w:rPr>
                <w:webHidden/>
              </w:rPr>
              <w:tab/>
            </w:r>
            <w:r w:rsidR="00A57862">
              <w:rPr>
                <w:webHidden/>
              </w:rPr>
              <w:fldChar w:fldCharType="begin"/>
            </w:r>
            <w:r w:rsidR="00A57862">
              <w:rPr>
                <w:webHidden/>
              </w:rPr>
              <w:instrText xml:space="preserve"> PAGEREF _Toc168638908 \h </w:instrText>
            </w:r>
            <w:r w:rsidR="00A57862">
              <w:rPr>
                <w:webHidden/>
              </w:rPr>
            </w:r>
            <w:r w:rsidR="00A57862">
              <w:rPr>
                <w:webHidden/>
              </w:rPr>
              <w:fldChar w:fldCharType="separate"/>
            </w:r>
            <w:r w:rsidR="00A57862">
              <w:rPr>
                <w:webHidden/>
              </w:rPr>
              <w:t>31</w:t>
            </w:r>
            <w:r w:rsidR="00A57862">
              <w:rPr>
                <w:webHidden/>
              </w:rPr>
              <w:fldChar w:fldCharType="end"/>
            </w:r>
          </w:hyperlink>
        </w:p>
        <w:p w14:paraId="787E15DC" w14:textId="541DCFE1" w:rsidR="00A57862" w:rsidRDefault="00912091">
          <w:pPr>
            <w:pStyle w:val="TOC2"/>
            <w:rPr>
              <w:rFonts w:asciiTheme="minorHAnsi" w:eastAsiaTheme="minorEastAsia" w:hAnsiTheme="minorHAnsi" w:cstheme="minorBidi"/>
              <w:color w:val="auto"/>
              <w:szCs w:val="22"/>
              <w:lang w:eastAsia="en-NZ"/>
            </w:rPr>
          </w:pPr>
          <w:hyperlink w:anchor="_Toc168638909" w:history="1">
            <w:r w:rsidR="00A57862" w:rsidRPr="00A139B3">
              <w:rPr>
                <w:rStyle w:val="Hyperlink"/>
                <w:rFonts w:cs="Arial"/>
              </w:rPr>
              <w:t>Arrival of the missionaries in the Pacific</w:t>
            </w:r>
            <w:r w:rsidR="00A57862">
              <w:rPr>
                <w:webHidden/>
              </w:rPr>
              <w:tab/>
            </w:r>
            <w:r w:rsidR="00A57862">
              <w:rPr>
                <w:webHidden/>
              </w:rPr>
              <w:fldChar w:fldCharType="begin"/>
            </w:r>
            <w:r w:rsidR="00A57862">
              <w:rPr>
                <w:webHidden/>
              </w:rPr>
              <w:instrText xml:space="preserve"> PAGEREF _Toc168638909 \h </w:instrText>
            </w:r>
            <w:r w:rsidR="00A57862">
              <w:rPr>
                <w:webHidden/>
              </w:rPr>
            </w:r>
            <w:r w:rsidR="00A57862">
              <w:rPr>
                <w:webHidden/>
              </w:rPr>
              <w:fldChar w:fldCharType="separate"/>
            </w:r>
            <w:r w:rsidR="00A57862">
              <w:rPr>
                <w:webHidden/>
              </w:rPr>
              <w:t>31</w:t>
            </w:r>
            <w:r w:rsidR="00A57862">
              <w:rPr>
                <w:webHidden/>
              </w:rPr>
              <w:fldChar w:fldCharType="end"/>
            </w:r>
          </w:hyperlink>
        </w:p>
        <w:p w14:paraId="181992D5" w14:textId="52EA9DCF" w:rsidR="00A57862" w:rsidRDefault="00912091">
          <w:pPr>
            <w:pStyle w:val="TOC2"/>
            <w:rPr>
              <w:rFonts w:asciiTheme="minorHAnsi" w:eastAsiaTheme="minorEastAsia" w:hAnsiTheme="minorHAnsi" w:cstheme="minorBidi"/>
              <w:color w:val="auto"/>
              <w:szCs w:val="22"/>
              <w:lang w:eastAsia="en-NZ"/>
            </w:rPr>
          </w:pPr>
          <w:hyperlink w:anchor="_Toc168638910" w:history="1">
            <w:r w:rsidR="00A57862" w:rsidRPr="00A139B3">
              <w:rPr>
                <w:rStyle w:val="Hyperlink"/>
                <w:rFonts w:cs="Arial"/>
              </w:rPr>
              <w:t>Te Tiriti o Waitangi Treaty of Waitangi – te orokohanga, te hainatanga me ngā pāpātanga</w:t>
            </w:r>
            <w:r w:rsidR="00A57862">
              <w:rPr>
                <w:webHidden/>
              </w:rPr>
              <w:tab/>
            </w:r>
            <w:r w:rsidR="00A57862">
              <w:rPr>
                <w:webHidden/>
              </w:rPr>
              <w:fldChar w:fldCharType="begin"/>
            </w:r>
            <w:r w:rsidR="00A57862">
              <w:rPr>
                <w:webHidden/>
              </w:rPr>
              <w:instrText xml:space="preserve"> PAGEREF _Toc168638910 \h </w:instrText>
            </w:r>
            <w:r w:rsidR="00A57862">
              <w:rPr>
                <w:webHidden/>
              </w:rPr>
            </w:r>
            <w:r w:rsidR="00A57862">
              <w:rPr>
                <w:webHidden/>
              </w:rPr>
              <w:fldChar w:fldCharType="separate"/>
            </w:r>
            <w:r w:rsidR="00A57862">
              <w:rPr>
                <w:webHidden/>
              </w:rPr>
              <w:t>32</w:t>
            </w:r>
            <w:r w:rsidR="00A57862">
              <w:rPr>
                <w:webHidden/>
              </w:rPr>
              <w:fldChar w:fldCharType="end"/>
            </w:r>
          </w:hyperlink>
        </w:p>
        <w:p w14:paraId="2822BD3D" w14:textId="32F746D7" w:rsidR="00A57862" w:rsidRDefault="00912091">
          <w:pPr>
            <w:pStyle w:val="TOC2"/>
            <w:rPr>
              <w:rFonts w:asciiTheme="minorHAnsi" w:eastAsiaTheme="minorEastAsia" w:hAnsiTheme="minorHAnsi" w:cstheme="minorBidi"/>
              <w:color w:val="auto"/>
              <w:szCs w:val="22"/>
              <w:lang w:eastAsia="en-NZ"/>
            </w:rPr>
          </w:pPr>
          <w:hyperlink w:anchor="_Toc168638911" w:history="1">
            <w:r w:rsidR="00A57862" w:rsidRPr="00A139B3">
              <w:rPr>
                <w:rStyle w:val="Hyperlink"/>
                <w:rFonts w:cs="Arial"/>
              </w:rPr>
              <w:t>Te Tiriti o Waitangi Treaty of Waitangi – origins, signing and impacts</w:t>
            </w:r>
            <w:r w:rsidR="00A57862">
              <w:rPr>
                <w:webHidden/>
              </w:rPr>
              <w:tab/>
            </w:r>
            <w:r w:rsidR="00A57862">
              <w:rPr>
                <w:webHidden/>
              </w:rPr>
              <w:fldChar w:fldCharType="begin"/>
            </w:r>
            <w:r w:rsidR="00A57862">
              <w:rPr>
                <w:webHidden/>
              </w:rPr>
              <w:instrText xml:space="preserve"> PAGEREF _Toc168638911 \h </w:instrText>
            </w:r>
            <w:r w:rsidR="00A57862">
              <w:rPr>
                <w:webHidden/>
              </w:rPr>
            </w:r>
            <w:r w:rsidR="00A57862">
              <w:rPr>
                <w:webHidden/>
              </w:rPr>
              <w:fldChar w:fldCharType="separate"/>
            </w:r>
            <w:r w:rsidR="00A57862">
              <w:rPr>
                <w:webHidden/>
              </w:rPr>
              <w:t>32</w:t>
            </w:r>
            <w:r w:rsidR="00A57862">
              <w:rPr>
                <w:webHidden/>
              </w:rPr>
              <w:fldChar w:fldCharType="end"/>
            </w:r>
          </w:hyperlink>
        </w:p>
        <w:p w14:paraId="57C2880D" w14:textId="17A8760F" w:rsidR="00A57862" w:rsidRDefault="00912091">
          <w:pPr>
            <w:pStyle w:val="TOC3"/>
            <w:rPr>
              <w:rFonts w:asciiTheme="minorHAnsi" w:eastAsiaTheme="minorEastAsia" w:hAnsiTheme="minorHAnsi" w:cstheme="minorBidi"/>
              <w:color w:val="auto"/>
              <w:szCs w:val="22"/>
              <w:lang w:eastAsia="en-NZ"/>
            </w:rPr>
          </w:pPr>
          <w:hyperlink w:anchor="_Toc168638912" w:history="1">
            <w:r w:rsidR="00A57862" w:rsidRPr="00A139B3">
              <w:rPr>
                <w:rStyle w:val="Hyperlink"/>
                <w:rFonts w:cs="Arial"/>
              </w:rPr>
              <w:t>He Whakaputanga o te Rangatiratanga o Niu Tireni – the Declaration of Independence</w:t>
            </w:r>
            <w:r w:rsidR="00A57862">
              <w:rPr>
                <w:webHidden/>
              </w:rPr>
              <w:tab/>
            </w:r>
            <w:r w:rsidR="00A57862">
              <w:rPr>
                <w:webHidden/>
              </w:rPr>
              <w:fldChar w:fldCharType="begin"/>
            </w:r>
            <w:r w:rsidR="00A57862">
              <w:rPr>
                <w:webHidden/>
              </w:rPr>
              <w:instrText xml:space="preserve"> PAGEREF _Toc168638912 \h </w:instrText>
            </w:r>
            <w:r w:rsidR="00A57862">
              <w:rPr>
                <w:webHidden/>
              </w:rPr>
            </w:r>
            <w:r w:rsidR="00A57862">
              <w:rPr>
                <w:webHidden/>
              </w:rPr>
              <w:fldChar w:fldCharType="separate"/>
            </w:r>
            <w:r w:rsidR="00A57862">
              <w:rPr>
                <w:webHidden/>
              </w:rPr>
              <w:t>32</w:t>
            </w:r>
            <w:r w:rsidR="00A57862">
              <w:rPr>
                <w:webHidden/>
              </w:rPr>
              <w:fldChar w:fldCharType="end"/>
            </w:r>
          </w:hyperlink>
        </w:p>
        <w:p w14:paraId="5CEA5215" w14:textId="6DFFBDCC" w:rsidR="00A57862" w:rsidRDefault="00912091">
          <w:pPr>
            <w:pStyle w:val="TOC3"/>
            <w:rPr>
              <w:rFonts w:asciiTheme="minorHAnsi" w:eastAsiaTheme="minorEastAsia" w:hAnsiTheme="minorHAnsi" w:cstheme="minorBidi"/>
              <w:color w:val="auto"/>
              <w:szCs w:val="22"/>
              <w:lang w:eastAsia="en-NZ"/>
            </w:rPr>
          </w:pPr>
          <w:hyperlink w:anchor="_Toc168638913" w:history="1">
            <w:r w:rsidR="00A57862" w:rsidRPr="00A139B3">
              <w:rPr>
                <w:rStyle w:val="Hyperlink"/>
                <w:rFonts w:cs="Arial"/>
              </w:rPr>
              <w:t>Te orokohanga o Te Tiriti | Te Tiriti o Waitangi origins</w:t>
            </w:r>
            <w:r w:rsidR="00A57862">
              <w:rPr>
                <w:webHidden/>
              </w:rPr>
              <w:tab/>
            </w:r>
            <w:r w:rsidR="00A57862">
              <w:rPr>
                <w:webHidden/>
              </w:rPr>
              <w:fldChar w:fldCharType="begin"/>
            </w:r>
            <w:r w:rsidR="00A57862">
              <w:rPr>
                <w:webHidden/>
              </w:rPr>
              <w:instrText xml:space="preserve"> PAGEREF _Toc168638913 \h </w:instrText>
            </w:r>
            <w:r w:rsidR="00A57862">
              <w:rPr>
                <w:webHidden/>
              </w:rPr>
            </w:r>
            <w:r w:rsidR="00A57862">
              <w:rPr>
                <w:webHidden/>
              </w:rPr>
              <w:fldChar w:fldCharType="separate"/>
            </w:r>
            <w:r w:rsidR="00A57862">
              <w:rPr>
                <w:webHidden/>
              </w:rPr>
              <w:t>32</w:t>
            </w:r>
            <w:r w:rsidR="00A57862">
              <w:rPr>
                <w:webHidden/>
              </w:rPr>
              <w:fldChar w:fldCharType="end"/>
            </w:r>
          </w:hyperlink>
        </w:p>
        <w:p w14:paraId="245BD708" w14:textId="195BE72B" w:rsidR="00A57862" w:rsidRDefault="00912091">
          <w:pPr>
            <w:pStyle w:val="TOC3"/>
            <w:rPr>
              <w:rFonts w:asciiTheme="minorHAnsi" w:eastAsiaTheme="minorEastAsia" w:hAnsiTheme="minorHAnsi" w:cstheme="minorBidi"/>
              <w:color w:val="auto"/>
              <w:szCs w:val="22"/>
              <w:lang w:eastAsia="en-NZ"/>
            </w:rPr>
          </w:pPr>
          <w:hyperlink w:anchor="_Toc168638914" w:history="1">
            <w:r w:rsidR="00A57862" w:rsidRPr="00A139B3">
              <w:rPr>
                <w:rStyle w:val="Hyperlink"/>
                <w:rFonts w:cs="Arial"/>
              </w:rPr>
              <w:t>Te kore whakahōnore i te Tiriti me te whai i te whenumitanga</w:t>
            </w:r>
            <w:r w:rsidR="00A57862">
              <w:rPr>
                <w:webHidden/>
              </w:rPr>
              <w:tab/>
            </w:r>
            <w:r w:rsidR="00A57862">
              <w:rPr>
                <w:webHidden/>
              </w:rPr>
              <w:fldChar w:fldCharType="begin"/>
            </w:r>
            <w:r w:rsidR="00A57862">
              <w:rPr>
                <w:webHidden/>
              </w:rPr>
              <w:instrText xml:space="preserve"> PAGEREF _Toc168638914 \h </w:instrText>
            </w:r>
            <w:r w:rsidR="00A57862">
              <w:rPr>
                <w:webHidden/>
              </w:rPr>
            </w:r>
            <w:r w:rsidR="00A57862">
              <w:rPr>
                <w:webHidden/>
              </w:rPr>
              <w:fldChar w:fldCharType="separate"/>
            </w:r>
            <w:r w:rsidR="00A57862">
              <w:rPr>
                <w:webHidden/>
              </w:rPr>
              <w:t>33</w:t>
            </w:r>
            <w:r w:rsidR="00A57862">
              <w:rPr>
                <w:webHidden/>
              </w:rPr>
              <w:fldChar w:fldCharType="end"/>
            </w:r>
          </w:hyperlink>
        </w:p>
        <w:p w14:paraId="72551ADB" w14:textId="14125E84" w:rsidR="00A57862" w:rsidRDefault="00912091">
          <w:pPr>
            <w:pStyle w:val="TOC3"/>
            <w:rPr>
              <w:rFonts w:asciiTheme="minorHAnsi" w:eastAsiaTheme="minorEastAsia" w:hAnsiTheme="minorHAnsi" w:cstheme="minorBidi"/>
              <w:color w:val="auto"/>
              <w:szCs w:val="22"/>
              <w:lang w:eastAsia="en-NZ"/>
            </w:rPr>
          </w:pPr>
          <w:hyperlink w:anchor="_Toc168638915" w:history="1">
            <w:r w:rsidR="00A57862" w:rsidRPr="00A139B3">
              <w:rPr>
                <w:rStyle w:val="Hyperlink"/>
                <w:rFonts w:cs="Arial"/>
              </w:rPr>
              <w:t>Failure to honour te Tiriti o Waitangi and pursuing assimilation</w:t>
            </w:r>
            <w:r w:rsidR="00A57862">
              <w:rPr>
                <w:webHidden/>
              </w:rPr>
              <w:tab/>
            </w:r>
            <w:r w:rsidR="00A57862">
              <w:rPr>
                <w:webHidden/>
              </w:rPr>
              <w:fldChar w:fldCharType="begin"/>
            </w:r>
            <w:r w:rsidR="00A57862">
              <w:rPr>
                <w:webHidden/>
              </w:rPr>
              <w:instrText xml:space="preserve"> PAGEREF _Toc168638915 \h </w:instrText>
            </w:r>
            <w:r w:rsidR="00A57862">
              <w:rPr>
                <w:webHidden/>
              </w:rPr>
            </w:r>
            <w:r w:rsidR="00A57862">
              <w:rPr>
                <w:webHidden/>
              </w:rPr>
              <w:fldChar w:fldCharType="separate"/>
            </w:r>
            <w:r w:rsidR="00A57862">
              <w:rPr>
                <w:webHidden/>
              </w:rPr>
              <w:t>33</w:t>
            </w:r>
            <w:r w:rsidR="00A57862">
              <w:rPr>
                <w:webHidden/>
              </w:rPr>
              <w:fldChar w:fldCharType="end"/>
            </w:r>
          </w:hyperlink>
        </w:p>
        <w:p w14:paraId="45F4324D" w14:textId="05C23262" w:rsidR="00A57862" w:rsidRDefault="00912091">
          <w:pPr>
            <w:pStyle w:val="TOC3"/>
            <w:rPr>
              <w:rFonts w:asciiTheme="minorHAnsi" w:eastAsiaTheme="minorEastAsia" w:hAnsiTheme="minorHAnsi" w:cstheme="minorBidi"/>
              <w:color w:val="auto"/>
              <w:szCs w:val="22"/>
              <w:lang w:eastAsia="en-NZ"/>
            </w:rPr>
          </w:pPr>
          <w:hyperlink w:anchor="_Toc168638916" w:history="1">
            <w:r w:rsidR="00A57862" w:rsidRPr="00A139B3">
              <w:rPr>
                <w:rStyle w:val="Hyperlink"/>
                <w:rFonts w:cs="Arial"/>
              </w:rPr>
              <w:t>Ka kōkiri te Māori i ngā whanaketanga | Māori advocate for change</w:t>
            </w:r>
            <w:r w:rsidR="00A57862">
              <w:rPr>
                <w:webHidden/>
              </w:rPr>
              <w:tab/>
            </w:r>
            <w:r w:rsidR="00A57862">
              <w:rPr>
                <w:webHidden/>
              </w:rPr>
              <w:fldChar w:fldCharType="begin"/>
            </w:r>
            <w:r w:rsidR="00A57862">
              <w:rPr>
                <w:webHidden/>
              </w:rPr>
              <w:instrText xml:space="preserve"> PAGEREF _Toc168638916 \h </w:instrText>
            </w:r>
            <w:r w:rsidR="00A57862">
              <w:rPr>
                <w:webHidden/>
              </w:rPr>
            </w:r>
            <w:r w:rsidR="00A57862">
              <w:rPr>
                <w:webHidden/>
              </w:rPr>
              <w:fldChar w:fldCharType="separate"/>
            </w:r>
            <w:r w:rsidR="00A57862">
              <w:rPr>
                <w:webHidden/>
              </w:rPr>
              <w:t>34</w:t>
            </w:r>
            <w:r w:rsidR="00A57862">
              <w:rPr>
                <w:webHidden/>
              </w:rPr>
              <w:fldChar w:fldCharType="end"/>
            </w:r>
          </w:hyperlink>
        </w:p>
        <w:p w14:paraId="443A9FCB" w14:textId="0CED9FF7" w:rsidR="00A57862" w:rsidRDefault="00912091">
          <w:pPr>
            <w:pStyle w:val="TOC1"/>
            <w:rPr>
              <w:rFonts w:asciiTheme="minorHAnsi" w:eastAsiaTheme="minorEastAsia" w:hAnsiTheme="minorHAnsi" w:cstheme="minorBidi"/>
              <w:b w:val="0"/>
              <w:noProof/>
              <w:color w:val="auto"/>
              <w:szCs w:val="22"/>
              <w:lang w:eastAsia="en-NZ"/>
            </w:rPr>
          </w:pPr>
          <w:hyperlink w:anchor="_Toc168638917" w:history="1">
            <w:r w:rsidR="00A57862" w:rsidRPr="00A139B3">
              <w:rPr>
                <w:rStyle w:val="Hyperlink"/>
                <w:noProof/>
              </w:rPr>
              <w:t>Ūpoko 4: Ngā waiaro ā-pāpori whai pānga ki te wā Pakirehua</w:t>
            </w:r>
            <w:r w:rsidR="00A57862">
              <w:rPr>
                <w:noProof/>
                <w:webHidden/>
              </w:rPr>
              <w:tab/>
            </w:r>
            <w:r w:rsidR="00A57862">
              <w:rPr>
                <w:noProof/>
                <w:webHidden/>
              </w:rPr>
              <w:fldChar w:fldCharType="begin"/>
            </w:r>
            <w:r w:rsidR="00A57862">
              <w:rPr>
                <w:noProof/>
                <w:webHidden/>
              </w:rPr>
              <w:instrText xml:space="preserve"> PAGEREF _Toc168638917 \h </w:instrText>
            </w:r>
            <w:r w:rsidR="00A57862">
              <w:rPr>
                <w:noProof/>
                <w:webHidden/>
              </w:rPr>
            </w:r>
            <w:r w:rsidR="00A57862">
              <w:rPr>
                <w:noProof/>
                <w:webHidden/>
              </w:rPr>
              <w:fldChar w:fldCharType="separate"/>
            </w:r>
            <w:r w:rsidR="00A57862">
              <w:rPr>
                <w:noProof/>
                <w:webHidden/>
              </w:rPr>
              <w:t>36</w:t>
            </w:r>
            <w:r w:rsidR="00A57862">
              <w:rPr>
                <w:noProof/>
                <w:webHidden/>
              </w:rPr>
              <w:fldChar w:fldCharType="end"/>
            </w:r>
          </w:hyperlink>
        </w:p>
        <w:p w14:paraId="18111733" w14:textId="2309E09E" w:rsidR="00A57862" w:rsidRDefault="00912091">
          <w:pPr>
            <w:pStyle w:val="TOC1"/>
            <w:rPr>
              <w:rFonts w:asciiTheme="minorHAnsi" w:eastAsiaTheme="minorEastAsia" w:hAnsiTheme="minorHAnsi" w:cstheme="minorBidi"/>
              <w:b w:val="0"/>
              <w:noProof/>
              <w:color w:val="auto"/>
              <w:szCs w:val="22"/>
              <w:lang w:eastAsia="en-NZ"/>
            </w:rPr>
          </w:pPr>
          <w:hyperlink w:anchor="_Toc168638918" w:history="1">
            <w:r w:rsidR="00A57862" w:rsidRPr="00A139B3">
              <w:rPr>
                <w:rStyle w:val="Hyperlink"/>
                <w:noProof/>
              </w:rPr>
              <w:t>Chapter 4: Societal attitudes relevant to the Inquiry period</w:t>
            </w:r>
            <w:r w:rsidR="00A57862">
              <w:rPr>
                <w:noProof/>
                <w:webHidden/>
              </w:rPr>
              <w:tab/>
            </w:r>
            <w:r w:rsidR="00A57862">
              <w:rPr>
                <w:noProof/>
                <w:webHidden/>
              </w:rPr>
              <w:fldChar w:fldCharType="begin"/>
            </w:r>
            <w:r w:rsidR="00A57862">
              <w:rPr>
                <w:noProof/>
                <w:webHidden/>
              </w:rPr>
              <w:instrText xml:space="preserve"> PAGEREF _Toc168638918 \h </w:instrText>
            </w:r>
            <w:r w:rsidR="00A57862">
              <w:rPr>
                <w:noProof/>
                <w:webHidden/>
              </w:rPr>
            </w:r>
            <w:r w:rsidR="00A57862">
              <w:rPr>
                <w:noProof/>
                <w:webHidden/>
              </w:rPr>
              <w:fldChar w:fldCharType="separate"/>
            </w:r>
            <w:r w:rsidR="00A57862">
              <w:rPr>
                <w:noProof/>
                <w:webHidden/>
              </w:rPr>
              <w:t>36</w:t>
            </w:r>
            <w:r w:rsidR="00A57862">
              <w:rPr>
                <w:noProof/>
                <w:webHidden/>
              </w:rPr>
              <w:fldChar w:fldCharType="end"/>
            </w:r>
          </w:hyperlink>
        </w:p>
        <w:p w14:paraId="62B3BAF2" w14:textId="12EBC12E" w:rsidR="00A57862" w:rsidRDefault="00912091">
          <w:pPr>
            <w:pStyle w:val="TOC2"/>
            <w:rPr>
              <w:rFonts w:asciiTheme="minorHAnsi" w:eastAsiaTheme="minorEastAsia" w:hAnsiTheme="minorHAnsi" w:cstheme="minorBidi"/>
              <w:color w:val="auto"/>
              <w:szCs w:val="22"/>
              <w:lang w:eastAsia="en-NZ"/>
            </w:rPr>
          </w:pPr>
          <w:hyperlink w:anchor="_Toc168638919" w:history="1">
            <w:r w:rsidR="00A57862" w:rsidRPr="00A139B3">
              <w:rPr>
                <w:rStyle w:val="Hyperlink"/>
                <w:rFonts w:cs="Arial"/>
              </w:rPr>
              <w:t>Te mana me te aupēhitanga o te tokoiti o te pāpori</w:t>
            </w:r>
            <w:r w:rsidR="00A57862">
              <w:rPr>
                <w:webHidden/>
              </w:rPr>
              <w:tab/>
            </w:r>
            <w:r w:rsidR="00A57862">
              <w:rPr>
                <w:webHidden/>
              </w:rPr>
              <w:fldChar w:fldCharType="begin"/>
            </w:r>
            <w:r w:rsidR="00A57862">
              <w:rPr>
                <w:webHidden/>
              </w:rPr>
              <w:instrText xml:space="preserve"> PAGEREF _Toc168638919 \h </w:instrText>
            </w:r>
            <w:r w:rsidR="00A57862">
              <w:rPr>
                <w:webHidden/>
              </w:rPr>
            </w:r>
            <w:r w:rsidR="00A57862">
              <w:rPr>
                <w:webHidden/>
              </w:rPr>
              <w:fldChar w:fldCharType="separate"/>
            </w:r>
            <w:r w:rsidR="00A57862">
              <w:rPr>
                <w:webHidden/>
              </w:rPr>
              <w:t>36</w:t>
            </w:r>
            <w:r w:rsidR="00A57862">
              <w:rPr>
                <w:webHidden/>
              </w:rPr>
              <w:fldChar w:fldCharType="end"/>
            </w:r>
          </w:hyperlink>
        </w:p>
        <w:p w14:paraId="2417B154" w14:textId="22E3473A" w:rsidR="00A57862" w:rsidRDefault="00912091">
          <w:pPr>
            <w:pStyle w:val="TOC2"/>
            <w:rPr>
              <w:rFonts w:asciiTheme="minorHAnsi" w:eastAsiaTheme="minorEastAsia" w:hAnsiTheme="minorHAnsi" w:cstheme="minorBidi"/>
              <w:color w:val="auto"/>
              <w:szCs w:val="22"/>
              <w:lang w:eastAsia="en-NZ"/>
            </w:rPr>
          </w:pPr>
          <w:hyperlink w:anchor="_Toc168638920" w:history="1">
            <w:r w:rsidR="00A57862" w:rsidRPr="00A139B3">
              <w:rPr>
                <w:rStyle w:val="Hyperlink"/>
                <w:rFonts w:cs="Arial"/>
              </w:rPr>
              <w:t>Power and control held by certain members of society</w:t>
            </w:r>
            <w:r w:rsidR="00A57862">
              <w:rPr>
                <w:webHidden/>
              </w:rPr>
              <w:tab/>
            </w:r>
            <w:r w:rsidR="00A57862">
              <w:rPr>
                <w:webHidden/>
              </w:rPr>
              <w:fldChar w:fldCharType="begin"/>
            </w:r>
            <w:r w:rsidR="00A57862">
              <w:rPr>
                <w:webHidden/>
              </w:rPr>
              <w:instrText xml:space="preserve"> PAGEREF _Toc168638920 \h </w:instrText>
            </w:r>
            <w:r w:rsidR="00A57862">
              <w:rPr>
                <w:webHidden/>
              </w:rPr>
            </w:r>
            <w:r w:rsidR="00A57862">
              <w:rPr>
                <w:webHidden/>
              </w:rPr>
              <w:fldChar w:fldCharType="separate"/>
            </w:r>
            <w:r w:rsidR="00A57862">
              <w:rPr>
                <w:webHidden/>
              </w:rPr>
              <w:t>36</w:t>
            </w:r>
            <w:r w:rsidR="00A57862">
              <w:rPr>
                <w:webHidden/>
              </w:rPr>
              <w:fldChar w:fldCharType="end"/>
            </w:r>
          </w:hyperlink>
        </w:p>
        <w:p w14:paraId="3BFAAE12" w14:textId="3E30590F" w:rsidR="00A57862" w:rsidRDefault="00912091">
          <w:pPr>
            <w:pStyle w:val="TOC2"/>
            <w:rPr>
              <w:rFonts w:asciiTheme="minorHAnsi" w:eastAsiaTheme="minorEastAsia" w:hAnsiTheme="minorHAnsi" w:cstheme="minorBidi"/>
              <w:color w:val="auto"/>
              <w:szCs w:val="22"/>
              <w:lang w:eastAsia="en-NZ"/>
            </w:rPr>
          </w:pPr>
          <w:hyperlink w:anchor="_Toc168638921" w:history="1">
            <w:r w:rsidR="00A57862" w:rsidRPr="00A139B3">
              <w:rPr>
                <w:rStyle w:val="Hyperlink"/>
                <w:rFonts w:cs="Arial"/>
              </w:rPr>
              <w:t>Kaikiri | Racism</w:t>
            </w:r>
            <w:r w:rsidR="00A57862">
              <w:rPr>
                <w:webHidden/>
              </w:rPr>
              <w:tab/>
            </w:r>
            <w:r w:rsidR="00A57862">
              <w:rPr>
                <w:webHidden/>
              </w:rPr>
              <w:fldChar w:fldCharType="begin"/>
            </w:r>
            <w:r w:rsidR="00A57862">
              <w:rPr>
                <w:webHidden/>
              </w:rPr>
              <w:instrText xml:space="preserve"> PAGEREF _Toc168638921 \h </w:instrText>
            </w:r>
            <w:r w:rsidR="00A57862">
              <w:rPr>
                <w:webHidden/>
              </w:rPr>
            </w:r>
            <w:r w:rsidR="00A57862">
              <w:rPr>
                <w:webHidden/>
              </w:rPr>
              <w:fldChar w:fldCharType="separate"/>
            </w:r>
            <w:r w:rsidR="00A57862">
              <w:rPr>
                <w:webHidden/>
              </w:rPr>
              <w:t>37</w:t>
            </w:r>
            <w:r w:rsidR="00A57862">
              <w:rPr>
                <w:webHidden/>
              </w:rPr>
              <w:fldChar w:fldCharType="end"/>
            </w:r>
          </w:hyperlink>
        </w:p>
        <w:p w14:paraId="1AF4B81E" w14:textId="23732F12" w:rsidR="00A57862" w:rsidRDefault="00912091">
          <w:pPr>
            <w:pStyle w:val="TOC3"/>
            <w:rPr>
              <w:rFonts w:asciiTheme="minorHAnsi" w:eastAsiaTheme="minorEastAsia" w:hAnsiTheme="minorHAnsi" w:cstheme="minorBidi"/>
              <w:color w:val="auto"/>
              <w:szCs w:val="22"/>
              <w:lang w:eastAsia="en-NZ"/>
            </w:rPr>
          </w:pPr>
          <w:hyperlink w:anchor="_Toc168638922" w:history="1">
            <w:r w:rsidR="00A57862" w:rsidRPr="00A139B3">
              <w:rPr>
                <w:rStyle w:val="Hyperlink"/>
                <w:rFonts w:cs="Arial"/>
              </w:rPr>
              <w:t>Kaikiri ā-ahurea | Cultural racism</w:t>
            </w:r>
            <w:r w:rsidR="00A57862">
              <w:rPr>
                <w:webHidden/>
              </w:rPr>
              <w:tab/>
            </w:r>
            <w:r w:rsidR="00A57862">
              <w:rPr>
                <w:webHidden/>
              </w:rPr>
              <w:fldChar w:fldCharType="begin"/>
            </w:r>
            <w:r w:rsidR="00A57862">
              <w:rPr>
                <w:webHidden/>
              </w:rPr>
              <w:instrText xml:space="preserve"> PAGEREF _Toc168638922 \h </w:instrText>
            </w:r>
            <w:r w:rsidR="00A57862">
              <w:rPr>
                <w:webHidden/>
              </w:rPr>
            </w:r>
            <w:r w:rsidR="00A57862">
              <w:rPr>
                <w:webHidden/>
              </w:rPr>
              <w:fldChar w:fldCharType="separate"/>
            </w:r>
            <w:r w:rsidR="00A57862">
              <w:rPr>
                <w:webHidden/>
              </w:rPr>
              <w:t>38</w:t>
            </w:r>
            <w:r w:rsidR="00A57862">
              <w:rPr>
                <w:webHidden/>
              </w:rPr>
              <w:fldChar w:fldCharType="end"/>
            </w:r>
          </w:hyperlink>
        </w:p>
        <w:p w14:paraId="394806A1" w14:textId="7C3E6AAD" w:rsidR="00A57862" w:rsidRDefault="00912091">
          <w:pPr>
            <w:pStyle w:val="TOC3"/>
            <w:rPr>
              <w:rFonts w:asciiTheme="minorHAnsi" w:eastAsiaTheme="minorEastAsia" w:hAnsiTheme="minorHAnsi" w:cstheme="minorBidi"/>
              <w:color w:val="auto"/>
              <w:szCs w:val="22"/>
              <w:lang w:eastAsia="en-NZ"/>
            </w:rPr>
          </w:pPr>
          <w:hyperlink w:anchor="_Toc168638923" w:history="1">
            <w:r w:rsidR="00A57862" w:rsidRPr="00A139B3">
              <w:rPr>
                <w:rStyle w:val="Hyperlink"/>
                <w:rFonts w:cs="Arial"/>
              </w:rPr>
              <w:t>Kaikiri (Matawhaiaro) | Racism (personal)</w:t>
            </w:r>
            <w:r w:rsidR="00A57862">
              <w:rPr>
                <w:webHidden/>
              </w:rPr>
              <w:tab/>
            </w:r>
            <w:r w:rsidR="00A57862">
              <w:rPr>
                <w:webHidden/>
              </w:rPr>
              <w:fldChar w:fldCharType="begin"/>
            </w:r>
            <w:r w:rsidR="00A57862">
              <w:rPr>
                <w:webHidden/>
              </w:rPr>
              <w:instrText xml:space="preserve"> PAGEREF _Toc168638923 \h </w:instrText>
            </w:r>
            <w:r w:rsidR="00A57862">
              <w:rPr>
                <w:webHidden/>
              </w:rPr>
            </w:r>
            <w:r w:rsidR="00A57862">
              <w:rPr>
                <w:webHidden/>
              </w:rPr>
              <w:fldChar w:fldCharType="separate"/>
            </w:r>
            <w:r w:rsidR="00A57862">
              <w:rPr>
                <w:webHidden/>
              </w:rPr>
              <w:t>38</w:t>
            </w:r>
            <w:r w:rsidR="00A57862">
              <w:rPr>
                <w:webHidden/>
              </w:rPr>
              <w:fldChar w:fldCharType="end"/>
            </w:r>
          </w:hyperlink>
        </w:p>
        <w:p w14:paraId="1B331D04" w14:textId="0A087BA4" w:rsidR="00A57862" w:rsidRDefault="00912091">
          <w:pPr>
            <w:pStyle w:val="TOC2"/>
            <w:rPr>
              <w:rFonts w:asciiTheme="minorHAnsi" w:eastAsiaTheme="minorEastAsia" w:hAnsiTheme="minorHAnsi" w:cstheme="minorBidi"/>
              <w:color w:val="auto"/>
              <w:szCs w:val="22"/>
              <w:lang w:eastAsia="en-NZ"/>
            </w:rPr>
          </w:pPr>
          <w:hyperlink w:anchor="_Toc168638924" w:history="1">
            <w:r w:rsidR="00A57862" w:rsidRPr="00A139B3">
              <w:rPr>
                <w:rStyle w:val="Hyperlink"/>
                <w:rFonts w:cs="Arial"/>
              </w:rPr>
              <w:t>Te hāpai toiora me te whakatoiharawhaikaha | Ableism and disablism</w:t>
            </w:r>
            <w:r w:rsidR="00A57862">
              <w:rPr>
                <w:webHidden/>
              </w:rPr>
              <w:tab/>
            </w:r>
            <w:r w:rsidR="00A57862">
              <w:rPr>
                <w:webHidden/>
              </w:rPr>
              <w:fldChar w:fldCharType="begin"/>
            </w:r>
            <w:r w:rsidR="00A57862">
              <w:rPr>
                <w:webHidden/>
              </w:rPr>
              <w:instrText xml:space="preserve"> PAGEREF _Toc168638924 \h </w:instrText>
            </w:r>
            <w:r w:rsidR="00A57862">
              <w:rPr>
                <w:webHidden/>
              </w:rPr>
            </w:r>
            <w:r w:rsidR="00A57862">
              <w:rPr>
                <w:webHidden/>
              </w:rPr>
              <w:fldChar w:fldCharType="separate"/>
            </w:r>
            <w:r w:rsidR="00A57862">
              <w:rPr>
                <w:webHidden/>
              </w:rPr>
              <w:t>39</w:t>
            </w:r>
            <w:r w:rsidR="00A57862">
              <w:rPr>
                <w:webHidden/>
              </w:rPr>
              <w:fldChar w:fldCharType="end"/>
            </w:r>
          </w:hyperlink>
        </w:p>
        <w:p w14:paraId="12ECE3B8" w14:textId="77D5364E" w:rsidR="00A57862" w:rsidRDefault="00912091">
          <w:pPr>
            <w:pStyle w:val="TOC2"/>
            <w:rPr>
              <w:rFonts w:asciiTheme="minorHAnsi" w:eastAsiaTheme="minorEastAsia" w:hAnsiTheme="minorHAnsi" w:cstheme="minorBidi"/>
              <w:color w:val="auto"/>
              <w:szCs w:val="22"/>
              <w:lang w:eastAsia="en-NZ"/>
            </w:rPr>
          </w:pPr>
          <w:hyperlink w:anchor="_Toc168638925" w:history="1">
            <w:r w:rsidR="00A57862" w:rsidRPr="00A139B3">
              <w:rPr>
                <w:rStyle w:val="Hyperlink"/>
                <w:rFonts w:cs="Arial"/>
              </w:rPr>
              <w:t>Te kaupapa tutū ira me te tauira hauora whaikaha</w:t>
            </w:r>
            <w:r w:rsidR="00A57862">
              <w:rPr>
                <w:webHidden/>
              </w:rPr>
              <w:tab/>
            </w:r>
            <w:r w:rsidR="00A57862">
              <w:rPr>
                <w:webHidden/>
              </w:rPr>
              <w:fldChar w:fldCharType="begin"/>
            </w:r>
            <w:r w:rsidR="00A57862">
              <w:rPr>
                <w:webHidden/>
              </w:rPr>
              <w:instrText xml:space="preserve"> PAGEREF _Toc168638925 \h </w:instrText>
            </w:r>
            <w:r w:rsidR="00A57862">
              <w:rPr>
                <w:webHidden/>
              </w:rPr>
            </w:r>
            <w:r w:rsidR="00A57862">
              <w:rPr>
                <w:webHidden/>
              </w:rPr>
              <w:fldChar w:fldCharType="separate"/>
            </w:r>
            <w:r w:rsidR="00A57862">
              <w:rPr>
                <w:webHidden/>
              </w:rPr>
              <w:t>40</w:t>
            </w:r>
            <w:r w:rsidR="00A57862">
              <w:rPr>
                <w:webHidden/>
              </w:rPr>
              <w:fldChar w:fldCharType="end"/>
            </w:r>
          </w:hyperlink>
        </w:p>
        <w:p w14:paraId="24E8C557" w14:textId="1E32AB88" w:rsidR="00A57862" w:rsidRDefault="00912091">
          <w:pPr>
            <w:pStyle w:val="TOC2"/>
            <w:rPr>
              <w:rFonts w:asciiTheme="minorHAnsi" w:eastAsiaTheme="minorEastAsia" w:hAnsiTheme="minorHAnsi" w:cstheme="minorBidi"/>
              <w:color w:val="auto"/>
              <w:szCs w:val="22"/>
              <w:lang w:eastAsia="en-NZ"/>
            </w:rPr>
          </w:pPr>
          <w:hyperlink w:anchor="_Toc168638926" w:history="1">
            <w:r w:rsidR="00A57862" w:rsidRPr="00A139B3">
              <w:rPr>
                <w:rStyle w:val="Hyperlink"/>
                <w:rFonts w:cs="Arial"/>
              </w:rPr>
              <w:t>The eugenics movement and medical model of disability</w:t>
            </w:r>
            <w:r w:rsidR="00A57862">
              <w:rPr>
                <w:webHidden/>
              </w:rPr>
              <w:tab/>
            </w:r>
            <w:r w:rsidR="00A57862">
              <w:rPr>
                <w:webHidden/>
              </w:rPr>
              <w:fldChar w:fldCharType="begin"/>
            </w:r>
            <w:r w:rsidR="00A57862">
              <w:rPr>
                <w:webHidden/>
              </w:rPr>
              <w:instrText xml:space="preserve"> PAGEREF _Toc168638926 \h </w:instrText>
            </w:r>
            <w:r w:rsidR="00A57862">
              <w:rPr>
                <w:webHidden/>
              </w:rPr>
            </w:r>
            <w:r w:rsidR="00A57862">
              <w:rPr>
                <w:webHidden/>
              </w:rPr>
              <w:fldChar w:fldCharType="separate"/>
            </w:r>
            <w:r w:rsidR="00A57862">
              <w:rPr>
                <w:webHidden/>
              </w:rPr>
              <w:t>40</w:t>
            </w:r>
            <w:r w:rsidR="00A57862">
              <w:rPr>
                <w:webHidden/>
              </w:rPr>
              <w:fldChar w:fldCharType="end"/>
            </w:r>
          </w:hyperlink>
        </w:p>
        <w:p w14:paraId="10E756A0" w14:textId="10494C6B" w:rsidR="00A57862" w:rsidRDefault="00912091">
          <w:pPr>
            <w:pStyle w:val="TOC2"/>
            <w:rPr>
              <w:rFonts w:asciiTheme="minorHAnsi" w:eastAsiaTheme="minorEastAsia" w:hAnsiTheme="minorHAnsi" w:cstheme="minorBidi"/>
              <w:color w:val="auto"/>
              <w:szCs w:val="22"/>
              <w:lang w:eastAsia="en-NZ"/>
            </w:rPr>
          </w:pPr>
          <w:hyperlink w:anchor="_Toc168638927" w:history="1">
            <w:r w:rsidR="00A57862" w:rsidRPr="00A139B3">
              <w:rPr>
                <w:rStyle w:val="Hyperlink"/>
                <w:rFonts w:cs="Arial"/>
              </w:rPr>
              <w:t>Ngā waiaro ki te hunga Turi | Attitudes towards Deaf people</w:t>
            </w:r>
            <w:r w:rsidR="00A57862">
              <w:rPr>
                <w:webHidden/>
              </w:rPr>
              <w:tab/>
            </w:r>
            <w:r w:rsidR="00A57862">
              <w:rPr>
                <w:webHidden/>
              </w:rPr>
              <w:fldChar w:fldCharType="begin"/>
            </w:r>
            <w:r w:rsidR="00A57862">
              <w:rPr>
                <w:webHidden/>
              </w:rPr>
              <w:instrText xml:space="preserve"> PAGEREF _Toc168638927 \h </w:instrText>
            </w:r>
            <w:r w:rsidR="00A57862">
              <w:rPr>
                <w:webHidden/>
              </w:rPr>
            </w:r>
            <w:r w:rsidR="00A57862">
              <w:rPr>
                <w:webHidden/>
              </w:rPr>
              <w:fldChar w:fldCharType="separate"/>
            </w:r>
            <w:r w:rsidR="00A57862">
              <w:rPr>
                <w:webHidden/>
              </w:rPr>
              <w:t>40</w:t>
            </w:r>
            <w:r w:rsidR="00A57862">
              <w:rPr>
                <w:webHidden/>
              </w:rPr>
              <w:fldChar w:fldCharType="end"/>
            </w:r>
          </w:hyperlink>
        </w:p>
        <w:p w14:paraId="15F2FE8F" w14:textId="06EE31A8" w:rsidR="00A57862" w:rsidRDefault="00912091">
          <w:pPr>
            <w:pStyle w:val="TOC2"/>
            <w:rPr>
              <w:rFonts w:asciiTheme="minorHAnsi" w:eastAsiaTheme="minorEastAsia" w:hAnsiTheme="minorHAnsi" w:cstheme="minorBidi"/>
              <w:color w:val="auto"/>
              <w:szCs w:val="22"/>
              <w:lang w:eastAsia="en-NZ"/>
            </w:rPr>
          </w:pPr>
          <w:hyperlink w:anchor="_Toc168638928" w:history="1">
            <w:r w:rsidR="00A57862" w:rsidRPr="00A139B3">
              <w:rPr>
                <w:rStyle w:val="Hyperlink"/>
                <w:rFonts w:cs="Arial"/>
              </w:rPr>
              <w:t>He māramatanga ki te kanorautanga ā-hinengaro, te mate waipiro ki te kōpū me te wharaūpoko</w:t>
            </w:r>
            <w:r w:rsidR="00A57862">
              <w:rPr>
                <w:webHidden/>
              </w:rPr>
              <w:tab/>
            </w:r>
            <w:r w:rsidR="00A57862">
              <w:rPr>
                <w:webHidden/>
              </w:rPr>
              <w:fldChar w:fldCharType="begin"/>
            </w:r>
            <w:r w:rsidR="00A57862">
              <w:rPr>
                <w:webHidden/>
              </w:rPr>
              <w:instrText xml:space="preserve"> PAGEREF _Toc168638928 \h </w:instrText>
            </w:r>
            <w:r w:rsidR="00A57862">
              <w:rPr>
                <w:webHidden/>
              </w:rPr>
            </w:r>
            <w:r w:rsidR="00A57862">
              <w:rPr>
                <w:webHidden/>
              </w:rPr>
              <w:fldChar w:fldCharType="separate"/>
            </w:r>
            <w:r w:rsidR="00A57862">
              <w:rPr>
                <w:webHidden/>
              </w:rPr>
              <w:t>41</w:t>
            </w:r>
            <w:r w:rsidR="00A57862">
              <w:rPr>
                <w:webHidden/>
              </w:rPr>
              <w:fldChar w:fldCharType="end"/>
            </w:r>
          </w:hyperlink>
        </w:p>
        <w:p w14:paraId="261C83E6" w14:textId="78B62B23" w:rsidR="00A57862" w:rsidRDefault="00912091">
          <w:pPr>
            <w:pStyle w:val="TOC2"/>
            <w:rPr>
              <w:rFonts w:asciiTheme="minorHAnsi" w:eastAsiaTheme="minorEastAsia" w:hAnsiTheme="minorHAnsi" w:cstheme="minorBidi"/>
              <w:color w:val="auto"/>
              <w:szCs w:val="22"/>
              <w:lang w:eastAsia="en-NZ"/>
            </w:rPr>
          </w:pPr>
          <w:hyperlink w:anchor="_Toc168638929" w:history="1">
            <w:r w:rsidR="00A57862" w:rsidRPr="00A139B3">
              <w:rPr>
                <w:rStyle w:val="Hyperlink"/>
                <w:rFonts w:cs="Arial"/>
              </w:rPr>
              <w:t>Understanding of neurodiversity, foetal alcohol spectrum disorder and head injury</w:t>
            </w:r>
            <w:r w:rsidR="00A57862">
              <w:rPr>
                <w:webHidden/>
              </w:rPr>
              <w:tab/>
            </w:r>
            <w:r w:rsidR="00A57862">
              <w:rPr>
                <w:webHidden/>
              </w:rPr>
              <w:fldChar w:fldCharType="begin"/>
            </w:r>
            <w:r w:rsidR="00A57862">
              <w:rPr>
                <w:webHidden/>
              </w:rPr>
              <w:instrText xml:space="preserve"> PAGEREF _Toc168638929 \h </w:instrText>
            </w:r>
            <w:r w:rsidR="00A57862">
              <w:rPr>
                <w:webHidden/>
              </w:rPr>
            </w:r>
            <w:r w:rsidR="00A57862">
              <w:rPr>
                <w:webHidden/>
              </w:rPr>
              <w:fldChar w:fldCharType="separate"/>
            </w:r>
            <w:r w:rsidR="00A57862">
              <w:rPr>
                <w:webHidden/>
              </w:rPr>
              <w:t>41</w:t>
            </w:r>
            <w:r w:rsidR="00A57862">
              <w:rPr>
                <w:webHidden/>
              </w:rPr>
              <w:fldChar w:fldCharType="end"/>
            </w:r>
          </w:hyperlink>
        </w:p>
        <w:p w14:paraId="2EFCE121" w14:textId="7372F785" w:rsidR="00A57862" w:rsidRDefault="00912091">
          <w:pPr>
            <w:pStyle w:val="TOC2"/>
            <w:rPr>
              <w:rFonts w:asciiTheme="minorHAnsi" w:eastAsiaTheme="minorEastAsia" w:hAnsiTheme="minorHAnsi" w:cstheme="minorBidi"/>
              <w:color w:val="auto"/>
              <w:szCs w:val="22"/>
              <w:lang w:eastAsia="en-NZ"/>
            </w:rPr>
          </w:pPr>
          <w:hyperlink w:anchor="_Toc168638930" w:history="1">
            <w:r w:rsidR="00A57862" w:rsidRPr="00A139B3">
              <w:rPr>
                <w:rStyle w:val="Hyperlink"/>
                <w:rFonts w:cs="Arial"/>
              </w:rPr>
              <w:t>Te whakahāwea wāhine, kōtiro hoki | Discrimination against women and girls</w:t>
            </w:r>
            <w:r w:rsidR="00A57862">
              <w:rPr>
                <w:webHidden/>
              </w:rPr>
              <w:tab/>
            </w:r>
            <w:r w:rsidR="00A57862">
              <w:rPr>
                <w:webHidden/>
              </w:rPr>
              <w:fldChar w:fldCharType="begin"/>
            </w:r>
            <w:r w:rsidR="00A57862">
              <w:rPr>
                <w:webHidden/>
              </w:rPr>
              <w:instrText xml:space="preserve"> PAGEREF _Toc168638930 \h </w:instrText>
            </w:r>
            <w:r w:rsidR="00A57862">
              <w:rPr>
                <w:webHidden/>
              </w:rPr>
            </w:r>
            <w:r w:rsidR="00A57862">
              <w:rPr>
                <w:webHidden/>
              </w:rPr>
              <w:fldChar w:fldCharType="separate"/>
            </w:r>
            <w:r w:rsidR="00A57862">
              <w:rPr>
                <w:webHidden/>
              </w:rPr>
              <w:t>42</w:t>
            </w:r>
            <w:r w:rsidR="00A57862">
              <w:rPr>
                <w:webHidden/>
              </w:rPr>
              <w:fldChar w:fldCharType="end"/>
            </w:r>
          </w:hyperlink>
        </w:p>
        <w:p w14:paraId="365568E9" w14:textId="05F2C392" w:rsidR="00A57862" w:rsidRDefault="00912091">
          <w:pPr>
            <w:pStyle w:val="TOC2"/>
            <w:rPr>
              <w:rFonts w:asciiTheme="minorHAnsi" w:eastAsiaTheme="minorEastAsia" w:hAnsiTheme="minorHAnsi" w:cstheme="minorBidi"/>
              <w:color w:val="auto"/>
              <w:szCs w:val="22"/>
              <w:lang w:eastAsia="en-NZ"/>
            </w:rPr>
          </w:pPr>
          <w:hyperlink w:anchor="_Toc168638931" w:history="1">
            <w:r w:rsidR="00A57862" w:rsidRPr="00A139B3">
              <w:rPr>
                <w:rStyle w:val="Hyperlink"/>
                <w:rFonts w:cs="Arial"/>
              </w:rPr>
              <w:t>Te whakahāwea i runga i te aronga hemahematanga me te tuakiri ia</w:t>
            </w:r>
            <w:r w:rsidR="00A57862">
              <w:rPr>
                <w:webHidden/>
              </w:rPr>
              <w:tab/>
            </w:r>
            <w:r w:rsidR="00A57862">
              <w:rPr>
                <w:webHidden/>
              </w:rPr>
              <w:fldChar w:fldCharType="begin"/>
            </w:r>
            <w:r w:rsidR="00A57862">
              <w:rPr>
                <w:webHidden/>
              </w:rPr>
              <w:instrText xml:space="preserve"> PAGEREF _Toc168638931 \h </w:instrText>
            </w:r>
            <w:r w:rsidR="00A57862">
              <w:rPr>
                <w:webHidden/>
              </w:rPr>
            </w:r>
            <w:r w:rsidR="00A57862">
              <w:rPr>
                <w:webHidden/>
              </w:rPr>
              <w:fldChar w:fldCharType="separate"/>
            </w:r>
            <w:r w:rsidR="00A57862">
              <w:rPr>
                <w:webHidden/>
              </w:rPr>
              <w:t>43</w:t>
            </w:r>
            <w:r w:rsidR="00A57862">
              <w:rPr>
                <w:webHidden/>
              </w:rPr>
              <w:fldChar w:fldCharType="end"/>
            </w:r>
          </w:hyperlink>
        </w:p>
        <w:p w14:paraId="05A675C9" w14:textId="5DA986BE" w:rsidR="00A57862" w:rsidRDefault="00912091">
          <w:pPr>
            <w:pStyle w:val="TOC2"/>
            <w:rPr>
              <w:rFonts w:asciiTheme="minorHAnsi" w:eastAsiaTheme="minorEastAsia" w:hAnsiTheme="minorHAnsi" w:cstheme="minorBidi"/>
              <w:color w:val="auto"/>
              <w:szCs w:val="22"/>
              <w:lang w:eastAsia="en-NZ"/>
            </w:rPr>
          </w:pPr>
          <w:hyperlink w:anchor="_Toc168638932" w:history="1">
            <w:r w:rsidR="00A57862" w:rsidRPr="00A139B3">
              <w:rPr>
                <w:rStyle w:val="Hyperlink"/>
                <w:rFonts w:cs="Arial"/>
              </w:rPr>
              <w:t>Discrimination on the basis of sexual orientation and gender identity</w:t>
            </w:r>
            <w:r w:rsidR="00A57862">
              <w:rPr>
                <w:webHidden/>
              </w:rPr>
              <w:tab/>
            </w:r>
            <w:r w:rsidR="00A57862">
              <w:rPr>
                <w:webHidden/>
              </w:rPr>
              <w:fldChar w:fldCharType="begin"/>
            </w:r>
            <w:r w:rsidR="00A57862">
              <w:rPr>
                <w:webHidden/>
              </w:rPr>
              <w:instrText xml:space="preserve"> PAGEREF _Toc168638932 \h </w:instrText>
            </w:r>
            <w:r w:rsidR="00A57862">
              <w:rPr>
                <w:webHidden/>
              </w:rPr>
            </w:r>
            <w:r w:rsidR="00A57862">
              <w:rPr>
                <w:webHidden/>
              </w:rPr>
              <w:fldChar w:fldCharType="separate"/>
            </w:r>
            <w:r w:rsidR="00A57862">
              <w:rPr>
                <w:webHidden/>
              </w:rPr>
              <w:t>43</w:t>
            </w:r>
            <w:r w:rsidR="00A57862">
              <w:rPr>
                <w:webHidden/>
              </w:rPr>
              <w:fldChar w:fldCharType="end"/>
            </w:r>
          </w:hyperlink>
        </w:p>
        <w:p w14:paraId="5E0149E7" w14:textId="666AC6B9" w:rsidR="00A57862" w:rsidRDefault="00912091">
          <w:pPr>
            <w:pStyle w:val="TOC2"/>
            <w:rPr>
              <w:rFonts w:asciiTheme="minorHAnsi" w:eastAsiaTheme="minorEastAsia" w:hAnsiTheme="minorHAnsi" w:cstheme="minorBidi"/>
              <w:color w:val="auto"/>
              <w:szCs w:val="22"/>
              <w:lang w:eastAsia="en-NZ"/>
            </w:rPr>
          </w:pPr>
          <w:hyperlink w:anchor="_Toc168638933" w:history="1">
            <w:r w:rsidR="00A57862" w:rsidRPr="00A139B3">
              <w:rPr>
                <w:rStyle w:val="Hyperlink"/>
                <w:rFonts w:cs="Arial"/>
              </w:rPr>
              <w:t>Ngā waiaro ki ngā tamariki me ngā rangatahi</w:t>
            </w:r>
            <w:r w:rsidR="00A57862">
              <w:rPr>
                <w:webHidden/>
              </w:rPr>
              <w:tab/>
            </w:r>
            <w:r w:rsidR="00A57862">
              <w:rPr>
                <w:webHidden/>
              </w:rPr>
              <w:fldChar w:fldCharType="begin"/>
            </w:r>
            <w:r w:rsidR="00A57862">
              <w:rPr>
                <w:webHidden/>
              </w:rPr>
              <w:instrText xml:space="preserve"> PAGEREF _Toc168638933 \h </w:instrText>
            </w:r>
            <w:r w:rsidR="00A57862">
              <w:rPr>
                <w:webHidden/>
              </w:rPr>
            </w:r>
            <w:r w:rsidR="00A57862">
              <w:rPr>
                <w:webHidden/>
              </w:rPr>
              <w:fldChar w:fldCharType="separate"/>
            </w:r>
            <w:r w:rsidR="00A57862">
              <w:rPr>
                <w:webHidden/>
              </w:rPr>
              <w:t>44</w:t>
            </w:r>
            <w:r w:rsidR="00A57862">
              <w:rPr>
                <w:webHidden/>
              </w:rPr>
              <w:fldChar w:fldCharType="end"/>
            </w:r>
          </w:hyperlink>
        </w:p>
        <w:p w14:paraId="727D115C" w14:textId="0CC85ED2" w:rsidR="00A57862" w:rsidRDefault="00912091">
          <w:pPr>
            <w:pStyle w:val="TOC2"/>
            <w:rPr>
              <w:rFonts w:asciiTheme="minorHAnsi" w:eastAsiaTheme="minorEastAsia" w:hAnsiTheme="minorHAnsi" w:cstheme="minorBidi"/>
              <w:color w:val="auto"/>
              <w:szCs w:val="22"/>
              <w:lang w:eastAsia="en-NZ"/>
            </w:rPr>
          </w:pPr>
          <w:hyperlink w:anchor="_Toc168638934" w:history="1">
            <w:r w:rsidR="00A57862" w:rsidRPr="00A139B3">
              <w:rPr>
                <w:rStyle w:val="Hyperlink"/>
                <w:rFonts w:cs="Arial"/>
              </w:rPr>
              <w:t>Attitudes towards children and young people</w:t>
            </w:r>
            <w:r w:rsidR="00A57862">
              <w:rPr>
                <w:webHidden/>
              </w:rPr>
              <w:tab/>
            </w:r>
            <w:r w:rsidR="00A57862">
              <w:rPr>
                <w:webHidden/>
              </w:rPr>
              <w:fldChar w:fldCharType="begin"/>
            </w:r>
            <w:r w:rsidR="00A57862">
              <w:rPr>
                <w:webHidden/>
              </w:rPr>
              <w:instrText xml:space="preserve"> PAGEREF _Toc168638934 \h </w:instrText>
            </w:r>
            <w:r w:rsidR="00A57862">
              <w:rPr>
                <w:webHidden/>
              </w:rPr>
            </w:r>
            <w:r w:rsidR="00A57862">
              <w:rPr>
                <w:webHidden/>
              </w:rPr>
              <w:fldChar w:fldCharType="separate"/>
            </w:r>
            <w:r w:rsidR="00A57862">
              <w:rPr>
                <w:webHidden/>
              </w:rPr>
              <w:t>44</w:t>
            </w:r>
            <w:r w:rsidR="00A57862">
              <w:rPr>
                <w:webHidden/>
              </w:rPr>
              <w:fldChar w:fldCharType="end"/>
            </w:r>
          </w:hyperlink>
        </w:p>
        <w:p w14:paraId="430FEC95" w14:textId="2474798E" w:rsidR="00A57862" w:rsidRDefault="00912091">
          <w:pPr>
            <w:pStyle w:val="TOC2"/>
            <w:rPr>
              <w:rFonts w:asciiTheme="minorHAnsi" w:eastAsiaTheme="minorEastAsia" w:hAnsiTheme="minorHAnsi" w:cstheme="minorBidi"/>
              <w:color w:val="auto"/>
              <w:szCs w:val="22"/>
              <w:lang w:eastAsia="en-NZ"/>
            </w:rPr>
          </w:pPr>
          <w:hyperlink w:anchor="_Toc168638935" w:history="1">
            <w:r w:rsidR="00A57862" w:rsidRPr="00A139B3">
              <w:rPr>
                <w:rStyle w:val="Hyperlink"/>
                <w:rFonts w:cs="Arial"/>
              </w:rPr>
              <w:t>Ngā waiaro ki ngā tāngata e noho pōhara ana</w:t>
            </w:r>
            <w:r w:rsidR="00A57862">
              <w:rPr>
                <w:webHidden/>
              </w:rPr>
              <w:tab/>
            </w:r>
            <w:r w:rsidR="00A57862">
              <w:rPr>
                <w:webHidden/>
              </w:rPr>
              <w:fldChar w:fldCharType="begin"/>
            </w:r>
            <w:r w:rsidR="00A57862">
              <w:rPr>
                <w:webHidden/>
              </w:rPr>
              <w:instrText xml:space="preserve"> PAGEREF _Toc168638935 \h </w:instrText>
            </w:r>
            <w:r w:rsidR="00A57862">
              <w:rPr>
                <w:webHidden/>
              </w:rPr>
            </w:r>
            <w:r w:rsidR="00A57862">
              <w:rPr>
                <w:webHidden/>
              </w:rPr>
              <w:fldChar w:fldCharType="separate"/>
            </w:r>
            <w:r w:rsidR="00A57862">
              <w:rPr>
                <w:webHidden/>
              </w:rPr>
              <w:t>45</w:t>
            </w:r>
            <w:r w:rsidR="00A57862">
              <w:rPr>
                <w:webHidden/>
              </w:rPr>
              <w:fldChar w:fldCharType="end"/>
            </w:r>
          </w:hyperlink>
        </w:p>
        <w:p w14:paraId="54F3FB33" w14:textId="0A5C5ACB" w:rsidR="00A57862" w:rsidRDefault="00912091">
          <w:pPr>
            <w:pStyle w:val="TOC2"/>
            <w:rPr>
              <w:rFonts w:asciiTheme="minorHAnsi" w:eastAsiaTheme="minorEastAsia" w:hAnsiTheme="minorHAnsi" w:cstheme="minorBidi"/>
              <w:color w:val="auto"/>
              <w:szCs w:val="22"/>
              <w:lang w:eastAsia="en-NZ"/>
            </w:rPr>
          </w:pPr>
          <w:hyperlink w:anchor="_Toc168638936" w:history="1">
            <w:r w:rsidR="00A57862" w:rsidRPr="00A139B3">
              <w:rPr>
                <w:rStyle w:val="Hyperlink"/>
                <w:rFonts w:cs="Arial"/>
              </w:rPr>
              <w:t>Attitudes towards people living in poverty</w:t>
            </w:r>
            <w:r w:rsidR="00A57862">
              <w:rPr>
                <w:webHidden/>
              </w:rPr>
              <w:tab/>
            </w:r>
            <w:r w:rsidR="00A57862">
              <w:rPr>
                <w:webHidden/>
              </w:rPr>
              <w:fldChar w:fldCharType="begin"/>
            </w:r>
            <w:r w:rsidR="00A57862">
              <w:rPr>
                <w:webHidden/>
              </w:rPr>
              <w:instrText xml:space="preserve"> PAGEREF _Toc168638936 \h </w:instrText>
            </w:r>
            <w:r w:rsidR="00A57862">
              <w:rPr>
                <w:webHidden/>
              </w:rPr>
            </w:r>
            <w:r w:rsidR="00A57862">
              <w:rPr>
                <w:webHidden/>
              </w:rPr>
              <w:fldChar w:fldCharType="separate"/>
            </w:r>
            <w:r w:rsidR="00A57862">
              <w:rPr>
                <w:webHidden/>
              </w:rPr>
              <w:t>45</w:t>
            </w:r>
            <w:r w:rsidR="00A57862">
              <w:rPr>
                <w:webHidden/>
              </w:rPr>
              <w:fldChar w:fldCharType="end"/>
            </w:r>
          </w:hyperlink>
        </w:p>
        <w:p w14:paraId="2EF8C306" w14:textId="5B27AB85" w:rsidR="00A57862" w:rsidRDefault="00912091">
          <w:pPr>
            <w:pStyle w:val="TOC2"/>
            <w:rPr>
              <w:rFonts w:asciiTheme="minorHAnsi" w:eastAsiaTheme="minorEastAsia" w:hAnsiTheme="minorHAnsi" w:cstheme="minorBidi"/>
              <w:color w:val="auto"/>
              <w:szCs w:val="22"/>
              <w:lang w:eastAsia="en-NZ"/>
            </w:rPr>
          </w:pPr>
          <w:hyperlink w:anchor="_Toc168638937" w:history="1">
            <w:r w:rsidR="00A57862" w:rsidRPr="00A139B3">
              <w:rPr>
                <w:rStyle w:val="Hyperlink"/>
                <w:rFonts w:cs="Arial"/>
              </w:rPr>
              <w:t>Te wāhi o te ao pāpāho ki te whakaū i ngā waiaro ā-pāpori</w:t>
            </w:r>
            <w:r w:rsidR="00A57862">
              <w:rPr>
                <w:webHidden/>
              </w:rPr>
              <w:tab/>
            </w:r>
            <w:r w:rsidR="00A57862">
              <w:rPr>
                <w:webHidden/>
              </w:rPr>
              <w:fldChar w:fldCharType="begin"/>
            </w:r>
            <w:r w:rsidR="00A57862">
              <w:rPr>
                <w:webHidden/>
              </w:rPr>
              <w:instrText xml:space="preserve"> PAGEREF _Toc168638937 \h </w:instrText>
            </w:r>
            <w:r w:rsidR="00A57862">
              <w:rPr>
                <w:webHidden/>
              </w:rPr>
            </w:r>
            <w:r w:rsidR="00A57862">
              <w:rPr>
                <w:webHidden/>
              </w:rPr>
              <w:fldChar w:fldCharType="separate"/>
            </w:r>
            <w:r w:rsidR="00A57862">
              <w:rPr>
                <w:webHidden/>
              </w:rPr>
              <w:t>45</w:t>
            </w:r>
            <w:r w:rsidR="00A57862">
              <w:rPr>
                <w:webHidden/>
              </w:rPr>
              <w:fldChar w:fldCharType="end"/>
            </w:r>
          </w:hyperlink>
        </w:p>
        <w:p w14:paraId="185E7B73" w14:textId="2001FEB1" w:rsidR="00A57862" w:rsidRDefault="00912091">
          <w:pPr>
            <w:pStyle w:val="TOC2"/>
            <w:rPr>
              <w:rFonts w:asciiTheme="minorHAnsi" w:eastAsiaTheme="minorEastAsia" w:hAnsiTheme="minorHAnsi" w:cstheme="minorBidi"/>
              <w:color w:val="auto"/>
              <w:szCs w:val="22"/>
              <w:lang w:eastAsia="en-NZ"/>
            </w:rPr>
          </w:pPr>
          <w:hyperlink w:anchor="_Toc168638938" w:history="1">
            <w:r w:rsidR="00A57862" w:rsidRPr="00A139B3">
              <w:rPr>
                <w:rStyle w:val="Hyperlink"/>
                <w:rFonts w:cs="Arial"/>
              </w:rPr>
              <w:t>Media’s role in enforcing societal attitudes</w:t>
            </w:r>
            <w:r w:rsidR="00A57862">
              <w:rPr>
                <w:webHidden/>
              </w:rPr>
              <w:tab/>
            </w:r>
            <w:r w:rsidR="00A57862">
              <w:rPr>
                <w:webHidden/>
              </w:rPr>
              <w:fldChar w:fldCharType="begin"/>
            </w:r>
            <w:r w:rsidR="00A57862">
              <w:rPr>
                <w:webHidden/>
              </w:rPr>
              <w:instrText xml:space="preserve"> PAGEREF _Toc168638938 \h </w:instrText>
            </w:r>
            <w:r w:rsidR="00A57862">
              <w:rPr>
                <w:webHidden/>
              </w:rPr>
            </w:r>
            <w:r w:rsidR="00A57862">
              <w:rPr>
                <w:webHidden/>
              </w:rPr>
              <w:fldChar w:fldCharType="separate"/>
            </w:r>
            <w:r w:rsidR="00A57862">
              <w:rPr>
                <w:webHidden/>
              </w:rPr>
              <w:t>45</w:t>
            </w:r>
            <w:r w:rsidR="00A57862">
              <w:rPr>
                <w:webHidden/>
              </w:rPr>
              <w:fldChar w:fldCharType="end"/>
            </w:r>
          </w:hyperlink>
        </w:p>
        <w:p w14:paraId="7BB29C14" w14:textId="33DEAD92" w:rsidR="00A57862" w:rsidRDefault="00912091">
          <w:pPr>
            <w:pStyle w:val="TOC3"/>
            <w:rPr>
              <w:rFonts w:asciiTheme="minorHAnsi" w:eastAsiaTheme="minorEastAsia" w:hAnsiTheme="minorHAnsi" w:cstheme="minorBidi"/>
              <w:color w:val="auto"/>
              <w:szCs w:val="22"/>
              <w:lang w:eastAsia="en-NZ"/>
            </w:rPr>
          </w:pPr>
          <w:hyperlink w:anchor="_Toc168638939" w:history="1">
            <w:r w:rsidR="00A57862" w:rsidRPr="00A139B3">
              <w:rPr>
                <w:rStyle w:val="Hyperlink"/>
                <w:rFonts w:cs="Arial"/>
              </w:rPr>
              <w:t>Ngā arotoka whakakino mō te Māori i whakaū</w:t>
            </w:r>
            <w:r w:rsidR="00A57862">
              <w:rPr>
                <w:webHidden/>
              </w:rPr>
              <w:tab/>
            </w:r>
            <w:r w:rsidR="00A57862">
              <w:rPr>
                <w:webHidden/>
              </w:rPr>
              <w:fldChar w:fldCharType="begin"/>
            </w:r>
            <w:r w:rsidR="00A57862">
              <w:rPr>
                <w:webHidden/>
              </w:rPr>
              <w:instrText xml:space="preserve"> PAGEREF _Toc168638939 \h </w:instrText>
            </w:r>
            <w:r w:rsidR="00A57862">
              <w:rPr>
                <w:webHidden/>
              </w:rPr>
            </w:r>
            <w:r w:rsidR="00A57862">
              <w:rPr>
                <w:webHidden/>
              </w:rPr>
              <w:fldChar w:fldCharType="separate"/>
            </w:r>
            <w:r w:rsidR="00A57862">
              <w:rPr>
                <w:webHidden/>
              </w:rPr>
              <w:t>45</w:t>
            </w:r>
            <w:r w:rsidR="00A57862">
              <w:rPr>
                <w:webHidden/>
              </w:rPr>
              <w:fldChar w:fldCharType="end"/>
            </w:r>
          </w:hyperlink>
        </w:p>
        <w:p w14:paraId="0E1A990A" w14:textId="3E37B1DB" w:rsidR="00A57862" w:rsidRDefault="00912091">
          <w:pPr>
            <w:pStyle w:val="TOC3"/>
            <w:rPr>
              <w:rFonts w:asciiTheme="minorHAnsi" w:eastAsiaTheme="minorEastAsia" w:hAnsiTheme="minorHAnsi" w:cstheme="minorBidi"/>
              <w:color w:val="auto"/>
              <w:szCs w:val="22"/>
              <w:lang w:eastAsia="en-NZ"/>
            </w:rPr>
          </w:pPr>
          <w:hyperlink w:anchor="_Toc168638940" w:history="1">
            <w:r w:rsidR="00A57862" w:rsidRPr="00A139B3">
              <w:rPr>
                <w:rStyle w:val="Hyperlink"/>
                <w:rFonts w:cs="Arial"/>
              </w:rPr>
              <w:t>Negative stereotypes of Māori were reinforced</w:t>
            </w:r>
            <w:r w:rsidR="00A57862">
              <w:rPr>
                <w:webHidden/>
              </w:rPr>
              <w:tab/>
            </w:r>
            <w:r w:rsidR="00A57862">
              <w:rPr>
                <w:webHidden/>
              </w:rPr>
              <w:fldChar w:fldCharType="begin"/>
            </w:r>
            <w:r w:rsidR="00A57862">
              <w:rPr>
                <w:webHidden/>
              </w:rPr>
              <w:instrText xml:space="preserve"> PAGEREF _Toc168638940 \h </w:instrText>
            </w:r>
            <w:r w:rsidR="00A57862">
              <w:rPr>
                <w:webHidden/>
              </w:rPr>
            </w:r>
            <w:r w:rsidR="00A57862">
              <w:rPr>
                <w:webHidden/>
              </w:rPr>
              <w:fldChar w:fldCharType="separate"/>
            </w:r>
            <w:r w:rsidR="00A57862">
              <w:rPr>
                <w:webHidden/>
              </w:rPr>
              <w:t>45</w:t>
            </w:r>
            <w:r w:rsidR="00A57862">
              <w:rPr>
                <w:webHidden/>
              </w:rPr>
              <w:fldChar w:fldCharType="end"/>
            </w:r>
          </w:hyperlink>
        </w:p>
        <w:p w14:paraId="2D6DCC28" w14:textId="3FA59D14" w:rsidR="00A57862" w:rsidRDefault="00912091">
          <w:pPr>
            <w:pStyle w:val="TOC3"/>
            <w:rPr>
              <w:rFonts w:asciiTheme="minorHAnsi" w:eastAsiaTheme="minorEastAsia" w:hAnsiTheme="minorHAnsi" w:cstheme="minorBidi"/>
              <w:color w:val="auto"/>
              <w:szCs w:val="22"/>
              <w:lang w:eastAsia="en-NZ"/>
            </w:rPr>
          </w:pPr>
          <w:hyperlink w:anchor="_Toc168638941" w:history="1">
            <w:r w:rsidR="00A57862" w:rsidRPr="00A139B3">
              <w:rPr>
                <w:rStyle w:val="Hyperlink"/>
                <w:rFonts w:cs="Arial"/>
              </w:rPr>
              <w:t>I kaha ake te whakatoihara i te hunga penihana</w:t>
            </w:r>
            <w:r w:rsidR="00A57862">
              <w:rPr>
                <w:webHidden/>
              </w:rPr>
              <w:tab/>
            </w:r>
            <w:r w:rsidR="00A57862">
              <w:rPr>
                <w:webHidden/>
              </w:rPr>
              <w:fldChar w:fldCharType="begin"/>
            </w:r>
            <w:r w:rsidR="00A57862">
              <w:rPr>
                <w:webHidden/>
              </w:rPr>
              <w:instrText xml:space="preserve"> PAGEREF _Toc168638941 \h </w:instrText>
            </w:r>
            <w:r w:rsidR="00A57862">
              <w:rPr>
                <w:webHidden/>
              </w:rPr>
            </w:r>
            <w:r w:rsidR="00A57862">
              <w:rPr>
                <w:webHidden/>
              </w:rPr>
              <w:fldChar w:fldCharType="separate"/>
            </w:r>
            <w:r w:rsidR="00A57862">
              <w:rPr>
                <w:webHidden/>
              </w:rPr>
              <w:t>46</w:t>
            </w:r>
            <w:r w:rsidR="00A57862">
              <w:rPr>
                <w:webHidden/>
              </w:rPr>
              <w:fldChar w:fldCharType="end"/>
            </w:r>
          </w:hyperlink>
        </w:p>
        <w:p w14:paraId="683DE4DC" w14:textId="4BF95FD2" w:rsidR="00A57862" w:rsidRDefault="00912091">
          <w:pPr>
            <w:pStyle w:val="TOC3"/>
            <w:rPr>
              <w:rFonts w:asciiTheme="minorHAnsi" w:eastAsiaTheme="minorEastAsia" w:hAnsiTheme="minorHAnsi" w:cstheme="minorBidi"/>
              <w:color w:val="auto"/>
              <w:szCs w:val="22"/>
              <w:lang w:eastAsia="en-NZ"/>
            </w:rPr>
          </w:pPr>
          <w:hyperlink w:anchor="_Toc168638942" w:history="1">
            <w:r w:rsidR="00A57862" w:rsidRPr="00A139B3">
              <w:rPr>
                <w:rStyle w:val="Hyperlink"/>
                <w:rFonts w:cs="Arial"/>
              </w:rPr>
              <w:t>Prejudice against people on benefits was heightened</w:t>
            </w:r>
            <w:r w:rsidR="00A57862">
              <w:rPr>
                <w:webHidden/>
              </w:rPr>
              <w:tab/>
            </w:r>
            <w:r w:rsidR="00A57862">
              <w:rPr>
                <w:webHidden/>
              </w:rPr>
              <w:fldChar w:fldCharType="begin"/>
            </w:r>
            <w:r w:rsidR="00A57862">
              <w:rPr>
                <w:webHidden/>
              </w:rPr>
              <w:instrText xml:space="preserve"> PAGEREF _Toc168638942 \h </w:instrText>
            </w:r>
            <w:r w:rsidR="00A57862">
              <w:rPr>
                <w:webHidden/>
              </w:rPr>
            </w:r>
            <w:r w:rsidR="00A57862">
              <w:rPr>
                <w:webHidden/>
              </w:rPr>
              <w:fldChar w:fldCharType="separate"/>
            </w:r>
            <w:r w:rsidR="00A57862">
              <w:rPr>
                <w:webHidden/>
              </w:rPr>
              <w:t>46</w:t>
            </w:r>
            <w:r w:rsidR="00A57862">
              <w:rPr>
                <w:webHidden/>
              </w:rPr>
              <w:fldChar w:fldCharType="end"/>
            </w:r>
          </w:hyperlink>
        </w:p>
        <w:p w14:paraId="2981ACF5" w14:textId="059AAD55" w:rsidR="00A57862" w:rsidRDefault="00912091">
          <w:pPr>
            <w:pStyle w:val="TOC3"/>
            <w:rPr>
              <w:rFonts w:asciiTheme="minorHAnsi" w:eastAsiaTheme="minorEastAsia" w:hAnsiTheme="minorHAnsi" w:cstheme="minorBidi"/>
              <w:color w:val="auto"/>
              <w:szCs w:val="22"/>
              <w:lang w:eastAsia="en-NZ"/>
            </w:rPr>
          </w:pPr>
          <w:hyperlink w:anchor="_Toc168638943" w:history="1">
            <w:r w:rsidR="00A57862" w:rsidRPr="00A139B3">
              <w:rPr>
                <w:rStyle w:val="Hyperlink"/>
                <w:rFonts w:cs="Arial"/>
              </w:rPr>
              <w:t>Te whakahāwea i ngā tāngata e rongo ana i te wairangitanga</w:t>
            </w:r>
            <w:r w:rsidR="00A57862">
              <w:rPr>
                <w:webHidden/>
              </w:rPr>
              <w:tab/>
            </w:r>
            <w:r w:rsidR="00A57862">
              <w:rPr>
                <w:webHidden/>
              </w:rPr>
              <w:fldChar w:fldCharType="begin"/>
            </w:r>
            <w:r w:rsidR="00A57862">
              <w:rPr>
                <w:webHidden/>
              </w:rPr>
              <w:instrText xml:space="preserve"> PAGEREF _Toc168638943 \h </w:instrText>
            </w:r>
            <w:r w:rsidR="00A57862">
              <w:rPr>
                <w:webHidden/>
              </w:rPr>
            </w:r>
            <w:r w:rsidR="00A57862">
              <w:rPr>
                <w:webHidden/>
              </w:rPr>
              <w:fldChar w:fldCharType="separate"/>
            </w:r>
            <w:r w:rsidR="00A57862">
              <w:rPr>
                <w:webHidden/>
              </w:rPr>
              <w:t>47</w:t>
            </w:r>
            <w:r w:rsidR="00A57862">
              <w:rPr>
                <w:webHidden/>
              </w:rPr>
              <w:fldChar w:fldCharType="end"/>
            </w:r>
          </w:hyperlink>
        </w:p>
        <w:p w14:paraId="6ED4EF18" w14:textId="382D9DCB" w:rsidR="00A57862" w:rsidRDefault="00912091">
          <w:pPr>
            <w:pStyle w:val="TOC3"/>
            <w:rPr>
              <w:rFonts w:asciiTheme="minorHAnsi" w:eastAsiaTheme="minorEastAsia" w:hAnsiTheme="minorHAnsi" w:cstheme="minorBidi"/>
              <w:color w:val="auto"/>
              <w:szCs w:val="22"/>
              <w:lang w:eastAsia="en-NZ"/>
            </w:rPr>
          </w:pPr>
          <w:hyperlink w:anchor="_Toc168638944" w:history="1">
            <w:r w:rsidR="00A57862" w:rsidRPr="00A139B3">
              <w:rPr>
                <w:rStyle w:val="Hyperlink"/>
                <w:rFonts w:cs="Arial"/>
              </w:rPr>
              <w:t>Discrimination against people experiencing mental distress</w:t>
            </w:r>
            <w:r w:rsidR="00A57862">
              <w:rPr>
                <w:webHidden/>
              </w:rPr>
              <w:tab/>
            </w:r>
            <w:r w:rsidR="00A57862">
              <w:rPr>
                <w:webHidden/>
              </w:rPr>
              <w:fldChar w:fldCharType="begin"/>
            </w:r>
            <w:r w:rsidR="00A57862">
              <w:rPr>
                <w:webHidden/>
              </w:rPr>
              <w:instrText xml:space="preserve"> PAGEREF _Toc168638944 \h </w:instrText>
            </w:r>
            <w:r w:rsidR="00A57862">
              <w:rPr>
                <w:webHidden/>
              </w:rPr>
            </w:r>
            <w:r w:rsidR="00A57862">
              <w:rPr>
                <w:webHidden/>
              </w:rPr>
              <w:fldChar w:fldCharType="separate"/>
            </w:r>
            <w:r w:rsidR="00A57862">
              <w:rPr>
                <w:webHidden/>
              </w:rPr>
              <w:t>47</w:t>
            </w:r>
            <w:r w:rsidR="00A57862">
              <w:rPr>
                <w:webHidden/>
              </w:rPr>
              <w:fldChar w:fldCharType="end"/>
            </w:r>
          </w:hyperlink>
        </w:p>
        <w:p w14:paraId="79E55F7B" w14:textId="4413E49C" w:rsidR="00A57862" w:rsidRDefault="00912091">
          <w:pPr>
            <w:pStyle w:val="TOC1"/>
            <w:rPr>
              <w:rFonts w:asciiTheme="minorHAnsi" w:eastAsiaTheme="minorEastAsia" w:hAnsiTheme="minorHAnsi" w:cstheme="minorBidi"/>
              <w:b w:val="0"/>
              <w:noProof/>
              <w:color w:val="auto"/>
              <w:szCs w:val="22"/>
              <w:lang w:eastAsia="en-NZ"/>
            </w:rPr>
          </w:pPr>
          <w:hyperlink w:anchor="_Toc168638945" w:history="1">
            <w:r w:rsidR="00A57862" w:rsidRPr="00A139B3">
              <w:rPr>
                <w:rStyle w:val="Hyperlink"/>
                <w:noProof/>
                <w:lang w:val="pt-BR"/>
              </w:rPr>
              <w:t>Ngā wheako o te purapura ora</w:t>
            </w:r>
            <w:r w:rsidR="00A57862">
              <w:rPr>
                <w:noProof/>
                <w:webHidden/>
              </w:rPr>
              <w:tab/>
            </w:r>
            <w:r w:rsidR="00A57862">
              <w:rPr>
                <w:noProof/>
                <w:webHidden/>
              </w:rPr>
              <w:fldChar w:fldCharType="begin"/>
            </w:r>
            <w:r w:rsidR="00A57862">
              <w:rPr>
                <w:noProof/>
                <w:webHidden/>
              </w:rPr>
              <w:instrText xml:space="preserve"> PAGEREF _Toc168638945 \h </w:instrText>
            </w:r>
            <w:r w:rsidR="00A57862">
              <w:rPr>
                <w:noProof/>
                <w:webHidden/>
              </w:rPr>
            </w:r>
            <w:r w:rsidR="00A57862">
              <w:rPr>
                <w:noProof/>
                <w:webHidden/>
              </w:rPr>
              <w:fldChar w:fldCharType="separate"/>
            </w:r>
            <w:r w:rsidR="00A57862">
              <w:rPr>
                <w:noProof/>
                <w:webHidden/>
              </w:rPr>
              <w:t>50</w:t>
            </w:r>
            <w:r w:rsidR="00A57862">
              <w:rPr>
                <w:noProof/>
                <w:webHidden/>
              </w:rPr>
              <w:fldChar w:fldCharType="end"/>
            </w:r>
          </w:hyperlink>
        </w:p>
        <w:p w14:paraId="6F8CE3F2" w14:textId="517F3EDA" w:rsidR="00A57862" w:rsidRDefault="00912091">
          <w:pPr>
            <w:pStyle w:val="TOC1"/>
            <w:rPr>
              <w:rFonts w:asciiTheme="minorHAnsi" w:eastAsiaTheme="minorEastAsia" w:hAnsiTheme="minorHAnsi" w:cstheme="minorBidi"/>
              <w:b w:val="0"/>
              <w:noProof/>
              <w:color w:val="auto"/>
              <w:szCs w:val="22"/>
              <w:lang w:eastAsia="en-NZ"/>
            </w:rPr>
          </w:pPr>
          <w:hyperlink w:anchor="_Toc168638946" w:history="1">
            <w:r w:rsidR="00A57862" w:rsidRPr="00A139B3">
              <w:rPr>
                <w:rStyle w:val="Hyperlink"/>
                <w:noProof/>
                <w:lang w:val="pt-BR"/>
              </w:rPr>
              <w:t>Survivor experience: Debbie Morris-Jenkins</w:t>
            </w:r>
            <w:r w:rsidR="00A57862">
              <w:rPr>
                <w:noProof/>
                <w:webHidden/>
              </w:rPr>
              <w:tab/>
            </w:r>
            <w:r w:rsidR="00A57862">
              <w:rPr>
                <w:noProof/>
                <w:webHidden/>
              </w:rPr>
              <w:fldChar w:fldCharType="begin"/>
            </w:r>
            <w:r w:rsidR="00A57862">
              <w:rPr>
                <w:noProof/>
                <w:webHidden/>
              </w:rPr>
              <w:instrText xml:space="preserve"> PAGEREF _Toc168638946 \h </w:instrText>
            </w:r>
            <w:r w:rsidR="00A57862">
              <w:rPr>
                <w:noProof/>
                <w:webHidden/>
              </w:rPr>
            </w:r>
            <w:r w:rsidR="00A57862">
              <w:rPr>
                <w:noProof/>
                <w:webHidden/>
              </w:rPr>
              <w:fldChar w:fldCharType="separate"/>
            </w:r>
            <w:r w:rsidR="00A57862">
              <w:rPr>
                <w:noProof/>
                <w:webHidden/>
              </w:rPr>
              <w:t>50</w:t>
            </w:r>
            <w:r w:rsidR="00A57862">
              <w:rPr>
                <w:noProof/>
                <w:webHidden/>
              </w:rPr>
              <w:fldChar w:fldCharType="end"/>
            </w:r>
          </w:hyperlink>
        </w:p>
        <w:p w14:paraId="0B11BB45" w14:textId="0F6CED1B" w:rsidR="00A57862" w:rsidRDefault="00912091">
          <w:pPr>
            <w:pStyle w:val="TOC1"/>
            <w:rPr>
              <w:rFonts w:asciiTheme="minorHAnsi" w:eastAsiaTheme="minorEastAsia" w:hAnsiTheme="minorHAnsi" w:cstheme="minorBidi"/>
              <w:b w:val="0"/>
              <w:noProof/>
              <w:color w:val="auto"/>
              <w:szCs w:val="22"/>
              <w:lang w:eastAsia="en-NZ"/>
            </w:rPr>
          </w:pPr>
          <w:hyperlink w:anchor="_Toc168638947" w:history="1">
            <w:r w:rsidR="00A57862" w:rsidRPr="00A139B3">
              <w:rPr>
                <w:rStyle w:val="Hyperlink"/>
                <w:noProof/>
              </w:rPr>
              <w:t>Ngā wheako o te purapura ora</w:t>
            </w:r>
            <w:r w:rsidR="00A57862">
              <w:rPr>
                <w:noProof/>
                <w:webHidden/>
              </w:rPr>
              <w:tab/>
            </w:r>
            <w:r w:rsidR="00A57862">
              <w:rPr>
                <w:noProof/>
                <w:webHidden/>
              </w:rPr>
              <w:fldChar w:fldCharType="begin"/>
            </w:r>
            <w:r w:rsidR="00A57862">
              <w:rPr>
                <w:noProof/>
                <w:webHidden/>
              </w:rPr>
              <w:instrText xml:space="preserve"> PAGEREF _Toc168638947 \h </w:instrText>
            </w:r>
            <w:r w:rsidR="00A57862">
              <w:rPr>
                <w:noProof/>
                <w:webHidden/>
              </w:rPr>
            </w:r>
            <w:r w:rsidR="00A57862">
              <w:rPr>
                <w:noProof/>
                <w:webHidden/>
              </w:rPr>
              <w:fldChar w:fldCharType="separate"/>
            </w:r>
            <w:r w:rsidR="00A57862">
              <w:rPr>
                <w:noProof/>
                <w:webHidden/>
              </w:rPr>
              <w:t>53</w:t>
            </w:r>
            <w:r w:rsidR="00A57862">
              <w:rPr>
                <w:noProof/>
                <w:webHidden/>
              </w:rPr>
              <w:fldChar w:fldCharType="end"/>
            </w:r>
          </w:hyperlink>
        </w:p>
        <w:p w14:paraId="4249FF63" w14:textId="7B85D897" w:rsidR="00A57862" w:rsidRDefault="00912091">
          <w:pPr>
            <w:pStyle w:val="TOC1"/>
            <w:rPr>
              <w:rFonts w:asciiTheme="minorHAnsi" w:eastAsiaTheme="minorEastAsia" w:hAnsiTheme="minorHAnsi" w:cstheme="minorBidi"/>
              <w:b w:val="0"/>
              <w:noProof/>
              <w:color w:val="auto"/>
              <w:szCs w:val="22"/>
              <w:lang w:eastAsia="en-NZ"/>
            </w:rPr>
          </w:pPr>
          <w:hyperlink w:anchor="_Toc168638948" w:history="1">
            <w:r w:rsidR="00A57862" w:rsidRPr="00A139B3">
              <w:rPr>
                <w:rStyle w:val="Hyperlink"/>
                <w:noProof/>
              </w:rPr>
              <w:t>Survivor experience: Ms OF</w:t>
            </w:r>
            <w:r w:rsidR="00A57862">
              <w:rPr>
                <w:noProof/>
                <w:webHidden/>
              </w:rPr>
              <w:tab/>
            </w:r>
            <w:r w:rsidR="00A57862">
              <w:rPr>
                <w:noProof/>
                <w:webHidden/>
              </w:rPr>
              <w:fldChar w:fldCharType="begin"/>
            </w:r>
            <w:r w:rsidR="00A57862">
              <w:rPr>
                <w:noProof/>
                <w:webHidden/>
              </w:rPr>
              <w:instrText xml:space="preserve"> PAGEREF _Toc168638948 \h </w:instrText>
            </w:r>
            <w:r w:rsidR="00A57862">
              <w:rPr>
                <w:noProof/>
                <w:webHidden/>
              </w:rPr>
            </w:r>
            <w:r w:rsidR="00A57862">
              <w:rPr>
                <w:noProof/>
                <w:webHidden/>
              </w:rPr>
              <w:fldChar w:fldCharType="separate"/>
            </w:r>
            <w:r w:rsidR="00A57862">
              <w:rPr>
                <w:noProof/>
                <w:webHidden/>
              </w:rPr>
              <w:t>53</w:t>
            </w:r>
            <w:r w:rsidR="00A57862">
              <w:rPr>
                <w:noProof/>
                <w:webHidden/>
              </w:rPr>
              <w:fldChar w:fldCharType="end"/>
            </w:r>
          </w:hyperlink>
        </w:p>
        <w:p w14:paraId="2BD75115" w14:textId="1D2D935F" w:rsidR="00A57862" w:rsidRDefault="00912091">
          <w:pPr>
            <w:pStyle w:val="TOC1"/>
            <w:rPr>
              <w:rFonts w:asciiTheme="minorHAnsi" w:eastAsiaTheme="minorEastAsia" w:hAnsiTheme="minorHAnsi" w:cstheme="minorBidi"/>
              <w:b w:val="0"/>
              <w:noProof/>
              <w:color w:val="auto"/>
              <w:szCs w:val="22"/>
              <w:lang w:eastAsia="en-NZ"/>
            </w:rPr>
          </w:pPr>
          <w:hyperlink w:anchor="_Toc168638949" w:history="1">
            <w:r w:rsidR="00A57862" w:rsidRPr="00A139B3">
              <w:rPr>
                <w:rStyle w:val="Hyperlink"/>
                <w:noProof/>
              </w:rPr>
              <w:t>Ūpoko 5: 1900–1950 – Ka tīmata te Kāwana ki te kuhu ki waenga i te whānau</w:t>
            </w:r>
            <w:r w:rsidR="00A57862">
              <w:rPr>
                <w:noProof/>
                <w:webHidden/>
              </w:rPr>
              <w:tab/>
            </w:r>
            <w:r w:rsidR="00A57862">
              <w:rPr>
                <w:noProof/>
                <w:webHidden/>
              </w:rPr>
              <w:fldChar w:fldCharType="begin"/>
            </w:r>
            <w:r w:rsidR="00A57862">
              <w:rPr>
                <w:noProof/>
                <w:webHidden/>
              </w:rPr>
              <w:instrText xml:space="preserve"> PAGEREF _Toc168638949 \h </w:instrText>
            </w:r>
            <w:r w:rsidR="00A57862">
              <w:rPr>
                <w:noProof/>
                <w:webHidden/>
              </w:rPr>
            </w:r>
            <w:r w:rsidR="00A57862">
              <w:rPr>
                <w:noProof/>
                <w:webHidden/>
              </w:rPr>
              <w:fldChar w:fldCharType="separate"/>
            </w:r>
            <w:r w:rsidR="00A57862">
              <w:rPr>
                <w:noProof/>
                <w:webHidden/>
              </w:rPr>
              <w:t>57</w:t>
            </w:r>
            <w:r w:rsidR="00A57862">
              <w:rPr>
                <w:noProof/>
                <w:webHidden/>
              </w:rPr>
              <w:fldChar w:fldCharType="end"/>
            </w:r>
          </w:hyperlink>
        </w:p>
        <w:p w14:paraId="7E4E5D7B" w14:textId="73438595" w:rsidR="00A57862" w:rsidRDefault="00912091">
          <w:pPr>
            <w:pStyle w:val="TOC1"/>
            <w:rPr>
              <w:rFonts w:asciiTheme="minorHAnsi" w:eastAsiaTheme="minorEastAsia" w:hAnsiTheme="minorHAnsi" w:cstheme="minorBidi"/>
              <w:b w:val="0"/>
              <w:noProof/>
              <w:color w:val="auto"/>
              <w:szCs w:val="22"/>
              <w:lang w:eastAsia="en-NZ"/>
            </w:rPr>
          </w:pPr>
          <w:hyperlink w:anchor="_Toc168638950" w:history="1">
            <w:r w:rsidR="00A57862" w:rsidRPr="00A139B3">
              <w:rPr>
                <w:rStyle w:val="Hyperlink"/>
                <w:noProof/>
              </w:rPr>
              <w:t>Chapter 5: 1900–1950 – The State begins to intervene in family life</w:t>
            </w:r>
            <w:r w:rsidR="00A57862">
              <w:rPr>
                <w:noProof/>
                <w:webHidden/>
              </w:rPr>
              <w:tab/>
            </w:r>
            <w:r w:rsidR="00A57862">
              <w:rPr>
                <w:noProof/>
                <w:webHidden/>
              </w:rPr>
              <w:fldChar w:fldCharType="begin"/>
            </w:r>
            <w:r w:rsidR="00A57862">
              <w:rPr>
                <w:noProof/>
                <w:webHidden/>
              </w:rPr>
              <w:instrText xml:space="preserve"> PAGEREF _Toc168638950 \h </w:instrText>
            </w:r>
            <w:r w:rsidR="00A57862">
              <w:rPr>
                <w:noProof/>
                <w:webHidden/>
              </w:rPr>
            </w:r>
            <w:r w:rsidR="00A57862">
              <w:rPr>
                <w:noProof/>
                <w:webHidden/>
              </w:rPr>
              <w:fldChar w:fldCharType="separate"/>
            </w:r>
            <w:r w:rsidR="00A57862">
              <w:rPr>
                <w:noProof/>
                <w:webHidden/>
              </w:rPr>
              <w:t>57</w:t>
            </w:r>
            <w:r w:rsidR="00A57862">
              <w:rPr>
                <w:noProof/>
                <w:webHidden/>
              </w:rPr>
              <w:fldChar w:fldCharType="end"/>
            </w:r>
          </w:hyperlink>
        </w:p>
        <w:p w14:paraId="1F652322" w14:textId="08131143" w:rsidR="00A57862" w:rsidRDefault="00912091">
          <w:pPr>
            <w:pStyle w:val="TOC2"/>
            <w:rPr>
              <w:rFonts w:asciiTheme="minorHAnsi" w:eastAsiaTheme="minorEastAsia" w:hAnsiTheme="minorHAnsi" w:cstheme="minorBidi"/>
              <w:color w:val="auto"/>
              <w:szCs w:val="22"/>
              <w:lang w:eastAsia="en-NZ"/>
            </w:rPr>
          </w:pPr>
          <w:hyperlink w:anchor="_Toc168638951" w:history="1">
            <w:r w:rsidR="00A57862" w:rsidRPr="00A139B3">
              <w:rPr>
                <w:rStyle w:val="Hyperlink"/>
                <w:rFonts w:cs="Arial"/>
              </w:rPr>
              <w:t>Ngā raraunga tukupū mō te Māori i ngā pūnaha taurima i mua i te 1950</w:t>
            </w:r>
            <w:r w:rsidR="00A57862">
              <w:rPr>
                <w:webHidden/>
              </w:rPr>
              <w:tab/>
            </w:r>
            <w:r w:rsidR="00A57862">
              <w:rPr>
                <w:webHidden/>
              </w:rPr>
              <w:fldChar w:fldCharType="begin"/>
            </w:r>
            <w:r w:rsidR="00A57862">
              <w:rPr>
                <w:webHidden/>
              </w:rPr>
              <w:instrText xml:space="preserve"> PAGEREF _Toc168638951 \h </w:instrText>
            </w:r>
            <w:r w:rsidR="00A57862">
              <w:rPr>
                <w:webHidden/>
              </w:rPr>
            </w:r>
            <w:r w:rsidR="00A57862">
              <w:rPr>
                <w:webHidden/>
              </w:rPr>
              <w:fldChar w:fldCharType="separate"/>
            </w:r>
            <w:r w:rsidR="00A57862">
              <w:rPr>
                <w:webHidden/>
              </w:rPr>
              <w:t>57</w:t>
            </w:r>
            <w:r w:rsidR="00A57862">
              <w:rPr>
                <w:webHidden/>
              </w:rPr>
              <w:fldChar w:fldCharType="end"/>
            </w:r>
          </w:hyperlink>
        </w:p>
        <w:p w14:paraId="0601951D" w14:textId="28CD27CE" w:rsidR="00A57862" w:rsidRDefault="00912091">
          <w:pPr>
            <w:pStyle w:val="TOC2"/>
            <w:rPr>
              <w:rFonts w:asciiTheme="minorHAnsi" w:eastAsiaTheme="minorEastAsia" w:hAnsiTheme="minorHAnsi" w:cstheme="minorBidi"/>
              <w:color w:val="auto"/>
              <w:szCs w:val="22"/>
              <w:lang w:eastAsia="en-NZ"/>
            </w:rPr>
          </w:pPr>
          <w:hyperlink w:anchor="_Toc168638952" w:history="1">
            <w:r w:rsidR="00A57862" w:rsidRPr="00A139B3">
              <w:rPr>
                <w:rStyle w:val="Hyperlink"/>
                <w:rFonts w:cs="Arial"/>
              </w:rPr>
              <w:t>General data on Māori in care before 1950</w:t>
            </w:r>
            <w:r w:rsidR="00A57862">
              <w:rPr>
                <w:webHidden/>
              </w:rPr>
              <w:tab/>
            </w:r>
            <w:r w:rsidR="00A57862">
              <w:rPr>
                <w:webHidden/>
              </w:rPr>
              <w:fldChar w:fldCharType="begin"/>
            </w:r>
            <w:r w:rsidR="00A57862">
              <w:rPr>
                <w:webHidden/>
              </w:rPr>
              <w:instrText xml:space="preserve"> PAGEREF _Toc168638952 \h </w:instrText>
            </w:r>
            <w:r w:rsidR="00A57862">
              <w:rPr>
                <w:webHidden/>
              </w:rPr>
            </w:r>
            <w:r w:rsidR="00A57862">
              <w:rPr>
                <w:webHidden/>
              </w:rPr>
              <w:fldChar w:fldCharType="separate"/>
            </w:r>
            <w:r w:rsidR="00A57862">
              <w:rPr>
                <w:webHidden/>
              </w:rPr>
              <w:t>57</w:t>
            </w:r>
            <w:r w:rsidR="00A57862">
              <w:rPr>
                <w:webHidden/>
              </w:rPr>
              <w:fldChar w:fldCharType="end"/>
            </w:r>
          </w:hyperlink>
        </w:p>
        <w:p w14:paraId="05C23123" w14:textId="71E3232C" w:rsidR="00A57862" w:rsidRDefault="00912091">
          <w:pPr>
            <w:pStyle w:val="TOC2"/>
            <w:rPr>
              <w:rFonts w:asciiTheme="minorHAnsi" w:eastAsiaTheme="minorEastAsia" w:hAnsiTheme="minorHAnsi" w:cstheme="minorBidi"/>
              <w:color w:val="auto"/>
              <w:szCs w:val="22"/>
              <w:lang w:eastAsia="en-NZ"/>
            </w:rPr>
          </w:pPr>
          <w:hyperlink w:anchor="_Toc168638953" w:history="1">
            <w:r w:rsidR="00A57862" w:rsidRPr="00A139B3">
              <w:rPr>
                <w:rStyle w:val="Hyperlink"/>
                <w:rFonts w:cs="Arial"/>
              </w:rPr>
              <w:t>Te pikinga o ngā uauatanga i ngā hāpori Māori</w:t>
            </w:r>
            <w:r w:rsidR="00A57862">
              <w:rPr>
                <w:webHidden/>
              </w:rPr>
              <w:tab/>
            </w:r>
            <w:r w:rsidR="00A57862">
              <w:rPr>
                <w:webHidden/>
              </w:rPr>
              <w:fldChar w:fldCharType="begin"/>
            </w:r>
            <w:r w:rsidR="00A57862">
              <w:rPr>
                <w:webHidden/>
              </w:rPr>
              <w:instrText xml:space="preserve"> PAGEREF _Toc168638953 \h </w:instrText>
            </w:r>
            <w:r w:rsidR="00A57862">
              <w:rPr>
                <w:webHidden/>
              </w:rPr>
            </w:r>
            <w:r w:rsidR="00A57862">
              <w:rPr>
                <w:webHidden/>
              </w:rPr>
              <w:fldChar w:fldCharType="separate"/>
            </w:r>
            <w:r w:rsidR="00A57862">
              <w:rPr>
                <w:webHidden/>
              </w:rPr>
              <w:t>58</w:t>
            </w:r>
            <w:r w:rsidR="00A57862">
              <w:rPr>
                <w:webHidden/>
              </w:rPr>
              <w:fldChar w:fldCharType="end"/>
            </w:r>
          </w:hyperlink>
        </w:p>
        <w:p w14:paraId="05E3B6A7" w14:textId="6AB7E589" w:rsidR="00A57862" w:rsidRDefault="00912091">
          <w:pPr>
            <w:pStyle w:val="TOC2"/>
            <w:rPr>
              <w:rFonts w:asciiTheme="minorHAnsi" w:eastAsiaTheme="minorEastAsia" w:hAnsiTheme="minorHAnsi" w:cstheme="minorBidi"/>
              <w:color w:val="auto"/>
              <w:szCs w:val="22"/>
              <w:lang w:eastAsia="en-NZ"/>
            </w:rPr>
          </w:pPr>
          <w:hyperlink w:anchor="_Toc168638954" w:history="1">
            <w:r w:rsidR="00A57862" w:rsidRPr="00A139B3">
              <w:rPr>
                <w:rStyle w:val="Hyperlink"/>
                <w:rFonts w:cs="Arial"/>
              </w:rPr>
              <w:t>Increasing hardship in Māori communities</w:t>
            </w:r>
            <w:r w:rsidR="00A57862">
              <w:rPr>
                <w:webHidden/>
              </w:rPr>
              <w:tab/>
            </w:r>
            <w:r w:rsidR="00A57862">
              <w:rPr>
                <w:webHidden/>
              </w:rPr>
              <w:fldChar w:fldCharType="begin"/>
            </w:r>
            <w:r w:rsidR="00A57862">
              <w:rPr>
                <w:webHidden/>
              </w:rPr>
              <w:instrText xml:space="preserve"> PAGEREF _Toc168638954 \h </w:instrText>
            </w:r>
            <w:r w:rsidR="00A57862">
              <w:rPr>
                <w:webHidden/>
              </w:rPr>
            </w:r>
            <w:r w:rsidR="00A57862">
              <w:rPr>
                <w:webHidden/>
              </w:rPr>
              <w:fldChar w:fldCharType="separate"/>
            </w:r>
            <w:r w:rsidR="00A57862">
              <w:rPr>
                <w:webHidden/>
              </w:rPr>
              <w:t>58</w:t>
            </w:r>
            <w:r w:rsidR="00A57862">
              <w:rPr>
                <w:webHidden/>
              </w:rPr>
              <w:fldChar w:fldCharType="end"/>
            </w:r>
          </w:hyperlink>
        </w:p>
        <w:p w14:paraId="0BE2DB38" w14:textId="034F9CAA" w:rsidR="00A57862" w:rsidRDefault="00912091">
          <w:pPr>
            <w:pStyle w:val="TOC2"/>
            <w:rPr>
              <w:rFonts w:asciiTheme="minorHAnsi" w:eastAsiaTheme="minorEastAsia" w:hAnsiTheme="minorHAnsi" w:cstheme="minorBidi"/>
              <w:color w:val="auto"/>
              <w:szCs w:val="22"/>
              <w:lang w:eastAsia="en-NZ"/>
            </w:rPr>
          </w:pPr>
          <w:hyperlink w:anchor="_Toc168638955" w:history="1">
            <w:r w:rsidR="00A57862" w:rsidRPr="00A139B3">
              <w:rPr>
                <w:rStyle w:val="Hyperlink"/>
                <w:rFonts w:cs="Arial"/>
              </w:rPr>
              <w:t>Te whakatāuke i te hunga whaikaha me te hunga e rongo ana i te wairangitanga</w:t>
            </w:r>
            <w:r w:rsidR="00A57862">
              <w:rPr>
                <w:webHidden/>
              </w:rPr>
              <w:tab/>
            </w:r>
            <w:r w:rsidR="00A57862">
              <w:rPr>
                <w:webHidden/>
              </w:rPr>
              <w:fldChar w:fldCharType="begin"/>
            </w:r>
            <w:r w:rsidR="00A57862">
              <w:rPr>
                <w:webHidden/>
              </w:rPr>
              <w:instrText xml:space="preserve"> PAGEREF _Toc168638955 \h </w:instrText>
            </w:r>
            <w:r w:rsidR="00A57862">
              <w:rPr>
                <w:webHidden/>
              </w:rPr>
            </w:r>
            <w:r w:rsidR="00A57862">
              <w:rPr>
                <w:webHidden/>
              </w:rPr>
              <w:fldChar w:fldCharType="separate"/>
            </w:r>
            <w:r w:rsidR="00A57862">
              <w:rPr>
                <w:webHidden/>
              </w:rPr>
              <w:t>60</w:t>
            </w:r>
            <w:r w:rsidR="00A57862">
              <w:rPr>
                <w:webHidden/>
              </w:rPr>
              <w:fldChar w:fldCharType="end"/>
            </w:r>
          </w:hyperlink>
        </w:p>
        <w:p w14:paraId="1900AFD0" w14:textId="2FA0ED83" w:rsidR="00A57862" w:rsidRDefault="00912091">
          <w:pPr>
            <w:pStyle w:val="TOC2"/>
            <w:rPr>
              <w:rFonts w:asciiTheme="minorHAnsi" w:eastAsiaTheme="minorEastAsia" w:hAnsiTheme="minorHAnsi" w:cstheme="minorBidi"/>
              <w:color w:val="auto"/>
              <w:szCs w:val="22"/>
              <w:lang w:eastAsia="en-NZ"/>
            </w:rPr>
          </w:pPr>
          <w:hyperlink w:anchor="_Toc168638956" w:history="1">
            <w:r w:rsidR="00A57862" w:rsidRPr="00A139B3">
              <w:rPr>
                <w:rStyle w:val="Hyperlink"/>
                <w:rFonts w:cs="Arial"/>
              </w:rPr>
              <w:t>Segregation for disabled people and people who experienced mental distress</w:t>
            </w:r>
            <w:r w:rsidR="00A57862">
              <w:rPr>
                <w:webHidden/>
              </w:rPr>
              <w:tab/>
            </w:r>
            <w:r w:rsidR="00A57862">
              <w:rPr>
                <w:webHidden/>
              </w:rPr>
              <w:fldChar w:fldCharType="begin"/>
            </w:r>
            <w:r w:rsidR="00A57862">
              <w:rPr>
                <w:webHidden/>
              </w:rPr>
              <w:instrText xml:space="preserve"> PAGEREF _Toc168638956 \h </w:instrText>
            </w:r>
            <w:r w:rsidR="00A57862">
              <w:rPr>
                <w:webHidden/>
              </w:rPr>
            </w:r>
            <w:r w:rsidR="00A57862">
              <w:rPr>
                <w:webHidden/>
              </w:rPr>
              <w:fldChar w:fldCharType="separate"/>
            </w:r>
            <w:r w:rsidR="00A57862">
              <w:rPr>
                <w:webHidden/>
              </w:rPr>
              <w:t>60</w:t>
            </w:r>
            <w:r w:rsidR="00A57862">
              <w:rPr>
                <w:webHidden/>
              </w:rPr>
              <w:fldChar w:fldCharType="end"/>
            </w:r>
          </w:hyperlink>
        </w:p>
        <w:p w14:paraId="4A658871" w14:textId="1EB74C58" w:rsidR="00A57862" w:rsidRDefault="00912091">
          <w:pPr>
            <w:pStyle w:val="TOC2"/>
            <w:rPr>
              <w:rFonts w:asciiTheme="minorHAnsi" w:eastAsiaTheme="minorEastAsia" w:hAnsiTheme="minorHAnsi" w:cstheme="minorBidi"/>
              <w:color w:val="auto"/>
              <w:szCs w:val="22"/>
              <w:lang w:eastAsia="en-NZ"/>
            </w:rPr>
          </w:pPr>
          <w:hyperlink w:anchor="_Toc168638957" w:history="1">
            <w:r w:rsidR="00A57862" w:rsidRPr="00A139B3">
              <w:rPr>
                <w:rStyle w:val="Hyperlink"/>
                <w:rFonts w:cs="Arial"/>
              </w:rPr>
              <w:t>Ka rongo pea te hunga Turi, te hunga whaikaha me te hunga wairangi i te rawakoretanga mō te roanga o ō rātou oranga</w:t>
            </w:r>
            <w:r w:rsidR="00A57862">
              <w:rPr>
                <w:webHidden/>
              </w:rPr>
              <w:tab/>
            </w:r>
            <w:r w:rsidR="00A57862">
              <w:rPr>
                <w:webHidden/>
              </w:rPr>
              <w:fldChar w:fldCharType="begin"/>
            </w:r>
            <w:r w:rsidR="00A57862">
              <w:rPr>
                <w:webHidden/>
              </w:rPr>
              <w:instrText xml:space="preserve"> PAGEREF _Toc168638957 \h </w:instrText>
            </w:r>
            <w:r w:rsidR="00A57862">
              <w:rPr>
                <w:webHidden/>
              </w:rPr>
            </w:r>
            <w:r w:rsidR="00A57862">
              <w:rPr>
                <w:webHidden/>
              </w:rPr>
              <w:fldChar w:fldCharType="separate"/>
            </w:r>
            <w:r w:rsidR="00A57862">
              <w:rPr>
                <w:webHidden/>
              </w:rPr>
              <w:t>60</w:t>
            </w:r>
            <w:r w:rsidR="00A57862">
              <w:rPr>
                <w:webHidden/>
              </w:rPr>
              <w:fldChar w:fldCharType="end"/>
            </w:r>
          </w:hyperlink>
        </w:p>
        <w:p w14:paraId="343034A3" w14:textId="4A9B218F" w:rsidR="00A57862" w:rsidRDefault="00912091">
          <w:pPr>
            <w:pStyle w:val="TOC2"/>
            <w:rPr>
              <w:rFonts w:asciiTheme="minorHAnsi" w:eastAsiaTheme="minorEastAsia" w:hAnsiTheme="minorHAnsi" w:cstheme="minorBidi"/>
              <w:color w:val="auto"/>
              <w:szCs w:val="22"/>
              <w:lang w:eastAsia="en-NZ"/>
            </w:rPr>
          </w:pPr>
          <w:hyperlink w:anchor="_Toc168638958" w:history="1">
            <w:r w:rsidR="00A57862" w:rsidRPr="00A139B3">
              <w:rPr>
                <w:rStyle w:val="Hyperlink"/>
                <w:rFonts w:cs="Arial"/>
              </w:rPr>
              <w:t>Deaf, disabled and people experiencing mental distress could experience lifelong poverty</w:t>
            </w:r>
            <w:r w:rsidR="00A57862">
              <w:rPr>
                <w:webHidden/>
              </w:rPr>
              <w:tab/>
            </w:r>
            <w:r w:rsidR="00A57862">
              <w:rPr>
                <w:webHidden/>
              </w:rPr>
              <w:fldChar w:fldCharType="begin"/>
            </w:r>
            <w:r w:rsidR="00A57862">
              <w:rPr>
                <w:webHidden/>
              </w:rPr>
              <w:instrText xml:space="preserve"> PAGEREF _Toc168638958 \h </w:instrText>
            </w:r>
            <w:r w:rsidR="00A57862">
              <w:rPr>
                <w:webHidden/>
              </w:rPr>
            </w:r>
            <w:r w:rsidR="00A57862">
              <w:rPr>
                <w:webHidden/>
              </w:rPr>
              <w:fldChar w:fldCharType="separate"/>
            </w:r>
            <w:r w:rsidR="00A57862">
              <w:rPr>
                <w:webHidden/>
              </w:rPr>
              <w:t>60</w:t>
            </w:r>
            <w:r w:rsidR="00A57862">
              <w:rPr>
                <w:webHidden/>
              </w:rPr>
              <w:fldChar w:fldCharType="end"/>
            </w:r>
          </w:hyperlink>
        </w:p>
        <w:p w14:paraId="38602609" w14:textId="42BA4B73" w:rsidR="00A57862" w:rsidRDefault="00912091">
          <w:pPr>
            <w:pStyle w:val="TOC2"/>
            <w:rPr>
              <w:rFonts w:asciiTheme="minorHAnsi" w:eastAsiaTheme="minorEastAsia" w:hAnsiTheme="minorHAnsi" w:cstheme="minorBidi"/>
              <w:color w:val="auto"/>
              <w:szCs w:val="22"/>
              <w:lang w:eastAsia="en-NZ"/>
            </w:rPr>
          </w:pPr>
          <w:hyperlink w:anchor="_Toc168638959" w:history="1">
            <w:r w:rsidR="00A57862" w:rsidRPr="00A139B3">
              <w:rPr>
                <w:rStyle w:val="Hyperlink"/>
                <w:rFonts w:cs="Arial"/>
              </w:rPr>
              <w:t>Te hūnuku o ngā iwi Pasifika ki Aotearoa</w:t>
            </w:r>
            <w:r w:rsidR="00A57862">
              <w:rPr>
                <w:webHidden/>
              </w:rPr>
              <w:tab/>
            </w:r>
            <w:r w:rsidR="00A57862">
              <w:rPr>
                <w:webHidden/>
              </w:rPr>
              <w:fldChar w:fldCharType="begin"/>
            </w:r>
            <w:r w:rsidR="00A57862">
              <w:rPr>
                <w:webHidden/>
              </w:rPr>
              <w:instrText xml:space="preserve"> PAGEREF _Toc168638959 \h </w:instrText>
            </w:r>
            <w:r w:rsidR="00A57862">
              <w:rPr>
                <w:webHidden/>
              </w:rPr>
            </w:r>
            <w:r w:rsidR="00A57862">
              <w:rPr>
                <w:webHidden/>
              </w:rPr>
              <w:fldChar w:fldCharType="separate"/>
            </w:r>
            <w:r w:rsidR="00A57862">
              <w:rPr>
                <w:webHidden/>
              </w:rPr>
              <w:t>61</w:t>
            </w:r>
            <w:r w:rsidR="00A57862">
              <w:rPr>
                <w:webHidden/>
              </w:rPr>
              <w:fldChar w:fldCharType="end"/>
            </w:r>
          </w:hyperlink>
        </w:p>
        <w:p w14:paraId="5B9FF26C" w14:textId="6E196C16" w:rsidR="00A57862" w:rsidRDefault="00912091">
          <w:pPr>
            <w:pStyle w:val="TOC2"/>
            <w:rPr>
              <w:rFonts w:asciiTheme="minorHAnsi" w:eastAsiaTheme="minorEastAsia" w:hAnsiTheme="minorHAnsi" w:cstheme="minorBidi"/>
              <w:color w:val="auto"/>
              <w:szCs w:val="22"/>
              <w:lang w:eastAsia="en-NZ"/>
            </w:rPr>
          </w:pPr>
          <w:hyperlink w:anchor="_Toc168638960" w:history="1">
            <w:r w:rsidR="00A57862" w:rsidRPr="00A139B3">
              <w:rPr>
                <w:rStyle w:val="Hyperlink"/>
                <w:rFonts w:cs="Arial"/>
              </w:rPr>
              <w:t>Pacific Peoples’ migration to Aotearoa New Zealand</w:t>
            </w:r>
            <w:r w:rsidR="00A57862">
              <w:rPr>
                <w:webHidden/>
              </w:rPr>
              <w:tab/>
            </w:r>
            <w:r w:rsidR="00A57862">
              <w:rPr>
                <w:webHidden/>
              </w:rPr>
              <w:fldChar w:fldCharType="begin"/>
            </w:r>
            <w:r w:rsidR="00A57862">
              <w:rPr>
                <w:webHidden/>
              </w:rPr>
              <w:instrText xml:space="preserve"> PAGEREF _Toc168638960 \h </w:instrText>
            </w:r>
            <w:r w:rsidR="00A57862">
              <w:rPr>
                <w:webHidden/>
              </w:rPr>
            </w:r>
            <w:r w:rsidR="00A57862">
              <w:rPr>
                <w:webHidden/>
              </w:rPr>
              <w:fldChar w:fldCharType="separate"/>
            </w:r>
            <w:r w:rsidR="00A57862">
              <w:rPr>
                <w:webHidden/>
              </w:rPr>
              <w:t>61</w:t>
            </w:r>
            <w:r w:rsidR="00A57862">
              <w:rPr>
                <w:webHidden/>
              </w:rPr>
              <w:fldChar w:fldCharType="end"/>
            </w:r>
          </w:hyperlink>
        </w:p>
        <w:p w14:paraId="2223FA32" w14:textId="3A73E155" w:rsidR="00A57862" w:rsidRDefault="00912091">
          <w:pPr>
            <w:pStyle w:val="TOC3"/>
            <w:rPr>
              <w:rFonts w:asciiTheme="minorHAnsi" w:eastAsiaTheme="minorEastAsia" w:hAnsiTheme="minorHAnsi" w:cstheme="minorBidi"/>
              <w:color w:val="auto"/>
              <w:szCs w:val="22"/>
              <w:lang w:eastAsia="en-NZ"/>
            </w:rPr>
          </w:pPr>
          <w:hyperlink w:anchor="_Toc168638961" w:history="1">
            <w:r w:rsidR="00A57862" w:rsidRPr="00A139B3">
              <w:rPr>
                <w:rStyle w:val="Hyperlink"/>
                <w:rFonts w:cs="Arial"/>
              </w:rPr>
              <w:t>Te whanaungatanga i waenganui i a Aotearoa me ngā whenua Pasifika</w:t>
            </w:r>
            <w:r w:rsidR="00A57862">
              <w:rPr>
                <w:webHidden/>
              </w:rPr>
              <w:tab/>
            </w:r>
            <w:r w:rsidR="00A57862">
              <w:rPr>
                <w:webHidden/>
              </w:rPr>
              <w:fldChar w:fldCharType="begin"/>
            </w:r>
            <w:r w:rsidR="00A57862">
              <w:rPr>
                <w:webHidden/>
              </w:rPr>
              <w:instrText xml:space="preserve"> PAGEREF _Toc168638961 \h </w:instrText>
            </w:r>
            <w:r w:rsidR="00A57862">
              <w:rPr>
                <w:webHidden/>
              </w:rPr>
            </w:r>
            <w:r w:rsidR="00A57862">
              <w:rPr>
                <w:webHidden/>
              </w:rPr>
              <w:fldChar w:fldCharType="separate"/>
            </w:r>
            <w:r w:rsidR="00A57862">
              <w:rPr>
                <w:webHidden/>
              </w:rPr>
              <w:t>61</w:t>
            </w:r>
            <w:r w:rsidR="00A57862">
              <w:rPr>
                <w:webHidden/>
              </w:rPr>
              <w:fldChar w:fldCharType="end"/>
            </w:r>
          </w:hyperlink>
        </w:p>
        <w:p w14:paraId="59420549" w14:textId="4B958788" w:rsidR="00A57862" w:rsidRDefault="00912091">
          <w:pPr>
            <w:pStyle w:val="TOC3"/>
            <w:rPr>
              <w:rFonts w:asciiTheme="minorHAnsi" w:eastAsiaTheme="minorEastAsia" w:hAnsiTheme="minorHAnsi" w:cstheme="minorBidi"/>
              <w:color w:val="auto"/>
              <w:szCs w:val="22"/>
              <w:lang w:eastAsia="en-NZ"/>
            </w:rPr>
          </w:pPr>
          <w:hyperlink w:anchor="_Toc168638962" w:history="1">
            <w:r w:rsidR="00A57862" w:rsidRPr="00A139B3">
              <w:rPr>
                <w:rStyle w:val="Hyperlink"/>
                <w:rFonts w:cs="Arial"/>
              </w:rPr>
              <w:t>Relationships between Aotearoa New Zealand and the Pacific nations</w:t>
            </w:r>
            <w:r w:rsidR="00A57862">
              <w:rPr>
                <w:webHidden/>
              </w:rPr>
              <w:tab/>
            </w:r>
            <w:r w:rsidR="00A57862">
              <w:rPr>
                <w:webHidden/>
              </w:rPr>
              <w:fldChar w:fldCharType="begin"/>
            </w:r>
            <w:r w:rsidR="00A57862">
              <w:rPr>
                <w:webHidden/>
              </w:rPr>
              <w:instrText xml:space="preserve"> PAGEREF _Toc168638962 \h </w:instrText>
            </w:r>
            <w:r w:rsidR="00A57862">
              <w:rPr>
                <w:webHidden/>
              </w:rPr>
            </w:r>
            <w:r w:rsidR="00A57862">
              <w:rPr>
                <w:webHidden/>
              </w:rPr>
              <w:fldChar w:fldCharType="separate"/>
            </w:r>
            <w:r w:rsidR="00A57862">
              <w:rPr>
                <w:webHidden/>
              </w:rPr>
              <w:t>61</w:t>
            </w:r>
            <w:r w:rsidR="00A57862">
              <w:rPr>
                <w:webHidden/>
              </w:rPr>
              <w:fldChar w:fldCharType="end"/>
            </w:r>
          </w:hyperlink>
        </w:p>
        <w:p w14:paraId="54D1B967" w14:textId="174BBAE1" w:rsidR="00A57862" w:rsidRDefault="00912091">
          <w:pPr>
            <w:pStyle w:val="TOC2"/>
            <w:rPr>
              <w:rFonts w:asciiTheme="minorHAnsi" w:eastAsiaTheme="minorEastAsia" w:hAnsiTheme="minorHAnsi" w:cstheme="minorBidi"/>
              <w:color w:val="auto"/>
              <w:szCs w:val="22"/>
              <w:lang w:eastAsia="en-NZ"/>
            </w:rPr>
          </w:pPr>
          <w:hyperlink w:anchor="_Toc168638963" w:history="1">
            <w:r w:rsidR="00A57862" w:rsidRPr="00A139B3">
              <w:rPr>
                <w:rStyle w:val="Hyperlink"/>
              </w:rPr>
              <w:t>Ka tipu haere ngā mōtika tamariki | Children’s rights begin to increase</w:t>
            </w:r>
            <w:r w:rsidR="00A57862">
              <w:rPr>
                <w:webHidden/>
              </w:rPr>
              <w:tab/>
            </w:r>
            <w:r w:rsidR="00A57862">
              <w:rPr>
                <w:webHidden/>
              </w:rPr>
              <w:fldChar w:fldCharType="begin"/>
            </w:r>
            <w:r w:rsidR="00A57862">
              <w:rPr>
                <w:webHidden/>
              </w:rPr>
              <w:instrText xml:space="preserve"> PAGEREF _Toc168638963 \h </w:instrText>
            </w:r>
            <w:r w:rsidR="00A57862">
              <w:rPr>
                <w:webHidden/>
              </w:rPr>
            </w:r>
            <w:r w:rsidR="00A57862">
              <w:rPr>
                <w:webHidden/>
              </w:rPr>
              <w:fldChar w:fldCharType="separate"/>
            </w:r>
            <w:r w:rsidR="00A57862">
              <w:rPr>
                <w:webHidden/>
              </w:rPr>
              <w:t>63</w:t>
            </w:r>
            <w:r w:rsidR="00A57862">
              <w:rPr>
                <w:webHidden/>
              </w:rPr>
              <w:fldChar w:fldCharType="end"/>
            </w:r>
          </w:hyperlink>
        </w:p>
        <w:p w14:paraId="0CC2963D" w14:textId="708936CC" w:rsidR="00A57862" w:rsidRDefault="00912091">
          <w:pPr>
            <w:pStyle w:val="TOC2"/>
            <w:rPr>
              <w:rFonts w:asciiTheme="minorHAnsi" w:eastAsiaTheme="minorEastAsia" w:hAnsiTheme="minorHAnsi" w:cstheme="minorBidi"/>
              <w:color w:val="auto"/>
              <w:szCs w:val="22"/>
              <w:lang w:eastAsia="en-NZ"/>
            </w:rPr>
          </w:pPr>
          <w:hyperlink w:anchor="_Toc168638964" w:history="1">
            <w:r w:rsidR="00A57862" w:rsidRPr="00A139B3">
              <w:rPr>
                <w:rStyle w:val="Hyperlink"/>
                <w:rFonts w:cs="Arial"/>
              </w:rPr>
              <w:t>Te mārama haere ki te whanaketanga tamariki</w:t>
            </w:r>
            <w:r w:rsidR="00A57862">
              <w:rPr>
                <w:webHidden/>
              </w:rPr>
              <w:tab/>
            </w:r>
            <w:r w:rsidR="00A57862">
              <w:rPr>
                <w:webHidden/>
              </w:rPr>
              <w:fldChar w:fldCharType="begin"/>
            </w:r>
            <w:r w:rsidR="00A57862">
              <w:rPr>
                <w:webHidden/>
              </w:rPr>
              <w:instrText xml:space="preserve"> PAGEREF _Toc168638964 \h </w:instrText>
            </w:r>
            <w:r w:rsidR="00A57862">
              <w:rPr>
                <w:webHidden/>
              </w:rPr>
            </w:r>
            <w:r w:rsidR="00A57862">
              <w:rPr>
                <w:webHidden/>
              </w:rPr>
              <w:fldChar w:fldCharType="separate"/>
            </w:r>
            <w:r w:rsidR="00A57862">
              <w:rPr>
                <w:webHidden/>
              </w:rPr>
              <w:t>63</w:t>
            </w:r>
            <w:r w:rsidR="00A57862">
              <w:rPr>
                <w:webHidden/>
              </w:rPr>
              <w:fldChar w:fldCharType="end"/>
            </w:r>
          </w:hyperlink>
        </w:p>
        <w:p w14:paraId="200A5244" w14:textId="4A2FB330" w:rsidR="00A57862" w:rsidRDefault="00912091">
          <w:pPr>
            <w:pStyle w:val="TOC2"/>
            <w:rPr>
              <w:rFonts w:asciiTheme="minorHAnsi" w:eastAsiaTheme="minorEastAsia" w:hAnsiTheme="minorHAnsi" w:cstheme="minorBidi"/>
              <w:color w:val="auto"/>
              <w:szCs w:val="22"/>
              <w:lang w:eastAsia="en-NZ"/>
            </w:rPr>
          </w:pPr>
          <w:hyperlink w:anchor="_Toc168638965" w:history="1">
            <w:r w:rsidR="00A57862" w:rsidRPr="00A139B3">
              <w:rPr>
                <w:rStyle w:val="Hyperlink"/>
                <w:rFonts w:cs="Arial"/>
              </w:rPr>
              <w:t>Growth in the understanding of child development</w:t>
            </w:r>
            <w:r w:rsidR="00A57862">
              <w:rPr>
                <w:webHidden/>
              </w:rPr>
              <w:tab/>
            </w:r>
            <w:r w:rsidR="00A57862">
              <w:rPr>
                <w:webHidden/>
              </w:rPr>
              <w:fldChar w:fldCharType="begin"/>
            </w:r>
            <w:r w:rsidR="00A57862">
              <w:rPr>
                <w:webHidden/>
              </w:rPr>
              <w:instrText xml:space="preserve"> PAGEREF _Toc168638965 \h </w:instrText>
            </w:r>
            <w:r w:rsidR="00A57862">
              <w:rPr>
                <w:webHidden/>
              </w:rPr>
            </w:r>
            <w:r w:rsidR="00A57862">
              <w:rPr>
                <w:webHidden/>
              </w:rPr>
              <w:fldChar w:fldCharType="separate"/>
            </w:r>
            <w:r w:rsidR="00A57862">
              <w:rPr>
                <w:webHidden/>
              </w:rPr>
              <w:t>63</w:t>
            </w:r>
            <w:r w:rsidR="00A57862">
              <w:rPr>
                <w:webHidden/>
              </w:rPr>
              <w:fldChar w:fldCharType="end"/>
            </w:r>
          </w:hyperlink>
        </w:p>
        <w:p w14:paraId="4702C5B5" w14:textId="3116F5AE" w:rsidR="00A57862" w:rsidRDefault="00912091">
          <w:pPr>
            <w:pStyle w:val="TOC1"/>
            <w:rPr>
              <w:rFonts w:asciiTheme="minorHAnsi" w:eastAsiaTheme="minorEastAsia" w:hAnsiTheme="minorHAnsi" w:cstheme="minorBidi"/>
              <w:b w:val="0"/>
              <w:noProof/>
              <w:color w:val="auto"/>
              <w:szCs w:val="22"/>
              <w:lang w:eastAsia="en-NZ"/>
            </w:rPr>
          </w:pPr>
          <w:hyperlink w:anchor="_Toc168638966" w:history="1">
            <w:r w:rsidR="00A57862" w:rsidRPr="00A139B3">
              <w:rPr>
                <w:rStyle w:val="Hyperlink"/>
                <w:noProof/>
              </w:rPr>
              <w:t>Ūpoko 6: 1950–1970 – Te whakawehi matatika me te tupu o te whenua tokoora</w:t>
            </w:r>
            <w:r w:rsidR="00A57862">
              <w:rPr>
                <w:noProof/>
                <w:webHidden/>
              </w:rPr>
              <w:tab/>
            </w:r>
            <w:r w:rsidR="00A57862">
              <w:rPr>
                <w:noProof/>
                <w:webHidden/>
              </w:rPr>
              <w:fldChar w:fldCharType="begin"/>
            </w:r>
            <w:r w:rsidR="00A57862">
              <w:rPr>
                <w:noProof/>
                <w:webHidden/>
              </w:rPr>
              <w:instrText xml:space="preserve"> PAGEREF _Toc168638966 \h </w:instrText>
            </w:r>
            <w:r w:rsidR="00A57862">
              <w:rPr>
                <w:noProof/>
                <w:webHidden/>
              </w:rPr>
            </w:r>
            <w:r w:rsidR="00A57862">
              <w:rPr>
                <w:noProof/>
                <w:webHidden/>
              </w:rPr>
              <w:fldChar w:fldCharType="separate"/>
            </w:r>
            <w:r w:rsidR="00A57862">
              <w:rPr>
                <w:noProof/>
                <w:webHidden/>
              </w:rPr>
              <w:t>65</w:t>
            </w:r>
            <w:r w:rsidR="00A57862">
              <w:rPr>
                <w:noProof/>
                <w:webHidden/>
              </w:rPr>
              <w:fldChar w:fldCharType="end"/>
            </w:r>
          </w:hyperlink>
        </w:p>
        <w:p w14:paraId="506783C6" w14:textId="14C26730" w:rsidR="00A57862" w:rsidRDefault="00912091">
          <w:pPr>
            <w:pStyle w:val="TOC1"/>
            <w:rPr>
              <w:rFonts w:asciiTheme="minorHAnsi" w:eastAsiaTheme="minorEastAsia" w:hAnsiTheme="minorHAnsi" w:cstheme="minorBidi"/>
              <w:b w:val="0"/>
              <w:noProof/>
              <w:color w:val="auto"/>
              <w:szCs w:val="22"/>
              <w:lang w:eastAsia="en-NZ"/>
            </w:rPr>
          </w:pPr>
          <w:hyperlink w:anchor="_Toc168638967" w:history="1">
            <w:r w:rsidR="00A57862" w:rsidRPr="00A139B3">
              <w:rPr>
                <w:rStyle w:val="Hyperlink"/>
                <w:noProof/>
              </w:rPr>
              <w:t>Chapter 6: 1950–1970 – Moral panic and the growth of the welfare state</w:t>
            </w:r>
            <w:r w:rsidR="00A57862">
              <w:rPr>
                <w:noProof/>
                <w:webHidden/>
              </w:rPr>
              <w:tab/>
            </w:r>
            <w:r w:rsidR="00A57862">
              <w:rPr>
                <w:noProof/>
                <w:webHidden/>
              </w:rPr>
              <w:fldChar w:fldCharType="begin"/>
            </w:r>
            <w:r w:rsidR="00A57862">
              <w:rPr>
                <w:noProof/>
                <w:webHidden/>
              </w:rPr>
              <w:instrText xml:space="preserve"> PAGEREF _Toc168638967 \h </w:instrText>
            </w:r>
            <w:r w:rsidR="00A57862">
              <w:rPr>
                <w:noProof/>
                <w:webHidden/>
              </w:rPr>
            </w:r>
            <w:r w:rsidR="00A57862">
              <w:rPr>
                <w:noProof/>
                <w:webHidden/>
              </w:rPr>
              <w:fldChar w:fldCharType="separate"/>
            </w:r>
            <w:r w:rsidR="00A57862">
              <w:rPr>
                <w:noProof/>
                <w:webHidden/>
              </w:rPr>
              <w:t>65</w:t>
            </w:r>
            <w:r w:rsidR="00A57862">
              <w:rPr>
                <w:noProof/>
                <w:webHidden/>
              </w:rPr>
              <w:fldChar w:fldCharType="end"/>
            </w:r>
          </w:hyperlink>
        </w:p>
        <w:p w14:paraId="2E3726A9" w14:textId="1E0050D9" w:rsidR="00A57862" w:rsidRDefault="00912091">
          <w:pPr>
            <w:pStyle w:val="TOC2"/>
            <w:rPr>
              <w:rFonts w:asciiTheme="minorHAnsi" w:eastAsiaTheme="minorEastAsia" w:hAnsiTheme="minorHAnsi" w:cstheme="minorBidi"/>
              <w:color w:val="auto"/>
              <w:szCs w:val="22"/>
              <w:lang w:eastAsia="en-NZ"/>
            </w:rPr>
          </w:pPr>
          <w:hyperlink w:anchor="_Toc168638968" w:history="1">
            <w:r w:rsidR="00A57862" w:rsidRPr="00A139B3">
              <w:rPr>
                <w:rStyle w:val="Hyperlink"/>
                <w:rFonts w:cs="Arial"/>
              </w:rPr>
              <w:t>Te urutau a te Māori ki te noho tāone | Māori adapting to an urban way of life</w:t>
            </w:r>
            <w:r w:rsidR="00A57862">
              <w:rPr>
                <w:webHidden/>
              </w:rPr>
              <w:tab/>
            </w:r>
            <w:r w:rsidR="00A57862">
              <w:rPr>
                <w:webHidden/>
              </w:rPr>
              <w:fldChar w:fldCharType="begin"/>
            </w:r>
            <w:r w:rsidR="00A57862">
              <w:rPr>
                <w:webHidden/>
              </w:rPr>
              <w:instrText xml:space="preserve"> PAGEREF _Toc168638968 \h </w:instrText>
            </w:r>
            <w:r w:rsidR="00A57862">
              <w:rPr>
                <w:webHidden/>
              </w:rPr>
            </w:r>
            <w:r w:rsidR="00A57862">
              <w:rPr>
                <w:webHidden/>
              </w:rPr>
              <w:fldChar w:fldCharType="separate"/>
            </w:r>
            <w:r w:rsidR="00A57862">
              <w:rPr>
                <w:webHidden/>
              </w:rPr>
              <w:t>65</w:t>
            </w:r>
            <w:r w:rsidR="00A57862">
              <w:rPr>
                <w:webHidden/>
              </w:rPr>
              <w:fldChar w:fldCharType="end"/>
            </w:r>
          </w:hyperlink>
        </w:p>
        <w:p w14:paraId="14D2F22C" w14:textId="630E2A69" w:rsidR="00A57862" w:rsidRDefault="00912091">
          <w:pPr>
            <w:pStyle w:val="TOC2"/>
            <w:rPr>
              <w:rFonts w:asciiTheme="minorHAnsi" w:eastAsiaTheme="minorEastAsia" w:hAnsiTheme="minorHAnsi" w:cstheme="minorBidi"/>
              <w:color w:val="auto"/>
              <w:szCs w:val="22"/>
              <w:lang w:eastAsia="en-NZ"/>
            </w:rPr>
          </w:pPr>
          <w:hyperlink w:anchor="_Toc168638969" w:history="1">
            <w:r w:rsidR="00A57862" w:rsidRPr="00A139B3">
              <w:rPr>
                <w:rStyle w:val="Hyperlink"/>
                <w:rFonts w:cs="Arial"/>
              </w:rPr>
              <w:t>Te hunga Turi, whaikaha me te hunga i rongo i te wairangitanga</w:t>
            </w:r>
            <w:r w:rsidR="00A57862">
              <w:rPr>
                <w:webHidden/>
              </w:rPr>
              <w:tab/>
            </w:r>
            <w:r w:rsidR="00A57862">
              <w:rPr>
                <w:webHidden/>
              </w:rPr>
              <w:fldChar w:fldCharType="begin"/>
            </w:r>
            <w:r w:rsidR="00A57862">
              <w:rPr>
                <w:webHidden/>
              </w:rPr>
              <w:instrText xml:space="preserve"> PAGEREF _Toc168638969 \h </w:instrText>
            </w:r>
            <w:r w:rsidR="00A57862">
              <w:rPr>
                <w:webHidden/>
              </w:rPr>
            </w:r>
            <w:r w:rsidR="00A57862">
              <w:rPr>
                <w:webHidden/>
              </w:rPr>
              <w:fldChar w:fldCharType="separate"/>
            </w:r>
            <w:r w:rsidR="00A57862">
              <w:rPr>
                <w:webHidden/>
              </w:rPr>
              <w:t>66</w:t>
            </w:r>
            <w:r w:rsidR="00A57862">
              <w:rPr>
                <w:webHidden/>
              </w:rPr>
              <w:fldChar w:fldCharType="end"/>
            </w:r>
          </w:hyperlink>
        </w:p>
        <w:p w14:paraId="7BA12E1D" w14:textId="1376D84E" w:rsidR="00A57862" w:rsidRDefault="00912091">
          <w:pPr>
            <w:pStyle w:val="TOC2"/>
            <w:rPr>
              <w:rFonts w:asciiTheme="minorHAnsi" w:eastAsiaTheme="minorEastAsia" w:hAnsiTheme="minorHAnsi" w:cstheme="minorBidi"/>
              <w:color w:val="auto"/>
              <w:szCs w:val="22"/>
              <w:lang w:eastAsia="en-NZ"/>
            </w:rPr>
          </w:pPr>
          <w:hyperlink w:anchor="_Toc168638970" w:history="1">
            <w:r w:rsidR="00A57862" w:rsidRPr="00A139B3">
              <w:rPr>
                <w:rStyle w:val="Hyperlink"/>
                <w:rFonts w:cs="Arial"/>
              </w:rPr>
              <w:t>Deaf, disabled and people who experienced mental distress</w:t>
            </w:r>
            <w:r w:rsidR="00A57862">
              <w:rPr>
                <w:webHidden/>
              </w:rPr>
              <w:tab/>
            </w:r>
            <w:r w:rsidR="00A57862">
              <w:rPr>
                <w:webHidden/>
              </w:rPr>
              <w:fldChar w:fldCharType="begin"/>
            </w:r>
            <w:r w:rsidR="00A57862">
              <w:rPr>
                <w:webHidden/>
              </w:rPr>
              <w:instrText xml:space="preserve"> PAGEREF _Toc168638970 \h </w:instrText>
            </w:r>
            <w:r w:rsidR="00A57862">
              <w:rPr>
                <w:webHidden/>
              </w:rPr>
            </w:r>
            <w:r w:rsidR="00A57862">
              <w:rPr>
                <w:webHidden/>
              </w:rPr>
              <w:fldChar w:fldCharType="separate"/>
            </w:r>
            <w:r w:rsidR="00A57862">
              <w:rPr>
                <w:webHidden/>
              </w:rPr>
              <w:t>66</w:t>
            </w:r>
            <w:r w:rsidR="00A57862">
              <w:rPr>
                <w:webHidden/>
              </w:rPr>
              <w:fldChar w:fldCharType="end"/>
            </w:r>
          </w:hyperlink>
        </w:p>
        <w:p w14:paraId="71730E36" w14:textId="5AAA7CF8" w:rsidR="00A57862" w:rsidRDefault="00912091">
          <w:pPr>
            <w:pStyle w:val="TOC3"/>
            <w:rPr>
              <w:rFonts w:asciiTheme="minorHAnsi" w:eastAsiaTheme="minorEastAsia" w:hAnsiTheme="minorHAnsi" w:cstheme="minorBidi"/>
              <w:color w:val="auto"/>
              <w:szCs w:val="22"/>
              <w:lang w:eastAsia="en-NZ"/>
            </w:rPr>
          </w:pPr>
          <w:hyperlink w:anchor="_Toc168638971" w:history="1">
            <w:r w:rsidR="00A57862" w:rsidRPr="00A139B3">
              <w:rPr>
                <w:rStyle w:val="Hyperlink"/>
              </w:rPr>
              <w:t>Te whaikaha</w:t>
            </w:r>
            <w:r w:rsidR="00A57862">
              <w:rPr>
                <w:webHidden/>
              </w:rPr>
              <w:tab/>
            </w:r>
            <w:r w:rsidR="00A57862">
              <w:rPr>
                <w:webHidden/>
              </w:rPr>
              <w:fldChar w:fldCharType="begin"/>
            </w:r>
            <w:r w:rsidR="00A57862">
              <w:rPr>
                <w:webHidden/>
              </w:rPr>
              <w:instrText xml:space="preserve"> PAGEREF _Toc168638971 \h </w:instrText>
            </w:r>
            <w:r w:rsidR="00A57862">
              <w:rPr>
                <w:webHidden/>
              </w:rPr>
            </w:r>
            <w:r w:rsidR="00A57862">
              <w:rPr>
                <w:webHidden/>
              </w:rPr>
              <w:fldChar w:fldCharType="separate"/>
            </w:r>
            <w:r w:rsidR="00A57862">
              <w:rPr>
                <w:webHidden/>
              </w:rPr>
              <w:t>66</w:t>
            </w:r>
            <w:r w:rsidR="00A57862">
              <w:rPr>
                <w:webHidden/>
              </w:rPr>
              <w:fldChar w:fldCharType="end"/>
            </w:r>
          </w:hyperlink>
        </w:p>
        <w:p w14:paraId="65F51B3C" w14:textId="04ECBAE2" w:rsidR="00A57862" w:rsidRDefault="00912091">
          <w:pPr>
            <w:pStyle w:val="TOC3"/>
            <w:rPr>
              <w:rFonts w:asciiTheme="minorHAnsi" w:eastAsiaTheme="minorEastAsia" w:hAnsiTheme="minorHAnsi" w:cstheme="minorBidi"/>
              <w:color w:val="auto"/>
              <w:szCs w:val="22"/>
              <w:lang w:eastAsia="en-NZ"/>
            </w:rPr>
          </w:pPr>
          <w:hyperlink w:anchor="_Toc168638972" w:history="1">
            <w:r w:rsidR="00A57862" w:rsidRPr="00A139B3">
              <w:rPr>
                <w:rStyle w:val="Hyperlink"/>
              </w:rPr>
              <w:t>Disability</w:t>
            </w:r>
            <w:r w:rsidR="00A57862">
              <w:rPr>
                <w:webHidden/>
              </w:rPr>
              <w:tab/>
            </w:r>
            <w:r w:rsidR="00A57862">
              <w:rPr>
                <w:webHidden/>
              </w:rPr>
              <w:fldChar w:fldCharType="begin"/>
            </w:r>
            <w:r w:rsidR="00A57862">
              <w:rPr>
                <w:webHidden/>
              </w:rPr>
              <w:instrText xml:space="preserve"> PAGEREF _Toc168638972 \h </w:instrText>
            </w:r>
            <w:r w:rsidR="00A57862">
              <w:rPr>
                <w:webHidden/>
              </w:rPr>
            </w:r>
            <w:r w:rsidR="00A57862">
              <w:rPr>
                <w:webHidden/>
              </w:rPr>
              <w:fldChar w:fldCharType="separate"/>
            </w:r>
            <w:r w:rsidR="00A57862">
              <w:rPr>
                <w:webHidden/>
              </w:rPr>
              <w:t>66</w:t>
            </w:r>
            <w:r w:rsidR="00A57862">
              <w:rPr>
                <w:webHidden/>
              </w:rPr>
              <w:fldChar w:fldCharType="end"/>
            </w:r>
          </w:hyperlink>
        </w:p>
        <w:p w14:paraId="0722C31D" w14:textId="2B77CDC2" w:rsidR="00A57862" w:rsidRDefault="00912091">
          <w:pPr>
            <w:pStyle w:val="TOC3"/>
            <w:rPr>
              <w:rFonts w:asciiTheme="minorHAnsi" w:eastAsiaTheme="minorEastAsia" w:hAnsiTheme="minorHAnsi" w:cstheme="minorBidi"/>
              <w:color w:val="auto"/>
              <w:szCs w:val="22"/>
              <w:lang w:eastAsia="en-NZ"/>
            </w:rPr>
          </w:pPr>
          <w:hyperlink w:anchor="_Toc168638973" w:history="1">
            <w:r w:rsidR="00A57862" w:rsidRPr="00A139B3">
              <w:rPr>
                <w:rStyle w:val="Hyperlink"/>
              </w:rPr>
              <w:t>Te wairangitanga</w:t>
            </w:r>
            <w:r w:rsidR="00A57862">
              <w:rPr>
                <w:webHidden/>
              </w:rPr>
              <w:tab/>
            </w:r>
            <w:r w:rsidR="00A57862">
              <w:rPr>
                <w:webHidden/>
              </w:rPr>
              <w:fldChar w:fldCharType="begin"/>
            </w:r>
            <w:r w:rsidR="00A57862">
              <w:rPr>
                <w:webHidden/>
              </w:rPr>
              <w:instrText xml:space="preserve"> PAGEREF _Toc168638973 \h </w:instrText>
            </w:r>
            <w:r w:rsidR="00A57862">
              <w:rPr>
                <w:webHidden/>
              </w:rPr>
            </w:r>
            <w:r w:rsidR="00A57862">
              <w:rPr>
                <w:webHidden/>
              </w:rPr>
              <w:fldChar w:fldCharType="separate"/>
            </w:r>
            <w:r w:rsidR="00A57862">
              <w:rPr>
                <w:webHidden/>
              </w:rPr>
              <w:t>68</w:t>
            </w:r>
            <w:r w:rsidR="00A57862">
              <w:rPr>
                <w:webHidden/>
              </w:rPr>
              <w:fldChar w:fldCharType="end"/>
            </w:r>
          </w:hyperlink>
        </w:p>
        <w:p w14:paraId="5BA3DBBE" w14:textId="649DE026" w:rsidR="00A57862" w:rsidRDefault="00912091">
          <w:pPr>
            <w:pStyle w:val="TOC3"/>
            <w:rPr>
              <w:rFonts w:asciiTheme="minorHAnsi" w:eastAsiaTheme="minorEastAsia" w:hAnsiTheme="minorHAnsi" w:cstheme="minorBidi"/>
              <w:color w:val="auto"/>
              <w:szCs w:val="22"/>
              <w:lang w:eastAsia="en-NZ"/>
            </w:rPr>
          </w:pPr>
          <w:hyperlink w:anchor="_Toc168638974" w:history="1">
            <w:r w:rsidR="00A57862" w:rsidRPr="00A139B3">
              <w:rPr>
                <w:rStyle w:val="Hyperlink"/>
              </w:rPr>
              <w:t>Mental distress</w:t>
            </w:r>
            <w:r w:rsidR="00A57862">
              <w:rPr>
                <w:webHidden/>
              </w:rPr>
              <w:tab/>
            </w:r>
            <w:r w:rsidR="00A57862">
              <w:rPr>
                <w:webHidden/>
              </w:rPr>
              <w:fldChar w:fldCharType="begin"/>
            </w:r>
            <w:r w:rsidR="00A57862">
              <w:rPr>
                <w:webHidden/>
              </w:rPr>
              <w:instrText xml:space="preserve"> PAGEREF _Toc168638974 \h </w:instrText>
            </w:r>
            <w:r w:rsidR="00A57862">
              <w:rPr>
                <w:webHidden/>
              </w:rPr>
            </w:r>
            <w:r w:rsidR="00A57862">
              <w:rPr>
                <w:webHidden/>
              </w:rPr>
              <w:fldChar w:fldCharType="separate"/>
            </w:r>
            <w:r w:rsidR="00A57862">
              <w:rPr>
                <w:webHidden/>
              </w:rPr>
              <w:t>68</w:t>
            </w:r>
            <w:r w:rsidR="00A57862">
              <w:rPr>
                <w:webHidden/>
              </w:rPr>
              <w:fldChar w:fldCharType="end"/>
            </w:r>
          </w:hyperlink>
        </w:p>
        <w:p w14:paraId="3831E84F" w14:textId="187AFB3A" w:rsidR="00A57862" w:rsidRDefault="00912091">
          <w:pPr>
            <w:pStyle w:val="TOC3"/>
            <w:rPr>
              <w:rFonts w:asciiTheme="minorHAnsi" w:eastAsiaTheme="minorEastAsia" w:hAnsiTheme="minorHAnsi" w:cstheme="minorBidi"/>
              <w:color w:val="auto"/>
              <w:szCs w:val="22"/>
              <w:lang w:eastAsia="en-NZ"/>
            </w:rPr>
          </w:pPr>
          <w:hyperlink w:anchor="_Toc168638975" w:history="1">
            <w:r w:rsidR="00A57862" w:rsidRPr="00A139B3">
              <w:rPr>
                <w:rStyle w:val="Hyperlink"/>
              </w:rPr>
              <w:t>Te hunga Turi</w:t>
            </w:r>
            <w:r w:rsidR="00A57862">
              <w:rPr>
                <w:webHidden/>
              </w:rPr>
              <w:tab/>
            </w:r>
            <w:r w:rsidR="00A57862">
              <w:rPr>
                <w:webHidden/>
              </w:rPr>
              <w:fldChar w:fldCharType="begin"/>
            </w:r>
            <w:r w:rsidR="00A57862">
              <w:rPr>
                <w:webHidden/>
              </w:rPr>
              <w:instrText xml:space="preserve"> PAGEREF _Toc168638975 \h </w:instrText>
            </w:r>
            <w:r w:rsidR="00A57862">
              <w:rPr>
                <w:webHidden/>
              </w:rPr>
            </w:r>
            <w:r w:rsidR="00A57862">
              <w:rPr>
                <w:webHidden/>
              </w:rPr>
              <w:fldChar w:fldCharType="separate"/>
            </w:r>
            <w:r w:rsidR="00A57862">
              <w:rPr>
                <w:webHidden/>
              </w:rPr>
              <w:t>68</w:t>
            </w:r>
            <w:r w:rsidR="00A57862">
              <w:rPr>
                <w:webHidden/>
              </w:rPr>
              <w:fldChar w:fldCharType="end"/>
            </w:r>
          </w:hyperlink>
        </w:p>
        <w:p w14:paraId="6DA9E1D5" w14:textId="1B9C46BD" w:rsidR="00A57862" w:rsidRDefault="00912091">
          <w:pPr>
            <w:pStyle w:val="TOC3"/>
            <w:rPr>
              <w:rFonts w:asciiTheme="minorHAnsi" w:eastAsiaTheme="minorEastAsia" w:hAnsiTheme="minorHAnsi" w:cstheme="minorBidi"/>
              <w:color w:val="auto"/>
              <w:szCs w:val="22"/>
              <w:lang w:eastAsia="en-NZ"/>
            </w:rPr>
          </w:pPr>
          <w:hyperlink w:anchor="_Toc168638976" w:history="1">
            <w:r w:rsidR="00A57862" w:rsidRPr="00A139B3">
              <w:rPr>
                <w:rStyle w:val="Hyperlink"/>
              </w:rPr>
              <w:t>Deaf</w:t>
            </w:r>
            <w:r w:rsidR="00A57862">
              <w:rPr>
                <w:webHidden/>
              </w:rPr>
              <w:tab/>
            </w:r>
            <w:r w:rsidR="00A57862">
              <w:rPr>
                <w:webHidden/>
              </w:rPr>
              <w:fldChar w:fldCharType="begin"/>
            </w:r>
            <w:r w:rsidR="00A57862">
              <w:rPr>
                <w:webHidden/>
              </w:rPr>
              <w:instrText xml:space="preserve"> PAGEREF _Toc168638976 \h </w:instrText>
            </w:r>
            <w:r w:rsidR="00A57862">
              <w:rPr>
                <w:webHidden/>
              </w:rPr>
            </w:r>
            <w:r w:rsidR="00A57862">
              <w:rPr>
                <w:webHidden/>
              </w:rPr>
              <w:fldChar w:fldCharType="separate"/>
            </w:r>
            <w:r w:rsidR="00A57862">
              <w:rPr>
                <w:webHidden/>
              </w:rPr>
              <w:t>68</w:t>
            </w:r>
            <w:r w:rsidR="00A57862">
              <w:rPr>
                <w:webHidden/>
              </w:rPr>
              <w:fldChar w:fldCharType="end"/>
            </w:r>
          </w:hyperlink>
        </w:p>
        <w:p w14:paraId="29499EFE" w14:textId="2E8FB7DF" w:rsidR="00A57862" w:rsidRDefault="00912091">
          <w:pPr>
            <w:pStyle w:val="TOC2"/>
            <w:rPr>
              <w:rFonts w:asciiTheme="minorHAnsi" w:eastAsiaTheme="minorEastAsia" w:hAnsiTheme="minorHAnsi" w:cstheme="minorBidi"/>
              <w:color w:val="auto"/>
              <w:szCs w:val="22"/>
              <w:lang w:eastAsia="en-NZ"/>
            </w:rPr>
          </w:pPr>
          <w:hyperlink w:anchor="_Toc168638977" w:history="1">
            <w:r w:rsidR="00A57862" w:rsidRPr="00A139B3">
              <w:rPr>
                <w:rStyle w:val="Hyperlink"/>
                <w:rFonts w:cs="Arial"/>
              </w:rPr>
              <w:t>I kaha te whāia o ngāi Pasifika | Pacific Peoples increasingly targeted</w:t>
            </w:r>
            <w:r w:rsidR="00A57862">
              <w:rPr>
                <w:webHidden/>
              </w:rPr>
              <w:tab/>
            </w:r>
            <w:r w:rsidR="00A57862">
              <w:rPr>
                <w:webHidden/>
              </w:rPr>
              <w:fldChar w:fldCharType="begin"/>
            </w:r>
            <w:r w:rsidR="00A57862">
              <w:rPr>
                <w:webHidden/>
              </w:rPr>
              <w:instrText xml:space="preserve"> PAGEREF _Toc168638977 \h </w:instrText>
            </w:r>
            <w:r w:rsidR="00A57862">
              <w:rPr>
                <w:webHidden/>
              </w:rPr>
            </w:r>
            <w:r w:rsidR="00A57862">
              <w:rPr>
                <w:webHidden/>
              </w:rPr>
              <w:fldChar w:fldCharType="separate"/>
            </w:r>
            <w:r w:rsidR="00A57862">
              <w:rPr>
                <w:webHidden/>
              </w:rPr>
              <w:t>68</w:t>
            </w:r>
            <w:r w:rsidR="00A57862">
              <w:rPr>
                <w:webHidden/>
              </w:rPr>
              <w:fldChar w:fldCharType="end"/>
            </w:r>
          </w:hyperlink>
        </w:p>
        <w:p w14:paraId="08653E6F" w14:textId="3D27274D" w:rsidR="00A57862" w:rsidRDefault="00912091">
          <w:pPr>
            <w:pStyle w:val="TOC2"/>
            <w:rPr>
              <w:rFonts w:asciiTheme="minorHAnsi" w:eastAsiaTheme="minorEastAsia" w:hAnsiTheme="minorHAnsi" w:cstheme="minorBidi"/>
              <w:color w:val="auto"/>
              <w:szCs w:val="22"/>
              <w:lang w:eastAsia="en-NZ"/>
            </w:rPr>
          </w:pPr>
          <w:hyperlink w:anchor="_Toc168638978" w:history="1">
            <w:r w:rsidR="00A57862" w:rsidRPr="00A139B3">
              <w:rPr>
                <w:rStyle w:val="Hyperlink"/>
                <w:rFonts w:cs="Arial"/>
              </w:rPr>
              <w:t>Te āmaimai mō te taiharatanga rangatahi | Concern about juvenile delinquency</w:t>
            </w:r>
            <w:r w:rsidR="00A57862">
              <w:rPr>
                <w:webHidden/>
              </w:rPr>
              <w:tab/>
            </w:r>
            <w:r w:rsidR="00A57862">
              <w:rPr>
                <w:webHidden/>
              </w:rPr>
              <w:fldChar w:fldCharType="begin"/>
            </w:r>
            <w:r w:rsidR="00A57862">
              <w:rPr>
                <w:webHidden/>
              </w:rPr>
              <w:instrText xml:space="preserve"> PAGEREF _Toc168638978 \h </w:instrText>
            </w:r>
            <w:r w:rsidR="00A57862">
              <w:rPr>
                <w:webHidden/>
              </w:rPr>
            </w:r>
            <w:r w:rsidR="00A57862">
              <w:rPr>
                <w:webHidden/>
              </w:rPr>
              <w:fldChar w:fldCharType="separate"/>
            </w:r>
            <w:r w:rsidR="00A57862">
              <w:rPr>
                <w:webHidden/>
              </w:rPr>
              <w:t>69</w:t>
            </w:r>
            <w:r w:rsidR="00A57862">
              <w:rPr>
                <w:webHidden/>
              </w:rPr>
              <w:fldChar w:fldCharType="end"/>
            </w:r>
          </w:hyperlink>
        </w:p>
        <w:p w14:paraId="2F18D8BB" w14:textId="29D160AE" w:rsidR="00A57862" w:rsidRDefault="00912091">
          <w:pPr>
            <w:pStyle w:val="TOC2"/>
            <w:rPr>
              <w:rFonts w:asciiTheme="minorHAnsi" w:eastAsiaTheme="minorEastAsia" w:hAnsiTheme="minorHAnsi" w:cstheme="minorBidi"/>
              <w:color w:val="auto"/>
              <w:szCs w:val="22"/>
              <w:lang w:eastAsia="en-NZ"/>
            </w:rPr>
          </w:pPr>
          <w:hyperlink w:anchor="_Toc168638979" w:history="1">
            <w:r w:rsidR="00A57862" w:rsidRPr="00A139B3">
              <w:rPr>
                <w:rStyle w:val="Hyperlink"/>
                <w:rFonts w:cs="Arial"/>
              </w:rPr>
              <w:t>Ka whanake te hauora hinengaro tamariki | Child psychiatry develops</w:t>
            </w:r>
            <w:r w:rsidR="00A57862">
              <w:rPr>
                <w:webHidden/>
              </w:rPr>
              <w:tab/>
            </w:r>
            <w:r w:rsidR="00A57862">
              <w:rPr>
                <w:webHidden/>
              </w:rPr>
              <w:fldChar w:fldCharType="begin"/>
            </w:r>
            <w:r w:rsidR="00A57862">
              <w:rPr>
                <w:webHidden/>
              </w:rPr>
              <w:instrText xml:space="preserve"> PAGEREF _Toc168638979 \h </w:instrText>
            </w:r>
            <w:r w:rsidR="00A57862">
              <w:rPr>
                <w:webHidden/>
              </w:rPr>
            </w:r>
            <w:r w:rsidR="00A57862">
              <w:rPr>
                <w:webHidden/>
              </w:rPr>
              <w:fldChar w:fldCharType="separate"/>
            </w:r>
            <w:r w:rsidR="00A57862">
              <w:rPr>
                <w:webHidden/>
              </w:rPr>
              <w:t>69</w:t>
            </w:r>
            <w:r w:rsidR="00A57862">
              <w:rPr>
                <w:webHidden/>
              </w:rPr>
              <w:fldChar w:fldCharType="end"/>
            </w:r>
          </w:hyperlink>
        </w:p>
        <w:p w14:paraId="673F3E72" w14:textId="41A64A0F" w:rsidR="00A57862" w:rsidRDefault="00912091">
          <w:pPr>
            <w:pStyle w:val="TOC2"/>
            <w:rPr>
              <w:rFonts w:asciiTheme="minorHAnsi" w:eastAsiaTheme="minorEastAsia" w:hAnsiTheme="minorHAnsi" w:cstheme="minorBidi"/>
              <w:color w:val="auto"/>
              <w:szCs w:val="22"/>
              <w:lang w:eastAsia="en-NZ"/>
            </w:rPr>
          </w:pPr>
          <w:hyperlink w:anchor="_Toc168638980" w:history="1">
            <w:r w:rsidR="00A57862" w:rsidRPr="00A139B3">
              <w:rPr>
                <w:rStyle w:val="Hyperlink"/>
                <w:rFonts w:cs="Arial"/>
              </w:rPr>
              <w:t>Te iti o te aroā ki te tūkino tamariki</w:t>
            </w:r>
            <w:r w:rsidR="00A57862">
              <w:rPr>
                <w:webHidden/>
              </w:rPr>
              <w:tab/>
            </w:r>
            <w:r w:rsidR="00A57862">
              <w:rPr>
                <w:webHidden/>
              </w:rPr>
              <w:fldChar w:fldCharType="begin"/>
            </w:r>
            <w:r w:rsidR="00A57862">
              <w:rPr>
                <w:webHidden/>
              </w:rPr>
              <w:instrText xml:space="preserve"> PAGEREF _Toc168638980 \h </w:instrText>
            </w:r>
            <w:r w:rsidR="00A57862">
              <w:rPr>
                <w:webHidden/>
              </w:rPr>
            </w:r>
            <w:r w:rsidR="00A57862">
              <w:rPr>
                <w:webHidden/>
              </w:rPr>
              <w:fldChar w:fldCharType="separate"/>
            </w:r>
            <w:r w:rsidR="00A57862">
              <w:rPr>
                <w:webHidden/>
              </w:rPr>
              <w:t>70</w:t>
            </w:r>
            <w:r w:rsidR="00A57862">
              <w:rPr>
                <w:webHidden/>
              </w:rPr>
              <w:fldChar w:fldCharType="end"/>
            </w:r>
          </w:hyperlink>
        </w:p>
        <w:p w14:paraId="004B8451" w14:textId="042CC35C" w:rsidR="00A57862" w:rsidRDefault="00912091">
          <w:pPr>
            <w:pStyle w:val="TOC2"/>
            <w:rPr>
              <w:rFonts w:asciiTheme="minorHAnsi" w:eastAsiaTheme="minorEastAsia" w:hAnsiTheme="minorHAnsi" w:cstheme="minorBidi"/>
              <w:color w:val="auto"/>
              <w:szCs w:val="22"/>
              <w:lang w:eastAsia="en-NZ"/>
            </w:rPr>
          </w:pPr>
          <w:hyperlink w:anchor="_Toc168638981" w:history="1">
            <w:r w:rsidR="00A57862" w:rsidRPr="00A139B3">
              <w:rPr>
                <w:rStyle w:val="Hyperlink"/>
                <w:rFonts w:cs="Arial"/>
              </w:rPr>
              <w:t>Little awareness of child abuse and neglect</w:t>
            </w:r>
            <w:r w:rsidR="00A57862">
              <w:rPr>
                <w:webHidden/>
              </w:rPr>
              <w:tab/>
            </w:r>
            <w:r w:rsidR="00A57862">
              <w:rPr>
                <w:webHidden/>
              </w:rPr>
              <w:fldChar w:fldCharType="begin"/>
            </w:r>
            <w:r w:rsidR="00A57862">
              <w:rPr>
                <w:webHidden/>
              </w:rPr>
              <w:instrText xml:space="preserve"> PAGEREF _Toc168638981 \h </w:instrText>
            </w:r>
            <w:r w:rsidR="00A57862">
              <w:rPr>
                <w:webHidden/>
              </w:rPr>
            </w:r>
            <w:r w:rsidR="00A57862">
              <w:rPr>
                <w:webHidden/>
              </w:rPr>
              <w:fldChar w:fldCharType="separate"/>
            </w:r>
            <w:r w:rsidR="00A57862">
              <w:rPr>
                <w:webHidden/>
              </w:rPr>
              <w:t>71</w:t>
            </w:r>
            <w:r w:rsidR="00A57862">
              <w:rPr>
                <w:webHidden/>
              </w:rPr>
              <w:fldChar w:fldCharType="end"/>
            </w:r>
          </w:hyperlink>
        </w:p>
        <w:p w14:paraId="6C1FD64A" w14:textId="629A46D9" w:rsidR="00A57862" w:rsidRDefault="00912091">
          <w:pPr>
            <w:pStyle w:val="TOC2"/>
            <w:rPr>
              <w:rFonts w:asciiTheme="minorHAnsi" w:eastAsiaTheme="minorEastAsia" w:hAnsiTheme="minorHAnsi" w:cstheme="minorBidi"/>
              <w:color w:val="auto"/>
              <w:szCs w:val="22"/>
              <w:lang w:eastAsia="en-NZ"/>
            </w:rPr>
          </w:pPr>
          <w:hyperlink w:anchor="_Toc168638982" w:history="1">
            <w:r w:rsidR="00A57862" w:rsidRPr="00A139B3">
              <w:rPr>
                <w:rStyle w:val="Hyperlink"/>
                <w:rFonts w:cs="Arial"/>
              </w:rPr>
              <w:t>Te haere tonutanga o ngā wero me ngā porotū</w:t>
            </w:r>
            <w:r w:rsidR="00A57862">
              <w:rPr>
                <w:webHidden/>
              </w:rPr>
              <w:tab/>
            </w:r>
            <w:r w:rsidR="00A57862">
              <w:rPr>
                <w:webHidden/>
              </w:rPr>
              <w:fldChar w:fldCharType="begin"/>
            </w:r>
            <w:r w:rsidR="00A57862">
              <w:rPr>
                <w:webHidden/>
              </w:rPr>
              <w:instrText xml:space="preserve"> PAGEREF _Toc168638982 \h </w:instrText>
            </w:r>
            <w:r w:rsidR="00A57862">
              <w:rPr>
                <w:webHidden/>
              </w:rPr>
            </w:r>
            <w:r w:rsidR="00A57862">
              <w:rPr>
                <w:webHidden/>
              </w:rPr>
              <w:fldChar w:fldCharType="separate"/>
            </w:r>
            <w:r w:rsidR="00A57862">
              <w:rPr>
                <w:webHidden/>
              </w:rPr>
              <w:t>71</w:t>
            </w:r>
            <w:r w:rsidR="00A57862">
              <w:rPr>
                <w:webHidden/>
              </w:rPr>
              <w:fldChar w:fldCharType="end"/>
            </w:r>
          </w:hyperlink>
        </w:p>
        <w:p w14:paraId="1C6CBDF0" w14:textId="546DDD2A" w:rsidR="00A57862" w:rsidRDefault="00912091">
          <w:pPr>
            <w:pStyle w:val="TOC2"/>
            <w:rPr>
              <w:rFonts w:asciiTheme="minorHAnsi" w:eastAsiaTheme="minorEastAsia" w:hAnsiTheme="minorHAnsi" w:cstheme="minorBidi"/>
              <w:color w:val="auto"/>
              <w:szCs w:val="22"/>
              <w:lang w:eastAsia="en-NZ"/>
            </w:rPr>
          </w:pPr>
          <w:hyperlink w:anchor="_Toc168638983" w:history="1">
            <w:r w:rsidR="00A57862" w:rsidRPr="00A139B3">
              <w:rPr>
                <w:rStyle w:val="Hyperlink"/>
                <w:rFonts w:cs="Arial"/>
              </w:rPr>
              <w:t>Continuing challenges and activism</w:t>
            </w:r>
            <w:r w:rsidR="00A57862">
              <w:rPr>
                <w:webHidden/>
              </w:rPr>
              <w:tab/>
            </w:r>
            <w:r w:rsidR="00A57862">
              <w:rPr>
                <w:webHidden/>
              </w:rPr>
              <w:fldChar w:fldCharType="begin"/>
            </w:r>
            <w:r w:rsidR="00A57862">
              <w:rPr>
                <w:webHidden/>
              </w:rPr>
              <w:instrText xml:space="preserve"> PAGEREF _Toc168638983 \h </w:instrText>
            </w:r>
            <w:r w:rsidR="00A57862">
              <w:rPr>
                <w:webHidden/>
              </w:rPr>
            </w:r>
            <w:r w:rsidR="00A57862">
              <w:rPr>
                <w:webHidden/>
              </w:rPr>
              <w:fldChar w:fldCharType="separate"/>
            </w:r>
            <w:r w:rsidR="00A57862">
              <w:rPr>
                <w:webHidden/>
              </w:rPr>
              <w:t>71</w:t>
            </w:r>
            <w:r w:rsidR="00A57862">
              <w:rPr>
                <w:webHidden/>
              </w:rPr>
              <w:fldChar w:fldCharType="end"/>
            </w:r>
          </w:hyperlink>
        </w:p>
        <w:p w14:paraId="12BF5504" w14:textId="0A6775B2" w:rsidR="00A57862" w:rsidRDefault="00912091">
          <w:pPr>
            <w:pStyle w:val="TOC2"/>
            <w:rPr>
              <w:rFonts w:asciiTheme="minorHAnsi" w:eastAsiaTheme="minorEastAsia" w:hAnsiTheme="minorHAnsi" w:cstheme="minorBidi"/>
              <w:color w:val="auto"/>
              <w:szCs w:val="22"/>
              <w:lang w:eastAsia="en-NZ"/>
            </w:rPr>
          </w:pPr>
          <w:hyperlink w:anchor="_Toc168638984" w:history="1">
            <w:r w:rsidR="00A57862" w:rsidRPr="00A139B3">
              <w:rPr>
                <w:rStyle w:val="Hyperlink"/>
                <w:rFonts w:cs="Arial"/>
              </w:rPr>
              <w:t>Kāore he tautoko tokoora, ka heke ngā āhuatanga ohanga</w:t>
            </w:r>
            <w:r w:rsidR="00A57862">
              <w:rPr>
                <w:webHidden/>
              </w:rPr>
              <w:tab/>
            </w:r>
            <w:r w:rsidR="00A57862">
              <w:rPr>
                <w:webHidden/>
              </w:rPr>
              <w:fldChar w:fldCharType="begin"/>
            </w:r>
            <w:r w:rsidR="00A57862">
              <w:rPr>
                <w:webHidden/>
              </w:rPr>
              <w:instrText xml:space="preserve"> PAGEREF _Toc168638984 \h </w:instrText>
            </w:r>
            <w:r w:rsidR="00A57862">
              <w:rPr>
                <w:webHidden/>
              </w:rPr>
            </w:r>
            <w:r w:rsidR="00A57862">
              <w:rPr>
                <w:webHidden/>
              </w:rPr>
              <w:fldChar w:fldCharType="separate"/>
            </w:r>
            <w:r w:rsidR="00A57862">
              <w:rPr>
                <w:webHidden/>
              </w:rPr>
              <w:t>73</w:t>
            </w:r>
            <w:r w:rsidR="00A57862">
              <w:rPr>
                <w:webHidden/>
              </w:rPr>
              <w:fldChar w:fldCharType="end"/>
            </w:r>
          </w:hyperlink>
        </w:p>
        <w:p w14:paraId="512D301A" w14:textId="0EB8E31E" w:rsidR="00A57862" w:rsidRDefault="00912091">
          <w:pPr>
            <w:pStyle w:val="TOC2"/>
            <w:rPr>
              <w:rFonts w:asciiTheme="minorHAnsi" w:eastAsiaTheme="minorEastAsia" w:hAnsiTheme="minorHAnsi" w:cstheme="minorBidi"/>
              <w:color w:val="auto"/>
              <w:szCs w:val="22"/>
              <w:lang w:eastAsia="en-NZ"/>
            </w:rPr>
          </w:pPr>
          <w:hyperlink w:anchor="_Toc168638985" w:history="1">
            <w:r w:rsidR="00A57862" w:rsidRPr="00A139B3">
              <w:rPr>
                <w:rStyle w:val="Hyperlink"/>
                <w:rFonts w:cs="Arial"/>
              </w:rPr>
              <w:t>No dedicated welfare support, economic conditions decline</w:t>
            </w:r>
            <w:r w:rsidR="00A57862">
              <w:rPr>
                <w:webHidden/>
              </w:rPr>
              <w:tab/>
            </w:r>
            <w:r w:rsidR="00A57862">
              <w:rPr>
                <w:webHidden/>
              </w:rPr>
              <w:fldChar w:fldCharType="begin"/>
            </w:r>
            <w:r w:rsidR="00A57862">
              <w:rPr>
                <w:webHidden/>
              </w:rPr>
              <w:instrText xml:space="preserve"> PAGEREF _Toc168638985 \h </w:instrText>
            </w:r>
            <w:r w:rsidR="00A57862">
              <w:rPr>
                <w:webHidden/>
              </w:rPr>
            </w:r>
            <w:r w:rsidR="00A57862">
              <w:rPr>
                <w:webHidden/>
              </w:rPr>
              <w:fldChar w:fldCharType="separate"/>
            </w:r>
            <w:r w:rsidR="00A57862">
              <w:rPr>
                <w:webHidden/>
              </w:rPr>
              <w:t>73</w:t>
            </w:r>
            <w:r w:rsidR="00A57862">
              <w:rPr>
                <w:webHidden/>
              </w:rPr>
              <w:fldChar w:fldCharType="end"/>
            </w:r>
          </w:hyperlink>
        </w:p>
        <w:p w14:paraId="4D9B3162" w14:textId="06A65A3A" w:rsidR="00A57862" w:rsidRDefault="00912091">
          <w:pPr>
            <w:pStyle w:val="TOC1"/>
            <w:rPr>
              <w:rFonts w:asciiTheme="minorHAnsi" w:eastAsiaTheme="minorEastAsia" w:hAnsiTheme="minorHAnsi" w:cstheme="minorBidi"/>
              <w:b w:val="0"/>
              <w:noProof/>
              <w:color w:val="auto"/>
              <w:szCs w:val="22"/>
              <w:lang w:eastAsia="en-NZ"/>
            </w:rPr>
          </w:pPr>
          <w:hyperlink w:anchor="_Toc168638986" w:history="1">
            <w:r w:rsidR="00A57862" w:rsidRPr="00A139B3">
              <w:rPr>
                <w:rStyle w:val="Hyperlink"/>
                <w:noProof/>
              </w:rPr>
              <w:t>Ūpoko 7: 1970–1999 – Te akaakatanga ā-ōhanga me te panonitanga pāpori</w:t>
            </w:r>
            <w:r w:rsidR="00A57862">
              <w:rPr>
                <w:noProof/>
                <w:webHidden/>
              </w:rPr>
              <w:tab/>
            </w:r>
            <w:r w:rsidR="00A57862">
              <w:rPr>
                <w:noProof/>
                <w:webHidden/>
              </w:rPr>
              <w:fldChar w:fldCharType="begin"/>
            </w:r>
            <w:r w:rsidR="00A57862">
              <w:rPr>
                <w:noProof/>
                <w:webHidden/>
              </w:rPr>
              <w:instrText xml:space="preserve"> PAGEREF _Toc168638986 \h </w:instrText>
            </w:r>
            <w:r w:rsidR="00A57862">
              <w:rPr>
                <w:noProof/>
                <w:webHidden/>
              </w:rPr>
            </w:r>
            <w:r w:rsidR="00A57862">
              <w:rPr>
                <w:noProof/>
                <w:webHidden/>
              </w:rPr>
              <w:fldChar w:fldCharType="separate"/>
            </w:r>
            <w:r w:rsidR="00A57862">
              <w:rPr>
                <w:noProof/>
                <w:webHidden/>
              </w:rPr>
              <w:t>76</w:t>
            </w:r>
            <w:r w:rsidR="00A57862">
              <w:rPr>
                <w:noProof/>
                <w:webHidden/>
              </w:rPr>
              <w:fldChar w:fldCharType="end"/>
            </w:r>
          </w:hyperlink>
        </w:p>
        <w:p w14:paraId="55C25192" w14:textId="1E20C549" w:rsidR="00A57862" w:rsidRDefault="00912091">
          <w:pPr>
            <w:pStyle w:val="TOC1"/>
            <w:rPr>
              <w:rFonts w:asciiTheme="minorHAnsi" w:eastAsiaTheme="minorEastAsia" w:hAnsiTheme="minorHAnsi" w:cstheme="minorBidi"/>
              <w:b w:val="0"/>
              <w:noProof/>
              <w:color w:val="auto"/>
              <w:szCs w:val="22"/>
              <w:lang w:eastAsia="en-NZ"/>
            </w:rPr>
          </w:pPr>
          <w:hyperlink w:anchor="_Toc168638987" w:history="1">
            <w:r w:rsidR="00A57862" w:rsidRPr="00A139B3">
              <w:rPr>
                <w:rStyle w:val="Hyperlink"/>
                <w:noProof/>
              </w:rPr>
              <w:t>Chapter 7: 1970–1999 – Economic upheaval and social change</w:t>
            </w:r>
            <w:r w:rsidR="00A57862">
              <w:rPr>
                <w:noProof/>
                <w:webHidden/>
              </w:rPr>
              <w:tab/>
            </w:r>
            <w:r w:rsidR="00A57862">
              <w:rPr>
                <w:noProof/>
                <w:webHidden/>
              </w:rPr>
              <w:fldChar w:fldCharType="begin"/>
            </w:r>
            <w:r w:rsidR="00A57862">
              <w:rPr>
                <w:noProof/>
                <w:webHidden/>
              </w:rPr>
              <w:instrText xml:space="preserve"> PAGEREF _Toc168638987 \h </w:instrText>
            </w:r>
            <w:r w:rsidR="00A57862">
              <w:rPr>
                <w:noProof/>
                <w:webHidden/>
              </w:rPr>
            </w:r>
            <w:r w:rsidR="00A57862">
              <w:rPr>
                <w:noProof/>
                <w:webHidden/>
              </w:rPr>
              <w:fldChar w:fldCharType="separate"/>
            </w:r>
            <w:r w:rsidR="00A57862">
              <w:rPr>
                <w:noProof/>
                <w:webHidden/>
              </w:rPr>
              <w:t>76</w:t>
            </w:r>
            <w:r w:rsidR="00A57862">
              <w:rPr>
                <w:noProof/>
                <w:webHidden/>
              </w:rPr>
              <w:fldChar w:fldCharType="end"/>
            </w:r>
          </w:hyperlink>
        </w:p>
        <w:p w14:paraId="1AC02722" w14:textId="01EF27E5" w:rsidR="00A57862" w:rsidRDefault="00912091">
          <w:pPr>
            <w:pStyle w:val="TOC2"/>
            <w:rPr>
              <w:rFonts w:asciiTheme="minorHAnsi" w:eastAsiaTheme="minorEastAsia" w:hAnsiTheme="minorHAnsi" w:cstheme="minorBidi"/>
              <w:color w:val="auto"/>
              <w:szCs w:val="22"/>
              <w:lang w:eastAsia="en-NZ"/>
            </w:rPr>
          </w:pPr>
          <w:hyperlink w:anchor="_Toc168638988" w:history="1">
            <w:r w:rsidR="00A57862" w:rsidRPr="00A139B3">
              <w:rPr>
                <w:rStyle w:val="Hyperlink"/>
                <w:rFonts w:cs="Arial"/>
              </w:rPr>
              <w:t>Ka kaha ake te hononga o te Māori me te Karauna</w:t>
            </w:r>
            <w:r w:rsidR="00A57862">
              <w:rPr>
                <w:webHidden/>
              </w:rPr>
              <w:tab/>
            </w:r>
            <w:r w:rsidR="00A57862">
              <w:rPr>
                <w:webHidden/>
              </w:rPr>
              <w:fldChar w:fldCharType="begin"/>
            </w:r>
            <w:r w:rsidR="00A57862">
              <w:rPr>
                <w:webHidden/>
              </w:rPr>
              <w:instrText xml:space="preserve"> PAGEREF _Toc168638988 \h </w:instrText>
            </w:r>
            <w:r w:rsidR="00A57862">
              <w:rPr>
                <w:webHidden/>
              </w:rPr>
            </w:r>
            <w:r w:rsidR="00A57862">
              <w:rPr>
                <w:webHidden/>
              </w:rPr>
              <w:fldChar w:fldCharType="separate"/>
            </w:r>
            <w:r w:rsidR="00A57862">
              <w:rPr>
                <w:webHidden/>
              </w:rPr>
              <w:t>76</w:t>
            </w:r>
            <w:r w:rsidR="00A57862">
              <w:rPr>
                <w:webHidden/>
              </w:rPr>
              <w:fldChar w:fldCharType="end"/>
            </w:r>
          </w:hyperlink>
        </w:p>
        <w:p w14:paraId="58A9F5B4" w14:textId="1A6EC6A8" w:rsidR="00A57862" w:rsidRDefault="00912091">
          <w:pPr>
            <w:pStyle w:val="TOC2"/>
            <w:rPr>
              <w:rFonts w:asciiTheme="minorHAnsi" w:eastAsiaTheme="minorEastAsia" w:hAnsiTheme="minorHAnsi" w:cstheme="minorBidi"/>
              <w:color w:val="auto"/>
              <w:szCs w:val="22"/>
              <w:lang w:eastAsia="en-NZ"/>
            </w:rPr>
          </w:pPr>
          <w:hyperlink w:anchor="_Toc168638989" w:history="1">
            <w:r w:rsidR="00A57862" w:rsidRPr="00A139B3">
              <w:rPr>
                <w:rStyle w:val="Hyperlink"/>
                <w:rFonts w:cs="Arial"/>
              </w:rPr>
              <w:t>Māori–Crown relationship grows</w:t>
            </w:r>
            <w:r w:rsidR="00A57862">
              <w:rPr>
                <w:webHidden/>
              </w:rPr>
              <w:tab/>
            </w:r>
            <w:r w:rsidR="00A57862">
              <w:rPr>
                <w:webHidden/>
              </w:rPr>
              <w:fldChar w:fldCharType="begin"/>
            </w:r>
            <w:r w:rsidR="00A57862">
              <w:rPr>
                <w:webHidden/>
              </w:rPr>
              <w:instrText xml:space="preserve"> PAGEREF _Toc168638989 \h </w:instrText>
            </w:r>
            <w:r w:rsidR="00A57862">
              <w:rPr>
                <w:webHidden/>
              </w:rPr>
            </w:r>
            <w:r w:rsidR="00A57862">
              <w:rPr>
                <w:webHidden/>
              </w:rPr>
              <w:fldChar w:fldCharType="separate"/>
            </w:r>
            <w:r w:rsidR="00A57862">
              <w:rPr>
                <w:webHidden/>
              </w:rPr>
              <w:t>76</w:t>
            </w:r>
            <w:r w:rsidR="00A57862">
              <w:rPr>
                <w:webHidden/>
              </w:rPr>
              <w:fldChar w:fldCharType="end"/>
            </w:r>
          </w:hyperlink>
        </w:p>
        <w:p w14:paraId="0B43D6A2" w14:textId="2B7A025B" w:rsidR="00A57862" w:rsidRDefault="00912091">
          <w:pPr>
            <w:pStyle w:val="TOC2"/>
            <w:rPr>
              <w:rFonts w:asciiTheme="minorHAnsi" w:eastAsiaTheme="minorEastAsia" w:hAnsiTheme="minorHAnsi" w:cstheme="minorBidi"/>
              <w:color w:val="auto"/>
              <w:szCs w:val="22"/>
              <w:lang w:eastAsia="en-NZ"/>
            </w:rPr>
          </w:pPr>
          <w:hyperlink w:anchor="_Toc168638990" w:history="1">
            <w:r w:rsidR="00A57862" w:rsidRPr="00A139B3">
              <w:rPr>
                <w:rStyle w:val="Hyperlink"/>
                <w:rFonts w:cs="Arial"/>
              </w:rPr>
              <w:t>Ka tīmata te tino kite i te Māori i ngā pūnaha taurima</w:t>
            </w:r>
            <w:r w:rsidR="00A57862">
              <w:rPr>
                <w:webHidden/>
              </w:rPr>
              <w:tab/>
            </w:r>
            <w:r w:rsidR="00A57862">
              <w:rPr>
                <w:webHidden/>
              </w:rPr>
              <w:fldChar w:fldCharType="begin"/>
            </w:r>
            <w:r w:rsidR="00A57862">
              <w:rPr>
                <w:webHidden/>
              </w:rPr>
              <w:instrText xml:space="preserve"> PAGEREF _Toc168638990 \h </w:instrText>
            </w:r>
            <w:r w:rsidR="00A57862">
              <w:rPr>
                <w:webHidden/>
              </w:rPr>
            </w:r>
            <w:r w:rsidR="00A57862">
              <w:rPr>
                <w:webHidden/>
              </w:rPr>
              <w:fldChar w:fldCharType="separate"/>
            </w:r>
            <w:r w:rsidR="00A57862">
              <w:rPr>
                <w:webHidden/>
              </w:rPr>
              <w:t>78</w:t>
            </w:r>
            <w:r w:rsidR="00A57862">
              <w:rPr>
                <w:webHidden/>
              </w:rPr>
              <w:fldChar w:fldCharType="end"/>
            </w:r>
          </w:hyperlink>
        </w:p>
        <w:p w14:paraId="448DA8F8" w14:textId="4162575E" w:rsidR="00A57862" w:rsidRDefault="00912091">
          <w:pPr>
            <w:pStyle w:val="TOC2"/>
            <w:rPr>
              <w:rFonts w:asciiTheme="minorHAnsi" w:eastAsiaTheme="minorEastAsia" w:hAnsiTheme="minorHAnsi" w:cstheme="minorBidi"/>
              <w:color w:val="auto"/>
              <w:szCs w:val="22"/>
              <w:lang w:eastAsia="en-NZ"/>
            </w:rPr>
          </w:pPr>
          <w:hyperlink w:anchor="_Toc168638991" w:history="1">
            <w:r w:rsidR="00A57862" w:rsidRPr="00A139B3">
              <w:rPr>
                <w:rStyle w:val="Hyperlink"/>
                <w:rFonts w:cs="Arial"/>
              </w:rPr>
              <w:t>Māori begin to be over-represented in care</w:t>
            </w:r>
            <w:r w:rsidR="00A57862">
              <w:rPr>
                <w:webHidden/>
              </w:rPr>
              <w:tab/>
            </w:r>
            <w:r w:rsidR="00A57862">
              <w:rPr>
                <w:webHidden/>
              </w:rPr>
              <w:fldChar w:fldCharType="begin"/>
            </w:r>
            <w:r w:rsidR="00A57862">
              <w:rPr>
                <w:webHidden/>
              </w:rPr>
              <w:instrText xml:space="preserve"> PAGEREF _Toc168638991 \h </w:instrText>
            </w:r>
            <w:r w:rsidR="00A57862">
              <w:rPr>
                <w:webHidden/>
              </w:rPr>
            </w:r>
            <w:r w:rsidR="00A57862">
              <w:rPr>
                <w:webHidden/>
              </w:rPr>
              <w:fldChar w:fldCharType="separate"/>
            </w:r>
            <w:r w:rsidR="00A57862">
              <w:rPr>
                <w:webHidden/>
              </w:rPr>
              <w:t>78</w:t>
            </w:r>
            <w:r w:rsidR="00A57862">
              <w:rPr>
                <w:webHidden/>
              </w:rPr>
              <w:fldChar w:fldCharType="end"/>
            </w:r>
          </w:hyperlink>
        </w:p>
        <w:p w14:paraId="0997FAB4" w14:textId="102BA2C2" w:rsidR="00A57862" w:rsidRDefault="00912091">
          <w:pPr>
            <w:pStyle w:val="TOC2"/>
            <w:rPr>
              <w:rFonts w:asciiTheme="minorHAnsi" w:eastAsiaTheme="minorEastAsia" w:hAnsiTheme="minorHAnsi" w:cstheme="minorBidi"/>
              <w:color w:val="auto"/>
              <w:szCs w:val="22"/>
              <w:lang w:eastAsia="en-NZ"/>
            </w:rPr>
          </w:pPr>
          <w:hyperlink w:anchor="_Toc168638992" w:history="1">
            <w:r w:rsidR="00A57862" w:rsidRPr="00A139B3">
              <w:rPr>
                <w:rStyle w:val="Hyperlink"/>
                <w:rFonts w:cs="Arial"/>
              </w:rPr>
              <w:t>Ngā pāpātanga ki ngā iwi Pasifika i ngā urutomotanga atatū</w:t>
            </w:r>
            <w:r w:rsidR="00A57862">
              <w:rPr>
                <w:webHidden/>
              </w:rPr>
              <w:tab/>
            </w:r>
            <w:r w:rsidR="00A57862">
              <w:rPr>
                <w:webHidden/>
              </w:rPr>
              <w:fldChar w:fldCharType="begin"/>
            </w:r>
            <w:r w:rsidR="00A57862">
              <w:rPr>
                <w:webHidden/>
              </w:rPr>
              <w:instrText xml:space="preserve"> PAGEREF _Toc168638992 \h </w:instrText>
            </w:r>
            <w:r w:rsidR="00A57862">
              <w:rPr>
                <w:webHidden/>
              </w:rPr>
            </w:r>
            <w:r w:rsidR="00A57862">
              <w:rPr>
                <w:webHidden/>
              </w:rPr>
              <w:fldChar w:fldCharType="separate"/>
            </w:r>
            <w:r w:rsidR="00A57862">
              <w:rPr>
                <w:webHidden/>
              </w:rPr>
              <w:t>79</w:t>
            </w:r>
            <w:r w:rsidR="00A57862">
              <w:rPr>
                <w:webHidden/>
              </w:rPr>
              <w:fldChar w:fldCharType="end"/>
            </w:r>
          </w:hyperlink>
        </w:p>
        <w:p w14:paraId="26797F3E" w14:textId="0015E5FF" w:rsidR="00A57862" w:rsidRDefault="00912091">
          <w:pPr>
            <w:pStyle w:val="TOC2"/>
            <w:rPr>
              <w:rFonts w:asciiTheme="minorHAnsi" w:eastAsiaTheme="minorEastAsia" w:hAnsiTheme="minorHAnsi" w:cstheme="minorBidi"/>
              <w:color w:val="auto"/>
              <w:szCs w:val="22"/>
              <w:lang w:eastAsia="en-NZ"/>
            </w:rPr>
          </w:pPr>
          <w:hyperlink w:anchor="_Toc168638993" w:history="1">
            <w:r w:rsidR="00A57862" w:rsidRPr="00A139B3">
              <w:rPr>
                <w:rStyle w:val="Hyperlink"/>
                <w:rFonts w:cs="Arial"/>
              </w:rPr>
              <w:t>Pacific Peoples impacted by Dawn Raids</w:t>
            </w:r>
            <w:r w:rsidR="00A57862">
              <w:rPr>
                <w:webHidden/>
              </w:rPr>
              <w:tab/>
            </w:r>
            <w:r w:rsidR="00A57862">
              <w:rPr>
                <w:webHidden/>
              </w:rPr>
              <w:fldChar w:fldCharType="begin"/>
            </w:r>
            <w:r w:rsidR="00A57862">
              <w:rPr>
                <w:webHidden/>
              </w:rPr>
              <w:instrText xml:space="preserve"> PAGEREF _Toc168638993 \h </w:instrText>
            </w:r>
            <w:r w:rsidR="00A57862">
              <w:rPr>
                <w:webHidden/>
              </w:rPr>
            </w:r>
            <w:r w:rsidR="00A57862">
              <w:rPr>
                <w:webHidden/>
              </w:rPr>
              <w:fldChar w:fldCharType="separate"/>
            </w:r>
            <w:r w:rsidR="00A57862">
              <w:rPr>
                <w:webHidden/>
              </w:rPr>
              <w:t>79</w:t>
            </w:r>
            <w:r w:rsidR="00A57862">
              <w:rPr>
                <w:webHidden/>
              </w:rPr>
              <w:fldChar w:fldCharType="end"/>
            </w:r>
          </w:hyperlink>
        </w:p>
        <w:p w14:paraId="1E133BAD" w14:textId="561FD624" w:rsidR="00A57862" w:rsidRDefault="00912091">
          <w:pPr>
            <w:pStyle w:val="TOC2"/>
            <w:rPr>
              <w:rFonts w:asciiTheme="minorHAnsi" w:eastAsiaTheme="minorEastAsia" w:hAnsiTheme="minorHAnsi" w:cstheme="minorBidi"/>
              <w:color w:val="auto"/>
              <w:szCs w:val="22"/>
              <w:lang w:eastAsia="en-NZ"/>
            </w:rPr>
          </w:pPr>
          <w:hyperlink w:anchor="_Toc168638994" w:history="1">
            <w:r w:rsidR="00A57862" w:rsidRPr="00A139B3">
              <w:rPr>
                <w:rStyle w:val="Hyperlink"/>
              </w:rPr>
              <w:t>Ngā panonitanga ki ngā penihana tokoora me te whakahouhia ōhanga</w:t>
            </w:r>
            <w:r w:rsidR="00A57862">
              <w:rPr>
                <w:webHidden/>
              </w:rPr>
              <w:tab/>
            </w:r>
            <w:r w:rsidR="00A57862">
              <w:rPr>
                <w:webHidden/>
              </w:rPr>
              <w:fldChar w:fldCharType="begin"/>
            </w:r>
            <w:r w:rsidR="00A57862">
              <w:rPr>
                <w:webHidden/>
              </w:rPr>
              <w:instrText xml:space="preserve"> PAGEREF _Toc168638994 \h </w:instrText>
            </w:r>
            <w:r w:rsidR="00A57862">
              <w:rPr>
                <w:webHidden/>
              </w:rPr>
            </w:r>
            <w:r w:rsidR="00A57862">
              <w:rPr>
                <w:webHidden/>
              </w:rPr>
              <w:fldChar w:fldCharType="separate"/>
            </w:r>
            <w:r w:rsidR="00A57862">
              <w:rPr>
                <w:webHidden/>
              </w:rPr>
              <w:t>80</w:t>
            </w:r>
            <w:r w:rsidR="00A57862">
              <w:rPr>
                <w:webHidden/>
              </w:rPr>
              <w:fldChar w:fldCharType="end"/>
            </w:r>
          </w:hyperlink>
        </w:p>
        <w:p w14:paraId="62E520A1" w14:textId="05751C46" w:rsidR="00A57862" w:rsidRDefault="00912091">
          <w:pPr>
            <w:pStyle w:val="TOC2"/>
            <w:rPr>
              <w:rFonts w:asciiTheme="minorHAnsi" w:eastAsiaTheme="minorEastAsia" w:hAnsiTheme="minorHAnsi" w:cstheme="minorBidi"/>
              <w:color w:val="auto"/>
              <w:szCs w:val="22"/>
              <w:lang w:eastAsia="en-NZ"/>
            </w:rPr>
          </w:pPr>
          <w:hyperlink w:anchor="_Toc168638995" w:history="1">
            <w:r w:rsidR="00A57862" w:rsidRPr="00A139B3">
              <w:rPr>
                <w:rStyle w:val="Hyperlink"/>
              </w:rPr>
              <w:t>Changes to welfare benefits and economic restructuring</w:t>
            </w:r>
            <w:r w:rsidR="00A57862">
              <w:rPr>
                <w:webHidden/>
              </w:rPr>
              <w:tab/>
            </w:r>
            <w:r w:rsidR="00A57862">
              <w:rPr>
                <w:webHidden/>
              </w:rPr>
              <w:fldChar w:fldCharType="begin"/>
            </w:r>
            <w:r w:rsidR="00A57862">
              <w:rPr>
                <w:webHidden/>
              </w:rPr>
              <w:instrText xml:space="preserve"> PAGEREF _Toc168638995 \h </w:instrText>
            </w:r>
            <w:r w:rsidR="00A57862">
              <w:rPr>
                <w:webHidden/>
              </w:rPr>
            </w:r>
            <w:r w:rsidR="00A57862">
              <w:rPr>
                <w:webHidden/>
              </w:rPr>
              <w:fldChar w:fldCharType="separate"/>
            </w:r>
            <w:r w:rsidR="00A57862">
              <w:rPr>
                <w:webHidden/>
              </w:rPr>
              <w:t>80</w:t>
            </w:r>
            <w:r w:rsidR="00A57862">
              <w:rPr>
                <w:webHidden/>
              </w:rPr>
              <w:fldChar w:fldCharType="end"/>
            </w:r>
          </w:hyperlink>
        </w:p>
        <w:p w14:paraId="0B21B6F4" w14:textId="2722F681" w:rsidR="00A57862" w:rsidRDefault="00912091">
          <w:pPr>
            <w:pStyle w:val="TOC3"/>
            <w:rPr>
              <w:rFonts w:asciiTheme="minorHAnsi" w:eastAsiaTheme="minorEastAsia" w:hAnsiTheme="minorHAnsi" w:cstheme="minorBidi"/>
              <w:color w:val="auto"/>
              <w:szCs w:val="22"/>
              <w:lang w:eastAsia="en-NZ"/>
            </w:rPr>
          </w:pPr>
          <w:hyperlink w:anchor="_Toc168638996" w:history="1">
            <w:r w:rsidR="00A57862" w:rsidRPr="00A139B3">
              <w:rPr>
                <w:rStyle w:val="Hyperlink"/>
                <w:rFonts w:cs="Arial"/>
              </w:rPr>
              <w:t>Ka whakauruhia te penihana take kāinga | Domestic Purposes Benefit introduced</w:t>
            </w:r>
            <w:r w:rsidR="00A57862">
              <w:rPr>
                <w:webHidden/>
              </w:rPr>
              <w:tab/>
            </w:r>
            <w:r w:rsidR="00A57862">
              <w:rPr>
                <w:webHidden/>
              </w:rPr>
              <w:fldChar w:fldCharType="begin"/>
            </w:r>
            <w:r w:rsidR="00A57862">
              <w:rPr>
                <w:webHidden/>
              </w:rPr>
              <w:instrText xml:space="preserve"> PAGEREF _Toc168638996 \h </w:instrText>
            </w:r>
            <w:r w:rsidR="00A57862">
              <w:rPr>
                <w:webHidden/>
              </w:rPr>
            </w:r>
            <w:r w:rsidR="00A57862">
              <w:rPr>
                <w:webHidden/>
              </w:rPr>
              <w:fldChar w:fldCharType="separate"/>
            </w:r>
            <w:r w:rsidR="00A57862">
              <w:rPr>
                <w:webHidden/>
              </w:rPr>
              <w:t>80</w:t>
            </w:r>
            <w:r w:rsidR="00A57862">
              <w:rPr>
                <w:webHidden/>
              </w:rPr>
              <w:fldChar w:fldCharType="end"/>
            </w:r>
          </w:hyperlink>
        </w:p>
        <w:p w14:paraId="277468C9" w14:textId="07FADD8B" w:rsidR="00A57862" w:rsidRDefault="00912091">
          <w:pPr>
            <w:pStyle w:val="TOC3"/>
            <w:rPr>
              <w:rFonts w:asciiTheme="minorHAnsi" w:eastAsiaTheme="minorEastAsia" w:hAnsiTheme="minorHAnsi" w:cstheme="minorBidi"/>
              <w:color w:val="auto"/>
              <w:szCs w:val="22"/>
              <w:lang w:eastAsia="en-NZ"/>
            </w:rPr>
          </w:pPr>
          <w:hyperlink w:anchor="_Toc168638997" w:history="1">
            <w:r w:rsidR="00A57862" w:rsidRPr="00A139B3">
              <w:rPr>
                <w:rStyle w:val="Hyperlink"/>
                <w:rFonts w:cs="Arial"/>
              </w:rPr>
              <w:t>Ka whakauruhia he tautoko mō te hunga whaikaha</w:t>
            </w:r>
            <w:r w:rsidR="00A57862">
              <w:rPr>
                <w:webHidden/>
              </w:rPr>
              <w:tab/>
            </w:r>
            <w:r w:rsidR="00A57862">
              <w:rPr>
                <w:webHidden/>
              </w:rPr>
              <w:fldChar w:fldCharType="begin"/>
            </w:r>
            <w:r w:rsidR="00A57862">
              <w:rPr>
                <w:webHidden/>
              </w:rPr>
              <w:instrText xml:space="preserve"> PAGEREF _Toc168638997 \h </w:instrText>
            </w:r>
            <w:r w:rsidR="00A57862">
              <w:rPr>
                <w:webHidden/>
              </w:rPr>
            </w:r>
            <w:r w:rsidR="00A57862">
              <w:rPr>
                <w:webHidden/>
              </w:rPr>
              <w:fldChar w:fldCharType="separate"/>
            </w:r>
            <w:r w:rsidR="00A57862">
              <w:rPr>
                <w:webHidden/>
              </w:rPr>
              <w:t>81</w:t>
            </w:r>
            <w:r w:rsidR="00A57862">
              <w:rPr>
                <w:webHidden/>
              </w:rPr>
              <w:fldChar w:fldCharType="end"/>
            </w:r>
          </w:hyperlink>
        </w:p>
        <w:p w14:paraId="37E4BF10" w14:textId="7C382DE9" w:rsidR="00A57862" w:rsidRDefault="00912091">
          <w:pPr>
            <w:pStyle w:val="TOC3"/>
            <w:rPr>
              <w:rFonts w:asciiTheme="minorHAnsi" w:eastAsiaTheme="minorEastAsia" w:hAnsiTheme="minorHAnsi" w:cstheme="minorBidi"/>
              <w:color w:val="auto"/>
              <w:szCs w:val="22"/>
              <w:lang w:eastAsia="en-NZ"/>
            </w:rPr>
          </w:pPr>
          <w:hyperlink w:anchor="_Toc168638998" w:history="1">
            <w:r w:rsidR="00A57862" w:rsidRPr="00A139B3">
              <w:rPr>
                <w:rStyle w:val="Hyperlink"/>
                <w:rFonts w:cs="Arial"/>
              </w:rPr>
              <w:t>Support for disabled people introduced</w:t>
            </w:r>
            <w:r w:rsidR="00A57862">
              <w:rPr>
                <w:webHidden/>
              </w:rPr>
              <w:tab/>
            </w:r>
            <w:r w:rsidR="00A57862">
              <w:rPr>
                <w:webHidden/>
              </w:rPr>
              <w:fldChar w:fldCharType="begin"/>
            </w:r>
            <w:r w:rsidR="00A57862">
              <w:rPr>
                <w:webHidden/>
              </w:rPr>
              <w:instrText xml:space="preserve"> PAGEREF _Toc168638998 \h </w:instrText>
            </w:r>
            <w:r w:rsidR="00A57862">
              <w:rPr>
                <w:webHidden/>
              </w:rPr>
            </w:r>
            <w:r w:rsidR="00A57862">
              <w:rPr>
                <w:webHidden/>
              </w:rPr>
              <w:fldChar w:fldCharType="separate"/>
            </w:r>
            <w:r w:rsidR="00A57862">
              <w:rPr>
                <w:webHidden/>
              </w:rPr>
              <w:t>81</w:t>
            </w:r>
            <w:r w:rsidR="00A57862">
              <w:rPr>
                <w:webHidden/>
              </w:rPr>
              <w:fldChar w:fldCharType="end"/>
            </w:r>
          </w:hyperlink>
        </w:p>
        <w:p w14:paraId="5D828CB2" w14:textId="3870ED1A" w:rsidR="00A57862" w:rsidRDefault="00912091">
          <w:pPr>
            <w:pStyle w:val="TOC3"/>
            <w:rPr>
              <w:rFonts w:asciiTheme="minorHAnsi" w:eastAsiaTheme="minorEastAsia" w:hAnsiTheme="minorHAnsi" w:cstheme="minorBidi"/>
              <w:color w:val="auto"/>
              <w:szCs w:val="22"/>
              <w:lang w:eastAsia="en-NZ"/>
            </w:rPr>
          </w:pPr>
          <w:hyperlink w:anchor="_Toc168638999" w:history="1">
            <w:r w:rsidR="00A57862" w:rsidRPr="00A139B3">
              <w:rPr>
                <w:rStyle w:val="Hyperlink"/>
                <w:rFonts w:cs="Arial"/>
              </w:rPr>
              <w:t>Ngā whakahoutanga o ngā tau 1980 | 1980s reforms</w:t>
            </w:r>
            <w:r w:rsidR="00A57862">
              <w:rPr>
                <w:webHidden/>
              </w:rPr>
              <w:tab/>
            </w:r>
            <w:r w:rsidR="00A57862">
              <w:rPr>
                <w:webHidden/>
              </w:rPr>
              <w:fldChar w:fldCharType="begin"/>
            </w:r>
            <w:r w:rsidR="00A57862">
              <w:rPr>
                <w:webHidden/>
              </w:rPr>
              <w:instrText xml:space="preserve"> PAGEREF _Toc168638999 \h </w:instrText>
            </w:r>
            <w:r w:rsidR="00A57862">
              <w:rPr>
                <w:webHidden/>
              </w:rPr>
            </w:r>
            <w:r w:rsidR="00A57862">
              <w:rPr>
                <w:webHidden/>
              </w:rPr>
              <w:fldChar w:fldCharType="separate"/>
            </w:r>
            <w:r w:rsidR="00A57862">
              <w:rPr>
                <w:webHidden/>
              </w:rPr>
              <w:t>82</w:t>
            </w:r>
            <w:r w:rsidR="00A57862">
              <w:rPr>
                <w:webHidden/>
              </w:rPr>
              <w:fldChar w:fldCharType="end"/>
            </w:r>
          </w:hyperlink>
        </w:p>
        <w:p w14:paraId="745C783B" w14:textId="7288DF5D" w:rsidR="00A57862" w:rsidRDefault="00912091">
          <w:pPr>
            <w:pStyle w:val="TOC3"/>
            <w:rPr>
              <w:rFonts w:asciiTheme="minorHAnsi" w:eastAsiaTheme="minorEastAsia" w:hAnsiTheme="minorHAnsi" w:cstheme="minorBidi"/>
              <w:color w:val="auto"/>
              <w:szCs w:val="22"/>
              <w:lang w:eastAsia="en-NZ"/>
            </w:rPr>
          </w:pPr>
          <w:hyperlink w:anchor="_Toc168639000" w:history="1">
            <w:r w:rsidR="00A57862" w:rsidRPr="00A139B3">
              <w:rPr>
                <w:rStyle w:val="Hyperlink"/>
                <w:rFonts w:cs="Arial"/>
              </w:rPr>
              <w:t>Ngā awenga o te paheketanga ōhanga i ngā tau 1990</w:t>
            </w:r>
            <w:r w:rsidR="00A57862">
              <w:rPr>
                <w:webHidden/>
              </w:rPr>
              <w:tab/>
            </w:r>
            <w:r w:rsidR="00A57862">
              <w:rPr>
                <w:webHidden/>
              </w:rPr>
              <w:fldChar w:fldCharType="begin"/>
            </w:r>
            <w:r w:rsidR="00A57862">
              <w:rPr>
                <w:webHidden/>
              </w:rPr>
              <w:instrText xml:space="preserve"> PAGEREF _Toc168639000 \h </w:instrText>
            </w:r>
            <w:r w:rsidR="00A57862">
              <w:rPr>
                <w:webHidden/>
              </w:rPr>
            </w:r>
            <w:r w:rsidR="00A57862">
              <w:rPr>
                <w:webHidden/>
              </w:rPr>
              <w:fldChar w:fldCharType="separate"/>
            </w:r>
            <w:r w:rsidR="00A57862">
              <w:rPr>
                <w:webHidden/>
              </w:rPr>
              <w:t>82</w:t>
            </w:r>
            <w:r w:rsidR="00A57862">
              <w:rPr>
                <w:webHidden/>
              </w:rPr>
              <w:fldChar w:fldCharType="end"/>
            </w:r>
          </w:hyperlink>
        </w:p>
        <w:p w14:paraId="1A7D5B09" w14:textId="50B39998" w:rsidR="00A57862" w:rsidRDefault="00912091">
          <w:pPr>
            <w:pStyle w:val="TOC3"/>
            <w:rPr>
              <w:rFonts w:asciiTheme="minorHAnsi" w:eastAsiaTheme="minorEastAsia" w:hAnsiTheme="minorHAnsi" w:cstheme="minorBidi"/>
              <w:color w:val="auto"/>
              <w:szCs w:val="22"/>
              <w:lang w:eastAsia="en-NZ"/>
            </w:rPr>
          </w:pPr>
          <w:hyperlink w:anchor="_Toc168639001" w:history="1">
            <w:r w:rsidR="00A57862" w:rsidRPr="00A139B3">
              <w:rPr>
                <w:rStyle w:val="Hyperlink"/>
                <w:rFonts w:cs="Arial"/>
              </w:rPr>
              <w:t>Impacts of recession in the 1990s</w:t>
            </w:r>
            <w:r w:rsidR="00A57862">
              <w:rPr>
                <w:webHidden/>
              </w:rPr>
              <w:tab/>
            </w:r>
            <w:r w:rsidR="00A57862">
              <w:rPr>
                <w:webHidden/>
              </w:rPr>
              <w:fldChar w:fldCharType="begin"/>
            </w:r>
            <w:r w:rsidR="00A57862">
              <w:rPr>
                <w:webHidden/>
              </w:rPr>
              <w:instrText xml:space="preserve"> PAGEREF _Toc168639001 \h </w:instrText>
            </w:r>
            <w:r w:rsidR="00A57862">
              <w:rPr>
                <w:webHidden/>
              </w:rPr>
            </w:r>
            <w:r w:rsidR="00A57862">
              <w:rPr>
                <w:webHidden/>
              </w:rPr>
              <w:fldChar w:fldCharType="separate"/>
            </w:r>
            <w:r w:rsidR="00A57862">
              <w:rPr>
                <w:webHidden/>
              </w:rPr>
              <w:t>82</w:t>
            </w:r>
            <w:r w:rsidR="00A57862">
              <w:rPr>
                <w:webHidden/>
              </w:rPr>
              <w:fldChar w:fldCharType="end"/>
            </w:r>
          </w:hyperlink>
        </w:p>
        <w:p w14:paraId="561A1573" w14:textId="14F4EC9A" w:rsidR="00A57862" w:rsidRDefault="00912091">
          <w:pPr>
            <w:pStyle w:val="TOC2"/>
            <w:rPr>
              <w:rFonts w:asciiTheme="minorHAnsi" w:eastAsiaTheme="minorEastAsia" w:hAnsiTheme="minorHAnsi" w:cstheme="minorBidi"/>
              <w:color w:val="auto"/>
              <w:szCs w:val="22"/>
              <w:lang w:eastAsia="en-NZ"/>
            </w:rPr>
          </w:pPr>
          <w:hyperlink w:anchor="_Toc168639002" w:history="1">
            <w:r w:rsidR="00A57862" w:rsidRPr="00A139B3">
              <w:rPr>
                <w:rStyle w:val="Hyperlink"/>
                <w:rFonts w:cs="Arial"/>
              </w:rPr>
              <w:t>Ka kapi haere ngā whare hauora hinengaro,hauora hinengaro tamariki hoki</w:t>
            </w:r>
            <w:r w:rsidR="00A57862">
              <w:rPr>
                <w:webHidden/>
              </w:rPr>
              <w:tab/>
            </w:r>
            <w:r w:rsidR="00A57862">
              <w:rPr>
                <w:webHidden/>
              </w:rPr>
              <w:fldChar w:fldCharType="begin"/>
            </w:r>
            <w:r w:rsidR="00A57862">
              <w:rPr>
                <w:webHidden/>
              </w:rPr>
              <w:instrText xml:space="preserve"> PAGEREF _Toc168639002 \h </w:instrText>
            </w:r>
            <w:r w:rsidR="00A57862">
              <w:rPr>
                <w:webHidden/>
              </w:rPr>
            </w:r>
            <w:r w:rsidR="00A57862">
              <w:rPr>
                <w:webHidden/>
              </w:rPr>
              <w:fldChar w:fldCharType="separate"/>
            </w:r>
            <w:r w:rsidR="00A57862">
              <w:rPr>
                <w:webHidden/>
              </w:rPr>
              <w:t>83</w:t>
            </w:r>
            <w:r w:rsidR="00A57862">
              <w:rPr>
                <w:webHidden/>
              </w:rPr>
              <w:fldChar w:fldCharType="end"/>
            </w:r>
          </w:hyperlink>
        </w:p>
        <w:p w14:paraId="41B5CAEC" w14:textId="70418C7D" w:rsidR="00A57862" w:rsidRDefault="00912091">
          <w:pPr>
            <w:pStyle w:val="TOC2"/>
            <w:rPr>
              <w:rFonts w:asciiTheme="minorHAnsi" w:eastAsiaTheme="minorEastAsia" w:hAnsiTheme="minorHAnsi" w:cstheme="minorBidi"/>
              <w:color w:val="auto"/>
              <w:szCs w:val="22"/>
              <w:lang w:eastAsia="en-NZ"/>
            </w:rPr>
          </w:pPr>
          <w:hyperlink w:anchor="_Toc168639003" w:history="1">
            <w:r w:rsidR="00A57862" w:rsidRPr="00A139B3">
              <w:rPr>
                <w:rStyle w:val="Hyperlink"/>
                <w:rFonts w:cs="Arial"/>
              </w:rPr>
              <w:t>Psychiatric and psychopaedic hospitals begin to close</w:t>
            </w:r>
            <w:r w:rsidR="00A57862">
              <w:rPr>
                <w:webHidden/>
              </w:rPr>
              <w:tab/>
            </w:r>
            <w:r w:rsidR="00A57862">
              <w:rPr>
                <w:webHidden/>
              </w:rPr>
              <w:fldChar w:fldCharType="begin"/>
            </w:r>
            <w:r w:rsidR="00A57862">
              <w:rPr>
                <w:webHidden/>
              </w:rPr>
              <w:instrText xml:space="preserve"> PAGEREF _Toc168639003 \h </w:instrText>
            </w:r>
            <w:r w:rsidR="00A57862">
              <w:rPr>
                <w:webHidden/>
              </w:rPr>
            </w:r>
            <w:r w:rsidR="00A57862">
              <w:rPr>
                <w:webHidden/>
              </w:rPr>
              <w:fldChar w:fldCharType="separate"/>
            </w:r>
            <w:r w:rsidR="00A57862">
              <w:rPr>
                <w:webHidden/>
              </w:rPr>
              <w:t>83</w:t>
            </w:r>
            <w:r w:rsidR="00A57862">
              <w:rPr>
                <w:webHidden/>
              </w:rPr>
              <w:fldChar w:fldCharType="end"/>
            </w:r>
          </w:hyperlink>
        </w:p>
        <w:p w14:paraId="76369A05" w14:textId="77CA5414" w:rsidR="00A57862" w:rsidRDefault="00912091">
          <w:pPr>
            <w:pStyle w:val="TOC2"/>
            <w:rPr>
              <w:rFonts w:asciiTheme="minorHAnsi" w:eastAsiaTheme="minorEastAsia" w:hAnsiTheme="minorHAnsi" w:cstheme="minorBidi"/>
              <w:color w:val="auto"/>
              <w:szCs w:val="22"/>
              <w:lang w:eastAsia="en-NZ"/>
            </w:rPr>
          </w:pPr>
          <w:hyperlink w:anchor="_Toc168639004" w:history="1">
            <w:r w:rsidR="00A57862" w:rsidRPr="00A139B3">
              <w:rPr>
                <w:rStyle w:val="Hyperlink"/>
                <w:rFonts w:cs="Arial"/>
              </w:rPr>
              <w:t>Ka piki te aroā ki te whanaketanga me te tūkinotanga tamariki</w:t>
            </w:r>
            <w:r w:rsidR="00A57862">
              <w:rPr>
                <w:webHidden/>
              </w:rPr>
              <w:tab/>
            </w:r>
            <w:r w:rsidR="00A57862">
              <w:rPr>
                <w:webHidden/>
              </w:rPr>
              <w:fldChar w:fldCharType="begin"/>
            </w:r>
            <w:r w:rsidR="00A57862">
              <w:rPr>
                <w:webHidden/>
              </w:rPr>
              <w:instrText xml:space="preserve"> PAGEREF _Toc168639004 \h </w:instrText>
            </w:r>
            <w:r w:rsidR="00A57862">
              <w:rPr>
                <w:webHidden/>
              </w:rPr>
            </w:r>
            <w:r w:rsidR="00A57862">
              <w:rPr>
                <w:webHidden/>
              </w:rPr>
              <w:fldChar w:fldCharType="separate"/>
            </w:r>
            <w:r w:rsidR="00A57862">
              <w:rPr>
                <w:webHidden/>
              </w:rPr>
              <w:t>85</w:t>
            </w:r>
            <w:r w:rsidR="00A57862">
              <w:rPr>
                <w:webHidden/>
              </w:rPr>
              <w:fldChar w:fldCharType="end"/>
            </w:r>
          </w:hyperlink>
        </w:p>
        <w:p w14:paraId="27BFAD4D" w14:textId="14E16730" w:rsidR="00A57862" w:rsidRDefault="00912091">
          <w:pPr>
            <w:pStyle w:val="TOC2"/>
            <w:rPr>
              <w:rFonts w:asciiTheme="minorHAnsi" w:eastAsiaTheme="minorEastAsia" w:hAnsiTheme="minorHAnsi" w:cstheme="minorBidi"/>
              <w:color w:val="auto"/>
              <w:szCs w:val="22"/>
              <w:lang w:eastAsia="en-NZ"/>
            </w:rPr>
          </w:pPr>
          <w:hyperlink w:anchor="_Toc168639005" w:history="1">
            <w:r w:rsidR="00A57862" w:rsidRPr="00A139B3">
              <w:rPr>
                <w:rStyle w:val="Hyperlink"/>
                <w:rFonts w:cs="Arial"/>
              </w:rPr>
              <w:t>Increasing awareness of child development, abuse and trauma</w:t>
            </w:r>
            <w:r w:rsidR="00A57862">
              <w:rPr>
                <w:webHidden/>
              </w:rPr>
              <w:tab/>
            </w:r>
            <w:r w:rsidR="00A57862">
              <w:rPr>
                <w:webHidden/>
              </w:rPr>
              <w:fldChar w:fldCharType="begin"/>
            </w:r>
            <w:r w:rsidR="00A57862">
              <w:rPr>
                <w:webHidden/>
              </w:rPr>
              <w:instrText xml:space="preserve"> PAGEREF _Toc168639005 \h </w:instrText>
            </w:r>
            <w:r w:rsidR="00A57862">
              <w:rPr>
                <w:webHidden/>
              </w:rPr>
            </w:r>
            <w:r w:rsidR="00A57862">
              <w:rPr>
                <w:webHidden/>
              </w:rPr>
              <w:fldChar w:fldCharType="separate"/>
            </w:r>
            <w:r w:rsidR="00A57862">
              <w:rPr>
                <w:webHidden/>
              </w:rPr>
              <w:t>85</w:t>
            </w:r>
            <w:r w:rsidR="00A57862">
              <w:rPr>
                <w:webHidden/>
              </w:rPr>
              <w:fldChar w:fldCharType="end"/>
            </w:r>
          </w:hyperlink>
        </w:p>
        <w:p w14:paraId="7F6823A2" w14:textId="18ABDF5C" w:rsidR="00A57862" w:rsidRDefault="00912091">
          <w:pPr>
            <w:pStyle w:val="TOC3"/>
            <w:rPr>
              <w:rFonts w:asciiTheme="minorHAnsi" w:eastAsiaTheme="minorEastAsia" w:hAnsiTheme="minorHAnsi" w:cstheme="minorBidi"/>
              <w:color w:val="auto"/>
              <w:szCs w:val="22"/>
              <w:lang w:eastAsia="en-NZ"/>
            </w:rPr>
          </w:pPr>
          <w:hyperlink w:anchor="_Toc168639006" w:history="1">
            <w:r w:rsidR="00A57862" w:rsidRPr="00A139B3">
              <w:rPr>
                <w:rStyle w:val="Hyperlink"/>
                <w:rFonts w:cs="Arial"/>
              </w:rPr>
              <w:t>Te whakapiki mātauranga o te whanaketanga tamariki</w:t>
            </w:r>
            <w:r w:rsidR="00A57862">
              <w:rPr>
                <w:webHidden/>
              </w:rPr>
              <w:tab/>
            </w:r>
            <w:r w:rsidR="00A57862">
              <w:rPr>
                <w:webHidden/>
              </w:rPr>
              <w:fldChar w:fldCharType="begin"/>
            </w:r>
            <w:r w:rsidR="00A57862">
              <w:rPr>
                <w:webHidden/>
              </w:rPr>
              <w:instrText xml:space="preserve"> PAGEREF _Toc168639006 \h </w:instrText>
            </w:r>
            <w:r w:rsidR="00A57862">
              <w:rPr>
                <w:webHidden/>
              </w:rPr>
            </w:r>
            <w:r w:rsidR="00A57862">
              <w:rPr>
                <w:webHidden/>
              </w:rPr>
              <w:fldChar w:fldCharType="separate"/>
            </w:r>
            <w:r w:rsidR="00A57862">
              <w:rPr>
                <w:webHidden/>
              </w:rPr>
              <w:t>85</w:t>
            </w:r>
            <w:r w:rsidR="00A57862">
              <w:rPr>
                <w:webHidden/>
              </w:rPr>
              <w:fldChar w:fldCharType="end"/>
            </w:r>
          </w:hyperlink>
        </w:p>
        <w:p w14:paraId="592BF4B0" w14:textId="365A506D" w:rsidR="00A57862" w:rsidRDefault="00912091">
          <w:pPr>
            <w:pStyle w:val="TOC3"/>
            <w:rPr>
              <w:rFonts w:asciiTheme="minorHAnsi" w:eastAsiaTheme="minorEastAsia" w:hAnsiTheme="minorHAnsi" w:cstheme="minorBidi"/>
              <w:color w:val="auto"/>
              <w:szCs w:val="22"/>
              <w:lang w:eastAsia="en-NZ"/>
            </w:rPr>
          </w:pPr>
          <w:hyperlink w:anchor="_Toc168639007" w:history="1">
            <w:r w:rsidR="00A57862" w:rsidRPr="00A139B3">
              <w:rPr>
                <w:rStyle w:val="Hyperlink"/>
                <w:rFonts w:cs="Arial"/>
              </w:rPr>
              <w:t>Increasing knowledge of child development</w:t>
            </w:r>
            <w:r w:rsidR="00A57862">
              <w:rPr>
                <w:webHidden/>
              </w:rPr>
              <w:tab/>
            </w:r>
            <w:r w:rsidR="00A57862">
              <w:rPr>
                <w:webHidden/>
              </w:rPr>
              <w:fldChar w:fldCharType="begin"/>
            </w:r>
            <w:r w:rsidR="00A57862">
              <w:rPr>
                <w:webHidden/>
              </w:rPr>
              <w:instrText xml:space="preserve"> PAGEREF _Toc168639007 \h </w:instrText>
            </w:r>
            <w:r w:rsidR="00A57862">
              <w:rPr>
                <w:webHidden/>
              </w:rPr>
            </w:r>
            <w:r w:rsidR="00A57862">
              <w:rPr>
                <w:webHidden/>
              </w:rPr>
              <w:fldChar w:fldCharType="separate"/>
            </w:r>
            <w:r w:rsidR="00A57862">
              <w:rPr>
                <w:webHidden/>
              </w:rPr>
              <w:t>85</w:t>
            </w:r>
            <w:r w:rsidR="00A57862">
              <w:rPr>
                <w:webHidden/>
              </w:rPr>
              <w:fldChar w:fldCharType="end"/>
            </w:r>
          </w:hyperlink>
        </w:p>
        <w:p w14:paraId="0656E114" w14:textId="6D71C76C" w:rsidR="00A57862" w:rsidRDefault="00912091">
          <w:pPr>
            <w:pStyle w:val="TOC3"/>
            <w:rPr>
              <w:rFonts w:asciiTheme="minorHAnsi" w:eastAsiaTheme="minorEastAsia" w:hAnsiTheme="minorHAnsi" w:cstheme="minorBidi"/>
              <w:color w:val="auto"/>
              <w:szCs w:val="22"/>
              <w:lang w:eastAsia="en-NZ"/>
            </w:rPr>
          </w:pPr>
          <w:hyperlink w:anchor="_Toc168639008" w:history="1">
            <w:r w:rsidR="00A57862" w:rsidRPr="00A139B3">
              <w:rPr>
                <w:rStyle w:val="Hyperlink"/>
                <w:rFonts w:cs="Arial"/>
              </w:rPr>
              <w:t>Ka nui haere te aroā ki te tūkinotanga tamariki | Greater awareness of child abuse</w:t>
            </w:r>
            <w:r w:rsidR="00A57862">
              <w:rPr>
                <w:webHidden/>
              </w:rPr>
              <w:tab/>
            </w:r>
            <w:r w:rsidR="00A57862">
              <w:rPr>
                <w:webHidden/>
              </w:rPr>
              <w:fldChar w:fldCharType="begin"/>
            </w:r>
            <w:r w:rsidR="00A57862">
              <w:rPr>
                <w:webHidden/>
              </w:rPr>
              <w:instrText xml:space="preserve"> PAGEREF _Toc168639008 \h </w:instrText>
            </w:r>
            <w:r w:rsidR="00A57862">
              <w:rPr>
                <w:webHidden/>
              </w:rPr>
            </w:r>
            <w:r w:rsidR="00A57862">
              <w:rPr>
                <w:webHidden/>
              </w:rPr>
              <w:fldChar w:fldCharType="separate"/>
            </w:r>
            <w:r w:rsidR="00A57862">
              <w:rPr>
                <w:webHidden/>
              </w:rPr>
              <w:t>85</w:t>
            </w:r>
            <w:r w:rsidR="00A57862">
              <w:rPr>
                <w:webHidden/>
              </w:rPr>
              <w:fldChar w:fldCharType="end"/>
            </w:r>
          </w:hyperlink>
        </w:p>
        <w:p w14:paraId="4E056746" w14:textId="1FB617F4" w:rsidR="00A57862" w:rsidRDefault="00912091">
          <w:pPr>
            <w:pStyle w:val="TOC3"/>
            <w:rPr>
              <w:rFonts w:asciiTheme="minorHAnsi" w:eastAsiaTheme="minorEastAsia" w:hAnsiTheme="minorHAnsi" w:cstheme="minorBidi"/>
              <w:color w:val="auto"/>
              <w:szCs w:val="22"/>
              <w:lang w:eastAsia="en-NZ"/>
            </w:rPr>
          </w:pPr>
          <w:hyperlink w:anchor="_Toc168639009" w:history="1">
            <w:r w:rsidR="00A57862" w:rsidRPr="00A139B3">
              <w:rPr>
                <w:rStyle w:val="Hyperlink"/>
                <w:rFonts w:cs="Arial"/>
              </w:rPr>
              <w:t xml:space="preserve">Ka tipu te māramatanga ki te whakahapatanga | </w:t>
            </w:r>
            <w:r w:rsidR="00A57862" w:rsidRPr="00A139B3">
              <w:rPr>
                <w:rStyle w:val="Hyperlink"/>
                <w:rFonts w:cs="Arial"/>
                <w:shd w:val="clear" w:color="auto" w:fill="FFFFFF"/>
              </w:rPr>
              <w:t>Understanding of trauma grows</w:t>
            </w:r>
            <w:r w:rsidR="00A57862">
              <w:rPr>
                <w:webHidden/>
              </w:rPr>
              <w:tab/>
            </w:r>
            <w:r w:rsidR="00A57862">
              <w:rPr>
                <w:webHidden/>
              </w:rPr>
              <w:fldChar w:fldCharType="begin"/>
            </w:r>
            <w:r w:rsidR="00A57862">
              <w:rPr>
                <w:webHidden/>
              </w:rPr>
              <w:instrText xml:space="preserve"> PAGEREF _Toc168639009 \h </w:instrText>
            </w:r>
            <w:r w:rsidR="00A57862">
              <w:rPr>
                <w:webHidden/>
              </w:rPr>
            </w:r>
            <w:r w:rsidR="00A57862">
              <w:rPr>
                <w:webHidden/>
              </w:rPr>
              <w:fldChar w:fldCharType="separate"/>
            </w:r>
            <w:r w:rsidR="00A57862">
              <w:rPr>
                <w:webHidden/>
              </w:rPr>
              <w:t>86</w:t>
            </w:r>
            <w:r w:rsidR="00A57862">
              <w:rPr>
                <w:webHidden/>
              </w:rPr>
              <w:fldChar w:fldCharType="end"/>
            </w:r>
          </w:hyperlink>
        </w:p>
        <w:p w14:paraId="4057CC4F" w14:textId="6FA22FC2" w:rsidR="00A57862" w:rsidRDefault="00912091">
          <w:pPr>
            <w:pStyle w:val="TOC3"/>
            <w:rPr>
              <w:rFonts w:asciiTheme="minorHAnsi" w:eastAsiaTheme="minorEastAsia" w:hAnsiTheme="minorHAnsi" w:cstheme="minorBidi"/>
              <w:color w:val="auto"/>
              <w:szCs w:val="22"/>
              <w:lang w:eastAsia="en-NZ"/>
            </w:rPr>
          </w:pPr>
          <w:hyperlink w:anchor="_Toc168639010" w:history="1">
            <w:r w:rsidR="00A57862" w:rsidRPr="00A139B3">
              <w:rPr>
                <w:rStyle w:val="Hyperlink"/>
              </w:rPr>
              <w:t>He whakamārama mō te whakahapatanga  | Some understanding of neglect</w:t>
            </w:r>
            <w:r w:rsidR="00A57862">
              <w:rPr>
                <w:webHidden/>
              </w:rPr>
              <w:tab/>
            </w:r>
            <w:r w:rsidR="00A57862">
              <w:rPr>
                <w:webHidden/>
              </w:rPr>
              <w:fldChar w:fldCharType="begin"/>
            </w:r>
            <w:r w:rsidR="00A57862">
              <w:rPr>
                <w:webHidden/>
              </w:rPr>
              <w:instrText xml:space="preserve"> PAGEREF _Toc168639010 \h </w:instrText>
            </w:r>
            <w:r w:rsidR="00A57862">
              <w:rPr>
                <w:webHidden/>
              </w:rPr>
            </w:r>
            <w:r w:rsidR="00A57862">
              <w:rPr>
                <w:webHidden/>
              </w:rPr>
              <w:fldChar w:fldCharType="separate"/>
            </w:r>
            <w:r w:rsidR="00A57862">
              <w:rPr>
                <w:webHidden/>
              </w:rPr>
              <w:t>86</w:t>
            </w:r>
            <w:r w:rsidR="00A57862">
              <w:rPr>
                <w:webHidden/>
              </w:rPr>
              <w:fldChar w:fldCharType="end"/>
            </w:r>
          </w:hyperlink>
        </w:p>
        <w:p w14:paraId="0345D16A" w14:textId="4137E106" w:rsidR="00A57862" w:rsidRDefault="00912091">
          <w:pPr>
            <w:pStyle w:val="TOC2"/>
            <w:rPr>
              <w:rFonts w:asciiTheme="minorHAnsi" w:eastAsiaTheme="minorEastAsia" w:hAnsiTheme="minorHAnsi" w:cstheme="minorBidi"/>
              <w:color w:val="auto"/>
              <w:szCs w:val="22"/>
              <w:lang w:eastAsia="en-NZ"/>
            </w:rPr>
          </w:pPr>
          <w:hyperlink w:anchor="_Toc168639011" w:history="1">
            <w:r w:rsidR="00A57862" w:rsidRPr="00A139B3">
              <w:rPr>
                <w:rStyle w:val="Hyperlink"/>
              </w:rPr>
              <w:t>Te tipu o te aroā ki ngā mōtika tangata | Increased awareness of human rights</w:t>
            </w:r>
            <w:r w:rsidR="00A57862">
              <w:rPr>
                <w:webHidden/>
              </w:rPr>
              <w:tab/>
            </w:r>
            <w:r w:rsidR="00A57862">
              <w:rPr>
                <w:webHidden/>
              </w:rPr>
              <w:fldChar w:fldCharType="begin"/>
            </w:r>
            <w:r w:rsidR="00A57862">
              <w:rPr>
                <w:webHidden/>
              </w:rPr>
              <w:instrText xml:space="preserve"> PAGEREF _Toc168639011 \h </w:instrText>
            </w:r>
            <w:r w:rsidR="00A57862">
              <w:rPr>
                <w:webHidden/>
              </w:rPr>
            </w:r>
            <w:r w:rsidR="00A57862">
              <w:rPr>
                <w:webHidden/>
              </w:rPr>
              <w:fldChar w:fldCharType="separate"/>
            </w:r>
            <w:r w:rsidR="00A57862">
              <w:rPr>
                <w:webHidden/>
              </w:rPr>
              <w:t>86</w:t>
            </w:r>
            <w:r w:rsidR="00A57862">
              <w:rPr>
                <w:webHidden/>
              </w:rPr>
              <w:fldChar w:fldCharType="end"/>
            </w:r>
          </w:hyperlink>
        </w:p>
        <w:p w14:paraId="287F7366" w14:textId="55822EAD" w:rsidR="00A57862" w:rsidRDefault="00912091">
          <w:pPr>
            <w:pStyle w:val="TOC3"/>
            <w:rPr>
              <w:rFonts w:asciiTheme="minorHAnsi" w:eastAsiaTheme="minorEastAsia" w:hAnsiTheme="minorHAnsi" w:cstheme="minorBidi"/>
              <w:color w:val="auto"/>
              <w:szCs w:val="22"/>
              <w:lang w:eastAsia="en-NZ"/>
            </w:rPr>
          </w:pPr>
          <w:hyperlink w:anchor="_Toc168639012" w:history="1">
            <w:r w:rsidR="00A57862" w:rsidRPr="00A139B3">
              <w:rPr>
                <w:rStyle w:val="Hyperlink"/>
                <w:rFonts w:cs="Arial"/>
              </w:rPr>
              <w:t>Mōtika Māori | Māori rights</w:t>
            </w:r>
            <w:r w:rsidR="00A57862">
              <w:rPr>
                <w:webHidden/>
              </w:rPr>
              <w:tab/>
            </w:r>
            <w:r w:rsidR="00A57862">
              <w:rPr>
                <w:webHidden/>
              </w:rPr>
              <w:fldChar w:fldCharType="begin"/>
            </w:r>
            <w:r w:rsidR="00A57862">
              <w:rPr>
                <w:webHidden/>
              </w:rPr>
              <w:instrText xml:space="preserve"> PAGEREF _Toc168639012 \h </w:instrText>
            </w:r>
            <w:r w:rsidR="00A57862">
              <w:rPr>
                <w:webHidden/>
              </w:rPr>
            </w:r>
            <w:r w:rsidR="00A57862">
              <w:rPr>
                <w:webHidden/>
              </w:rPr>
              <w:fldChar w:fldCharType="separate"/>
            </w:r>
            <w:r w:rsidR="00A57862">
              <w:rPr>
                <w:webHidden/>
              </w:rPr>
              <w:t>88</w:t>
            </w:r>
            <w:r w:rsidR="00A57862">
              <w:rPr>
                <w:webHidden/>
              </w:rPr>
              <w:fldChar w:fldCharType="end"/>
            </w:r>
          </w:hyperlink>
        </w:p>
        <w:p w14:paraId="3C7AEA1F" w14:textId="058EB97D" w:rsidR="00A57862" w:rsidRDefault="00912091">
          <w:pPr>
            <w:pStyle w:val="TOC3"/>
            <w:rPr>
              <w:rFonts w:asciiTheme="minorHAnsi" w:eastAsiaTheme="minorEastAsia" w:hAnsiTheme="minorHAnsi" w:cstheme="minorBidi"/>
              <w:color w:val="auto"/>
              <w:szCs w:val="22"/>
              <w:lang w:eastAsia="en-NZ"/>
            </w:rPr>
          </w:pPr>
          <w:hyperlink w:anchor="_Toc168639013" w:history="1">
            <w:r w:rsidR="00A57862" w:rsidRPr="00A139B3">
              <w:rPr>
                <w:rStyle w:val="Hyperlink"/>
                <w:rFonts w:cs="Arial"/>
              </w:rPr>
              <w:t>Mōtika Turi | Deaf rights</w:t>
            </w:r>
            <w:r w:rsidR="00A57862">
              <w:rPr>
                <w:webHidden/>
              </w:rPr>
              <w:tab/>
            </w:r>
            <w:r w:rsidR="00A57862">
              <w:rPr>
                <w:webHidden/>
              </w:rPr>
              <w:fldChar w:fldCharType="begin"/>
            </w:r>
            <w:r w:rsidR="00A57862">
              <w:rPr>
                <w:webHidden/>
              </w:rPr>
              <w:instrText xml:space="preserve"> PAGEREF _Toc168639013 \h </w:instrText>
            </w:r>
            <w:r w:rsidR="00A57862">
              <w:rPr>
                <w:webHidden/>
              </w:rPr>
            </w:r>
            <w:r w:rsidR="00A57862">
              <w:rPr>
                <w:webHidden/>
              </w:rPr>
              <w:fldChar w:fldCharType="separate"/>
            </w:r>
            <w:r w:rsidR="00A57862">
              <w:rPr>
                <w:webHidden/>
              </w:rPr>
              <w:t>89</w:t>
            </w:r>
            <w:r w:rsidR="00A57862">
              <w:rPr>
                <w:webHidden/>
              </w:rPr>
              <w:fldChar w:fldCharType="end"/>
            </w:r>
          </w:hyperlink>
        </w:p>
        <w:p w14:paraId="52747E7A" w14:textId="5C6BE96C" w:rsidR="00A57862" w:rsidRDefault="00912091">
          <w:pPr>
            <w:pStyle w:val="TOC3"/>
            <w:rPr>
              <w:rFonts w:asciiTheme="minorHAnsi" w:eastAsiaTheme="minorEastAsia" w:hAnsiTheme="minorHAnsi" w:cstheme="minorBidi"/>
              <w:color w:val="auto"/>
              <w:szCs w:val="22"/>
              <w:lang w:eastAsia="en-NZ"/>
            </w:rPr>
          </w:pPr>
          <w:hyperlink w:anchor="_Toc168639014" w:history="1">
            <w:r w:rsidR="00A57862" w:rsidRPr="00A139B3">
              <w:rPr>
                <w:rStyle w:val="Hyperlink"/>
                <w:rFonts w:cs="Arial"/>
              </w:rPr>
              <w:t>Mōtika whaikaha | Disability rights</w:t>
            </w:r>
            <w:r w:rsidR="00A57862">
              <w:rPr>
                <w:webHidden/>
              </w:rPr>
              <w:tab/>
            </w:r>
            <w:r w:rsidR="00A57862">
              <w:rPr>
                <w:webHidden/>
              </w:rPr>
              <w:fldChar w:fldCharType="begin"/>
            </w:r>
            <w:r w:rsidR="00A57862">
              <w:rPr>
                <w:webHidden/>
              </w:rPr>
              <w:instrText xml:space="preserve"> PAGEREF _Toc168639014 \h </w:instrText>
            </w:r>
            <w:r w:rsidR="00A57862">
              <w:rPr>
                <w:webHidden/>
              </w:rPr>
            </w:r>
            <w:r w:rsidR="00A57862">
              <w:rPr>
                <w:webHidden/>
              </w:rPr>
              <w:fldChar w:fldCharType="separate"/>
            </w:r>
            <w:r w:rsidR="00A57862">
              <w:rPr>
                <w:webHidden/>
              </w:rPr>
              <w:t>90</w:t>
            </w:r>
            <w:r w:rsidR="00A57862">
              <w:rPr>
                <w:webHidden/>
              </w:rPr>
              <w:fldChar w:fldCharType="end"/>
            </w:r>
          </w:hyperlink>
        </w:p>
        <w:p w14:paraId="5A24F8A4" w14:textId="16B21957" w:rsidR="00A57862" w:rsidRDefault="00912091">
          <w:pPr>
            <w:pStyle w:val="TOC3"/>
            <w:rPr>
              <w:rFonts w:asciiTheme="minorHAnsi" w:eastAsiaTheme="minorEastAsia" w:hAnsiTheme="minorHAnsi" w:cstheme="minorBidi"/>
              <w:color w:val="auto"/>
              <w:szCs w:val="22"/>
              <w:lang w:eastAsia="en-NZ"/>
            </w:rPr>
          </w:pPr>
          <w:hyperlink w:anchor="_Toc168639015" w:history="1">
            <w:r w:rsidR="00A57862" w:rsidRPr="00A139B3">
              <w:rPr>
                <w:rStyle w:val="Hyperlink"/>
                <w:rFonts w:cs="Arial"/>
              </w:rPr>
              <w:t>Mōtika takatāpui | Gay rights</w:t>
            </w:r>
            <w:r w:rsidR="00A57862">
              <w:rPr>
                <w:webHidden/>
              </w:rPr>
              <w:tab/>
            </w:r>
            <w:r w:rsidR="00A57862">
              <w:rPr>
                <w:webHidden/>
              </w:rPr>
              <w:fldChar w:fldCharType="begin"/>
            </w:r>
            <w:r w:rsidR="00A57862">
              <w:rPr>
                <w:webHidden/>
              </w:rPr>
              <w:instrText xml:space="preserve"> PAGEREF _Toc168639015 \h </w:instrText>
            </w:r>
            <w:r w:rsidR="00A57862">
              <w:rPr>
                <w:webHidden/>
              </w:rPr>
            </w:r>
            <w:r w:rsidR="00A57862">
              <w:rPr>
                <w:webHidden/>
              </w:rPr>
              <w:fldChar w:fldCharType="separate"/>
            </w:r>
            <w:r w:rsidR="00A57862">
              <w:rPr>
                <w:webHidden/>
              </w:rPr>
              <w:t>92</w:t>
            </w:r>
            <w:r w:rsidR="00A57862">
              <w:rPr>
                <w:webHidden/>
              </w:rPr>
              <w:fldChar w:fldCharType="end"/>
            </w:r>
          </w:hyperlink>
        </w:p>
        <w:p w14:paraId="5763A21D" w14:textId="08FA9F13" w:rsidR="00A57862" w:rsidRDefault="00912091">
          <w:pPr>
            <w:pStyle w:val="TOC3"/>
            <w:rPr>
              <w:rFonts w:asciiTheme="minorHAnsi" w:eastAsiaTheme="minorEastAsia" w:hAnsiTheme="minorHAnsi" w:cstheme="minorBidi"/>
              <w:color w:val="auto"/>
              <w:szCs w:val="22"/>
              <w:lang w:eastAsia="en-NZ"/>
            </w:rPr>
          </w:pPr>
          <w:hyperlink w:anchor="_Toc168639016" w:history="1">
            <w:r w:rsidR="00A57862" w:rsidRPr="00A139B3">
              <w:rPr>
                <w:rStyle w:val="Hyperlink"/>
                <w:rFonts w:cs="Arial"/>
                <w:shd w:val="clear" w:color="auto" w:fill="FFFFFF"/>
              </w:rPr>
              <w:t>Mōtika tamariki | Rights of children</w:t>
            </w:r>
            <w:r w:rsidR="00A57862">
              <w:rPr>
                <w:webHidden/>
              </w:rPr>
              <w:tab/>
            </w:r>
            <w:r w:rsidR="00A57862">
              <w:rPr>
                <w:webHidden/>
              </w:rPr>
              <w:fldChar w:fldCharType="begin"/>
            </w:r>
            <w:r w:rsidR="00A57862">
              <w:rPr>
                <w:webHidden/>
              </w:rPr>
              <w:instrText xml:space="preserve"> PAGEREF _Toc168639016 \h </w:instrText>
            </w:r>
            <w:r w:rsidR="00A57862">
              <w:rPr>
                <w:webHidden/>
              </w:rPr>
            </w:r>
            <w:r w:rsidR="00A57862">
              <w:rPr>
                <w:webHidden/>
              </w:rPr>
              <w:fldChar w:fldCharType="separate"/>
            </w:r>
            <w:r w:rsidR="00A57862">
              <w:rPr>
                <w:webHidden/>
              </w:rPr>
              <w:t>92</w:t>
            </w:r>
            <w:r w:rsidR="00A57862">
              <w:rPr>
                <w:webHidden/>
              </w:rPr>
              <w:fldChar w:fldCharType="end"/>
            </w:r>
          </w:hyperlink>
        </w:p>
        <w:p w14:paraId="244F1A03" w14:textId="3567B5B8" w:rsidR="00A57862" w:rsidRDefault="00912091">
          <w:pPr>
            <w:pStyle w:val="TOC3"/>
            <w:rPr>
              <w:rFonts w:asciiTheme="minorHAnsi" w:eastAsiaTheme="minorEastAsia" w:hAnsiTheme="minorHAnsi" w:cstheme="minorBidi"/>
              <w:color w:val="auto"/>
              <w:szCs w:val="22"/>
              <w:lang w:eastAsia="en-NZ"/>
            </w:rPr>
          </w:pPr>
          <w:hyperlink w:anchor="_Toc168639017" w:history="1">
            <w:r w:rsidR="00A57862" w:rsidRPr="00A139B3">
              <w:rPr>
                <w:rStyle w:val="Hyperlink"/>
                <w:rFonts w:cs="Arial"/>
              </w:rPr>
              <w:t>Mōtika iwi Pasifika | Pacific Peoples’ rights</w:t>
            </w:r>
            <w:r w:rsidR="00A57862">
              <w:rPr>
                <w:webHidden/>
              </w:rPr>
              <w:tab/>
            </w:r>
            <w:r w:rsidR="00A57862">
              <w:rPr>
                <w:webHidden/>
              </w:rPr>
              <w:fldChar w:fldCharType="begin"/>
            </w:r>
            <w:r w:rsidR="00A57862">
              <w:rPr>
                <w:webHidden/>
              </w:rPr>
              <w:instrText xml:space="preserve"> PAGEREF _Toc168639017 \h </w:instrText>
            </w:r>
            <w:r w:rsidR="00A57862">
              <w:rPr>
                <w:webHidden/>
              </w:rPr>
            </w:r>
            <w:r w:rsidR="00A57862">
              <w:rPr>
                <w:webHidden/>
              </w:rPr>
              <w:fldChar w:fldCharType="separate"/>
            </w:r>
            <w:r w:rsidR="00A57862">
              <w:rPr>
                <w:webHidden/>
              </w:rPr>
              <w:t>93</w:t>
            </w:r>
            <w:r w:rsidR="00A57862">
              <w:rPr>
                <w:webHidden/>
              </w:rPr>
              <w:fldChar w:fldCharType="end"/>
            </w:r>
          </w:hyperlink>
        </w:p>
        <w:p w14:paraId="09A5B903" w14:textId="22411B4A" w:rsidR="00A57862" w:rsidRDefault="00912091">
          <w:pPr>
            <w:pStyle w:val="TOC1"/>
            <w:rPr>
              <w:rFonts w:asciiTheme="minorHAnsi" w:eastAsiaTheme="minorEastAsia" w:hAnsiTheme="minorHAnsi" w:cstheme="minorBidi"/>
              <w:b w:val="0"/>
              <w:noProof/>
              <w:color w:val="auto"/>
              <w:szCs w:val="22"/>
              <w:lang w:eastAsia="en-NZ"/>
            </w:rPr>
          </w:pPr>
          <w:hyperlink w:anchor="_Toc168639018" w:history="1">
            <w:r w:rsidR="00A57862" w:rsidRPr="00A139B3">
              <w:rPr>
                <w:rStyle w:val="Hyperlink"/>
                <w:noProof/>
              </w:rPr>
              <w:t>Ūpoko 8: Ngā raraunga hangapori mō te wā Pakirehua</w:t>
            </w:r>
            <w:r w:rsidR="00A57862">
              <w:rPr>
                <w:noProof/>
                <w:webHidden/>
              </w:rPr>
              <w:tab/>
            </w:r>
            <w:r w:rsidR="00A57862">
              <w:rPr>
                <w:noProof/>
                <w:webHidden/>
              </w:rPr>
              <w:fldChar w:fldCharType="begin"/>
            </w:r>
            <w:r w:rsidR="00A57862">
              <w:rPr>
                <w:noProof/>
                <w:webHidden/>
              </w:rPr>
              <w:instrText xml:space="preserve"> PAGEREF _Toc168639018 \h </w:instrText>
            </w:r>
            <w:r w:rsidR="00A57862">
              <w:rPr>
                <w:noProof/>
                <w:webHidden/>
              </w:rPr>
            </w:r>
            <w:r w:rsidR="00A57862">
              <w:rPr>
                <w:noProof/>
                <w:webHidden/>
              </w:rPr>
              <w:fldChar w:fldCharType="separate"/>
            </w:r>
            <w:r w:rsidR="00A57862">
              <w:rPr>
                <w:noProof/>
                <w:webHidden/>
              </w:rPr>
              <w:t>94</w:t>
            </w:r>
            <w:r w:rsidR="00A57862">
              <w:rPr>
                <w:noProof/>
                <w:webHidden/>
              </w:rPr>
              <w:fldChar w:fldCharType="end"/>
            </w:r>
          </w:hyperlink>
        </w:p>
        <w:p w14:paraId="35B76C5A" w14:textId="2032D4F9" w:rsidR="00A57862" w:rsidRDefault="00912091">
          <w:pPr>
            <w:pStyle w:val="TOC1"/>
            <w:rPr>
              <w:rFonts w:asciiTheme="minorHAnsi" w:eastAsiaTheme="minorEastAsia" w:hAnsiTheme="minorHAnsi" w:cstheme="minorBidi"/>
              <w:b w:val="0"/>
              <w:noProof/>
              <w:color w:val="auto"/>
              <w:szCs w:val="22"/>
              <w:lang w:eastAsia="en-NZ"/>
            </w:rPr>
          </w:pPr>
          <w:hyperlink w:anchor="_Toc168639019" w:history="1">
            <w:r w:rsidR="00A57862" w:rsidRPr="00A139B3">
              <w:rPr>
                <w:rStyle w:val="Hyperlink"/>
                <w:noProof/>
              </w:rPr>
              <w:t>Chapter 8: Demographic data for the Inquiry period</w:t>
            </w:r>
            <w:r w:rsidR="00A57862">
              <w:rPr>
                <w:noProof/>
                <w:webHidden/>
              </w:rPr>
              <w:tab/>
            </w:r>
            <w:r w:rsidR="00A57862">
              <w:rPr>
                <w:noProof/>
                <w:webHidden/>
              </w:rPr>
              <w:fldChar w:fldCharType="begin"/>
            </w:r>
            <w:r w:rsidR="00A57862">
              <w:rPr>
                <w:noProof/>
                <w:webHidden/>
              </w:rPr>
              <w:instrText xml:space="preserve"> PAGEREF _Toc168639019 \h </w:instrText>
            </w:r>
            <w:r w:rsidR="00A57862">
              <w:rPr>
                <w:noProof/>
                <w:webHidden/>
              </w:rPr>
            </w:r>
            <w:r w:rsidR="00A57862">
              <w:rPr>
                <w:noProof/>
                <w:webHidden/>
              </w:rPr>
              <w:fldChar w:fldCharType="separate"/>
            </w:r>
            <w:r w:rsidR="00A57862">
              <w:rPr>
                <w:noProof/>
                <w:webHidden/>
              </w:rPr>
              <w:t>94</w:t>
            </w:r>
            <w:r w:rsidR="00A57862">
              <w:rPr>
                <w:noProof/>
                <w:webHidden/>
              </w:rPr>
              <w:fldChar w:fldCharType="end"/>
            </w:r>
          </w:hyperlink>
        </w:p>
        <w:p w14:paraId="58C47E61" w14:textId="48D6E658" w:rsidR="00A57862" w:rsidRDefault="00912091">
          <w:pPr>
            <w:pStyle w:val="TOC2"/>
            <w:rPr>
              <w:rFonts w:asciiTheme="minorHAnsi" w:eastAsiaTheme="minorEastAsia" w:hAnsiTheme="minorHAnsi" w:cstheme="minorBidi"/>
              <w:color w:val="auto"/>
              <w:szCs w:val="22"/>
              <w:lang w:eastAsia="en-NZ"/>
            </w:rPr>
          </w:pPr>
          <w:hyperlink w:anchor="_Toc168639020" w:history="1">
            <w:r w:rsidR="00A57862" w:rsidRPr="00A139B3">
              <w:rPr>
                <w:rStyle w:val="Hyperlink"/>
                <w:rFonts w:cs="Arial"/>
              </w:rPr>
              <w:t>Raraunga e hāngai ana ki te iwi Māori | Data relating to Māori</w:t>
            </w:r>
            <w:r w:rsidR="00A57862">
              <w:rPr>
                <w:webHidden/>
              </w:rPr>
              <w:tab/>
            </w:r>
            <w:r w:rsidR="00A57862">
              <w:rPr>
                <w:webHidden/>
              </w:rPr>
              <w:fldChar w:fldCharType="begin"/>
            </w:r>
            <w:r w:rsidR="00A57862">
              <w:rPr>
                <w:webHidden/>
              </w:rPr>
              <w:instrText xml:space="preserve"> PAGEREF _Toc168639020 \h </w:instrText>
            </w:r>
            <w:r w:rsidR="00A57862">
              <w:rPr>
                <w:webHidden/>
              </w:rPr>
            </w:r>
            <w:r w:rsidR="00A57862">
              <w:rPr>
                <w:webHidden/>
              </w:rPr>
              <w:fldChar w:fldCharType="separate"/>
            </w:r>
            <w:r w:rsidR="00A57862">
              <w:rPr>
                <w:webHidden/>
              </w:rPr>
              <w:t>94</w:t>
            </w:r>
            <w:r w:rsidR="00A57862">
              <w:rPr>
                <w:webHidden/>
              </w:rPr>
              <w:fldChar w:fldCharType="end"/>
            </w:r>
          </w:hyperlink>
        </w:p>
        <w:p w14:paraId="0531263C" w14:textId="5D67C9E5" w:rsidR="00A57862" w:rsidRDefault="00912091">
          <w:pPr>
            <w:pStyle w:val="TOC2"/>
            <w:rPr>
              <w:rFonts w:asciiTheme="minorHAnsi" w:eastAsiaTheme="minorEastAsia" w:hAnsiTheme="minorHAnsi" w:cstheme="minorBidi"/>
              <w:color w:val="auto"/>
              <w:szCs w:val="22"/>
              <w:lang w:eastAsia="en-NZ"/>
            </w:rPr>
          </w:pPr>
          <w:hyperlink w:anchor="_Toc168639021" w:history="1">
            <w:r w:rsidR="00A57862" w:rsidRPr="00A139B3">
              <w:rPr>
                <w:rStyle w:val="Hyperlink"/>
              </w:rPr>
              <w:t>Ngā raraunga e hāngai ana ki te hunga Turi, whaikaha me te hunga e rongo ana i te wairangitanga</w:t>
            </w:r>
            <w:r w:rsidR="00A57862">
              <w:rPr>
                <w:webHidden/>
              </w:rPr>
              <w:tab/>
            </w:r>
            <w:r w:rsidR="00A57862">
              <w:rPr>
                <w:webHidden/>
              </w:rPr>
              <w:fldChar w:fldCharType="begin"/>
            </w:r>
            <w:r w:rsidR="00A57862">
              <w:rPr>
                <w:webHidden/>
              </w:rPr>
              <w:instrText xml:space="preserve"> PAGEREF _Toc168639021 \h </w:instrText>
            </w:r>
            <w:r w:rsidR="00A57862">
              <w:rPr>
                <w:webHidden/>
              </w:rPr>
            </w:r>
            <w:r w:rsidR="00A57862">
              <w:rPr>
                <w:webHidden/>
              </w:rPr>
              <w:fldChar w:fldCharType="separate"/>
            </w:r>
            <w:r w:rsidR="00A57862">
              <w:rPr>
                <w:webHidden/>
              </w:rPr>
              <w:t>95</w:t>
            </w:r>
            <w:r w:rsidR="00A57862">
              <w:rPr>
                <w:webHidden/>
              </w:rPr>
              <w:fldChar w:fldCharType="end"/>
            </w:r>
          </w:hyperlink>
        </w:p>
        <w:p w14:paraId="49947ADA" w14:textId="7D8F5389" w:rsidR="00A57862" w:rsidRDefault="00912091">
          <w:pPr>
            <w:pStyle w:val="TOC2"/>
            <w:rPr>
              <w:rFonts w:asciiTheme="minorHAnsi" w:eastAsiaTheme="minorEastAsia" w:hAnsiTheme="minorHAnsi" w:cstheme="minorBidi"/>
              <w:color w:val="auto"/>
              <w:szCs w:val="22"/>
              <w:lang w:eastAsia="en-NZ"/>
            </w:rPr>
          </w:pPr>
          <w:hyperlink w:anchor="_Toc168639022" w:history="1">
            <w:r w:rsidR="00A57862" w:rsidRPr="00A139B3">
              <w:rPr>
                <w:rStyle w:val="Hyperlink"/>
              </w:rPr>
              <w:t>Data relating to Deaf, disabled, and people experiencing mental distress</w:t>
            </w:r>
            <w:r w:rsidR="00A57862">
              <w:rPr>
                <w:webHidden/>
              </w:rPr>
              <w:tab/>
            </w:r>
            <w:r w:rsidR="00A57862">
              <w:rPr>
                <w:webHidden/>
              </w:rPr>
              <w:fldChar w:fldCharType="begin"/>
            </w:r>
            <w:r w:rsidR="00A57862">
              <w:rPr>
                <w:webHidden/>
              </w:rPr>
              <w:instrText xml:space="preserve"> PAGEREF _Toc168639022 \h </w:instrText>
            </w:r>
            <w:r w:rsidR="00A57862">
              <w:rPr>
                <w:webHidden/>
              </w:rPr>
            </w:r>
            <w:r w:rsidR="00A57862">
              <w:rPr>
                <w:webHidden/>
              </w:rPr>
              <w:fldChar w:fldCharType="separate"/>
            </w:r>
            <w:r w:rsidR="00A57862">
              <w:rPr>
                <w:webHidden/>
              </w:rPr>
              <w:t>95</w:t>
            </w:r>
            <w:r w:rsidR="00A57862">
              <w:rPr>
                <w:webHidden/>
              </w:rPr>
              <w:fldChar w:fldCharType="end"/>
            </w:r>
          </w:hyperlink>
        </w:p>
        <w:p w14:paraId="6039D9BB" w14:textId="1017F5B9" w:rsidR="00A57862" w:rsidRDefault="00912091">
          <w:pPr>
            <w:pStyle w:val="TOC2"/>
            <w:rPr>
              <w:rFonts w:asciiTheme="minorHAnsi" w:eastAsiaTheme="minorEastAsia" w:hAnsiTheme="minorHAnsi" w:cstheme="minorBidi"/>
              <w:color w:val="auto"/>
              <w:szCs w:val="22"/>
              <w:lang w:eastAsia="en-NZ"/>
            </w:rPr>
          </w:pPr>
          <w:hyperlink w:anchor="_Toc168639023" w:history="1">
            <w:r w:rsidR="00A57862" w:rsidRPr="00A139B3">
              <w:rPr>
                <w:rStyle w:val="Hyperlink"/>
                <w:rFonts w:cs="Arial"/>
              </w:rPr>
              <w:t>Raraunga e hāngai ana ki ngā iwi Pasifika | Data relating to Pacific Peoples</w:t>
            </w:r>
            <w:r w:rsidR="00A57862">
              <w:rPr>
                <w:webHidden/>
              </w:rPr>
              <w:tab/>
            </w:r>
            <w:r w:rsidR="00A57862">
              <w:rPr>
                <w:webHidden/>
              </w:rPr>
              <w:fldChar w:fldCharType="begin"/>
            </w:r>
            <w:r w:rsidR="00A57862">
              <w:rPr>
                <w:webHidden/>
              </w:rPr>
              <w:instrText xml:space="preserve"> PAGEREF _Toc168639023 \h </w:instrText>
            </w:r>
            <w:r w:rsidR="00A57862">
              <w:rPr>
                <w:webHidden/>
              </w:rPr>
            </w:r>
            <w:r w:rsidR="00A57862">
              <w:rPr>
                <w:webHidden/>
              </w:rPr>
              <w:fldChar w:fldCharType="separate"/>
            </w:r>
            <w:r w:rsidR="00A57862">
              <w:rPr>
                <w:webHidden/>
              </w:rPr>
              <w:t>95</w:t>
            </w:r>
            <w:r w:rsidR="00A57862">
              <w:rPr>
                <w:webHidden/>
              </w:rPr>
              <w:fldChar w:fldCharType="end"/>
            </w:r>
          </w:hyperlink>
        </w:p>
        <w:p w14:paraId="2662C14A" w14:textId="75AC9739" w:rsidR="00A57862" w:rsidRDefault="00912091">
          <w:pPr>
            <w:pStyle w:val="TOC2"/>
            <w:rPr>
              <w:rFonts w:asciiTheme="minorHAnsi" w:eastAsiaTheme="minorEastAsia" w:hAnsiTheme="minorHAnsi" w:cstheme="minorBidi"/>
              <w:color w:val="auto"/>
              <w:szCs w:val="22"/>
              <w:lang w:eastAsia="en-NZ"/>
            </w:rPr>
          </w:pPr>
          <w:hyperlink w:anchor="_Toc168639024" w:history="1">
            <w:r w:rsidR="00A57862" w:rsidRPr="00A139B3">
              <w:rPr>
                <w:rStyle w:val="Hyperlink"/>
                <w:rFonts w:cs="Arial"/>
              </w:rPr>
              <w:t>Raraunga e hāngai ana ki ngā tūhono whakapono</w:t>
            </w:r>
            <w:r w:rsidR="00A57862">
              <w:rPr>
                <w:webHidden/>
              </w:rPr>
              <w:tab/>
            </w:r>
            <w:r w:rsidR="00A57862">
              <w:rPr>
                <w:webHidden/>
              </w:rPr>
              <w:fldChar w:fldCharType="begin"/>
            </w:r>
            <w:r w:rsidR="00A57862">
              <w:rPr>
                <w:webHidden/>
              </w:rPr>
              <w:instrText xml:space="preserve"> PAGEREF _Toc168639024 \h </w:instrText>
            </w:r>
            <w:r w:rsidR="00A57862">
              <w:rPr>
                <w:webHidden/>
              </w:rPr>
            </w:r>
            <w:r w:rsidR="00A57862">
              <w:rPr>
                <w:webHidden/>
              </w:rPr>
              <w:fldChar w:fldCharType="separate"/>
            </w:r>
            <w:r w:rsidR="00A57862">
              <w:rPr>
                <w:webHidden/>
              </w:rPr>
              <w:t>96</w:t>
            </w:r>
            <w:r w:rsidR="00A57862">
              <w:rPr>
                <w:webHidden/>
              </w:rPr>
              <w:fldChar w:fldCharType="end"/>
            </w:r>
          </w:hyperlink>
        </w:p>
        <w:p w14:paraId="359DEC01" w14:textId="6C8B9414" w:rsidR="00A57862" w:rsidRDefault="00912091">
          <w:pPr>
            <w:pStyle w:val="TOC2"/>
            <w:rPr>
              <w:rFonts w:asciiTheme="minorHAnsi" w:eastAsiaTheme="minorEastAsia" w:hAnsiTheme="minorHAnsi" w:cstheme="minorBidi"/>
              <w:color w:val="auto"/>
              <w:szCs w:val="22"/>
              <w:lang w:eastAsia="en-NZ"/>
            </w:rPr>
          </w:pPr>
          <w:hyperlink w:anchor="_Toc168639025" w:history="1">
            <w:r w:rsidR="00A57862" w:rsidRPr="00A139B3">
              <w:rPr>
                <w:rStyle w:val="Hyperlink"/>
                <w:rFonts w:cs="Arial"/>
              </w:rPr>
              <w:t>Data relating to religious affiliation</w:t>
            </w:r>
            <w:r w:rsidR="00A57862">
              <w:rPr>
                <w:webHidden/>
              </w:rPr>
              <w:tab/>
            </w:r>
            <w:r w:rsidR="00A57862">
              <w:rPr>
                <w:webHidden/>
              </w:rPr>
              <w:fldChar w:fldCharType="begin"/>
            </w:r>
            <w:r w:rsidR="00A57862">
              <w:rPr>
                <w:webHidden/>
              </w:rPr>
              <w:instrText xml:space="preserve"> PAGEREF _Toc168639025 \h </w:instrText>
            </w:r>
            <w:r w:rsidR="00A57862">
              <w:rPr>
                <w:webHidden/>
              </w:rPr>
            </w:r>
            <w:r w:rsidR="00A57862">
              <w:rPr>
                <w:webHidden/>
              </w:rPr>
              <w:fldChar w:fldCharType="separate"/>
            </w:r>
            <w:r w:rsidR="00A57862">
              <w:rPr>
                <w:webHidden/>
              </w:rPr>
              <w:t>96</w:t>
            </w:r>
            <w:r w:rsidR="00A57862">
              <w:rPr>
                <w:webHidden/>
              </w:rPr>
              <w:fldChar w:fldCharType="end"/>
            </w:r>
          </w:hyperlink>
        </w:p>
        <w:p w14:paraId="0673BE14" w14:textId="36FE6646" w:rsidR="00A57862" w:rsidRDefault="00912091">
          <w:pPr>
            <w:pStyle w:val="TOC1"/>
            <w:rPr>
              <w:rFonts w:asciiTheme="minorHAnsi" w:eastAsiaTheme="minorEastAsia" w:hAnsiTheme="minorHAnsi" w:cstheme="minorBidi"/>
              <w:b w:val="0"/>
              <w:noProof/>
              <w:color w:val="auto"/>
              <w:szCs w:val="22"/>
              <w:lang w:eastAsia="en-NZ"/>
            </w:rPr>
          </w:pPr>
          <w:hyperlink w:anchor="_Toc168639026" w:history="1">
            <w:r w:rsidR="00A57862" w:rsidRPr="00A139B3">
              <w:rPr>
                <w:rStyle w:val="Hyperlink"/>
                <w:noProof/>
              </w:rPr>
              <w:t>Ngā wheako o te purapura ora</w:t>
            </w:r>
            <w:r w:rsidR="00A57862">
              <w:rPr>
                <w:noProof/>
                <w:webHidden/>
              </w:rPr>
              <w:tab/>
            </w:r>
            <w:r w:rsidR="00A57862">
              <w:rPr>
                <w:noProof/>
                <w:webHidden/>
              </w:rPr>
              <w:fldChar w:fldCharType="begin"/>
            </w:r>
            <w:r w:rsidR="00A57862">
              <w:rPr>
                <w:noProof/>
                <w:webHidden/>
              </w:rPr>
              <w:instrText xml:space="preserve"> PAGEREF _Toc168639026 \h </w:instrText>
            </w:r>
            <w:r w:rsidR="00A57862">
              <w:rPr>
                <w:noProof/>
                <w:webHidden/>
              </w:rPr>
            </w:r>
            <w:r w:rsidR="00A57862">
              <w:rPr>
                <w:noProof/>
                <w:webHidden/>
              </w:rPr>
              <w:fldChar w:fldCharType="separate"/>
            </w:r>
            <w:r w:rsidR="00A57862">
              <w:rPr>
                <w:noProof/>
                <w:webHidden/>
              </w:rPr>
              <w:t>97</w:t>
            </w:r>
            <w:r w:rsidR="00A57862">
              <w:rPr>
                <w:noProof/>
                <w:webHidden/>
              </w:rPr>
              <w:fldChar w:fldCharType="end"/>
            </w:r>
          </w:hyperlink>
        </w:p>
        <w:p w14:paraId="214FC555" w14:textId="7D31E031" w:rsidR="00A57862" w:rsidRDefault="00912091">
          <w:pPr>
            <w:pStyle w:val="TOC1"/>
            <w:rPr>
              <w:rFonts w:asciiTheme="minorHAnsi" w:eastAsiaTheme="minorEastAsia" w:hAnsiTheme="minorHAnsi" w:cstheme="minorBidi"/>
              <w:b w:val="0"/>
              <w:noProof/>
              <w:color w:val="auto"/>
              <w:szCs w:val="22"/>
              <w:lang w:eastAsia="en-NZ"/>
            </w:rPr>
          </w:pPr>
          <w:hyperlink w:anchor="_Toc168639027" w:history="1">
            <w:r w:rsidR="00A57862" w:rsidRPr="00A139B3">
              <w:rPr>
                <w:rStyle w:val="Hyperlink"/>
                <w:noProof/>
              </w:rPr>
              <w:t>Survivor experience: Andrew Brown</w:t>
            </w:r>
            <w:r w:rsidR="00A57862">
              <w:rPr>
                <w:noProof/>
                <w:webHidden/>
              </w:rPr>
              <w:tab/>
            </w:r>
            <w:r w:rsidR="00A57862">
              <w:rPr>
                <w:noProof/>
                <w:webHidden/>
              </w:rPr>
              <w:fldChar w:fldCharType="begin"/>
            </w:r>
            <w:r w:rsidR="00A57862">
              <w:rPr>
                <w:noProof/>
                <w:webHidden/>
              </w:rPr>
              <w:instrText xml:space="preserve"> PAGEREF _Toc168639027 \h </w:instrText>
            </w:r>
            <w:r w:rsidR="00A57862">
              <w:rPr>
                <w:noProof/>
                <w:webHidden/>
              </w:rPr>
            </w:r>
            <w:r w:rsidR="00A57862">
              <w:rPr>
                <w:noProof/>
                <w:webHidden/>
              </w:rPr>
              <w:fldChar w:fldCharType="separate"/>
            </w:r>
            <w:r w:rsidR="00A57862">
              <w:rPr>
                <w:noProof/>
                <w:webHidden/>
              </w:rPr>
              <w:t>97</w:t>
            </w:r>
            <w:r w:rsidR="00A57862">
              <w:rPr>
                <w:noProof/>
                <w:webHidden/>
              </w:rPr>
              <w:fldChar w:fldCharType="end"/>
            </w:r>
          </w:hyperlink>
        </w:p>
        <w:p w14:paraId="0C520CF9" w14:textId="32C39FA5" w:rsidR="00A57862" w:rsidRDefault="00912091">
          <w:pPr>
            <w:pStyle w:val="TOC1"/>
            <w:rPr>
              <w:rFonts w:asciiTheme="minorHAnsi" w:eastAsiaTheme="minorEastAsia" w:hAnsiTheme="minorHAnsi" w:cstheme="minorBidi"/>
              <w:b w:val="0"/>
              <w:noProof/>
              <w:color w:val="auto"/>
              <w:szCs w:val="22"/>
              <w:lang w:eastAsia="en-NZ"/>
            </w:rPr>
          </w:pPr>
          <w:hyperlink w:anchor="_Toc168639028" w:history="1">
            <w:r w:rsidR="00A57862" w:rsidRPr="00A139B3">
              <w:rPr>
                <w:rStyle w:val="Hyperlink"/>
                <w:noProof/>
              </w:rPr>
              <w:t>Ngā wheako o te purapura ora</w:t>
            </w:r>
            <w:r w:rsidR="00A57862">
              <w:rPr>
                <w:noProof/>
                <w:webHidden/>
              </w:rPr>
              <w:tab/>
            </w:r>
            <w:r w:rsidR="00A57862">
              <w:rPr>
                <w:noProof/>
                <w:webHidden/>
              </w:rPr>
              <w:fldChar w:fldCharType="begin"/>
            </w:r>
            <w:r w:rsidR="00A57862">
              <w:rPr>
                <w:noProof/>
                <w:webHidden/>
              </w:rPr>
              <w:instrText xml:space="preserve"> PAGEREF _Toc168639028 \h </w:instrText>
            </w:r>
            <w:r w:rsidR="00A57862">
              <w:rPr>
                <w:noProof/>
                <w:webHidden/>
              </w:rPr>
            </w:r>
            <w:r w:rsidR="00A57862">
              <w:rPr>
                <w:noProof/>
                <w:webHidden/>
              </w:rPr>
              <w:fldChar w:fldCharType="separate"/>
            </w:r>
            <w:r w:rsidR="00A57862">
              <w:rPr>
                <w:noProof/>
                <w:webHidden/>
              </w:rPr>
              <w:t>101</w:t>
            </w:r>
            <w:r w:rsidR="00A57862">
              <w:rPr>
                <w:noProof/>
                <w:webHidden/>
              </w:rPr>
              <w:fldChar w:fldCharType="end"/>
            </w:r>
          </w:hyperlink>
        </w:p>
        <w:p w14:paraId="42C85DAF" w14:textId="17DD6A26" w:rsidR="00A57862" w:rsidRDefault="00912091">
          <w:pPr>
            <w:pStyle w:val="TOC1"/>
            <w:rPr>
              <w:rFonts w:asciiTheme="minorHAnsi" w:eastAsiaTheme="minorEastAsia" w:hAnsiTheme="minorHAnsi" w:cstheme="minorBidi"/>
              <w:b w:val="0"/>
              <w:noProof/>
              <w:color w:val="auto"/>
              <w:szCs w:val="22"/>
              <w:lang w:eastAsia="en-NZ"/>
            </w:rPr>
          </w:pPr>
          <w:hyperlink w:anchor="_Toc168639029" w:history="1">
            <w:r w:rsidR="00A57862" w:rsidRPr="00A139B3">
              <w:rPr>
                <w:rStyle w:val="Hyperlink"/>
                <w:noProof/>
              </w:rPr>
              <w:t>Survivor experience: Kamahl Tupetagi</w:t>
            </w:r>
            <w:r w:rsidR="00A57862">
              <w:rPr>
                <w:noProof/>
                <w:webHidden/>
              </w:rPr>
              <w:tab/>
            </w:r>
            <w:r w:rsidR="00A57862">
              <w:rPr>
                <w:noProof/>
                <w:webHidden/>
              </w:rPr>
              <w:fldChar w:fldCharType="begin"/>
            </w:r>
            <w:r w:rsidR="00A57862">
              <w:rPr>
                <w:noProof/>
                <w:webHidden/>
              </w:rPr>
              <w:instrText xml:space="preserve"> PAGEREF _Toc168639029 \h </w:instrText>
            </w:r>
            <w:r w:rsidR="00A57862">
              <w:rPr>
                <w:noProof/>
                <w:webHidden/>
              </w:rPr>
            </w:r>
            <w:r w:rsidR="00A57862">
              <w:rPr>
                <w:noProof/>
                <w:webHidden/>
              </w:rPr>
              <w:fldChar w:fldCharType="separate"/>
            </w:r>
            <w:r w:rsidR="00A57862">
              <w:rPr>
                <w:noProof/>
                <w:webHidden/>
              </w:rPr>
              <w:t>101</w:t>
            </w:r>
            <w:r w:rsidR="00A57862">
              <w:rPr>
                <w:noProof/>
                <w:webHidden/>
              </w:rPr>
              <w:fldChar w:fldCharType="end"/>
            </w:r>
          </w:hyperlink>
        </w:p>
        <w:p w14:paraId="1BBEE961" w14:textId="61520E06" w:rsidR="00A57862" w:rsidRDefault="00912091">
          <w:pPr>
            <w:pStyle w:val="TOC1"/>
            <w:rPr>
              <w:rFonts w:asciiTheme="minorHAnsi" w:eastAsiaTheme="minorEastAsia" w:hAnsiTheme="minorHAnsi" w:cstheme="minorBidi"/>
              <w:b w:val="0"/>
              <w:noProof/>
              <w:color w:val="auto"/>
              <w:szCs w:val="22"/>
              <w:lang w:eastAsia="en-NZ"/>
            </w:rPr>
          </w:pPr>
          <w:hyperlink w:anchor="_Toc168639030" w:history="1">
            <w:r w:rsidR="00A57862" w:rsidRPr="00A139B3">
              <w:rPr>
                <w:rStyle w:val="Hyperlink"/>
                <w:noProof/>
              </w:rPr>
              <w:t>Ūpoko 9: Te pūnaha kāwana o Aotearoa</w:t>
            </w:r>
            <w:r w:rsidR="00A57862">
              <w:rPr>
                <w:noProof/>
                <w:webHidden/>
              </w:rPr>
              <w:tab/>
            </w:r>
            <w:r w:rsidR="00A57862">
              <w:rPr>
                <w:noProof/>
                <w:webHidden/>
              </w:rPr>
              <w:fldChar w:fldCharType="begin"/>
            </w:r>
            <w:r w:rsidR="00A57862">
              <w:rPr>
                <w:noProof/>
                <w:webHidden/>
              </w:rPr>
              <w:instrText xml:space="preserve"> PAGEREF _Toc168639030 \h </w:instrText>
            </w:r>
            <w:r w:rsidR="00A57862">
              <w:rPr>
                <w:noProof/>
                <w:webHidden/>
              </w:rPr>
            </w:r>
            <w:r w:rsidR="00A57862">
              <w:rPr>
                <w:noProof/>
                <w:webHidden/>
              </w:rPr>
              <w:fldChar w:fldCharType="separate"/>
            </w:r>
            <w:r w:rsidR="00A57862">
              <w:rPr>
                <w:noProof/>
                <w:webHidden/>
              </w:rPr>
              <w:t>105</w:t>
            </w:r>
            <w:r w:rsidR="00A57862">
              <w:rPr>
                <w:noProof/>
                <w:webHidden/>
              </w:rPr>
              <w:fldChar w:fldCharType="end"/>
            </w:r>
          </w:hyperlink>
        </w:p>
        <w:p w14:paraId="060BE9CF" w14:textId="38433CA3" w:rsidR="00A57862" w:rsidRDefault="00912091">
          <w:pPr>
            <w:pStyle w:val="TOC1"/>
            <w:rPr>
              <w:rFonts w:asciiTheme="minorHAnsi" w:eastAsiaTheme="minorEastAsia" w:hAnsiTheme="minorHAnsi" w:cstheme="minorBidi"/>
              <w:b w:val="0"/>
              <w:noProof/>
              <w:color w:val="auto"/>
              <w:szCs w:val="22"/>
              <w:lang w:eastAsia="en-NZ"/>
            </w:rPr>
          </w:pPr>
          <w:hyperlink w:anchor="_Toc168639031" w:history="1">
            <w:r w:rsidR="00A57862" w:rsidRPr="00A139B3">
              <w:rPr>
                <w:rStyle w:val="Hyperlink"/>
                <w:noProof/>
              </w:rPr>
              <w:t>Chapter 9: Aotearoa New Zealand’s system of government</w:t>
            </w:r>
            <w:r w:rsidR="00A57862">
              <w:rPr>
                <w:noProof/>
                <w:webHidden/>
              </w:rPr>
              <w:tab/>
            </w:r>
            <w:r w:rsidR="00A57862">
              <w:rPr>
                <w:noProof/>
                <w:webHidden/>
              </w:rPr>
              <w:fldChar w:fldCharType="begin"/>
            </w:r>
            <w:r w:rsidR="00A57862">
              <w:rPr>
                <w:noProof/>
                <w:webHidden/>
              </w:rPr>
              <w:instrText xml:space="preserve"> PAGEREF _Toc168639031 \h </w:instrText>
            </w:r>
            <w:r w:rsidR="00A57862">
              <w:rPr>
                <w:noProof/>
                <w:webHidden/>
              </w:rPr>
            </w:r>
            <w:r w:rsidR="00A57862">
              <w:rPr>
                <w:noProof/>
                <w:webHidden/>
              </w:rPr>
              <w:fldChar w:fldCharType="separate"/>
            </w:r>
            <w:r w:rsidR="00A57862">
              <w:rPr>
                <w:noProof/>
                <w:webHidden/>
              </w:rPr>
              <w:t>105</w:t>
            </w:r>
            <w:r w:rsidR="00A57862">
              <w:rPr>
                <w:noProof/>
                <w:webHidden/>
              </w:rPr>
              <w:fldChar w:fldCharType="end"/>
            </w:r>
          </w:hyperlink>
        </w:p>
        <w:p w14:paraId="12156D30" w14:textId="695BF89A" w:rsidR="00A57862" w:rsidRDefault="00912091">
          <w:pPr>
            <w:pStyle w:val="TOC2"/>
            <w:rPr>
              <w:rFonts w:asciiTheme="minorHAnsi" w:eastAsiaTheme="minorEastAsia" w:hAnsiTheme="minorHAnsi" w:cstheme="minorBidi"/>
              <w:color w:val="auto"/>
              <w:szCs w:val="22"/>
              <w:lang w:eastAsia="en-NZ"/>
            </w:rPr>
          </w:pPr>
          <w:hyperlink w:anchor="_Toc168639032" w:history="1">
            <w:r w:rsidR="00A57862" w:rsidRPr="00A139B3">
              <w:rPr>
                <w:rStyle w:val="Hyperlink"/>
              </w:rPr>
              <w:t>He turepapa kāwana ā-kupu tā Aotearoa</w:t>
            </w:r>
            <w:r w:rsidR="00A57862">
              <w:rPr>
                <w:webHidden/>
              </w:rPr>
              <w:tab/>
            </w:r>
            <w:r w:rsidR="00A57862">
              <w:rPr>
                <w:webHidden/>
              </w:rPr>
              <w:fldChar w:fldCharType="begin"/>
            </w:r>
            <w:r w:rsidR="00A57862">
              <w:rPr>
                <w:webHidden/>
              </w:rPr>
              <w:instrText xml:space="preserve"> PAGEREF _Toc168639032 \h </w:instrText>
            </w:r>
            <w:r w:rsidR="00A57862">
              <w:rPr>
                <w:webHidden/>
              </w:rPr>
            </w:r>
            <w:r w:rsidR="00A57862">
              <w:rPr>
                <w:webHidden/>
              </w:rPr>
              <w:fldChar w:fldCharType="separate"/>
            </w:r>
            <w:r w:rsidR="00A57862">
              <w:rPr>
                <w:webHidden/>
              </w:rPr>
              <w:t>105</w:t>
            </w:r>
            <w:r w:rsidR="00A57862">
              <w:rPr>
                <w:webHidden/>
              </w:rPr>
              <w:fldChar w:fldCharType="end"/>
            </w:r>
          </w:hyperlink>
        </w:p>
        <w:p w14:paraId="5B0A8CBF" w14:textId="43C82C18" w:rsidR="00A57862" w:rsidRDefault="00912091">
          <w:pPr>
            <w:pStyle w:val="TOC2"/>
            <w:rPr>
              <w:rFonts w:asciiTheme="minorHAnsi" w:eastAsiaTheme="minorEastAsia" w:hAnsiTheme="minorHAnsi" w:cstheme="minorBidi"/>
              <w:color w:val="auto"/>
              <w:szCs w:val="22"/>
              <w:lang w:eastAsia="en-NZ"/>
            </w:rPr>
          </w:pPr>
          <w:hyperlink w:anchor="_Toc168639033" w:history="1">
            <w:r w:rsidR="00A57862" w:rsidRPr="00A139B3">
              <w:rPr>
                <w:rStyle w:val="Hyperlink"/>
              </w:rPr>
              <w:t>Aotearoa New Zealand has an unwritten Constitution</w:t>
            </w:r>
            <w:r w:rsidR="00A57862">
              <w:rPr>
                <w:webHidden/>
              </w:rPr>
              <w:tab/>
            </w:r>
            <w:r w:rsidR="00A57862">
              <w:rPr>
                <w:webHidden/>
              </w:rPr>
              <w:fldChar w:fldCharType="begin"/>
            </w:r>
            <w:r w:rsidR="00A57862">
              <w:rPr>
                <w:webHidden/>
              </w:rPr>
              <w:instrText xml:space="preserve"> PAGEREF _Toc168639033 \h </w:instrText>
            </w:r>
            <w:r w:rsidR="00A57862">
              <w:rPr>
                <w:webHidden/>
              </w:rPr>
            </w:r>
            <w:r w:rsidR="00A57862">
              <w:rPr>
                <w:webHidden/>
              </w:rPr>
              <w:fldChar w:fldCharType="separate"/>
            </w:r>
            <w:r w:rsidR="00A57862">
              <w:rPr>
                <w:webHidden/>
              </w:rPr>
              <w:t>106</w:t>
            </w:r>
            <w:r w:rsidR="00A57862">
              <w:rPr>
                <w:webHidden/>
              </w:rPr>
              <w:fldChar w:fldCharType="end"/>
            </w:r>
          </w:hyperlink>
        </w:p>
        <w:p w14:paraId="3EC67213" w14:textId="6BBE1E23" w:rsidR="00A57862" w:rsidRDefault="00912091">
          <w:pPr>
            <w:pStyle w:val="TOC2"/>
            <w:rPr>
              <w:rFonts w:asciiTheme="minorHAnsi" w:eastAsiaTheme="minorEastAsia" w:hAnsiTheme="minorHAnsi" w:cstheme="minorBidi"/>
              <w:color w:val="auto"/>
              <w:szCs w:val="22"/>
              <w:lang w:eastAsia="en-NZ"/>
            </w:rPr>
          </w:pPr>
          <w:hyperlink w:anchor="_Toc168639034" w:history="1">
            <w:r w:rsidR="00A57862" w:rsidRPr="00A139B3">
              <w:rPr>
                <w:rStyle w:val="Hyperlink"/>
              </w:rPr>
              <w:t>Pāremata (Te whakature) | Parliament (The Legislature)</w:t>
            </w:r>
            <w:r w:rsidR="00A57862">
              <w:rPr>
                <w:webHidden/>
              </w:rPr>
              <w:tab/>
            </w:r>
            <w:r w:rsidR="00A57862">
              <w:rPr>
                <w:webHidden/>
              </w:rPr>
              <w:fldChar w:fldCharType="begin"/>
            </w:r>
            <w:r w:rsidR="00A57862">
              <w:rPr>
                <w:webHidden/>
              </w:rPr>
              <w:instrText xml:space="preserve"> PAGEREF _Toc168639034 \h </w:instrText>
            </w:r>
            <w:r w:rsidR="00A57862">
              <w:rPr>
                <w:webHidden/>
              </w:rPr>
            </w:r>
            <w:r w:rsidR="00A57862">
              <w:rPr>
                <w:webHidden/>
              </w:rPr>
              <w:fldChar w:fldCharType="separate"/>
            </w:r>
            <w:r w:rsidR="00A57862">
              <w:rPr>
                <w:webHidden/>
              </w:rPr>
              <w:t>106</w:t>
            </w:r>
            <w:r w:rsidR="00A57862">
              <w:rPr>
                <w:webHidden/>
              </w:rPr>
              <w:fldChar w:fldCharType="end"/>
            </w:r>
          </w:hyperlink>
        </w:p>
        <w:p w14:paraId="5E1311F3" w14:textId="49B26192" w:rsidR="00A57862" w:rsidRDefault="00912091">
          <w:pPr>
            <w:pStyle w:val="TOC2"/>
            <w:rPr>
              <w:rFonts w:asciiTheme="minorHAnsi" w:eastAsiaTheme="minorEastAsia" w:hAnsiTheme="minorHAnsi" w:cstheme="minorBidi"/>
              <w:color w:val="auto"/>
              <w:szCs w:val="22"/>
              <w:lang w:eastAsia="en-NZ"/>
            </w:rPr>
          </w:pPr>
          <w:hyperlink w:anchor="_Toc168639035" w:history="1">
            <w:r w:rsidR="00A57862" w:rsidRPr="00A139B3">
              <w:rPr>
                <w:rStyle w:val="Hyperlink"/>
              </w:rPr>
              <w:t xml:space="preserve">Pūnaha whakawā | </w:t>
            </w:r>
            <w:r w:rsidR="00A57862" w:rsidRPr="00A139B3">
              <w:rPr>
                <w:rStyle w:val="Hyperlink"/>
                <w:shd w:val="clear" w:color="auto" w:fill="FFFFFF"/>
              </w:rPr>
              <w:t>Judiciary</w:t>
            </w:r>
            <w:r w:rsidR="00A57862">
              <w:rPr>
                <w:webHidden/>
              </w:rPr>
              <w:tab/>
            </w:r>
            <w:r w:rsidR="00A57862">
              <w:rPr>
                <w:webHidden/>
              </w:rPr>
              <w:fldChar w:fldCharType="begin"/>
            </w:r>
            <w:r w:rsidR="00A57862">
              <w:rPr>
                <w:webHidden/>
              </w:rPr>
              <w:instrText xml:space="preserve"> PAGEREF _Toc168639035 \h </w:instrText>
            </w:r>
            <w:r w:rsidR="00A57862">
              <w:rPr>
                <w:webHidden/>
              </w:rPr>
            </w:r>
            <w:r w:rsidR="00A57862">
              <w:rPr>
                <w:webHidden/>
              </w:rPr>
              <w:fldChar w:fldCharType="separate"/>
            </w:r>
            <w:r w:rsidR="00A57862">
              <w:rPr>
                <w:webHidden/>
              </w:rPr>
              <w:t>106</w:t>
            </w:r>
            <w:r w:rsidR="00A57862">
              <w:rPr>
                <w:webHidden/>
              </w:rPr>
              <w:fldChar w:fldCharType="end"/>
            </w:r>
          </w:hyperlink>
        </w:p>
        <w:p w14:paraId="1CA48952" w14:textId="53F0D729" w:rsidR="00A57862" w:rsidRDefault="00912091">
          <w:pPr>
            <w:pStyle w:val="TOC2"/>
            <w:rPr>
              <w:rFonts w:asciiTheme="minorHAnsi" w:eastAsiaTheme="minorEastAsia" w:hAnsiTheme="minorHAnsi" w:cstheme="minorBidi"/>
              <w:color w:val="auto"/>
              <w:szCs w:val="22"/>
              <w:lang w:eastAsia="en-NZ"/>
            </w:rPr>
          </w:pPr>
          <w:hyperlink w:anchor="_Toc168639036" w:history="1">
            <w:r w:rsidR="00A57862" w:rsidRPr="00A139B3">
              <w:rPr>
                <w:rStyle w:val="Hyperlink"/>
              </w:rPr>
              <w:t>Kāwanatanga (Te peka whakahaere) | Government (The Executive Branch)</w:t>
            </w:r>
            <w:r w:rsidR="00A57862">
              <w:rPr>
                <w:webHidden/>
              </w:rPr>
              <w:tab/>
            </w:r>
            <w:r w:rsidR="00A57862">
              <w:rPr>
                <w:webHidden/>
              </w:rPr>
              <w:fldChar w:fldCharType="begin"/>
            </w:r>
            <w:r w:rsidR="00A57862">
              <w:rPr>
                <w:webHidden/>
              </w:rPr>
              <w:instrText xml:space="preserve"> PAGEREF _Toc168639036 \h </w:instrText>
            </w:r>
            <w:r w:rsidR="00A57862">
              <w:rPr>
                <w:webHidden/>
              </w:rPr>
            </w:r>
            <w:r w:rsidR="00A57862">
              <w:rPr>
                <w:webHidden/>
              </w:rPr>
              <w:fldChar w:fldCharType="separate"/>
            </w:r>
            <w:r w:rsidR="00A57862">
              <w:rPr>
                <w:webHidden/>
              </w:rPr>
              <w:t>107</w:t>
            </w:r>
            <w:r w:rsidR="00A57862">
              <w:rPr>
                <w:webHidden/>
              </w:rPr>
              <w:fldChar w:fldCharType="end"/>
            </w:r>
          </w:hyperlink>
        </w:p>
        <w:p w14:paraId="6F34D3CC" w14:textId="3E591597" w:rsidR="00A57862" w:rsidRDefault="00912091">
          <w:pPr>
            <w:pStyle w:val="TOC2"/>
            <w:rPr>
              <w:rFonts w:asciiTheme="minorHAnsi" w:eastAsiaTheme="minorEastAsia" w:hAnsiTheme="minorHAnsi" w:cstheme="minorBidi"/>
              <w:color w:val="auto"/>
              <w:szCs w:val="22"/>
              <w:lang w:eastAsia="en-NZ"/>
            </w:rPr>
          </w:pPr>
          <w:hyperlink w:anchor="_Toc168639037" w:history="1">
            <w:r w:rsidR="00A57862" w:rsidRPr="00A139B3">
              <w:rPr>
                <w:rStyle w:val="Hyperlink"/>
              </w:rPr>
              <w:t>Te rāngai tūmatawhānui | The public service</w:t>
            </w:r>
            <w:r w:rsidR="00A57862">
              <w:rPr>
                <w:webHidden/>
              </w:rPr>
              <w:tab/>
            </w:r>
            <w:r w:rsidR="00A57862">
              <w:rPr>
                <w:webHidden/>
              </w:rPr>
              <w:fldChar w:fldCharType="begin"/>
            </w:r>
            <w:r w:rsidR="00A57862">
              <w:rPr>
                <w:webHidden/>
              </w:rPr>
              <w:instrText xml:space="preserve"> PAGEREF _Toc168639037 \h </w:instrText>
            </w:r>
            <w:r w:rsidR="00A57862">
              <w:rPr>
                <w:webHidden/>
              </w:rPr>
            </w:r>
            <w:r w:rsidR="00A57862">
              <w:rPr>
                <w:webHidden/>
              </w:rPr>
              <w:fldChar w:fldCharType="separate"/>
            </w:r>
            <w:r w:rsidR="00A57862">
              <w:rPr>
                <w:webHidden/>
              </w:rPr>
              <w:t>107</w:t>
            </w:r>
            <w:r w:rsidR="00A57862">
              <w:rPr>
                <w:webHidden/>
              </w:rPr>
              <w:fldChar w:fldCharType="end"/>
            </w:r>
          </w:hyperlink>
        </w:p>
        <w:p w14:paraId="58AE1E1D" w14:textId="1CE398A2" w:rsidR="00A57862" w:rsidRDefault="00912091">
          <w:pPr>
            <w:pStyle w:val="TOC3"/>
            <w:rPr>
              <w:rFonts w:asciiTheme="minorHAnsi" w:eastAsiaTheme="minorEastAsia" w:hAnsiTheme="minorHAnsi" w:cstheme="minorBidi"/>
              <w:color w:val="auto"/>
              <w:szCs w:val="22"/>
              <w:lang w:eastAsia="en-NZ"/>
            </w:rPr>
          </w:pPr>
          <w:hyperlink w:anchor="_Toc168639038" w:history="1">
            <w:r w:rsidR="00A57862" w:rsidRPr="00A139B3">
              <w:rPr>
                <w:rStyle w:val="Hyperlink"/>
              </w:rPr>
              <w:t>Te Kawa Mataaho | The Public Service Commission</w:t>
            </w:r>
            <w:r w:rsidR="00A57862">
              <w:rPr>
                <w:webHidden/>
              </w:rPr>
              <w:tab/>
            </w:r>
            <w:r w:rsidR="00A57862">
              <w:rPr>
                <w:webHidden/>
              </w:rPr>
              <w:fldChar w:fldCharType="begin"/>
            </w:r>
            <w:r w:rsidR="00A57862">
              <w:rPr>
                <w:webHidden/>
              </w:rPr>
              <w:instrText xml:space="preserve"> PAGEREF _Toc168639038 \h </w:instrText>
            </w:r>
            <w:r w:rsidR="00A57862">
              <w:rPr>
                <w:webHidden/>
              </w:rPr>
            </w:r>
            <w:r w:rsidR="00A57862">
              <w:rPr>
                <w:webHidden/>
              </w:rPr>
              <w:fldChar w:fldCharType="separate"/>
            </w:r>
            <w:r w:rsidR="00A57862">
              <w:rPr>
                <w:webHidden/>
              </w:rPr>
              <w:t>109</w:t>
            </w:r>
            <w:r w:rsidR="00A57862">
              <w:rPr>
                <w:webHidden/>
              </w:rPr>
              <w:fldChar w:fldCharType="end"/>
            </w:r>
          </w:hyperlink>
        </w:p>
        <w:p w14:paraId="2AC612AE" w14:textId="4B46B85F" w:rsidR="00A57862" w:rsidRDefault="00912091">
          <w:pPr>
            <w:pStyle w:val="TOC3"/>
            <w:rPr>
              <w:rFonts w:asciiTheme="minorHAnsi" w:eastAsiaTheme="minorEastAsia" w:hAnsiTheme="minorHAnsi" w:cstheme="minorBidi"/>
              <w:color w:val="auto"/>
              <w:szCs w:val="22"/>
              <w:lang w:eastAsia="en-NZ"/>
            </w:rPr>
          </w:pPr>
          <w:hyperlink w:anchor="_Toc168639039" w:history="1">
            <w:r w:rsidR="00A57862" w:rsidRPr="00A139B3">
              <w:rPr>
                <w:rStyle w:val="Hyperlink"/>
              </w:rPr>
              <w:t>Te Tai Ōhanga | The Treasury</w:t>
            </w:r>
            <w:r w:rsidR="00A57862">
              <w:rPr>
                <w:webHidden/>
              </w:rPr>
              <w:tab/>
            </w:r>
            <w:r w:rsidR="00A57862">
              <w:rPr>
                <w:webHidden/>
              </w:rPr>
              <w:fldChar w:fldCharType="begin"/>
            </w:r>
            <w:r w:rsidR="00A57862">
              <w:rPr>
                <w:webHidden/>
              </w:rPr>
              <w:instrText xml:space="preserve"> PAGEREF _Toc168639039 \h </w:instrText>
            </w:r>
            <w:r w:rsidR="00A57862">
              <w:rPr>
                <w:webHidden/>
              </w:rPr>
            </w:r>
            <w:r w:rsidR="00A57862">
              <w:rPr>
                <w:webHidden/>
              </w:rPr>
              <w:fldChar w:fldCharType="separate"/>
            </w:r>
            <w:r w:rsidR="00A57862">
              <w:rPr>
                <w:webHidden/>
              </w:rPr>
              <w:t>109</w:t>
            </w:r>
            <w:r w:rsidR="00A57862">
              <w:rPr>
                <w:webHidden/>
              </w:rPr>
              <w:fldChar w:fldCharType="end"/>
            </w:r>
          </w:hyperlink>
        </w:p>
        <w:p w14:paraId="0BC77661" w14:textId="5CCAF770" w:rsidR="00A57862" w:rsidRDefault="00912091">
          <w:pPr>
            <w:pStyle w:val="TOC3"/>
            <w:rPr>
              <w:rFonts w:asciiTheme="minorHAnsi" w:eastAsiaTheme="minorEastAsia" w:hAnsiTheme="minorHAnsi" w:cstheme="minorBidi"/>
              <w:color w:val="auto"/>
              <w:szCs w:val="22"/>
              <w:lang w:eastAsia="en-NZ"/>
            </w:rPr>
          </w:pPr>
          <w:hyperlink w:anchor="_Toc168639040" w:history="1">
            <w:r w:rsidR="00A57862" w:rsidRPr="00A139B3">
              <w:rPr>
                <w:rStyle w:val="Hyperlink"/>
              </w:rPr>
              <w:t>Te tari o te Pirimia me te Komiti Matua</w:t>
            </w:r>
            <w:r w:rsidR="00A57862">
              <w:rPr>
                <w:webHidden/>
              </w:rPr>
              <w:tab/>
            </w:r>
            <w:r w:rsidR="00A57862">
              <w:rPr>
                <w:webHidden/>
              </w:rPr>
              <w:fldChar w:fldCharType="begin"/>
            </w:r>
            <w:r w:rsidR="00A57862">
              <w:rPr>
                <w:webHidden/>
              </w:rPr>
              <w:instrText xml:space="preserve"> PAGEREF _Toc168639040 \h </w:instrText>
            </w:r>
            <w:r w:rsidR="00A57862">
              <w:rPr>
                <w:webHidden/>
              </w:rPr>
            </w:r>
            <w:r w:rsidR="00A57862">
              <w:rPr>
                <w:webHidden/>
              </w:rPr>
              <w:fldChar w:fldCharType="separate"/>
            </w:r>
            <w:r w:rsidR="00A57862">
              <w:rPr>
                <w:webHidden/>
              </w:rPr>
              <w:t>109</w:t>
            </w:r>
            <w:r w:rsidR="00A57862">
              <w:rPr>
                <w:webHidden/>
              </w:rPr>
              <w:fldChar w:fldCharType="end"/>
            </w:r>
          </w:hyperlink>
        </w:p>
        <w:p w14:paraId="7E15208E" w14:textId="279659DF" w:rsidR="00A57862" w:rsidRDefault="00912091">
          <w:pPr>
            <w:pStyle w:val="TOC3"/>
            <w:rPr>
              <w:rFonts w:asciiTheme="minorHAnsi" w:eastAsiaTheme="minorEastAsia" w:hAnsiTheme="minorHAnsi" w:cstheme="minorBidi"/>
              <w:color w:val="auto"/>
              <w:szCs w:val="22"/>
              <w:lang w:eastAsia="en-NZ"/>
            </w:rPr>
          </w:pPr>
          <w:hyperlink w:anchor="_Toc168639041" w:history="1">
            <w:r w:rsidR="00A57862" w:rsidRPr="00A139B3">
              <w:rPr>
                <w:rStyle w:val="Hyperlink"/>
              </w:rPr>
              <w:t>Department of the Prime Minister and Cabinet</w:t>
            </w:r>
            <w:r w:rsidR="00A57862">
              <w:rPr>
                <w:webHidden/>
              </w:rPr>
              <w:tab/>
            </w:r>
            <w:r w:rsidR="00A57862">
              <w:rPr>
                <w:webHidden/>
              </w:rPr>
              <w:fldChar w:fldCharType="begin"/>
            </w:r>
            <w:r w:rsidR="00A57862">
              <w:rPr>
                <w:webHidden/>
              </w:rPr>
              <w:instrText xml:space="preserve"> PAGEREF _Toc168639041 \h </w:instrText>
            </w:r>
            <w:r w:rsidR="00A57862">
              <w:rPr>
                <w:webHidden/>
              </w:rPr>
            </w:r>
            <w:r w:rsidR="00A57862">
              <w:rPr>
                <w:webHidden/>
              </w:rPr>
              <w:fldChar w:fldCharType="separate"/>
            </w:r>
            <w:r w:rsidR="00A57862">
              <w:rPr>
                <w:webHidden/>
              </w:rPr>
              <w:t>109</w:t>
            </w:r>
            <w:r w:rsidR="00A57862">
              <w:rPr>
                <w:webHidden/>
              </w:rPr>
              <w:fldChar w:fldCharType="end"/>
            </w:r>
          </w:hyperlink>
        </w:p>
        <w:p w14:paraId="0B8EE612" w14:textId="55D34533" w:rsidR="00A57862" w:rsidRDefault="00912091">
          <w:pPr>
            <w:pStyle w:val="TOC3"/>
            <w:rPr>
              <w:rFonts w:asciiTheme="minorHAnsi" w:eastAsiaTheme="minorEastAsia" w:hAnsiTheme="minorHAnsi" w:cstheme="minorBidi"/>
              <w:color w:val="auto"/>
              <w:szCs w:val="22"/>
              <w:lang w:eastAsia="en-NZ"/>
            </w:rPr>
          </w:pPr>
          <w:hyperlink w:anchor="_Toc168639042" w:history="1">
            <w:r w:rsidR="00A57862" w:rsidRPr="00A139B3">
              <w:rPr>
                <w:rStyle w:val="Hyperlink"/>
              </w:rPr>
              <w:t>Te Tari o te Tumuaki o te Mana Arotake | The Office of the Auditor General</w:t>
            </w:r>
            <w:r w:rsidR="00A57862">
              <w:rPr>
                <w:webHidden/>
              </w:rPr>
              <w:tab/>
            </w:r>
            <w:r w:rsidR="00A57862">
              <w:rPr>
                <w:webHidden/>
              </w:rPr>
              <w:fldChar w:fldCharType="begin"/>
            </w:r>
            <w:r w:rsidR="00A57862">
              <w:rPr>
                <w:webHidden/>
              </w:rPr>
              <w:instrText xml:space="preserve"> PAGEREF _Toc168639042 \h </w:instrText>
            </w:r>
            <w:r w:rsidR="00A57862">
              <w:rPr>
                <w:webHidden/>
              </w:rPr>
            </w:r>
            <w:r w:rsidR="00A57862">
              <w:rPr>
                <w:webHidden/>
              </w:rPr>
              <w:fldChar w:fldCharType="separate"/>
            </w:r>
            <w:r w:rsidR="00A57862">
              <w:rPr>
                <w:webHidden/>
              </w:rPr>
              <w:t>110</w:t>
            </w:r>
            <w:r w:rsidR="00A57862">
              <w:rPr>
                <w:webHidden/>
              </w:rPr>
              <w:fldChar w:fldCharType="end"/>
            </w:r>
          </w:hyperlink>
        </w:p>
        <w:p w14:paraId="041CE508" w14:textId="557E3D62" w:rsidR="00A57862" w:rsidRDefault="00912091">
          <w:pPr>
            <w:pStyle w:val="TOC2"/>
            <w:rPr>
              <w:rFonts w:asciiTheme="minorHAnsi" w:eastAsiaTheme="minorEastAsia" w:hAnsiTheme="minorHAnsi" w:cstheme="minorBidi"/>
              <w:color w:val="auto"/>
              <w:szCs w:val="22"/>
              <w:lang w:eastAsia="en-NZ"/>
            </w:rPr>
          </w:pPr>
          <w:hyperlink w:anchor="_Toc168639043" w:history="1">
            <w:r w:rsidR="00A57862" w:rsidRPr="00A139B3">
              <w:rPr>
                <w:rStyle w:val="Hyperlink"/>
              </w:rPr>
              <w:t>Te whakahaerenga Kāwanatanga 1950–1999 | State administration 1950–1999</w:t>
            </w:r>
            <w:r w:rsidR="00A57862">
              <w:rPr>
                <w:webHidden/>
              </w:rPr>
              <w:tab/>
            </w:r>
            <w:r w:rsidR="00A57862">
              <w:rPr>
                <w:webHidden/>
              </w:rPr>
              <w:fldChar w:fldCharType="begin"/>
            </w:r>
            <w:r w:rsidR="00A57862">
              <w:rPr>
                <w:webHidden/>
              </w:rPr>
              <w:instrText xml:space="preserve"> PAGEREF _Toc168639043 \h </w:instrText>
            </w:r>
            <w:r w:rsidR="00A57862">
              <w:rPr>
                <w:webHidden/>
              </w:rPr>
            </w:r>
            <w:r w:rsidR="00A57862">
              <w:rPr>
                <w:webHidden/>
              </w:rPr>
              <w:fldChar w:fldCharType="separate"/>
            </w:r>
            <w:r w:rsidR="00A57862">
              <w:rPr>
                <w:webHidden/>
              </w:rPr>
              <w:t>110</w:t>
            </w:r>
            <w:r w:rsidR="00A57862">
              <w:rPr>
                <w:webHidden/>
              </w:rPr>
              <w:fldChar w:fldCharType="end"/>
            </w:r>
          </w:hyperlink>
        </w:p>
        <w:p w14:paraId="638B28FD" w14:textId="11F4B953" w:rsidR="00A57862" w:rsidRDefault="00912091">
          <w:pPr>
            <w:pStyle w:val="TOC3"/>
            <w:rPr>
              <w:rFonts w:asciiTheme="minorHAnsi" w:eastAsiaTheme="minorEastAsia" w:hAnsiTheme="minorHAnsi" w:cstheme="minorBidi"/>
              <w:color w:val="auto"/>
              <w:szCs w:val="22"/>
              <w:lang w:eastAsia="en-NZ"/>
            </w:rPr>
          </w:pPr>
          <w:hyperlink w:anchor="_Toc168639044" w:history="1">
            <w:r w:rsidR="00A57862" w:rsidRPr="00A139B3">
              <w:rPr>
                <w:rStyle w:val="Hyperlink"/>
              </w:rPr>
              <w:t>Ngā tau 1950–1980: Mai i te waeture ki te whakahou</w:t>
            </w:r>
            <w:r w:rsidR="00A57862">
              <w:rPr>
                <w:webHidden/>
              </w:rPr>
              <w:tab/>
            </w:r>
            <w:r w:rsidR="00A57862">
              <w:rPr>
                <w:webHidden/>
              </w:rPr>
              <w:fldChar w:fldCharType="begin"/>
            </w:r>
            <w:r w:rsidR="00A57862">
              <w:rPr>
                <w:webHidden/>
              </w:rPr>
              <w:instrText xml:space="preserve"> PAGEREF _Toc168639044 \h </w:instrText>
            </w:r>
            <w:r w:rsidR="00A57862">
              <w:rPr>
                <w:webHidden/>
              </w:rPr>
            </w:r>
            <w:r w:rsidR="00A57862">
              <w:rPr>
                <w:webHidden/>
              </w:rPr>
              <w:fldChar w:fldCharType="separate"/>
            </w:r>
            <w:r w:rsidR="00A57862">
              <w:rPr>
                <w:webHidden/>
              </w:rPr>
              <w:t>110</w:t>
            </w:r>
            <w:r w:rsidR="00A57862">
              <w:rPr>
                <w:webHidden/>
              </w:rPr>
              <w:fldChar w:fldCharType="end"/>
            </w:r>
          </w:hyperlink>
        </w:p>
        <w:p w14:paraId="6CB05DE1" w14:textId="715D08AA" w:rsidR="00A57862" w:rsidRDefault="00912091">
          <w:pPr>
            <w:pStyle w:val="TOC3"/>
            <w:rPr>
              <w:rFonts w:asciiTheme="minorHAnsi" w:eastAsiaTheme="minorEastAsia" w:hAnsiTheme="minorHAnsi" w:cstheme="minorBidi"/>
              <w:color w:val="auto"/>
              <w:szCs w:val="22"/>
              <w:lang w:eastAsia="en-NZ"/>
            </w:rPr>
          </w:pPr>
          <w:hyperlink w:anchor="_Toc168639045" w:history="1">
            <w:r w:rsidR="00A57862" w:rsidRPr="00A139B3">
              <w:rPr>
                <w:rStyle w:val="Hyperlink"/>
              </w:rPr>
              <w:t>1950–1980s: From regulation to reform</w:t>
            </w:r>
            <w:r w:rsidR="00A57862">
              <w:rPr>
                <w:webHidden/>
              </w:rPr>
              <w:tab/>
            </w:r>
            <w:r w:rsidR="00A57862">
              <w:rPr>
                <w:webHidden/>
              </w:rPr>
              <w:fldChar w:fldCharType="begin"/>
            </w:r>
            <w:r w:rsidR="00A57862">
              <w:rPr>
                <w:webHidden/>
              </w:rPr>
              <w:instrText xml:space="preserve"> PAGEREF _Toc168639045 \h </w:instrText>
            </w:r>
            <w:r w:rsidR="00A57862">
              <w:rPr>
                <w:webHidden/>
              </w:rPr>
            </w:r>
            <w:r w:rsidR="00A57862">
              <w:rPr>
                <w:webHidden/>
              </w:rPr>
              <w:fldChar w:fldCharType="separate"/>
            </w:r>
            <w:r w:rsidR="00A57862">
              <w:rPr>
                <w:webHidden/>
              </w:rPr>
              <w:t>110</w:t>
            </w:r>
            <w:r w:rsidR="00A57862">
              <w:rPr>
                <w:webHidden/>
              </w:rPr>
              <w:fldChar w:fldCharType="end"/>
            </w:r>
          </w:hyperlink>
        </w:p>
        <w:p w14:paraId="450E7720" w14:textId="33A2069A" w:rsidR="00A57862" w:rsidRDefault="00912091">
          <w:pPr>
            <w:pStyle w:val="TOC3"/>
            <w:rPr>
              <w:rFonts w:asciiTheme="minorHAnsi" w:eastAsiaTheme="minorEastAsia" w:hAnsiTheme="minorHAnsi" w:cstheme="minorBidi"/>
              <w:color w:val="auto"/>
              <w:szCs w:val="22"/>
              <w:lang w:eastAsia="en-NZ"/>
            </w:rPr>
          </w:pPr>
          <w:hyperlink w:anchor="_Toc168639046" w:history="1">
            <w:r w:rsidR="00A57862" w:rsidRPr="00A139B3">
              <w:rPr>
                <w:rStyle w:val="Hyperlink"/>
              </w:rPr>
              <w:t>Mai i te tau 1989: Te whakaurunga o te whāomo me te kirimana</w:t>
            </w:r>
            <w:r w:rsidR="00A57862">
              <w:rPr>
                <w:webHidden/>
              </w:rPr>
              <w:tab/>
            </w:r>
            <w:r w:rsidR="00A57862">
              <w:rPr>
                <w:webHidden/>
              </w:rPr>
              <w:fldChar w:fldCharType="begin"/>
            </w:r>
            <w:r w:rsidR="00A57862">
              <w:rPr>
                <w:webHidden/>
              </w:rPr>
              <w:instrText xml:space="preserve"> PAGEREF _Toc168639046 \h </w:instrText>
            </w:r>
            <w:r w:rsidR="00A57862">
              <w:rPr>
                <w:webHidden/>
              </w:rPr>
            </w:r>
            <w:r w:rsidR="00A57862">
              <w:rPr>
                <w:webHidden/>
              </w:rPr>
              <w:fldChar w:fldCharType="separate"/>
            </w:r>
            <w:r w:rsidR="00A57862">
              <w:rPr>
                <w:webHidden/>
              </w:rPr>
              <w:t>112</w:t>
            </w:r>
            <w:r w:rsidR="00A57862">
              <w:rPr>
                <w:webHidden/>
              </w:rPr>
              <w:fldChar w:fldCharType="end"/>
            </w:r>
          </w:hyperlink>
        </w:p>
        <w:p w14:paraId="56FCE02A" w14:textId="0A0BBBC2" w:rsidR="00A57862" w:rsidRDefault="00912091">
          <w:pPr>
            <w:pStyle w:val="TOC3"/>
            <w:rPr>
              <w:rFonts w:asciiTheme="minorHAnsi" w:eastAsiaTheme="minorEastAsia" w:hAnsiTheme="minorHAnsi" w:cstheme="minorBidi"/>
              <w:color w:val="auto"/>
              <w:szCs w:val="22"/>
              <w:lang w:eastAsia="en-NZ"/>
            </w:rPr>
          </w:pPr>
          <w:hyperlink w:anchor="_Toc168639047" w:history="1">
            <w:r w:rsidR="00A57862" w:rsidRPr="00A139B3">
              <w:rPr>
                <w:rStyle w:val="Hyperlink"/>
              </w:rPr>
              <w:t>From1989: the introduction of efficiency and contracting</w:t>
            </w:r>
            <w:r w:rsidR="00A57862">
              <w:rPr>
                <w:webHidden/>
              </w:rPr>
              <w:tab/>
            </w:r>
            <w:r w:rsidR="00A57862">
              <w:rPr>
                <w:webHidden/>
              </w:rPr>
              <w:fldChar w:fldCharType="begin"/>
            </w:r>
            <w:r w:rsidR="00A57862">
              <w:rPr>
                <w:webHidden/>
              </w:rPr>
              <w:instrText xml:space="preserve"> PAGEREF _Toc168639047 \h </w:instrText>
            </w:r>
            <w:r w:rsidR="00A57862">
              <w:rPr>
                <w:webHidden/>
              </w:rPr>
            </w:r>
            <w:r w:rsidR="00A57862">
              <w:rPr>
                <w:webHidden/>
              </w:rPr>
              <w:fldChar w:fldCharType="separate"/>
            </w:r>
            <w:r w:rsidR="00A57862">
              <w:rPr>
                <w:webHidden/>
              </w:rPr>
              <w:t>112</w:t>
            </w:r>
            <w:r w:rsidR="00A57862">
              <w:rPr>
                <w:webHidden/>
              </w:rPr>
              <w:fldChar w:fldCharType="end"/>
            </w:r>
          </w:hyperlink>
        </w:p>
        <w:p w14:paraId="3E30876C" w14:textId="01C662F9" w:rsidR="00A57862" w:rsidRDefault="00912091">
          <w:pPr>
            <w:pStyle w:val="TOC3"/>
            <w:rPr>
              <w:rFonts w:asciiTheme="minorHAnsi" w:eastAsiaTheme="minorEastAsia" w:hAnsiTheme="minorHAnsi" w:cstheme="minorBidi"/>
              <w:color w:val="auto"/>
              <w:szCs w:val="22"/>
              <w:lang w:eastAsia="en-NZ"/>
            </w:rPr>
          </w:pPr>
          <w:hyperlink w:anchor="_Toc168639048" w:history="1">
            <w:r w:rsidR="00A57862" w:rsidRPr="00A139B3">
              <w:rPr>
                <w:rStyle w:val="Hyperlink"/>
              </w:rPr>
              <w:t>Te tiaki kōrero me te tuari mōhiotanga | Record keeping and information sharing</w:t>
            </w:r>
            <w:r w:rsidR="00A57862">
              <w:rPr>
                <w:webHidden/>
              </w:rPr>
              <w:tab/>
            </w:r>
            <w:r w:rsidR="00A57862">
              <w:rPr>
                <w:webHidden/>
              </w:rPr>
              <w:fldChar w:fldCharType="begin"/>
            </w:r>
            <w:r w:rsidR="00A57862">
              <w:rPr>
                <w:webHidden/>
              </w:rPr>
              <w:instrText xml:space="preserve"> PAGEREF _Toc168639048 \h </w:instrText>
            </w:r>
            <w:r w:rsidR="00A57862">
              <w:rPr>
                <w:webHidden/>
              </w:rPr>
            </w:r>
            <w:r w:rsidR="00A57862">
              <w:rPr>
                <w:webHidden/>
              </w:rPr>
              <w:fldChar w:fldCharType="separate"/>
            </w:r>
            <w:r w:rsidR="00A57862">
              <w:rPr>
                <w:webHidden/>
              </w:rPr>
              <w:t>112</w:t>
            </w:r>
            <w:r w:rsidR="00A57862">
              <w:rPr>
                <w:webHidden/>
              </w:rPr>
              <w:fldChar w:fldCharType="end"/>
            </w:r>
          </w:hyperlink>
        </w:p>
        <w:p w14:paraId="66C7FDBE" w14:textId="7DAF94DC" w:rsidR="00A57862" w:rsidRDefault="00912091">
          <w:pPr>
            <w:pStyle w:val="TOC4"/>
            <w:rPr>
              <w:rFonts w:asciiTheme="minorHAnsi" w:eastAsiaTheme="minorEastAsia" w:hAnsiTheme="minorHAnsi" w:cstheme="minorBidi"/>
              <w:color w:val="auto"/>
              <w:szCs w:val="22"/>
              <w:lang w:eastAsia="en-NZ"/>
            </w:rPr>
          </w:pPr>
          <w:hyperlink w:anchor="_Toc168639049" w:history="1">
            <w:r w:rsidR="00A57862" w:rsidRPr="00A139B3">
              <w:rPr>
                <w:rStyle w:val="Hyperlink"/>
              </w:rPr>
              <w:t>Te Rua Mahara o te Kāwanatanga | Archives New Zealand</w:t>
            </w:r>
            <w:r w:rsidR="00A57862">
              <w:rPr>
                <w:webHidden/>
              </w:rPr>
              <w:tab/>
            </w:r>
            <w:r w:rsidR="00A57862">
              <w:rPr>
                <w:webHidden/>
              </w:rPr>
              <w:fldChar w:fldCharType="begin"/>
            </w:r>
            <w:r w:rsidR="00A57862">
              <w:rPr>
                <w:webHidden/>
              </w:rPr>
              <w:instrText xml:space="preserve"> PAGEREF _Toc168639049 \h </w:instrText>
            </w:r>
            <w:r w:rsidR="00A57862">
              <w:rPr>
                <w:webHidden/>
              </w:rPr>
            </w:r>
            <w:r w:rsidR="00A57862">
              <w:rPr>
                <w:webHidden/>
              </w:rPr>
              <w:fldChar w:fldCharType="separate"/>
            </w:r>
            <w:r w:rsidR="00A57862">
              <w:rPr>
                <w:webHidden/>
              </w:rPr>
              <w:t>112</w:t>
            </w:r>
            <w:r w:rsidR="00A57862">
              <w:rPr>
                <w:webHidden/>
              </w:rPr>
              <w:fldChar w:fldCharType="end"/>
            </w:r>
          </w:hyperlink>
        </w:p>
        <w:p w14:paraId="215E551E" w14:textId="4AB233A2" w:rsidR="00A57862" w:rsidRDefault="00912091">
          <w:pPr>
            <w:pStyle w:val="TOC4"/>
            <w:rPr>
              <w:rFonts w:asciiTheme="minorHAnsi" w:eastAsiaTheme="minorEastAsia" w:hAnsiTheme="minorHAnsi" w:cstheme="minorBidi"/>
              <w:color w:val="auto"/>
              <w:szCs w:val="22"/>
              <w:lang w:eastAsia="en-NZ"/>
            </w:rPr>
          </w:pPr>
          <w:hyperlink w:anchor="_Toc168639050" w:history="1">
            <w:r w:rsidR="00A57862" w:rsidRPr="00A139B3">
              <w:rPr>
                <w:rStyle w:val="Hyperlink"/>
              </w:rPr>
              <w:t>Te Ture Kōrero Muna Ōkawa 1957 me Te Ture Mōhiotanga Ōkawa 1982</w:t>
            </w:r>
            <w:r w:rsidR="00A57862">
              <w:rPr>
                <w:webHidden/>
              </w:rPr>
              <w:tab/>
            </w:r>
            <w:r w:rsidR="00A57862">
              <w:rPr>
                <w:webHidden/>
              </w:rPr>
              <w:fldChar w:fldCharType="begin"/>
            </w:r>
            <w:r w:rsidR="00A57862">
              <w:rPr>
                <w:webHidden/>
              </w:rPr>
              <w:instrText xml:space="preserve"> PAGEREF _Toc168639050 \h </w:instrText>
            </w:r>
            <w:r w:rsidR="00A57862">
              <w:rPr>
                <w:webHidden/>
              </w:rPr>
            </w:r>
            <w:r w:rsidR="00A57862">
              <w:rPr>
                <w:webHidden/>
              </w:rPr>
              <w:fldChar w:fldCharType="separate"/>
            </w:r>
            <w:r w:rsidR="00A57862">
              <w:rPr>
                <w:webHidden/>
              </w:rPr>
              <w:t>113</w:t>
            </w:r>
            <w:r w:rsidR="00A57862">
              <w:rPr>
                <w:webHidden/>
              </w:rPr>
              <w:fldChar w:fldCharType="end"/>
            </w:r>
          </w:hyperlink>
        </w:p>
        <w:p w14:paraId="3AF41360" w14:textId="119BDAA3" w:rsidR="00A57862" w:rsidRDefault="00912091">
          <w:pPr>
            <w:pStyle w:val="TOC4"/>
            <w:rPr>
              <w:rFonts w:asciiTheme="minorHAnsi" w:eastAsiaTheme="minorEastAsia" w:hAnsiTheme="minorHAnsi" w:cstheme="minorBidi"/>
              <w:color w:val="auto"/>
              <w:szCs w:val="22"/>
              <w:lang w:eastAsia="en-NZ"/>
            </w:rPr>
          </w:pPr>
          <w:hyperlink w:anchor="_Toc168639051" w:history="1">
            <w:r w:rsidR="00A57862" w:rsidRPr="00A139B3">
              <w:rPr>
                <w:rStyle w:val="Hyperlink"/>
              </w:rPr>
              <w:t>The Official Secrets Act 1957 and the Official Information Act 1982</w:t>
            </w:r>
            <w:r w:rsidR="00A57862">
              <w:rPr>
                <w:webHidden/>
              </w:rPr>
              <w:tab/>
            </w:r>
            <w:r w:rsidR="00A57862">
              <w:rPr>
                <w:webHidden/>
              </w:rPr>
              <w:fldChar w:fldCharType="begin"/>
            </w:r>
            <w:r w:rsidR="00A57862">
              <w:rPr>
                <w:webHidden/>
              </w:rPr>
              <w:instrText xml:space="preserve"> PAGEREF _Toc168639051 \h </w:instrText>
            </w:r>
            <w:r w:rsidR="00A57862">
              <w:rPr>
                <w:webHidden/>
              </w:rPr>
            </w:r>
            <w:r w:rsidR="00A57862">
              <w:rPr>
                <w:webHidden/>
              </w:rPr>
              <w:fldChar w:fldCharType="separate"/>
            </w:r>
            <w:r w:rsidR="00A57862">
              <w:rPr>
                <w:webHidden/>
              </w:rPr>
              <w:t>113</w:t>
            </w:r>
            <w:r w:rsidR="00A57862">
              <w:rPr>
                <w:webHidden/>
              </w:rPr>
              <w:fldChar w:fldCharType="end"/>
            </w:r>
          </w:hyperlink>
        </w:p>
        <w:p w14:paraId="40981B8C" w14:textId="4BB1CBDF" w:rsidR="00A57862" w:rsidRDefault="00912091">
          <w:pPr>
            <w:pStyle w:val="TOC4"/>
            <w:rPr>
              <w:rFonts w:asciiTheme="minorHAnsi" w:eastAsiaTheme="minorEastAsia" w:hAnsiTheme="minorHAnsi" w:cstheme="minorBidi"/>
              <w:color w:val="auto"/>
              <w:szCs w:val="22"/>
              <w:lang w:eastAsia="en-NZ"/>
            </w:rPr>
          </w:pPr>
          <w:hyperlink w:anchor="_Toc168639052" w:history="1">
            <w:r w:rsidR="00A57862" w:rsidRPr="00A139B3">
              <w:rPr>
                <w:rStyle w:val="Hyperlink"/>
              </w:rPr>
              <w:t>Te Ture Tūmataiti 1993 | The Privacy Act 1993</w:t>
            </w:r>
            <w:r w:rsidR="00A57862">
              <w:rPr>
                <w:webHidden/>
              </w:rPr>
              <w:tab/>
            </w:r>
            <w:r w:rsidR="00A57862">
              <w:rPr>
                <w:webHidden/>
              </w:rPr>
              <w:fldChar w:fldCharType="begin"/>
            </w:r>
            <w:r w:rsidR="00A57862">
              <w:rPr>
                <w:webHidden/>
              </w:rPr>
              <w:instrText xml:space="preserve"> PAGEREF _Toc168639052 \h </w:instrText>
            </w:r>
            <w:r w:rsidR="00A57862">
              <w:rPr>
                <w:webHidden/>
              </w:rPr>
            </w:r>
            <w:r w:rsidR="00A57862">
              <w:rPr>
                <w:webHidden/>
              </w:rPr>
              <w:fldChar w:fldCharType="separate"/>
            </w:r>
            <w:r w:rsidR="00A57862">
              <w:rPr>
                <w:webHidden/>
              </w:rPr>
              <w:t>114</w:t>
            </w:r>
            <w:r w:rsidR="00A57862">
              <w:rPr>
                <w:webHidden/>
              </w:rPr>
              <w:fldChar w:fldCharType="end"/>
            </w:r>
          </w:hyperlink>
        </w:p>
        <w:p w14:paraId="2665A340" w14:textId="18305AB7" w:rsidR="00A57862" w:rsidRDefault="00912091">
          <w:pPr>
            <w:pStyle w:val="TOC1"/>
            <w:rPr>
              <w:rFonts w:asciiTheme="minorHAnsi" w:eastAsiaTheme="minorEastAsia" w:hAnsiTheme="minorHAnsi" w:cstheme="minorBidi"/>
              <w:b w:val="0"/>
              <w:noProof/>
              <w:color w:val="auto"/>
              <w:szCs w:val="22"/>
              <w:lang w:eastAsia="en-NZ"/>
            </w:rPr>
          </w:pPr>
          <w:hyperlink w:anchor="_Toc168639053" w:history="1">
            <w:r w:rsidR="00A57862" w:rsidRPr="00A139B3">
              <w:rPr>
                <w:rStyle w:val="Hyperlink"/>
                <w:noProof/>
              </w:rPr>
              <w:t>Ūpoko 10: Ngā whakaritenga taurima ā-Kāwanatanga i te wā Pakirehua</w:t>
            </w:r>
            <w:r w:rsidR="00A57862">
              <w:rPr>
                <w:noProof/>
                <w:webHidden/>
              </w:rPr>
              <w:tab/>
            </w:r>
            <w:r w:rsidR="00A57862">
              <w:rPr>
                <w:noProof/>
                <w:webHidden/>
              </w:rPr>
              <w:fldChar w:fldCharType="begin"/>
            </w:r>
            <w:r w:rsidR="00A57862">
              <w:rPr>
                <w:noProof/>
                <w:webHidden/>
              </w:rPr>
              <w:instrText xml:space="preserve"> PAGEREF _Toc168639053 \h </w:instrText>
            </w:r>
            <w:r w:rsidR="00A57862">
              <w:rPr>
                <w:noProof/>
                <w:webHidden/>
              </w:rPr>
            </w:r>
            <w:r w:rsidR="00A57862">
              <w:rPr>
                <w:noProof/>
                <w:webHidden/>
              </w:rPr>
              <w:fldChar w:fldCharType="separate"/>
            </w:r>
            <w:r w:rsidR="00A57862">
              <w:rPr>
                <w:noProof/>
                <w:webHidden/>
              </w:rPr>
              <w:t>117</w:t>
            </w:r>
            <w:r w:rsidR="00A57862">
              <w:rPr>
                <w:noProof/>
                <w:webHidden/>
              </w:rPr>
              <w:fldChar w:fldCharType="end"/>
            </w:r>
          </w:hyperlink>
        </w:p>
        <w:p w14:paraId="24349C7A" w14:textId="484A94BE" w:rsidR="00A57862" w:rsidRDefault="00912091">
          <w:pPr>
            <w:pStyle w:val="TOC1"/>
            <w:rPr>
              <w:rFonts w:asciiTheme="minorHAnsi" w:eastAsiaTheme="minorEastAsia" w:hAnsiTheme="minorHAnsi" w:cstheme="minorBidi"/>
              <w:b w:val="0"/>
              <w:noProof/>
              <w:color w:val="auto"/>
              <w:szCs w:val="22"/>
              <w:lang w:eastAsia="en-NZ"/>
            </w:rPr>
          </w:pPr>
          <w:hyperlink w:anchor="_Toc168639054" w:history="1">
            <w:r w:rsidR="00A57862" w:rsidRPr="00A139B3">
              <w:rPr>
                <w:rStyle w:val="Hyperlink"/>
                <w:noProof/>
              </w:rPr>
              <w:t>Chapter 10: State-based care settings during the Inquiry period</w:t>
            </w:r>
            <w:r w:rsidR="00A57862">
              <w:rPr>
                <w:noProof/>
                <w:webHidden/>
              </w:rPr>
              <w:tab/>
            </w:r>
            <w:r w:rsidR="00A57862">
              <w:rPr>
                <w:noProof/>
                <w:webHidden/>
              </w:rPr>
              <w:fldChar w:fldCharType="begin"/>
            </w:r>
            <w:r w:rsidR="00A57862">
              <w:rPr>
                <w:noProof/>
                <w:webHidden/>
              </w:rPr>
              <w:instrText xml:space="preserve"> PAGEREF _Toc168639054 \h </w:instrText>
            </w:r>
            <w:r w:rsidR="00A57862">
              <w:rPr>
                <w:noProof/>
                <w:webHidden/>
              </w:rPr>
            </w:r>
            <w:r w:rsidR="00A57862">
              <w:rPr>
                <w:noProof/>
                <w:webHidden/>
              </w:rPr>
              <w:fldChar w:fldCharType="separate"/>
            </w:r>
            <w:r w:rsidR="00A57862">
              <w:rPr>
                <w:noProof/>
                <w:webHidden/>
              </w:rPr>
              <w:t>117</w:t>
            </w:r>
            <w:r w:rsidR="00A57862">
              <w:rPr>
                <w:noProof/>
                <w:webHidden/>
              </w:rPr>
              <w:fldChar w:fldCharType="end"/>
            </w:r>
          </w:hyperlink>
        </w:p>
        <w:p w14:paraId="1163C013" w14:textId="49F4DC34" w:rsidR="00A57862" w:rsidRDefault="00912091">
          <w:pPr>
            <w:pStyle w:val="TOC2"/>
            <w:rPr>
              <w:rFonts w:asciiTheme="minorHAnsi" w:eastAsiaTheme="minorEastAsia" w:hAnsiTheme="minorHAnsi" w:cstheme="minorBidi"/>
              <w:color w:val="auto"/>
              <w:szCs w:val="22"/>
              <w:lang w:eastAsia="en-NZ"/>
            </w:rPr>
          </w:pPr>
          <w:hyperlink w:anchor="_Toc168639055" w:history="1">
            <w:r w:rsidR="00A57862" w:rsidRPr="00A139B3">
              <w:rPr>
                <w:rStyle w:val="Hyperlink"/>
              </w:rPr>
              <w:t>Tokoora Pāpori | Social welfare 1950–1999</w:t>
            </w:r>
            <w:r w:rsidR="00A57862">
              <w:rPr>
                <w:webHidden/>
              </w:rPr>
              <w:tab/>
            </w:r>
            <w:r w:rsidR="00A57862">
              <w:rPr>
                <w:webHidden/>
              </w:rPr>
              <w:fldChar w:fldCharType="begin"/>
            </w:r>
            <w:r w:rsidR="00A57862">
              <w:rPr>
                <w:webHidden/>
              </w:rPr>
              <w:instrText xml:space="preserve"> PAGEREF _Toc168639055 \h </w:instrText>
            </w:r>
            <w:r w:rsidR="00A57862">
              <w:rPr>
                <w:webHidden/>
              </w:rPr>
            </w:r>
            <w:r w:rsidR="00A57862">
              <w:rPr>
                <w:webHidden/>
              </w:rPr>
              <w:fldChar w:fldCharType="separate"/>
            </w:r>
            <w:r w:rsidR="00A57862">
              <w:rPr>
                <w:webHidden/>
              </w:rPr>
              <w:t>117</w:t>
            </w:r>
            <w:r w:rsidR="00A57862">
              <w:rPr>
                <w:webHidden/>
              </w:rPr>
              <w:fldChar w:fldCharType="end"/>
            </w:r>
          </w:hyperlink>
        </w:p>
        <w:p w14:paraId="3ACC64E1" w14:textId="42A60A24" w:rsidR="00A57862" w:rsidRDefault="00912091">
          <w:pPr>
            <w:pStyle w:val="TOC3"/>
            <w:rPr>
              <w:rFonts w:asciiTheme="minorHAnsi" w:eastAsiaTheme="minorEastAsia" w:hAnsiTheme="minorHAnsi" w:cstheme="minorBidi"/>
              <w:color w:val="auto"/>
              <w:szCs w:val="22"/>
              <w:lang w:eastAsia="en-NZ"/>
            </w:rPr>
          </w:pPr>
          <w:hyperlink w:anchor="_Toc168639056" w:history="1">
            <w:r w:rsidR="00A57862" w:rsidRPr="00A139B3">
              <w:rPr>
                <w:rStyle w:val="Hyperlink"/>
                <w:lang w:val="en-US"/>
              </w:rPr>
              <w:t xml:space="preserve">Te ture Tokoora Tamariki | </w:t>
            </w:r>
            <w:r w:rsidR="00A57862" w:rsidRPr="00A139B3">
              <w:rPr>
                <w:rStyle w:val="Hyperlink"/>
              </w:rPr>
              <w:t>Child Welfare legislation</w:t>
            </w:r>
            <w:r w:rsidR="00A57862">
              <w:rPr>
                <w:webHidden/>
              </w:rPr>
              <w:tab/>
            </w:r>
            <w:r w:rsidR="00A57862">
              <w:rPr>
                <w:webHidden/>
              </w:rPr>
              <w:fldChar w:fldCharType="begin"/>
            </w:r>
            <w:r w:rsidR="00A57862">
              <w:rPr>
                <w:webHidden/>
              </w:rPr>
              <w:instrText xml:space="preserve"> PAGEREF _Toc168639056 \h </w:instrText>
            </w:r>
            <w:r w:rsidR="00A57862">
              <w:rPr>
                <w:webHidden/>
              </w:rPr>
            </w:r>
            <w:r w:rsidR="00A57862">
              <w:rPr>
                <w:webHidden/>
              </w:rPr>
              <w:fldChar w:fldCharType="separate"/>
            </w:r>
            <w:r w:rsidR="00A57862">
              <w:rPr>
                <w:webHidden/>
              </w:rPr>
              <w:t>117</w:t>
            </w:r>
            <w:r w:rsidR="00A57862">
              <w:rPr>
                <w:webHidden/>
              </w:rPr>
              <w:fldChar w:fldCharType="end"/>
            </w:r>
          </w:hyperlink>
        </w:p>
        <w:p w14:paraId="4E46EC9F" w14:textId="63EB6386" w:rsidR="00A57862" w:rsidRDefault="00912091">
          <w:pPr>
            <w:pStyle w:val="TOC4"/>
            <w:rPr>
              <w:rFonts w:asciiTheme="minorHAnsi" w:eastAsiaTheme="minorEastAsia" w:hAnsiTheme="minorHAnsi" w:cstheme="minorBidi"/>
              <w:color w:val="auto"/>
              <w:szCs w:val="22"/>
              <w:lang w:eastAsia="en-NZ"/>
            </w:rPr>
          </w:pPr>
          <w:hyperlink w:anchor="_Toc168639057" w:history="1">
            <w:r w:rsidR="00A57862" w:rsidRPr="00A139B3">
              <w:rPr>
                <w:rStyle w:val="Hyperlink"/>
              </w:rPr>
              <w:t>Te Tari me āna kaiārahi | The Department and its leadership</w:t>
            </w:r>
            <w:r w:rsidR="00A57862">
              <w:rPr>
                <w:webHidden/>
              </w:rPr>
              <w:tab/>
            </w:r>
            <w:r w:rsidR="00A57862">
              <w:rPr>
                <w:webHidden/>
              </w:rPr>
              <w:fldChar w:fldCharType="begin"/>
            </w:r>
            <w:r w:rsidR="00A57862">
              <w:rPr>
                <w:webHidden/>
              </w:rPr>
              <w:instrText xml:space="preserve"> PAGEREF _Toc168639057 \h </w:instrText>
            </w:r>
            <w:r w:rsidR="00A57862">
              <w:rPr>
                <w:webHidden/>
              </w:rPr>
            </w:r>
            <w:r w:rsidR="00A57862">
              <w:rPr>
                <w:webHidden/>
              </w:rPr>
              <w:fldChar w:fldCharType="separate"/>
            </w:r>
            <w:r w:rsidR="00A57862">
              <w:rPr>
                <w:webHidden/>
              </w:rPr>
              <w:t>118</w:t>
            </w:r>
            <w:r w:rsidR="00A57862">
              <w:rPr>
                <w:webHidden/>
              </w:rPr>
              <w:fldChar w:fldCharType="end"/>
            </w:r>
          </w:hyperlink>
        </w:p>
        <w:p w14:paraId="11F06449" w14:textId="6EFF39DE" w:rsidR="00A57862" w:rsidRDefault="00912091">
          <w:pPr>
            <w:pStyle w:val="TOC4"/>
            <w:rPr>
              <w:rFonts w:asciiTheme="minorHAnsi" w:eastAsiaTheme="minorEastAsia" w:hAnsiTheme="minorHAnsi" w:cstheme="minorBidi"/>
              <w:color w:val="auto"/>
              <w:szCs w:val="22"/>
              <w:lang w:eastAsia="en-NZ"/>
            </w:rPr>
          </w:pPr>
          <w:hyperlink w:anchor="_Toc168639058" w:history="1">
            <w:r w:rsidR="00A57862" w:rsidRPr="00A139B3">
              <w:rPr>
                <w:rStyle w:val="Hyperlink"/>
              </w:rPr>
              <w:t>Ngā kaimahi me te whakahaerenga 1950 – 1999 | Staff and structure 1950 – 1999</w:t>
            </w:r>
            <w:r w:rsidR="00A57862">
              <w:rPr>
                <w:webHidden/>
              </w:rPr>
              <w:tab/>
            </w:r>
            <w:r w:rsidR="00A57862">
              <w:rPr>
                <w:webHidden/>
              </w:rPr>
              <w:fldChar w:fldCharType="begin"/>
            </w:r>
            <w:r w:rsidR="00A57862">
              <w:rPr>
                <w:webHidden/>
              </w:rPr>
              <w:instrText xml:space="preserve"> PAGEREF _Toc168639058 \h </w:instrText>
            </w:r>
            <w:r w:rsidR="00A57862">
              <w:rPr>
                <w:webHidden/>
              </w:rPr>
            </w:r>
            <w:r w:rsidR="00A57862">
              <w:rPr>
                <w:webHidden/>
              </w:rPr>
              <w:fldChar w:fldCharType="separate"/>
            </w:r>
            <w:r w:rsidR="00A57862">
              <w:rPr>
                <w:webHidden/>
              </w:rPr>
              <w:t>119</w:t>
            </w:r>
            <w:r w:rsidR="00A57862">
              <w:rPr>
                <w:webHidden/>
              </w:rPr>
              <w:fldChar w:fldCharType="end"/>
            </w:r>
          </w:hyperlink>
        </w:p>
        <w:p w14:paraId="4E43F3CC" w14:textId="59C05BD5" w:rsidR="00A57862" w:rsidRDefault="00912091">
          <w:pPr>
            <w:pStyle w:val="TOC4"/>
            <w:rPr>
              <w:rFonts w:asciiTheme="minorHAnsi" w:eastAsiaTheme="minorEastAsia" w:hAnsiTheme="minorHAnsi" w:cstheme="minorBidi"/>
              <w:color w:val="auto"/>
              <w:szCs w:val="22"/>
              <w:lang w:eastAsia="en-NZ"/>
            </w:rPr>
          </w:pPr>
          <w:hyperlink w:anchor="_Toc168639059" w:history="1">
            <w:r w:rsidR="00A57862" w:rsidRPr="00A139B3">
              <w:rPr>
                <w:rStyle w:val="Hyperlink"/>
              </w:rPr>
              <w:t>Te huarahi whakanoho tamariki me ngā rangatahi ki ngā tokoora pāpori</w:t>
            </w:r>
            <w:r w:rsidR="00A57862">
              <w:rPr>
                <w:webHidden/>
              </w:rPr>
              <w:tab/>
            </w:r>
            <w:r w:rsidR="00A57862">
              <w:rPr>
                <w:webHidden/>
              </w:rPr>
              <w:fldChar w:fldCharType="begin"/>
            </w:r>
            <w:r w:rsidR="00A57862">
              <w:rPr>
                <w:webHidden/>
              </w:rPr>
              <w:instrText xml:space="preserve"> PAGEREF _Toc168639059 \h </w:instrText>
            </w:r>
            <w:r w:rsidR="00A57862">
              <w:rPr>
                <w:webHidden/>
              </w:rPr>
            </w:r>
            <w:r w:rsidR="00A57862">
              <w:rPr>
                <w:webHidden/>
              </w:rPr>
              <w:fldChar w:fldCharType="separate"/>
            </w:r>
            <w:r w:rsidR="00A57862">
              <w:rPr>
                <w:webHidden/>
              </w:rPr>
              <w:t>122</w:t>
            </w:r>
            <w:r w:rsidR="00A57862">
              <w:rPr>
                <w:webHidden/>
              </w:rPr>
              <w:fldChar w:fldCharType="end"/>
            </w:r>
          </w:hyperlink>
        </w:p>
        <w:p w14:paraId="1FECCA8E" w14:textId="01724AED" w:rsidR="00A57862" w:rsidRDefault="00912091">
          <w:pPr>
            <w:pStyle w:val="TOC4"/>
            <w:rPr>
              <w:rFonts w:asciiTheme="minorHAnsi" w:eastAsiaTheme="minorEastAsia" w:hAnsiTheme="minorHAnsi" w:cstheme="minorBidi"/>
              <w:color w:val="auto"/>
              <w:szCs w:val="22"/>
              <w:lang w:eastAsia="en-NZ"/>
            </w:rPr>
          </w:pPr>
          <w:hyperlink w:anchor="_Toc168639060" w:history="1">
            <w:r w:rsidR="00A57862" w:rsidRPr="00A139B3">
              <w:rPr>
                <w:rStyle w:val="Hyperlink"/>
              </w:rPr>
              <w:t>How children and young people were placed in social welfare care</w:t>
            </w:r>
            <w:r w:rsidR="00A57862">
              <w:rPr>
                <w:webHidden/>
              </w:rPr>
              <w:tab/>
            </w:r>
            <w:r w:rsidR="00A57862">
              <w:rPr>
                <w:webHidden/>
              </w:rPr>
              <w:fldChar w:fldCharType="begin"/>
            </w:r>
            <w:r w:rsidR="00A57862">
              <w:rPr>
                <w:webHidden/>
              </w:rPr>
              <w:instrText xml:space="preserve"> PAGEREF _Toc168639060 \h </w:instrText>
            </w:r>
            <w:r w:rsidR="00A57862">
              <w:rPr>
                <w:webHidden/>
              </w:rPr>
            </w:r>
            <w:r w:rsidR="00A57862">
              <w:rPr>
                <w:webHidden/>
              </w:rPr>
              <w:fldChar w:fldCharType="separate"/>
            </w:r>
            <w:r w:rsidR="00A57862">
              <w:rPr>
                <w:webHidden/>
              </w:rPr>
              <w:t>122</w:t>
            </w:r>
            <w:r w:rsidR="00A57862">
              <w:rPr>
                <w:webHidden/>
              </w:rPr>
              <w:fldChar w:fldCharType="end"/>
            </w:r>
          </w:hyperlink>
        </w:p>
        <w:p w14:paraId="5A235D36" w14:textId="4856DC6C" w:rsidR="00A57862" w:rsidRDefault="00912091">
          <w:pPr>
            <w:pStyle w:val="TOC4"/>
            <w:rPr>
              <w:rFonts w:asciiTheme="minorHAnsi" w:eastAsiaTheme="minorEastAsia" w:hAnsiTheme="minorHAnsi" w:cstheme="minorBidi"/>
              <w:color w:val="auto"/>
              <w:szCs w:val="22"/>
              <w:lang w:eastAsia="en-NZ"/>
            </w:rPr>
          </w:pPr>
          <w:hyperlink w:anchor="_Toc168639061" w:history="1">
            <w:r w:rsidR="00A57862" w:rsidRPr="00A139B3">
              <w:rPr>
                <w:rStyle w:val="Hyperlink"/>
              </w:rPr>
              <w:t>Te wehe i te Taurimatanga Tokoora Pāpori  | Exiting Social Welfare Care</w:t>
            </w:r>
            <w:r w:rsidR="00A57862">
              <w:rPr>
                <w:webHidden/>
              </w:rPr>
              <w:tab/>
            </w:r>
            <w:r w:rsidR="00A57862">
              <w:rPr>
                <w:webHidden/>
              </w:rPr>
              <w:fldChar w:fldCharType="begin"/>
            </w:r>
            <w:r w:rsidR="00A57862">
              <w:rPr>
                <w:webHidden/>
              </w:rPr>
              <w:instrText xml:space="preserve"> PAGEREF _Toc168639061 \h </w:instrText>
            </w:r>
            <w:r w:rsidR="00A57862">
              <w:rPr>
                <w:webHidden/>
              </w:rPr>
            </w:r>
            <w:r w:rsidR="00A57862">
              <w:rPr>
                <w:webHidden/>
              </w:rPr>
              <w:fldChar w:fldCharType="separate"/>
            </w:r>
            <w:r w:rsidR="00A57862">
              <w:rPr>
                <w:webHidden/>
              </w:rPr>
              <w:t>126</w:t>
            </w:r>
            <w:r w:rsidR="00A57862">
              <w:rPr>
                <w:webHidden/>
              </w:rPr>
              <w:fldChar w:fldCharType="end"/>
            </w:r>
          </w:hyperlink>
        </w:p>
        <w:p w14:paraId="19BBC03A" w14:textId="5C9C8996" w:rsidR="00A57862" w:rsidRDefault="00912091">
          <w:pPr>
            <w:pStyle w:val="TOC4"/>
            <w:rPr>
              <w:rFonts w:asciiTheme="minorHAnsi" w:eastAsiaTheme="minorEastAsia" w:hAnsiTheme="minorHAnsi" w:cstheme="minorBidi"/>
              <w:color w:val="auto"/>
              <w:szCs w:val="22"/>
              <w:lang w:eastAsia="en-NZ"/>
            </w:rPr>
          </w:pPr>
          <w:hyperlink w:anchor="_Toc168639062" w:history="1">
            <w:r w:rsidR="00A57862" w:rsidRPr="00A139B3">
              <w:rPr>
                <w:rStyle w:val="Hyperlink"/>
              </w:rPr>
              <w:t>Ngā tamariki whaikaha i pāngia e ngā whakaritenga o roto i te ture</w:t>
            </w:r>
            <w:r w:rsidR="00A57862">
              <w:rPr>
                <w:webHidden/>
              </w:rPr>
              <w:tab/>
            </w:r>
            <w:r w:rsidR="00A57862">
              <w:rPr>
                <w:webHidden/>
              </w:rPr>
              <w:fldChar w:fldCharType="begin"/>
            </w:r>
            <w:r w:rsidR="00A57862">
              <w:rPr>
                <w:webHidden/>
              </w:rPr>
              <w:instrText xml:space="preserve"> PAGEREF _Toc168639062 \h </w:instrText>
            </w:r>
            <w:r w:rsidR="00A57862">
              <w:rPr>
                <w:webHidden/>
              </w:rPr>
            </w:r>
            <w:r w:rsidR="00A57862">
              <w:rPr>
                <w:webHidden/>
              </w:rPr>
              <w:fldChar w:fldCharType="separate"/>
            </w:r>
            <w:r w:rsidR="00A57862">
              <w:rPr>
                <w:webHidden/>
              </w:rPr>
              <w:t>127</w:t>
            </w:r>
            <w:r w:rsidR="00A57862">
              <w:rPr>
                <w:webHidden/>
              </w:rPr>
              <w:fldChar w:fldCharType="end"/>
            </w:r>
          </w:hyperlink>
        </w:p>
        <w:p w14:paraId="52CA4238" w14:textId="4C5EB757" w:rsidR="00A57862" w:rsidRDefault="00912091">
          <w:pPr>
            <w:pStyle w:val="TOC4"/>
            <w:rPr>
              <w:rFonts w:asciiTheme="minorHAnsi" w:eastAsiaTheme="minorEastAsia" w:hAnsiTheme="minorHAnsi" w:cstheme="minorBidi"/>
              <w:color w:val="auto"/>
              <w:szCs w:val="22"/>
              <w:lang w:eastAsia="en-NZ"/>
            </w:rPr>
          </w:pPr>
          <w:hyperlink w:anchor="_Toc168639063" w:history="1">
            <w:r w:rsidR="00A57862" w:rsidRPr="00A139B3">
              <w:rPr>
                <w:rStyle w:val="Hyperlink"/>
              </w:rPr>
              <w:t>Disabled children affected by provisions in the law</w:t>
            </w:r>
            <w:r w:rsidR="00A57862">
              <w:rPr>
                <w:webHidden/>
              </w:rPr>
              <w:tab/>
            </w:r>
            <w:r w:rsidR="00A57862">
              <w:rPr>
                <w:webHidden/>
              </w:rPr>
              <w:fldChar w:fldCharType="begin"/>
            </w:r>
            <w:r w:rsidR="00A57862">
              <w:rPr>
                <w:webHidden/>
              </w:rPr>
              <w:instrText xml:space="preserve"> PAGEREF _Toc168639063 \h </w:instrText>
            </w:r>
            <w:r w:rsidR="00A57862">
              <w:rPr>
                <w:webHidden/>
              </w:rPr>
            </w:r>
            <w:r w:rsidR="00A57862">
              <w:rPr>
                <w:webHidden/>
              </w:rPr>
              <w:fldChar w:fldCharType="separate"/>
            </w:r>
            <w:r w:rsidR="00A57862">
              <w:rPr>
                <w:webHidden/>
              </w:rPr>
              <w:t>127</w:t>
            </w:r>
            <w:r w:rsidR="00A57862">
              <w:rPr>
                <w:webHidden/>
              </w:rPr>
              <w:fldChar w:fldCharType="end"/>
            </w:r>
          </w:hyperlink>
        </w:p>
        <w:p w14:paraId="345B2D52" w14:textId="4CE3E6CC" w:rsidR="00A57862" w:rsidRDefault="00912091">
          <w:pPr>
            <w:pStyle w:val="TOC2"/>
            <w:rPr>
              <w:rFonts w:asciiTheme="minorHAnsi" w:eastAsiaTheme="minorEastAsia" w:hAnsiTheme="minorHAnsi" w:cstheme="minorBidi"/>
              <w:color w:val="auto"/>
              <w:szCs w:val="22"/>
              <w:lang w:eastAsia="en-NZ"/>
            </w:rPr>
          </w:pPr>
          <w:hyperlink w:anchor="_Toc168639064" w:history="1">
            <w:r w:rsidR="00A57862" w:rsidRPr="00A139B3">
              <w:rPr>
                <w:rStyle w:val="Hyperlink"/>
              </w:rPr>
              <w:t>Ngā whakaritenga tokoora pāpori | Social welfare settings</w:t>
            </w:r>
            <w:r w:rsidR="00A57862">
              <w:rPr>
                <w:webHidden/>
              </w:rPr>
              <w:tab/>
            </w:r>
            <w:r w:rsidR="00A57862">
              <w:rPr>
                <w:webHidden/>
              </w:rPr>
              <w:fldChar w:fldCharType="begin"/>
            </w:r>
            <w:r w:rsidR="00A57862">
              <w:rPr>
                <w:webHidden/>
              </w:rPr>
              <w:instrText xml:space="preserve"> PAGEREF _Toc168639064 \h </w:instrText>
            </w:r>
            <w:r w:rsidR="00A57862">
              <w:rPr>
                <w:webHidden/>
              </w:rPr>
            </w:r>
            <w:r w:rsidR="00A57862">
              <w:rPr>
                <w:webHidden/>
              </w:rPr>
              <w:fldChar w:fldCharType="separate"/>
            </w:r>
            <w:r w:rsidR="00A57862">
              <w:rPr>
                <w:webHidden/>
              </w:rPr>
              <w:t>127</w:t>
            </w:r>
            <w:r w:rsidR="00A57862">
              <w:rPr>
                <w:webHidden/>
              </w:rPr>
              <w:fldChar w:fldCharType="end"/>
            </w:r>
          </w:hyperlink>
        </w:p>
        <w:p w14:paraId="28E66780" w14:textId="28D1C160" w:rsidR="00A57862" w:rsidRDefault="00912091">
          <w:pPr>
            <w:pStyle w:val="TOC3"/>
            <w:rPr>
              <w:rFonts w:asciiTheme="minorHAnsi" w:eastAsiaTheme="minorEastAsia" w:hAnsiTheme="minorHAnsi" w:cstheme="minorBidi"/>
              <w:color w:val="auto"/>
              <w:szCs w:val="22"/>
              <w:lang w:eastAsia="en-NZ"/>
            </w:rPr>
          </w:pPr>
          <w:hyperlink w:anchor="_Toc168639065" w:history="1">
            <w:r w:rsidR="00A57862" w:rsidRPr="00A139B3">
              <w:rPr>
                <w:rStyle w:val="Hyperlink"/>
              </w:rPr>
              <w:t>Te taurimatanga i ngā kāinga atawhai me ngā kāinga whānau</w:t>
            </w:r>
            <w:r w:rsidR="00A57862">
              <w:rPr>
                <w:webHidden/>
              </w:rPr>
              <w:tab/>
            </w:r>
            <w:r w:rsidR="00A57862">
              <w:rPr>
                <w:webHidden/>
              </w:rPr>
              <w:fldChar w:fldCharType="begin"/>
            </w:r>
            <w:r w:rsidR="00A57862">
              <w:rPr>
                <w:webHidden/>
              </w:rPr>
              <w:instrText xml:space="preserve"> PAGEREF _Toc168639065 \h </w:instrText>
            </w:r>
            <w:r w:rsidR="00A57862">
              <w:rPr>
                <w:webHidden/>
              </w:rPr>
            </w:r>
            <w:r w:rsidR="00A57862">
              <w:rPr>
                <w:webHidden/>
              </w:rPr>
              <w:fldChar w:fldCharType="separate"/>
            </w:r>
            <w:r w:rsidR="00A57862">
              <w:rPr>
                <w:webHidden/>
              </w:rPr>
              <w:t>127</w:t>
            </w:r>
            <w:r w:rsidR="00A57862">
              <w:rPr>
                <w:webHidden/>
              </w:rPr>
              <w:fldChar w:fldCharType="end"/>
            </w:r>
          </w:hyperlink>
        </w:p>
        <w:p w14:paraId="2A1D62A2" w14:textId="22B05183" w:rsidR="00A57862" w:rsidRDefault="00912091">
          <w:pPr>
            <w:pStyle w:val="TOC3"/>
            <w:rPr>
              <w:rFonts w:asciiTheme="minorHAnsi" w:eastAsiaTheme="minorEastAsia" w:hAnsiTheme="minorHAnsi" w:cstheme="minorBidi"/>
              <w:color w:val="auto"/>
              <w:szCs w:val="22"/>
              <w:lang w:eastAsia="en-NZ"/>
            </w:rPr>
          </w:pPr>
          <w:hyperlink w:anchor="_Toc168639066" w:history="1">
            <w:r w:rsidR="00A57862" w:rsidRPr="00A139B3">
              <w:rPr>
                <w:rStyle w:val="Hyperlink"/>
              </w:rPr>
              <w:t>Foster and Family Home care</w:t>
            </w:r>
            <w:r w:rsidR="00A57862">
              <w:rPr>
                <w:webHidden/>
              </w:rPr>
              <w:tab/>
            </w:r>
            <w:r w:rsidR="00A57862">
              <w:rPr>
                <w:webHidden/>
              </w:rPr>
              <w:fldChar w:fldCharType="begin"/>
            </w:r>
            <w:r w:rsidR="00A57862">
              <w:rPr>
                <w:webHidden/>
              </w:rPr>
              <w:instrText xml:space="preserve"> PAGEREF _Toc168639066 \h </w:instrText>
            </w:r>
            <w:r w:rsidR="00A57862">
              <w:rPr>
                <w:webHidden/>
              </w:rPr>
            </w:r>
            <w:r w:rsidR="00A57862">
              <w:rPr>
                <w:webHidden/>
              </w:rPr>
              <w:fldChar w:fldCharType="separate"/>
            </w:r>
            <w:r w:rsidR="00A57862">
              <w:rPr>
                <w:webHidden/>
              </w:rPr>
              <w:t>127</w:t>
            </w:r>
            <w:r w:rsidR="00A57862">
              <w:rPr>
                <w:webHidden/>
              </w:rPr>
              <w:fldChar w:fldCharType="end"/>
            </w:r>
          </w:hyperlink>
        </w:p>
        <w:p w14:paraId="445D9F1E" w14:textId="50CF91D5" w:rsidR="00A57862" w:rsidRDefault="00912091">
          <w:pPr>
            <w:pStyle w:val="TOC3"/>
            <w:rPr>
              <w:rFonts w:asciiTheme="minorHAnsi" w:eastAsiaTheme="minorEastAsia" w:hAnsiTheme="minorHAnsi" w:cstheme="minorBidi"/>
              <w:color w:val="auto"/>
              <w:szCs w:val="22"/>
              <w:lang w:eastAsia="en-NZ"/>
            </w:rPr>
          </w:pPr>
          <w:hyperlink w:anchor="_Toc168639067" w:history="1">
            <w:r w:rsidR="00A57862" w:rsidRPr="00A139B3">
              <w:rPr>
                <w:rStyle w:val="Hyperlink"/>
              </w:rPr>
              <w:t>Kāinga tokoora | Social welfare residences</w:t>
            </w:r>
            <w:r w:rsidR="00A57862">
              <w:rPr>
                <w:webHidden/>
              </w:rPr>
              <w:tab/>
            </w:r>
            <w:r w:rsidR="00A57862">
              <w:rPr>
                <w:webHidden/>
              </w:rPr>
              <w:fldChar w:fldCharType="begin"/>
            </w:r>
            <w:r w:rsidR="00A57862">
              <w:rPr>
                <w:webHidden/>
              </w:rPr>
              <w:instrText xml:space="preserve"> PAGEREF _Toc168639067 \h </w:instrText>
            </w:r>
            <w:r w:rsidR="00A57862">
              <w:rPr>
                <w:webHidden/>
              </w:rPr>
            </w:r>
            <w:r w:rsidR="00A57862">
              <w:rPr>
                <w:webHidden/>
              </w:rPr>
              <w:fldChar w:fldCharType="separate"/>
            </w:r>
            <w:r w:rsidR="00A57862">
              <w:rPr>
                <w:webHidden/>
              </w:rPr>
              <w:t>127</w:t>
            </w:r>
            <w:r w:rsidR="00A57862">
              <w:rPr>
                <w:webHidden/>
              </w:rPr>
              <w:fldChar w:fldCharType="end"/>
            </w:r>
          </w:hyperlink>
        </w:p>
        <w:p w14:paraId="56AE1990" w14:textId="0F219C53" w:rsidR="00A57862" w:rsidRDefault="00912091">
          <w:pPr>
            <w:pStyle w:val="TOC2"/>
            <w:rPr>
              <w:rFonts w:asciiTheme="minorHAnsi" w:eastAsiaTheme="minorEastAsia" w:hAnsiTheme="minorHAnsi" w:cstheme="minorBidi"/>
              <w:color w:val="auto"/>
              <w:szCs w:val="22"/>
              <w:lang w:eastAsia="en-NZ"/>
            </w:rPr>
          </w:pPr>
          <w:hyperlink w:anchor="_Toc168639068" w:history="1">
            <w:r w:rsidR="00A57862" w:rsidRPr="00A139B3">
              <w:rPr>
                <w:rStyle w:val="Hyperlink"/>
              </w:rPr>
              <w:t>Whāngai | Adoption</w:t>
            </w:r>
            <w:r w:rsidR="00A57862">
              <w:rPr>
                <w:webHidden/>
              </w:rPr>
              <w:tab/>
            </w:r>
            <w:r w:rsidR="00A57862">
              <w:rPr>
                <w:webHidden/>
              </w:rPr>
              <w:fldChar w:fldCharType="begin"/>
            </w:r>
            <w:r w:rsidR="00A57862">
              <w:rPr>
                <w:webHidden/>
              </w:rPr>
              <w:instrText xml:space="preserve"> PAGEREF _Toc168639068 \h </w:instrText>
            </w:r>
            <w:r w:rsidR="00A57862">
              <w:rPr>
                <w:webHidden/>
              </w:rPr>
            </w:r>
            <w:r w:rsidR="00A57862">
              <w:rPr>
                <w:webHidden/>
              </w:rPr>
              <w:fldChar w:fldCharType="separate"/>
            </w:r>
            <w:r w:rsidR="00A57862">
              <w:rPr>
                <w:webHidden/>
              </w:rPr>
              <w:t>128</w:t>
            </w:r>
            <w:r w:rsidR="00A57862">
              <w:rPr>
                <w:webHidden/>
              </w:rPr>
              <w:fldChar w:fldCharType="end"/>
            </w:r>
          </w:hyperlink>
        </w:p>
        <w:p w14:paraId="70179714" w14:textId="0E63E266" w:rsidR="00A57862" w:rsidRDefault="00912091">
          <w:pPr>
            <w:pStyle w:val="TOC4"/>
            <w:rPr>
              <w:rFonts w:asciiTheme="minorHAnsi" w:eastAsiaTheme="minorEastAsia" w:hAnsiTheme="minorHAnsi" w:cstheme="minorBidi"/>
              <w:color w:val="auto"/>
              <w:szCs w:val="22"/>
              <w:lang w:eastAsia="en-NZ"/>
            </w:rPr>
          </w:pPr>
          <w:hyperlink w:anchor="_Toc168639069" w:history="1">
            <w:r w:rsidR="00A57862" w:rsidRPr="00A139B3">
              <w:rPr>
                <w:rStyle w:val="Hyperlink"/>
              </w:rPr>
              <w:t>Te Ture Whāngai 1955, te whāngai Māori me te whāngai</w:t>
            </w:r>
            <w:r w:rsidR="00A57862">
              <w:rPr>
                <w:webHidden/>
              </w:rPr>
              <w:tab/>
            </w:r>
            <w:r w:rsidR="00A57862">
              <w:rPr>
                <w:webHidden/>
              </w:rPr>
              <w:fldChar w:fldCharType="begin"/>
            </w:r>
            <w:r w:rsidR="00A57862">
              <w:rPr>
                <w:webHidden/>
              </w:rPr>
              <w:instrText xml:space="preserve"> PAGEREF _Toc168639069 \h </w:instrText>
            </w:r>
            <w:r w:rsidR="00A57862">
              <w:rPr>
                <w:webHidden/>
              </w:rPr>
            </w:r>
            <w:r w:rsidR="00A57862">
              <w:rPr>
                <w:webHidden/>
              </w:rPr>
              <w:fldChar w:fldCharType="separate"/>
            </w:r>
            <w:r w:rsidR="00A57862">
              <w:rPr>
                <w:webHidden/>
              </w:rPr>
              <w:t>131</w:t>
            </w:r>
            <w:r w:rsidR="00A57862">
              <w:rPr>
                <w:webHidden/>
              </w:rPr>
              <w:fldChar w:fldCharType="end"/>
            </w:r>
          </w:hyperlink>
        </w:p>
        <w:p w14:paraId="540BDE70" w14:textId="41850249" w:rsidR="00A57862" w:rsidRDefault="00912091">
          <w:pPr>
            <w:pStyle w:val="TOC4"/>
            <w:rPr>
              <w:rFonts w:asciiTheme="minorHAnsi" w:eastAsiaTheme="minorEastAsia" w:hAnsiTheme="minorHAnsi" w:cstheme="minorBidi"/>
              <w:color w:val="auto"/>
              <w:szCs w:val="22"/>
              <w:lang w:eastAsia="en-NZ"/>
            </w:rPr>
          </w:pPr>
          <w:hyperlink w:anchor="_Toc168639070" w:history="1">
            <w:r w:rsidR="00A57862" w:rsidRPr="00A139B3">
              <w:rPr>
                <w:rStyle w:val="Hyperlink"/>
              </w:rPr>
              <w:t>The Adoption Act 1955 and Māori whāngai and adoptions</w:t>
            </w:r>
            <w:r w:rsidR="00A57862">
              <w:rPr>
                <w:webHidden/>
              </w:rPr>
              <w:tab/>
            </w:r>
            <w:r w:rsidR="00A57862">
              <w:rPr>
                <w:webHidden/>
              </w:rPr>
              <w:fldChar w:fldCharType="begin"/>
            </w:r>
            <w:r w:rsidR="00A57862">
              <w:rPr>
                <w:webHidden/>
              </w:rPr>
              <w:instrText xml:space="preserve"> PAGEREF _Toc168639070 \h </w:instrText>
            </w:r>
            <w:r w:rsidR="00A57862">
              <w:rPr>
                <w:webHidden/>
              </w:rPr>
            </w:r>
            <w:r w:rsidR="00A57862">
              <w:rPr>
                <w:webHidden/>
              </w:rPr>
              <w:fldChar w:fldCharType="separate"/>
            </w:r>
            <w:r w:rsidR="00A57862">
              <w:rPr>
                <w:webHidden/>
              </w:rPr>
              <w:t>131</w:t>
            </w:r>
            <w:r w:rsidR="00A57862">
              <w:rPr>
                <w:webHidden/>
              </w:rPr>
              <w:fldChar w:fldCharType="end"/>
            </w:r>
          </w:hyperlink>
        </w:p>
        <w:p w14:paraId="66615869" w14:textId="63906A47" w:rsidR="00A57862" w:rsidRDefault="00912091">
          <w:pPr>
            <w:pStyle w:val="TOC2"/>
            <w:rPr>
              <w:rFonts w:asciiTheme="minorHAnsi" w:eastAsiaTheme="minorEastAsia" w:hAnsiTheme="minorHAnsi" w:cstheme="minorBidi"/>
              <w:color w:val="auto"/>
              <w:szCs w:val="22"/>
              <w:lang w:eastAsia="en-NZ"/>
            </w:rPr>
          </w:pPr>
          <w:hyperlink w:anchor="_Toc168639071" w:history="1">
            <w:r w:rsidR="00A57862" w:rsidRPr="00A139B3">
              <w:rPr>
                <w:rStyle w:val="Hyperlink"/>
              </w:rPr>
              <w:t>Whakaritenga whakawhiti, whakaū ture hoki</w:t>
            </w:r>
            <w:r w:rsidR="00A57862">
              <w:rPr>
                <w:webHidden/>
              </w:rPr>
              <w:tab/>
            </w:r>
            <w:r w:rsidR="00A57862">
              <w:rPr>
                <w:webHidden/>
              </w:rPr>
              <w:fldChar w:fldCharType="begin"/>
            </w:r>
            <w:r w:rsidR="00A57862">
              <w:rPr>
                <w:webHidden/>
              </w:rPr>
              <w:instrText xml:space="preserve"> PAGEREF _Toc168639071 \h </w:instrText>
            </w:r>
            <w:r w:rsidR="00A57862">
              <w:rPr>
                <w:webHidden/>
              </w:rPr>
            </w:r>
            <w:r w:rsidR="00A57862">
              <w:rPr>
                <w:webHidden/>
              </w:rPr>
              <w:fldChar w:fldCharType="separate"/>
            </w:r>
            <w:r w:rsidR="00A57862">
              <w:rPr>
                <w:webHidden/>
              </w:rPr>
              <w:t>132</w:t>
            </w:r>
            <w:r w:rsidR="00A57862">
              <w:rPr>
                <w:webHidden/>
              </w:rPr>
              <w:fldChar w:fldCharType="end"/>
            </w:r>
          </w:hyperlink>
        </w:p>
        <w:p w14:paraId="3F89994C" w14:textId="2679B6CE" w:rsidR="00A57862" w:rsidRDefault="00912091">
          <w:pPr>
            <w:pStyle w:val="TOC2"/>
            <w:rPr>
              <w:rFonts w:asciiTheme="minorHAnsi" w:eastAsiaTheme="minorEastAsia" w:hAnsiTheme="minorHAnsi" w:cstheme="minorBidi"/>
              <w:color w:val="auto"/>
              <w:szCs w:val="22"/>
              <w:lang w:eastAsia="en-NZ"/>
            </w:rPr>
          </w:pPr>
          <w:hyperlink w:anchor="_Toc168639072" w:history="1">
            <w:r w:rsidR="00A57862" w:rsidRPr="00A139B3">
              <w:rPr>
                <w:rStyle w:val="Hyperlink"/>
              </w:rPr>
              <w:t>Transitional and law enforcement settings</w:t>
            </w:r>
            <w:r w:rsidR="00A57862">
              <w:rPr>
                <w:webHidden/>
              </w:rPr>
              <w:tab/>
            </w:r>
            <w:r w:rsidR="00A57862">
              <w:rPr>
                <w:webHidden/>
              </w:rPr>
              <w:fldChar w:fldCharType="begin"/>
            </w:r>
            <w:r w:rsidR="00A57862">
              <w:rPr>
                <w:webHidden/>
              </w:rPr>
              <w:instrText xml:space="preserve"> PAGEREF _Toc168639072 \h </w:instrText>
            </w:r>
            <w:r w:rsidR="00A57862">
              <w:rPr>
                <w:webHidden/>
              </w:rPr>
            </w:r>
            <w:r w:rsidR="00A57862">
              <w:rPr>
                <w:webHidden/>
              </w:rPr>
              <w:fldChar w:fldCharType="separate"/>
            </w:r>
            <w:r w:rsidR="00A57862">
              <w:rPr>
                <w:webHidden/>
              </w:rPr>
              <w:t>132</w:t>
            </w:r>
            <w:r w:rsidR="00A57862">
              <w:rPr>
                <w:webHidden/>
              </w:rPr>
              <w:fldChar w:fldCharType="end"/>
            </w:r>
          </w:hyperlink>
        </w:p>
        <w:p w14:paraId="1CCADAB1" w14:textId="52F8896D" w:rsidR="00A57862" w:rsidRDefault="00912091">
          <w:pPr>
            <w:pStyle w:val="TOC2"/>
            <w:rPr>
              <w:rFonts w:asciiTheme="minorHAnsi" w:eastAsiaTheme="minorEastAsia" w:hAnsiTheme="minorHAnsi" w:cstheme="minorBidi"/>
              <w:color w:val="auto"/>
              <w:szCs w:val="22"/>
              <w:lang w:eastAsia="en-NZ"/>
            </w:rPr>
          </w:pPr>
          <w:hyperlink w:anchor="_Toc168639073" w:history="1">
            <w:r w:rsidR="00A57862" w:rsidRPr="00A139B3">
              <w:rPr>
                <w:rStyle w:val="Hyperlink"/>
              </w:rPr>
              <w:t>Te manatika taiohi | Youth justice</w:t>
            </w:r>
            <w:r w:rsidR="00A57862">
              <w:rPr>
                <w:webHidden/>
              </w:rPr>
              <w:tab/>
            </w:r>
            <w:r w:rsidR="00A57862">
              <w:rPr>
                <w:webHidden/>
              </w:rPr>
              <w:fldChar w:fldCharType="begin"/>
            </w:r>
            <w:r w:rsidR="00A57862">
              <w:rPr>
                <w:webHidden/>
              </w:rPr>
              <w:instrText xml:space="preserve"> PAGEREF _Toc168639073 \h </w:instrText>
            </w:r>
            <w:r w:rsidR="00A57862">
              <w:rPr>
                <w:webHidden/>
              </w:rPr>
            </w:r>
            <w:r w:rsidR="00A57862">
              <w:rPr>
                <w:webHidden/>
              </w:rPr>
              <w:fldChar w:fldCharType="separate"/>
            </w:r>
            <w:r w:rsidR="00A57862">
              <w:rPr>
                <w:webHidden/>
              </w:rPr>
              <w:t>133</w:t>
            </w:r>
            <w:r w:rsidR="00A57862">
              <w:rPr>
                <w:webHidden/>
              </w:rPr>
              <w:fldChar w:fldCharType="end"/>
            </w:r>
          </w:hyperlink>
        </w:p>
        <w:p w14:paraId="2D34893A" w14:textId="010CC940" w:rsidR="00A57862" w:rsidRDefault="00912091">
          <w:pPr>
            <w:pStyle w:val="TOC2"/>
            <w:rPr>
              <w:rFonts w:asciiTheme="minorHAnsi" w:eastAsiaTheme="minorEastAsia" w:hAnsiTheme="minorHAnsi" w:cstheme="minorBidi"/>
              <w:color w:val="auto"/>
              <w:szCs w:val="22"/>
              <w:lang w:eastAsia="en-NZ"/>
            </w:rPr>
          </w:pPr>
          <w:hyperlink w:anchor="_Toc168639074" w:history="1">
            <w:r w:rsidR="00A57862" w:rsidRPr="00A139B3">
              <w:rPr>
                <w:rStyle w:val="Hyperlink"/>
              </w:rPr>
              <w:t>Te whaikahatanga me te whaioratanga | Disability and Mental Health</w:t>
            </w:r>
            <w:r w:rsidR="00A57862">
              <w:rPr>
                <w:webHidden/>
              </w:rPr>
              <w:tab/>
            </w:r>
            <w:r w:rsidR="00A57862">
              <w:rPr>
                <w:webHidden/>
              </w:rPr>
              <w:fldChar w:fldCharType="begin"/>
            </w:r>
            <w:r w:rsidR="00A57862">
              <w:rPr>
                <w:webHidden/>
              </w:rPr>
              <w:instrText xml:space="preserve"> PAGEREF _Toc168639074 \h </w:instrText>
            </w:r>
            <w:r w:rsidR="00A57862">
              <w:rPr>
                <w:webHidden/>
              </w:rPr>
            </w:r>
            <w:r w:rsidR="00A57862">
              <w:rPr>
                <w:webHidden/>
              </w:rPr>
              <w:fldChar w:fldCharType="separate"/>
            </w:r>
            <w:r w:rsidR="00A57862">
              <w:rPr>
                <w:webHidden/>
              </w:rPr>
              <w:t>136</w:t>
            </w:r>
            <w:r w:rsidR="00A57862">
              <w:rPr>
                <w:webHidden/>
              </w:rPr>
              <w:fldChar w:fldCharType="end"/>
            </w:r>
          </w:hyperlink>
        </w:p>
        <w:p w14:paraId="53813024" w14:textId="26DDC634" w:rsidR="00A57862" w:rsidRDefault="00912091">
          <w:pPr>
            <w:pStyle w:val="TOC3"/>
            <w:rPr>
              <w:rFonts w:asciiTheme="minorHAnsi" w:eastAsiaTheme="minorEastAsia" w:hAnsiTheme="minorHAnsi" w:cstheme="minorBidi"/>
              <w:color w:val="auto"/>
              <w:szCs w:val="22"/>
              <w:lang w:eastAsia="en-NZ"/>
            </w:rPr>
          </w:pPr>
          <w:hyperlink w:anchor="_Toc168639075" w:history="1">
            <w:r w:rsidR="00A57862" w:rsidRPr="00A139B3">
              <w:rPr>
                <w:rStyle w:val="Hyperlink"/>
                <w:lang w:val="en-US"/>
              </w:rPr>
              <w:t>I te Tari Hauora me ngā poari hohipera te haepapa matua</w:t>
            </w:r>
            <w:r w:rsidR="00A57862">
              <w:rPr>
                <w:webHidden/>
              </w:rPr>
              <w:tab/>
            </w:r>
            <w:r w:rsidR="00A57862">
              <w:rPr>
                <w:webHidden/>
              </w:rPr>
              <w:fldChar w:fldCharType="begin"/>
            </w:r>
            <w:r w:rsidR="00A57862">
              <w:rPr>
                <w:webHidden/>
              </w:rPr>
              <w:instrText xml:space="preserve"> PAGEREF _Toc168639075 \h </w:instrText>
            </w:r>
            <w:r w:rsidR="00A57862">
              <w:rPr>
                <w:webHidden/>
              </w:rPr>
            </w:r>
            <w:r w:rsidR="00A57862">
              <w:rPr>
                <w:webHidden/>
              </w:rPr>
              <w:fldChar w:fldCharType="separate"/>
            </w:r>
            <w:r w:rsidR="00A57862">
              <w:rPr>
                <w:webHidden/>
              </w:rPr>
              <w:t>136</w:t>
            </w:r>
            <w:r w:rsidR="00A57862">
              <w:rPr>
                <w:webHidden/>
              </w:rPr>
              <w:fldChar w:fldCharType="end"/>
            </w:r>
          </w:hyperlink>
        </w:p>
        <w:p w14:paraId="1E20A627" w14:textId="3B3469D2" w:rsidR="00A57862" w:rsidRDefault="00912091">
          <w:pPr>
            <w:pStyle w:val="TOC3"/>
            <w:rPr>
              <w:rFonts w:asciiTheme="minorHAnsi" w:eastAsiaTheme="minorEastAsia" w:hAnsiTheme="minorHAnsi" w:cstheme="minorBidi"/>
              <w:color w:val="auto"/>
              <w:szCs w:val="22"/>
              <w:lang w:eastAsia="en-NZ"/>
            </w:rPr>
          </w:pPr>
          <w:hyperlink w:anchor="_Toc168639076" w:history="1">
            <w:r w:rsidR="00A57862" w:rsidRPr="00A139B3">
              <w:rPr>
                <w:rStyle w:val="Hyperlink"/>
              </w:rPr>
              <w:t>Department of Health and Hospital Boards had overall responsibility</w:t>
            </w:r>
            <w:r w:rsidR="00A57862">
              <w:rPr>
                <w:webHidden/>
              </w:rPr>
              <w:tab/>
            </w:r>
            <w:r w:rsidR="00A57862">
              <w:rPr>
                <w:webHidden/>
              </w:rPr>
              <w:fldChar w:fldCharType="begin"/>
            </w:r>
            <w:r w:rsidR="00A57862">
              <w:rPr>
                <w:webHidden/>
              </w:rPr>
              <w:instrText xml:space="preserve"> PAGEREF _Toc168639076 \h </w:instrText>
            </w:r>
            <w:r w:rsidR="00A57862">
              <w:rPr>
                <w:webHidden/>
              </w:rPr>
            </w:r>
            <w:r w:rsidR="00A57862">
              <w:rPr>
                <w:webHidden/>
              </w:rPr>
              <w:fldChar w:fldCharType="separate"/>
            </w:r>
            <w:r w:rsidR="00A57862">
              <w:rPr>
                <w:webHidden/>
              </w:rPr>
              <w:t>136</w:t>
            </w:r>
            <w:r w:rsidR="00A57862">
              <w:rPr>
                <w:webHidden/>
              </w:rPr>
              <w:fldChar w:fldCharType="end"/>
            </w:r>
          </w:hyperlink>
        </w:p>
        <w:p w14:paraId="6592EE2C" w14:textId="7B737CEA" w:rsidR="00A57862" w:rsidRDefault="00912091">
          <w:pPr>
            <w:pStyle w:val="TOC3"/>
            <w:rPr>
              <w:rFonts w:asciiTheme="minorHAnsi" w:eastAsiaTheme="minorEastAsia" w:hAnsiTheme="minorHAnsi" w:cstheme="minorBidi"/>
              <w:color w:val="auto"/>
              <w:szCs w:val="22"/>
              <w:lang w:eastAsia="en-NZ"/>
            </w:rPr>
          </w:pPr>
          <w:hyperlink w:anchor="_Toc168639077" w:history="1">
            <w:r w:rsidR="00A57862" w:rsidRPr="00A139B3">
              <w:rPr>
                <w:rStyle w:val="Hyperlink"/>
                <w:lang w:val="en-US"/>
              </w:rPr>
              <w:t>Ngā ngaio hauora me ētahi atu kaimahi taurima</w:t>
            </w:r>
            <w:r w:rsidR="00A57862">
              <w:rPr>
                <w:webHidden/>
              </w:rPr>
              <w:tab/>
            </w:r>
            <w:r w:rsidR="00A57862">
              <w:rPr>
                <w:webHidden/>
              </w:rPr>
              <w:fldChar w:fldCharType="begin"/>
            </w:r>
            <w:r w:rsidR="00A57862">
              <w:rPr>
                <w:webHidden/>
              </w:rPr>
              <w:instrText xml:space="preserve"> PAGEREF _Toc168639077 \h </w:instrText>
            </w:r>
            <w:r w:rsidR="00A57862">
              <w:rPr>
                <w:webHidden/>
              </w:rPr>
            </w:r>
            <w:r w:rsidR="00A57862">
              <w:rPr>
                <w:webHidden/>
              </w:rPr>
              <w:fldChar w:fldCharType="separate"/>
            </w:r>
            <w:r w:rsidR="00A57862">
              <w:rPr>
                <w:webHidden/>
              </w:rPr>
              <w:t>137</w:t>
            </w:r>
            <w:r w:rsidR="00A57862">
              <w:rPr>
                <w:webHidden/>
              </w:rPr>
              <w:fldChar w:fldCharType="end"/>
            </w:r>
          </w:hyperlink>
        </w:p>
        <w:p w14:paraId="50C7FD2D" w14:textId="4E9446AC" w:rsidR="00A57862" w:rsidRDefault="00912091">
          <w:pPr>
            <w:pStyle w:val="TOC3"/>
            <w:rPr>
              <w:rFonts w:asciiTheme="minorHAnsi" w:eastAsiaTheme="minorEastAsia" w:hAnsiTheme="minorHAnsi" w:cstheme="minorBidi"/>
              <w:color w:val="auto"/>
              <w:szCs w:val="22"/>
              <w:lang w:eastAsia="en-NZ"/>
            </w:rPr>
          </w:pPr>
          <w:hyperlink w:anchor="_Toc168639078" w:history="1">
            <w:r w:rsidR="00A57862" w:rsidRPr="00A139B3">
              <w:rPr>
                <w:rStyle w:val="Hyperlink"/>
              </w:rPr>
              <w:t>Health professionals and other care workers</w:t>
            </w:r>
            <w:r w:rsidR="00A57862">
              <w:rPr>
                <w:webHidden/>
              </w:rPr>
              <w:tab/>
            </w:r>
            <w:r w:rsidR="00A57862">
              <w:rPr>
                <w:webHidden/>
              </w:rPr>
              <w:fldChar w:fldCharType="begin"/>
            </w:r>
            <w:r w:rsidR="00A57862">
              <w:rPr>
                <w:webHidden/>
              </w:rPr>
              <w:instrText xml:space="preserve"> PAGEREF _Toc168639078 \h </w:instrText>
            </w:r>
            <w:r w:rsidR="00A57862">
              <w:rPr>
                <w:webHidden/>
              </w:rPr>
            </w:r>
            <w:r w:rsidR="00A57862">
              <w:rPr>
                <w:webHidden/>
              </w:rPr>
              <w:fldChar w:fldCharType="separate"/>
            </w:r>
            <w:r w:rsidR="00A57862">
              <w:rPr>
                <w:webHidden/>
              </w:rPr>
              <w:t>137</w:t>
            </w:r>
            <w:r w:rsidR="00A57862">
              <w:rPr>
                <w:webHidden/>
              </w:rPr>
              <w:fldChar w:fldCharType="end"/>
            </w:r>
          </w:hyperlink>
        </w:p>
        <w:p w14:paraId="23489678" w14:textId="4EC4A287" w:rsidR="00A57862" w:rsidRDefault="00912091">
          <w:pPr>
            <w:pStyle w:val="TOC3"/>
            <w:rPr>
              <w:rFonts w:asciiTheme="minorHAnsi" w:eastAsiaTheme="minorEastAsia" w:hAnsiTheme="minorHAnsi" w:cstheme="minorBidi"/>
              <w:color w:val="auto"/>
              <w:szCs w:val="22"/>
              <w:lang w:eastAsia="en-NZ"/>
            </w:rPr>
          </w:pPr>
          <w:hyperlink w:anchor="_Toc168639079" w:history="1">
            <w:r w:rsidR="00A57862" w:rsidRPr="00A139B3">
              <w:rPr>
                <w:rStyle w:val="Hyperlink"/>
              </w:rPr>
              <w:t>Ngā ture mō te whaikaha me te hauora hinengaro</w:t>
            </w:r>
            <w:r w:rsidR="00A57862">
              <w:rPr>
                <w:webHidden/>
              </w:rPr>
              <w:tab/>
            </w:r>
            <w:r w:rsidR="00A57862">
              <w:rPr>
                <w:webHidden/>
              </w:rPr>
              <w:fldChar w:fldCharType="begin"/>
            </w:r>
            <w:r w:rsidR="00A57862">
              <w:rPr>
                <w:webHidden/>
              </w:rPr>
              <w:instrText xml:space="preserve"> PAGEREF _Toc168639079 \h </w:instrText>
            </w:r>
            <w:r w:rsidR="00A57862">
              <w:rPr>
                <w:webHidden/>
              </w:rPr>
            </w:r>
            <w:r w:rsidR="00A57862">
              <w:rPr>
                <w:webHidden/>
              </w:rPr>
              <w:fldChar w:fldCharType="separate"/>
            </w:r>
            <w:r w:rsidR="00A57862">
              <w:rPr>
                <w:webHidden/>
              </w:rPr>
              <w:t>137</w:t>
            </w:r>
            <w:r w:rsidR="00A57862">
              <w:rPr>
                <w:webHidden/>
              </w:rPr>
              <w:fldChar w:fldCharType="end"/>
            </w:r>
          </w:hyperlink>
        </w:p>
        <w:p w14:paraId="32C13B62" w14:textId="39019177" w:rsidR="00A57862" w:rsidRDefault="00912091">
          <w:pPr>
            <w:pStyle w:val="TOC3"/>
            <w:rPr>
              <w:rFonts w:asciiTheme="minorHAnsi" w:eastAsiaTheme="minorEastAsia" w:hAnsiTheme="minorHAnsi" w:cstheme="minorBidi"/>
              <w:color w:val="auto"/>
              <w:szCs w:val="22"/>
              <w:lang w:eastAsia="en-NZ"/>
            </w:rPr>
          </w:pPr>
          <w:hyperlink w:anchor="_Toc168639080" w:history="1">
            <w:r w:rsidR="00A57862" w:rsidRPr="00A139B3">
              <w:rPr>
                <w:rStyle w:val="Hyperlink"/>
              </w:rPr>
              <w:t>Disability and mental health legislation</w:t>
            </w:r>
            <w:r w:rsidR="00A57862">
              <w:rPr>
                <w:webHidden/>
              </w:rPr>
              <w:tab/>
            </w:r>
            <w:r w:rsidR="00A57862">
              <w:rPr>
                <w:webHidden/>
              </w:rPr>
              <w:fldChar w:fldCharType="begin"/>
            </w:r>
            <w:r w:rsidR="00A57862">
              <w:rPr>
                <w:webHidden/>
              </w:rPr>
              <w:instrText xml:space="preserve"> PAGEREF _Toc168639080 \h </w:instrText>
            </w:r>
            <w:r w:rsidR="00A57862">
              <w:rPr>
                <w:webHidden/>
              </w:rPr>
            </w:r>
            <w:r w:rsidR="00A57862">
              <w:rPr>
                <w:webHidden/>
              </w:rPr>
              <w:fldChar w:fldCharType="separate"/>
            </w:r>
            <w:r w:rsidR="00A57862">
              <w:rPr>
                <w:webHidden/>
              </w:rPr>
              <w:t>137</w:t>
            </w:r>
            <w:r w:rsidR="00A57862">
              <w:rPr>
                <w:webHidden/>
              </w:rPr>
              <w:fldChar w:fldCharType="end"/>
            </w:r>
          </w:hyperlink>
        </w:p>
        <w:p w14:paraId="3A0FE483" w14:textId="454404EA" w:rsidR="00A57862" w:rsidRDefault="00912091">
          <w:pPr>
            <w:pStyle w:val="TOC3"/>
            <w:rPr>
              <w:rFonts w:asciiTheme="minorHAnsi" w:eastAsiaTheme="minorEastAsia" w:hAnsiTheme="minorHAnsi" w:cstheme="minorBidi"/>
              <w:color w:val="auto"/>
              <w:szCs w:val="22"/>
              <w:lang w:eastAsia="en-NZ"/>
            </w:rPr>
          </w:pPr>
          <w:hyperlink w:anchor="_Toc168639081" w:history="1">
            <w:r w:rsidR="00A57862" w:rsidRPr="00A139B3">
              <w:rPr>
                <w:rStyle w:val="Hyperlink"/>
              </w:rPr>
              <w:t>Whare hauora hinengaro | Psychiatric hospitals</w:t>
            </w:r>
            <w:r w:rsidR="00A57862">
              <w:rPr>
                <w:webHidden/>
              </w:rPr>
              <w:tab/>
            </w:r>
            <w:r w:rsidR="00A57862">
              <w:rPr>
                <w:webHidden/>
              </w:rPr>
              <w:fldChar w:fldCharType="begin"/>
            </w:r>
            <w:r w:rsidR="00A57862">
              <w:rPr>
                <w:webHidden/>
              </w:rPr>
              <w:instrText xml:space="preserve"> PAGEREF _Toc168639081 \h </w:instrText>
            </w:r>
            <w:r w:rsidR="00A57862">
              <w:rPr>
                <w:webHidden/>
              </w:rPr>
            </w:r>
            <w:r w:rsidR="00A57862">
              <w:rPr>
                <w:webHidden/>
              </w:rPr>
              <w:fldChar w:fldCharType="separate"/>
            </w:r>
            <w:r w:rsidR="00A57862">
              <w:rPr>
                <w:webHidden/>
              </w:rPr>
              <w:t>137</w:t>
            </w:r>
            <w:r w:rsidR="00A57862">
              <w:rPr>
                <w:webHidden/>
              </w:rPr>
              <w:fldChar w:fldCharType="end"/>
            </w:r>
          </w:hyperlink>
        </w:p>
        <w:p w14:paraId="0EBE3B20" w14:textId="2449DF80" w:rsidR="00A57862" w:rsidRDefault="00912091">
          <w:pPr>
            <w:pStyle w:val="TOC3"/>
            <w:rPr>
              <w:rFonts w:asciiTheme="minorHAnsi" w:eastAsiaTheme="minorEastAsia" w:hAnsiTheme="minorHAnsi" w:cstheme="minorBidi"/>
              <w:color w:val="auto"/>
              <w:szCs w:val="22"/>
              <w:lang w:eastAsia="en-NZ"/>
            </w:rPr>
          </w:pPr>
          <w:hyperlink w:anchor="_Toc168639082" w:history="1">
            <w:r w:rsidR="00A57862" w:rsidRPr="00A139B3">
              <w:rPr>
                <w:rStyle w:val="Hyperlink"/>
              </w:rPr>
              <w:t>Whare hauora hinengaro tamariki | Psychopaedic hospitals</w:t>
            </w:r>
            <w:r w:rsidR="00A57862">
              <w:rPr>
                <w:webHidden/>
              </w:rPr>
              <w:tab/>
            </w:r>
            <w:r w:rsidR="00A57862">
              <w:rPr>
                <w:webHidden/>
              </w:rPr>
              <w:fldChar w:fldCharType="begin"/>
            </w:r>
            <w:r w:rsidR="00A57862">
              <w:rPr>
                <w:webHidden/>
              </w:rPr>
              <w:instrText xml:space="preserve"> PAGEREF _Toc168639082 \h </w:instrText>
            </w:r>
            <w:r w:rsidR="00A57862">
              <w:rPr>
                <w:webHidden/>
              </w:rPr>
            </w:r>
            <w:r w:rsidR="00A57862">
              <w:rPr>
                <w:webHidden/>
              </w:rPr>
              <w:fldChar w:fldCharType="separate"/>
            </w:r>
            <w:r w:rsidR="00A57862">
              <w:rPr>
                <w:webHidden/>
              </w:rPr>
              <w:t>138</w:t>
            </w:r>
            <w:r w:rsidR="00A57862">
              <w:rPr>
                <w:webHidden/>
              </w:rPr>
              <w:fldChar w:fldCharType="end"/>
            </w:r>
          </w:hyperlink>
        </w:p>
        <w:p w14:paraId="32EF03AE" w14:textId="15C037BF" w:rsidR="00A57862" w:rsidRDefault="00912091">
          <w:pPr>
            <w:pStyle w:val="TOC3"/>
            <w:rPr>
              <w:rFonts w:asciiTheme="minorHAnsi" w:eastAsiaTheme="minorEastAsia" w:hAnsiTheme="minorHAnsi" w:cstheme="minorBidi"/>
              <w:color w:val="auto"/>
              <w:szCs w:val="22"/>
              <w:lang w:eastAsia="en-NZ"/>
            </w:rPr>
          </w:pPr>
          <w:hyperlink w:anchor="_Toc168639083" w:history="1">
            <w:r w:rsidR="00A57862" w:rsidRPr="00A139B3">
              <w:rPr>
                <w:rStyle w:val="Hyperlink"/>
              </w:rPr>
              <w:t>Kāinga mō te hunga whaikaha ā-tinana | Homes for physically disabled people</w:t>
            </w:r>
            <w:r w:rsidR="00A57862">
              <w:rPr>
                <w:webHidden/>
              </w:rPr>
              <w:tab/>
            </w:r>
            <w:r w:rsidR="00A57862">
              <w:rPr>
                <w:webHidden/>
              </w:rPr>
              <w:fldChar w:fldCharType="begin"/>
            </w:r>
            <w:r w:rsidR="00A57862">
              <w:rPr>
                <w:webHidden/>
              </w:rPr>
              <w:instrText xml:space="preserve"> PAGEREF _Toc168639083 \h </w:instrText>
            </w:r>
            <w:r w:rsidR="00A57862">
              <w:rPr>
                <w:webHidden/>
              </w:rPr>
            </w:r>
            <w:r w:rsidR="00A57862">
              <w:rPr>
                <w:webHidden/>
              </w:rPr>
              <w:fldChar w:fldCharType="separate"/>
            </w:r>
            <w:r w:rsidR="00A57862">
              <w:rPr>
                <w:webHidden/>
              </w:rPr>
              <w:t>139</w:t>
            </w:r>
            <w:r w:rsidR="00A57862">
              <w:rPr>
                <w:webHidden/>
              </w:rPr>
              <w:fldChar w:fldCharType="end"/>
            </w:r>
          </w:hyperlink>
        </w:p>
        <w:p w14:paraId="166D07E0" w14:textId="77BE8351" w:rsidR="00A57862" w:rsidRDefault="00912091">
          <w:pPr>
            <w:pStyle w:val="TOC3"/>
            <w:rPr>
              <w:rFonts w:asciiTheme="minorHAnsi" w:eastAsiaTheme="minorEastAsia" w:hAnsiTheme="minorHAnsi" w:cstheme="minorBidi"/>
              <w:color w:val="auto"/>
              <w:szCs w:val="22"/>
              <w:lang w:eastAsia="en-NZ"/>
            </w:rPr>
          </w:pPr>
          <w:hyperlink w:anchor="_Toc168639084" w:history="1">
            <w:r w:rsidR="00A57862" w:rsidRPr="00A139B3">
              <w:rPr>
                <w:rStyle w:val="Hyperlink"/>
              </w:rPr>
              <w:t>Wāhi mahi āhuru | Sheltered workshops</w:t>
            </w:r>
            <w:r w:rsidR="00A57862">
              <w:rPr>
                <w:webHidden/>
              </w:rPr>
              <w:tab/>
            </w:r>
            <w:r w:rsidR="00A57862">
              <w:rPr>
                <w:webHidden/>
              </w:rPr>
              <w:fldChar w:fldCharType="begin"/>
            </w:r>
            <w:r w:rsidR="00A57862">
              <w:rPr>
                <w:webHidden/>
              </w:rPr>
              <w:instrText xml:space="preserve"> PAGEREF _Toc168639084 \h </w:instrText>
            </w:r>
            <w:r w:rsidR="00A57862">
              <w:rPr>
                <w:webHidden/>
              </w:rPr>
            </w:r>
            <w:r w:rsidR="00A57862">
              <w:rPr>
                <w:webHidden/>
              </w:rPr>
              <w:fldChar w:fldCharType="separate"/>
            </w:r>
            <w:r w:rsidR="00A57862">
              <w:rPr>
                <w:webHidden/>
              </w:rPr>
              <w:t>139</w:t>
            </w:r>
            <w:r w:rsidR="00A57862">
              <w:rPr>
                <w:webHidden/>
              </w:rPr>
              <w:fldChar w:fldCharType="end"/>
            </w:r>
          </w:hyperlink>
        </w:p>
        <w:p w14:paraId="6FD3D1CC" w14:textId="546CBC2D" w:rsidR="00A57862" w:rsidRDefault="00912091">
          <w:pPr>
            <w:pStyle w:val="TOC3"/>
            <w:rPr>
              <w:rFonts w:asciiTheme="minorHAnsi" w:eastAsiaTheme="minorEastAsia" w:hAnsiTheme="minorHAnsi" w:cstheme="minorBidi"/>
              <w:color w:val="auto"/>
              <w:szCs w:val="22"/>
              <w:lang w:eastAsia="en-NZ"/>
            </w:rPr>
          </w:pPr>
          <w:hyperlink w:anchor="_Toc168639085" w:history="1">
            <w:r w:rsidR="00A57862" w:rsidRPr="00A139B3">
              <w:rPr>
                <w:rStyle w:val="Hyperlink"/>
              </w:rPr>
              <w:t>Hōpuni hauora | Health camps</w:t>
            </w:r>
            <w:r w:rsidR="00A57862">
              <w:rPr>
                <w:webHidden/>
              </w:rPr>
              <w:tab/>
            </w:r>
            <w:r w:rsidR="00A57862">
              <w:rPr>
                <w:webHidden/>
              </w:rPr>
              <w:fldChar w:fldCharType="begin"/>
            </w:r>
            <w:r w:rsidR="00A57862">
              <w:rPr>
                <w:webHidden/>
              </w:rPr>
              <w:instrText xml:space="preserve"> PAGEREF _Toc168639085 \h </w:instrText>
            </w:r>
            <w:r w:rsidR="00A57862">
              <w:rPr>
                <w:webHidden/>
              </w:rPr>
            </w:r>
            <w:r w:rsidR="00A57862">
              <w:rPr>
                <w:webHidden/>
              </w:rPr>
              <w:fldChar w:fldCharType="separate"/>
            </w:r>
            <w:r w:rsidR="00A57862">
              <w:rPr>
                <w:webHidden/>
              </w:rPr>
              <w:t>140</w:t>
            </w:r>
            <w:r w:rsidR="00A57862">
              <w:rPr>
                <w:webHidden/>
              </w:rPr>
              <w:fldChar w:fldCharType="end"/>
            </w:r>
          </w:hyperlink>
        </w:p>
        <w:p w14:paraId="2C246C82" w14:textId="63857C73" w:rsidR="00A57862" w:rsidRDefault="00912091">
          <w:pPr>
            <w:pStyle w:val="TOC2"/>
            <w:rPr>
              <w:rFonts w:asciiTheme="minorHAnsi" w:eastAsiaTheme="minorEastAsia" w:hAnsiTheme="minorHAnsi" w:cstheme="minorBidi"/>
              <w:color w:val="auto"/>
              <w:szCs w:val="22"/>
              <w:lang w:eastAsia="en-NZ"/>
            </w:rPr>
          </w:pPr>
          <w:hyperlink w:anchor="_Toc168639086" w:history="1">
            <w:r w:rsidR="00A57862" w:rsidRPr="00A139B3">
              <w:rPr>
                <w:rStyle w:val="Hyperlink"/>
              </w:rPr>
              <w:t>Mātauranga | Education</w:t>
            </w:r>
            <w:r w:rsidR="00A57862">
              <w:rPr>
                <w:webHidden/>
              </w:rPr>
              <w:tab/>
            </w:r>
            <w:r w:rsidR="00A57862">
              <w:rPr>
                <w:webHidden/>
              </w:rPr>
              <w:fldChar w:fldCharType="begin"/>
            </w:r>
            <w:r w:rsidR="00A57862">
              <w:rPr>
                <w:webHidden/>
              </w:rPr>
              <w:instrText xml:space="preserve"> PAGEREF _Toc168639086 \h </w:instrText>
            </w:r>
            <w:r w:rsidR="00A57862">
              <w:rPr>
                <w:webHidden/>
              </w:rPr>
            </w:r>
            <w:r w:rsidR="00A57862">
              <w:rPr>
                <w:webHidden/>
              </w:rPr>
              <w:fldChar w:fldCharType="separate"/>
            </w:r>
            <w:r w:rsidR="00A57862">
              <w:rPr>
                <w:webHidden/>
              </w:rPr>
              <w:t>140</w:t>
            </w:r>
            <w:r w:rsidR="00A57862">
              <w:rPr>
                <w:webHidden/>
              </w:rPr>
              <w:fldChar w:fldCharType="end"/>
            </w:r>
          </w:hyperlink>
        </w:p>
        <w:p w14:paraId="0C637233" w14:textId="7A9B99B5" w:rsidR="00A57862" w:rsidRDefault="00912091">
          <w:pPr>
            <w:pStyle w:val="TOC3"/>
            <w:rPr>
              <w:rFonts w:asciiTheme="minorHAnsi" w:eastAsiaTheme="minorEastAsia" w:hAnsiTheme="minorHAnsi" w:cstheme="minorBidi"/>
              <w:color w:val="auto"/>
              <w:szCs w:val="22"/>
              <w:lang w:eastAsia="en-NZ"/>
            </w:rPr>
          </w:pPr>
          <w:hyperlink w:anchor="_Toc168639087" w:history="1">
            <w:r w:rsidR="00A57862" w:rsidRPr="00A139B3">
              <w:rPr>
                <w:rStyle w:val="Hyperlink"/>
                <w:lang w:val="en-US"/>
              </w:rPr>
              <w:t>Te Ture Mātauranga me Te Tari Mātauranga</w:t>
            </w:r>
            <w:r w:rsidR="00A57862">
              <w:rPr>
                <w:webHidden/>
              </w:rPr>
              <w:tab/>
            </w:r>
            <w:r w:rsidR="00A57862">
              <w:rPr>
                <w:webHidden/>
              </w:rPr>
              <w:fldChar w:fldCharType="begin"/>
            </w:r>
            <w:r w:rsidR="00A57862">
              <w:rPr>
                <w:webHidden/>
              </w:rPr>
              <w:instrText xml:space="preserve"> PAGEREF _Toc168639087 \h </w:instrText>
            </w:r>
            <w:r w:rsidR="00A57862">
              <w:rPr>
                <w:webHidden/>
              </w:rPr>
            </w:r>
            <w:r w:rsidR="00A57862">
              <w:rPr>
                <w:webHidden/>
              </w:rPr>
              <w:fldChar w:fldCharType="separate"/>
            </w:r>
            <w:r w:rsidR="00A57862">
              <w:rPr>
                <w:webHidden/>
              </w:rPr>
              <w:t>140</w:t>
            </w:r>
            <w:r w:rsidR="00A57862">
              <w:rPr>
                <w:webHidden/>
              </w:rPr>
              <w:fldChar w:fldCharType="end"/>
            </w:r>
          </w:hyperlink>
        </w:p>
        <w:p w14:paraId="5E20C021" w14:textId="452BE233" w:rsidR="00A57862" w:rsidRDefault="00912091">
          <w:pPr>
            <w:pStyle w:val="TOC3"/>
            <w:rPr>
              <w:rFonts w:asciiTheme="minorHAnsi" w:eastAsiaTheme="minorEastAsia" w:hAnsiTheme="minorHAnsi" w:cstheme="minorBidi"/>
              <w:color w:val="auto"/>
              <w:szCs w:val="22"/>
              <w:lang w:eastAsia="en-NZ"/>
            </w:rPr>
          </w:pPr>
          <w:hyperlink w:anchor="_Toc168639088" w:history="1">
            <w:r w:rsidR="00A57862" w:rsidRPr="00A139B3">
              <w:rPr>
                <w:rStyle w:val="Hyperlink"/>
                <w:lang w:val="en-US"/>
              </w:rPr>
              <w:t>Education legislation and the Department of Education</w:t>
            </w:r>
            <w:r w:rsidR="00A57862">
              <w:rPr>
                <w:webHidden/>
              </w:rPr>
              <w:tab/>
            </w:r>
            <w:r w:rsidR="00A57862">
              <w:rPr>
                <w:webHidden/>
              </w:rPr>
              <w:fldChar w:fldCharType="begin"/>
            </w:r>
            <w:r w:rsidR="00A57862">
              <w:rPr>
                <w:webHidden/>
              </w:rPr>
              <w:instrText xml:space="preserve"> PAGEREF _Toc168639088 \h </w:instrText>
            </w:r>
            <w:r w:rsidR="00A57862">
              <w:rPr>
                <w:webHidden/>
              </w:rPr>
            </w:r>
            <w:r w:rsidR="00A57862">
              <w:rPr>
                <w:webHidden/>
              </w:rPr>
              <w:fldChar w:fldCharType="separate"/>
            </w:r>
            <w:r w:rsidR="00A57862">
              <w:rPr>
                <w:webHidden/>
              </w:rPr>
              <w:t>140</w:t>
            </w:r>
            <w:r w:rsidR="00A57862">
              <w:rPr>
                <w:webHidden/>
              </w:rPr>
              <w:fldChar w:fldCharType="end"/>
            </w:r>
          </w:hyperlink>
        </w:p>
        <w:p w14:paraId="29779545" w14:textId="6367E726" w:rsidR="00A57862" w:rsidRDefault="00912091">
          <w:pPr>
            <w:pStyle w:val="TOC4"/>
            <w:rPr>
              <w:rFonts w:asciiTheme="minorHAnsi" w:eastAsiaTheme="minorEastAsia" w:hAnsiTheme="minorHAnsi" w:cstheme="minorBidi"/>
              <w:color w:val="auto"/>
              <w:szCs w:val="22"/>
              <w:lang w:eastAsia="en-NZ"/>
            </w:rPr>
          </w:pPr>
          <w:hyperlink w:anchor="_Toc168639089" w:history="1">
            <w:r w:rsidR="00A57862" w:rsidRPr="00A139B3">
              <w:rPr>
                <w:rStyle w:val="Hyperlink"/>
              </w:rPr>
              <w:t>Kura kōhure | Special schools</w:t>
            </w:r>
            <w:r w:rsidR="00A57862">
              <w:rPr>
                <w:webHidden/>
              </w:rPr>
              <w:tab/>
            </w:r>
            <w:r w:rsidR="00A57862">
              <w:rPr>
                <w:webHidden/>
              </w:rPr>
              <w:fldChar w:fldCharType="begin"/>
            </w:r>
            <w:r w:rsidR="00A57862">
              <w:rPr>
                <w:webHidden/>
              </w:rPr>
              <w:instrText xml:space="preserve"> PAGEREF _Toc168639089 \h </w:instrText>
            </w:r>
            <w:r w:rsidR="00A57862">
              <w:rPr>
                <w:webHidden/>
              </w:rPr>
            </w:r>
            <w:r w:rsidR="00A57862">
              <w:rPr>
                <w:webHidden/>
              </w:rPr>
              <w:fldChar w:fldCharType="separate"/>
            </w:r>
            <w:r w:rsidR="00A57862">
              <w:rPr>
                <w:webHidden/>
              </w:rPr>
              <w:t>141</w:t>
            </w:r>
            <w:r w:rsidR="00A57862">
              <w:rPr>
                <w:webHidden/>
              </w:rPr>
              <w:fldChar w:fldCharType="end"/>
            </w:r>
          </w:hyperlink>
        </w:p>
        <w:p w14:paraId="6BA64564" w14:textId="2B0EB8C4" w:rsidR="00A57862" w:rsidRDefault="00912091">
          <w:pPr>
            <w:pStyle w:val="TOC4"/>
            <w:rPr>
              <w:rFonts w:asciiTheme="minorHAnsi" w:eastAsiaTheme="minorEastAsia" w:hAnsiTheme="minorHAnsi" w:cstheme="minorBidi"/>
              <w:color w:val="auto"/>
              <w:szCs w:val="22"/>
              <w:lang w:eastAsia="en-NZ"/>
            </w:rPr>
          </w:pPr>
          <w:hyperlink w:anchor="_Toc168639090" w:history="1">
            <w:r w:rsidR="00A57862" w:rsidRPr="00A139B3">
              <w:rPr>
                <w:rStyle w:val="Hyperlink"/>
              </w:rPr>
              <w:t>Te Ratonga Hauora Hinengaro | The Psychological Service</w:t>
            </w:r>
            <w:r w:rsidR="00A57862">
              <w:rPr>
                <w:webHidden/>
              </w:rPr>
              <w:tab/>
            </w:r>
            <w:r w:rsidR="00A57862">
              <w:rPr>
                <w:webHidden/>
              </w:rPr>
              <w:fldChar w:fldCharType="begin"/>
            </w:r>
            <w:r w:rsidR="00A57862">
              <w:rPr>
                <w:webHidden/>
              </w:rPr>
              <w:instrText xml:space="preserve"> PAGEREF _Toc168639090 \h </w:instrText>
            </w:r>
            <w:r w:rsidR="00A57862">
              <w:rPr>
                <w:webHidden/>
              </w:rPr>
            </w:r>
            <w:r w:rsidR="00A57862">
              <w:rPr>
                <w:webHidden/>
              </w:rPr>
              <w:fldChar w:fldCharType="separate"/>
            </w:r>
            <w:r w:rsidR="00A57862">
              <w:rPr>
                <w:webHidden/>
              </w:rPr>
              <w:t>143</w:t>
            </w:r>
            <w:r w:rsidR="00A57862">
              <w:rPr>
                <w:webHidden/>
              </w:rPr>
              <w:fldChar w:fldCharType="end"/>
            </w:r>
          </w:hyperlink>
        </w:p>
        <w:p w14:paraId="64C0F88C" w14:textId="7FDE164F" w:rsidR="00A57862" w:rsidRDefault="00912091">
          <w:pPr>
            <w:pStyle w:val="TOC4"/>
            <w:rPr>
              <w:rFonts w:asciiTheme="minorHAnsi" w:eastAsiaTheme="minorEastAsia" w:hAnsiTheme="minorHAnsi" w:cstheme="minorBidi"/>
              <w:color w:val="auto"/>
              <w:szCs w:val="22"/>
              <w:lang w:eastAsia="en-NZ"/>
            </w:rPr>
          </w:pPr>
          <w:hyperlink w:anchor="_Toc168639091" w:history="1">
            <w:r w:rsidR="00A57862" w:rsidRPr="00A139B3">
              <w:rPr>
                <w:rStyle w:val="Hyperlink"/>
              </w:rPr>
              <w:t>He hononga tō ngā kura ki te tokoora pāpori me ngā kāinga tika rangatahi | Schools attached to child welfare and youth justice residences</w:t>
            </w:r>
            <w:r w:rsidR="00A57862">
              <w:rPr>
                <w:webHidden/>
              </w:rPr>
              <w:tab/>
            </w:r>
            <w:r w:rsidR="00A57862">
              <w:rPr>
                <w:webHidden/>
              </w:rPr>
              <w:fldChar w:fldCharType="begin"/>
            </w:r>
            <w:r w:rsidR="00A57862">
              <w:rPr>
                <w:webHidden/>
              </w:rPr>
              <w:instrText xml:space="preserve"> PAGEREF _Toc168639091 \h </w:instrText>
            </w:r>
            <w:r w:rsidR="00A57862">
              <w:rPr>
                <w:webHidden/>
              </w:rPr>
            </w:r>
            <w:r w:rsidR="00A57862">
              <w:rPr>
                <w:webHidden/>
              </w:rPr>
              <w:fldChar w:fldCharType="separate"/>
            </w:r>
            <w:r w:rsidR="00A57862">
              <w:rPr>
                <w:webHidden/>
              </w:rPr>
              <w:t>144</w:t>
            </w:r>
            <w:r w:rsidR="00A57862">
              <w:rPr>
                <w:webHidden/>
              </w:rPr>
              <w:fldChar w:fldCharType="end"/>
            </w:r>
          </w:hyperlink>
        </w:p>
        <w:p w14:paraId="5A0C105D" w14:textId="7398888E" w:rsidR="00A57862" w:rsidRDefault="00912091">
          <w:pPr>
            <w:pStyle w:val="TOC4"/>
            <w:rPr>
              <w:rFonts w:asciiTheme="minorHAnsi" w:eastAsiaTheme="minorEastAsia" w:hAnsiTheme="minorHAnsi" w:cstheme="minorBidi"/>
              <w:color w:val="auto"/>
              <w:szCs w:val="22"/>
              <w:lang w:eastAsia="en-NZ"/>
            </w:rPr>
          </w:pPr>
          <w:hyperlink w:anchor="_Toc168639092" w:history="1">
            <w:r w:rsidR="00A57862" w:rsidRPr="00A139B3">
              <w:rPr>
                <w:rStyle w:val="Hyperlink"/>
              </w:rPr>
              <w:t>Te Tari Arotake Mātauranga | Education Review Office</w:t>
            </w:r>
            <w:r w:rsidR="00A57862">
              <w:rPr>
                <w:webHidden/>
              </w:rPr>
              <w:tab/>
            </w:r>
            <w:r w:rsidR="00A57862">
              <w:rPr>
                <w:webHidden/>
              </w:rPr>
              <w:fldChar w:fldCharType="begin"/>
            </w:r>
            <w:r w:rsidR="00A57862">
              <w:rPr>
                <w:webHidden/>
              </w:rPr>
              <w:instrText xml:space="preserve"> PAGEREF _Toc168639092 \h </w:instrText>
            </w:r>
            <w:r w:rsidR="00A57862">
              <w:rPr>
                <w:webHidden/>
              </w:rPr>
            </w:r>
            <w:r w:rsidR="00A57862">
              <w:rPr>
                <w:webHidden/>
              </w:rPr>
              <w:fldChar w:fldCharType="separate"/>
            </w:r>
            <w:r w:rsidR="00A57862">
              <w:rPr>
                <w:webHidden/>
              </w:rPr>
              <w:t>144</w:t>
            </w:r>
            <w:r w:rsidR="00A57862">
              <w:rPr>
                <w:webHidden/>
              </w:rPr>
              <w:fldChar w:fldCharType="end"/>
            </w:r>
          </w:hyperlink>
        </w:p>
        <w:p w14:paraId="1BDCA325" w14:textId="500EFDA5" w:rsidR="00A57862" w:rsidRDefault="00912091">
          <w:pPr>
            <w:pStyle w:val="TOC4"/>
            <w:rPr>
              <w:rFonts w:asciiTheme="minorHAnsi" w:eastAsiaTheme="minorEastAsia" w:hAnsiTheme="minorHAnsi" w:cstheme="minorBidi"/>
              <w:color w:val="auto"/>
              <w:szCs w:val="22"/>
              <w:lang w:eastAsia="en-NZ"/>
            </w:rPr>
          </w:pPr>
          <w:hyperlink w:anchor="_Toc168639093" w:history="1">
            <w:r w:rsidR="00A57862" w:rsidRPr="00A139B3">
              <w:rPr>
                <w:rStyle w:val="Hyperlink"/>
              </w:rPr>
              <w:t>Te Poari Rēhita Kaiako | Teacher Registration Board</w:t>
            </w:r>
            <w:r w:rsidR="00A57862">
              <w:rPr>
                <w:webHidden/>
              </w:rPr>
              <w:tab/>
            </w:r>
            <w:r w:rsidR="00A57862">
              <w:rPr>
                <w:webHidden/>
              </w:rPr>
              <w:fldChar w:fldCharType="begin"/>
            </w:r>
            <w:r w:rsidR="00A57862">
              <w:rPr>
                <w:webHidden/>
              </w:rPr>
              <w:instrText xml:space="preserve"> PAGEREF _Toc168639093 \h </w:instrText>
            </w:r>
            <w:r w:rsidR="00A57862">
              <w:rPr>
                <w:webHidden/>
              </w:rPr>
            </w:r>
            <w:r w:rsidR="00A57862">
              <w:rPr>
                <w:webHidden/>
              </w:rPr>
              <w:fldChar w:fldCharType="separate"/>
            </w:r>
            <w:r w:rsidR="00A57862">
              <w:rPr>
                <w:webHidden/>
              </w:rPr>
              <w:t>144</w:t>
            </w:r>
            <w:r w:rsidR="00A57862">
              <w:rPr>
                <w:webHidden/>
              </w:rPr>
              <w:fldChar w:fldCharType="end"/>
            </w:r>
          </w:hyperlink>
        </w:p>
        <w:p w14:paraId="7A6B705F" w14:textId="618C17A5" w:rsidR="00A57862" w:rsidRDefault="00912091">
          <w:pPr>
            <w:pStyle w:val="TOC4"/>
            <w:rPr>
              <w:rFonts w:asciiTheme="minorHAnsi" w:eastAsiaTheme="minorEastAsia" w:hAnsiTheme="minorHAnsi" w:cstheme="minorBidi"/>
              <w:color w:val="auto"/>
              <w:szCs w:val="22"/>
              <w:lang w:eastAsia="en-NZ"/>
            </w:rPr>
          </w:pPr>
          <w:hyperlink w:anchor="_Toc168639094" w:history="1">
            <w:r w:rsidR="00A57862" w:rsidRPr="00A139B3">
              <w:rPr>
                <w:rStyle w:val="Hyperlink"/>
              </w:rPr>
              <w:t>Kura Hourua | State integrated schools</w:t>
            </w:r>
            <w:r w:rsidR="00A57862">
              <w:rPr>
                <w:webHidden/>
              </w:rPr>
              <w:tab/>
            </w:r>
            <w:r w:rsidR="00A57862">
              <w:rPr>
                <w:webHidden/>
              </w:rPr>
              <w:fldChar w:fldCharType="begin"/>
            </w:r>
            <w:r w:rsidR="00A57862">
              <w:rPr>
                <w:webHidden/>
              </w:rPr>
              <w:instrText xml:space="preserve"> PAGEREF _Toc168639094 \h </w:instrText>
            </w:r>
            <w:r w:rsidR="00A57862">
              <w:rPr>
                <w:webHidden/>
              </w:rPr>
            </w:r>
            <w:r w:rsidR="00A57862">
              <w:rPr>
                <w:webHidden/>
              </w:rPr>
              <w:fldChar w:fldCharType="separate"/>
            </w:r>
            <w:r w:rsidR="00A57862">
              <w:rPr>
                <w:webHidden/>
              </w:rPr>
              <w:t>144</w:t>
            </w:r>
            <w:r w:rsidR="00A57862">
              <w:rPr>
                <w:webHidden/>
              </w:rPr>
              <w:fldChar w:fldCharType="end"/>
            </w:r>
          </w:hyperlink>
        </w:p>
        <w:p w14:paraId="06C2D39E" w14:textId="5310A505" w:rsidR="00A57862" w:rsidRDefault="00912091">
          <w:pPr>
            <w:pStyle w:val="TOC4"/>
            <w:rPr>
              <w:rFonts w:asciiTheme="minorHAnsi" w:eastAsiaTheme="minorEastAsia" w:hAnsiTheme="minorHAnsi" w:cstheme="minorBidi"/>
              <w:color w:val="auto"/>
              <w:szCs w:val="22"/>
              <w:lang w:eastAsia="en-NZ"/>
            </w:rPr>
          </w:pPr>
          <w:hyperlink w:anchor="_Toc168639095" w:history="1">
            <w:r w:rsidR="00A57862" w:rsidRPr="00A139B3">
              <w:rPr>
                <w:rStyle w:val="Hyperlink"/>
                <w:lang w:val="en-US"/>
              </w:rPr>
              <w:t xml:space="preserve">Kura tūmataiti | </w:t>
            </w:r>
            <w:r w:rsidR="00A57862" w:rsidRPr="00A139B3">
              <w:rPr>
                <w:rStyle w:val="Hyperlink"/>
              </w:rPr>
              <w:t>Private schools</w:t>
            </w:r>
            <w:r w:rsidR="00A57862">
              <w:rPr>
                <w:webHidden/>
              </w:rPr>
              <w:tab/>
            </w:r>
            <w:r w:rsidR="00A57862">
              <w:rPr>
                <w:webHidden/>
              </w:rPr>
              <w:fldChar w:fldCharType="begin"/>
            </w:r>
            <w:r w:rsidR="00A57862">
              <w:rPr>
                <w:webHidden/>
              </w:rPr>
              <w:instrText xml:space="preserve"> PAGEREF _Toc168639095 \h </w:instrText>
            </w:r>
            <w:r w:rsidR="00A57862">
              <w:rPr>
                <w:webHidden/>
              </w:rPr>
            </w:r>
            <w:r w:rsidR="00A57862">
              <w:rPr>
                <w:webHidden/>
              </w:rPr>
              <w:fldChar w:fldCharType="separate"/>
            </w:r>
            <w:r w:rsidR="00A57862">
              <w:rPr>
                <w:webHidden/>
              </w:rPr>
              <w:t>145</w:t>
            </w:r>
            <w:r w:rsidR="00A57862">
              <w:rPr>
                <w:webHidden/>
              </w:rPr>
              <w:fldChar w:fldCharType="end"/>
            </w:r>
          </w:hyperlink>
        </w:p>
        <w:p w14:paraId="7B3D0579" w14:textId="3606D54D" w:rsidR="00A57862" w:rsidRDefault="00912091">
          <w:pPr>
            <w:pStyle w:val="TOC4"/>
            <w:rPr>
              <w:rFonts w:asciiTheme="minorHAnsi" w:eastAsiaTheme="minorEastAsia" w:hAnsiTheme="minorHAnsi" w:cstheme="minorBidi"/>
              <w:color w:val="auto"/>
              <w:szCs w:val="22"/>
              <w:lang w:eastAsia="en-NZ"/>
            </w:rPr>
          </w:pPr>
          <w:hyperlink w:anchor="_Toc168639096" w:history="1">
            <w:r w:rsidR="00A57862" w:rsidRPr="00A139B3">
              <w:rPr>
                <w:rStyle w:val="Hyperlink"/>
              </w:rPr>
              <w:t>Kura Noho | Boarding schools</w:t>
            </w:r>
            <w:r w:rsidR="00A57862">
              <w:rPr>
                <w:webHidden/>
              </w:rPr>
              <w:tab/>
            </w:r>
            <w:r w:rsidR="00A57862">
              <w:rPr>
                <w:webHidden/>
              </w:rPr>
              <w:fldChar w:fldCharType="begin"/>
            </w:r>
            <w:r w:rsidR="00A57862">
              <w:rPr>
                <w:webHidden/>
              </w:rPr>
              <w:instrText xml:space="preserve"> PAGEREF _Toc168639096 \h </w:instrText>
            </w:r>
            <w:r w:rsidR="00A57862">
              <w:rPr>
                <w:webHidden/>
              </w:rPr>
            </w:r>
            <w:r w:rsidR="00A57862">
              <w:rPr>
                <w:webHidden/>
              </w:rPr>
              <w:fldChar w:fldCharType="separate"/>
            </w:r>
            <w:r w:rsidR="00A57862">
              <w:rPr>
                <w:webHidden/>
              </w:rPr>
              <w:t>145</w:t>
            </w:r>
            <w:r w:rsidR="00A57862">
              <w:rPr>
                <w:webHidden/>
              </w:rPr>
              <w:fldChar w:fldCharType="end"/>
            </w:r>
          </w:hyperlink>
        </w:p>
        <w:p w14:paraId="6F07F22F" w14:textId="52BB903A" w:rsidR="00A57862" w:rsidRDefault="00912091">
          <w:pPr>
            <w:pStyle w:val="TOC1"/>
            <w:rPr>
              <w:rFonts w:asciiTheme="minorHAnsi" w:eastAsiaTheme="minorEastAsia" w:hAnsiTheme="minorHAnsi" w:cstheme="minorBidi"/>
              <w:b w:val="0"/>
              <w:noProof/>
              <w:color w:val="auto"/>
              <w:szCs w:val="22"/>
              <w:lang w:eastAsia="en-NZ"/>
            </w:rPr>
          </w:pPr>
          <w:hyperlink w:anchor="_Toc168639097" w:history="1">
            <w:r w:rsidR="00A57862" w:rsidRPr="00A139B3">
              <w:rPr>
                <w:rStyle w:val="Hyperlink"/>
                <w:noProof/>
              </w:rPr>
              <w:t>Ūpoko 11: Ngā whare tūāpapa-whakapono i te wā Pakirehua</w:t>
            </w:r>
            <w:r w:rsidR="00A57862">
              <w:rPr>
                <w:noProof/>
                <w:webHidden/>
              </w:rPr>
              <w:tab/>
            </w:r>
            <w:r w:rsidR="00A57862">
              <w:rPr>
                <w:noProof/>
                <w:webHidden/>
              </w:rPr>
              <w:fldChar w:fldCharType="begin"/>
            </w:r>
            <w:r w:rsidR="00A57862">
              <w:rPr>
                <w:noProof/>
                <w:webHidden/>
              </w:rPr>
              <w:instrText xml:space="preserve"> PAGEREF _Toc168639097 \h </w:instrText>
            </w:r>
            <w:r w:rsidR="00A57862">
              <w:rPr>
                <w:noProof/>
                <w:webHidden/>
              </w:rPr>
            </w:r>
            <w:r w:rsidR="00A57862">
              <w:rPr>
                <w:noProof/>
                <w:webHidden/>
              </w:rPr>
              <w:fldChar w:fldCharType="separate"/>
            </w:r>
            <w:r w:rsidR="00A57862">
              <w:rPr>
                <w:noProof/>
                <w:webHidden/>
              </w:rPr>
              <w:t>147</w:t>
            </w:r>
            <w:r w:rsidR="00A57862">
              <w:rPr>
                <w:noProof/>
                <w:webHidden/>
              </w:rPr>
              <w:fldChar w:fldCharType="end"/>
            </w:r>
          </w:hyperlink>
        </w:p>
        <w:p w14:paraId="1EE2DF66" w14:textId="43AE2A52" w:rsidR="00A57862" w:rsidRDefault="00912091">
          <w:pPr>
            <w:pStyle w:val="TOC1"/>
            <w:rPr>
              <w:rFonts w:asciiTheme="minorHAnsi" w:eastAsiaTheme="minorEastAsia" w:hAnsiTheme="minorHAnsi" w:cstheme="minorBidi"/>
              <w:b w:val="0"/>
              <w:noProof/>
              <w:color w:val="auto"/>
              <w:szCs w:val="22"/>
              <w:lang w:eastAsia="en-NZ"/>
            </w:rPr>
          </w:pPr>
          <w:hyperlink w:anchor="_Toc168639098" w:history="1">
            <w:r w:rsidR="00A57862" w:rsidRPr="00A139B3">
              <w:rPr>
                <w:rStyle w:val="Hyperlink"/>
                <w:noProof/>
              </w:rPr>
              <w:t>Chapter 11: Faith-based institutions during the Inquiry period</w:t>
            </w:r>
            <w:r w:rsidR="00A57862">
              <w:rPr>
                <w:noProof/>
                <w:webHidden/>
              </w:rPr>
              <w:tab/>
            </w:r>
            <w:r w:rsidR="00A57862">
              <w:rPr>
                <w:noProof/>
                <w:webHidden/>
              </w:rPr>
              <w:fldChar w:fldCharType="begin"/>
            </w:r>
            <w:r w:rsidR="00A57862">
              <w:rPr>
                <w:noProof/>
                <w:webHidden/>
              </w:rPr>
              <w:instrText xml:space="preserve"> PAGEREF _Toc168639098 \h </w:instrText>
            </w:r>
            <w:r w:rsidR="00A57862">
              <w:rPr>
                <w:noProof/>
                <w:webHidden/>
              </w:rPr>
            </w:r>
            <w:r w:rsidR="00A57862">
              <w:rPr>
                <w:noProof/>
                <w:webHidden/>
              </w:rPr>
              <w:fldChar w:fldCharType="separate"/>
            </w:r>
            <w:r w:rsidR="00A57862">
              <w:rPr>
                <w:noProof/>
                <w:webHidden/>
              </w:rPr>
              <w:t>147</w:t>
            </w:r>
            <w:r w:rsidR="00A57862">
              <w:rPr>
                <w:noProof/>
                <w:webHidden/>
              </w:rPr>
              <w:fldChar w:fldCharType="end"/>
            </w:r>
          </w:hyperlink>
        </w:p>
        <w:p w14:paraId="00A11C4F" w14:textId="286D7633" w:rsidR="00A57862" w:rsidRDefault="00912091">
          <w:pPr>
            <w:pStyle w:val="TOC2"/>
            <w:rPr>
              <w:rFonts w:asciiTheme="minorHAnsi" w:eastAsiaTheme="minorEastAsia" w:hAnsiTheme="minorHAnsi" w:cstheme="minorBidi"/>
              <w:color w:val="auto"/>
              <w:szCs w:val="22"/>
              <w:lang w:eastAsia="en-NZ"/>
            </w:rPr>
          </w:pPr>
          <w:hyperlink w:anchor="_Toc168639099" w:history="1">
            <w:r w:rsidR="00A57862" w:rsidRPr="00A139B3">
              <w:rPr>
                <w:rStyle w:val="Hyperlink"/>
              </w:rPr>
              <w:t>I mahi tahi te rāngai whakapono me te Kāwanatanga</w:t>
            </w:r>
            <w:r w:rsidR="00A57862">
              <w:rPr>
                <w:webHidden/>
              </w:rPr>
              <w:tab/>
            </w:r>
            <w:r w:rsidR="00A57862">
              <w:rPr>
                <w:webHidden/>
              </w:rPr>
              <w:fldChar w:fldCharType="begin"/>
            </w:r>
            <w:r w:rsidR="00A57862">
              <w:rPr>
                <w:webHidden/>
              </w:rPr>
              <w:instrText xml:space="preserve"> PAGEREF _Toc168639099 \h </w:instrText>
            </w:r>
            <w:r w:rsidR="00A57862">
              <w:rPr>
                <w:webHidden/>
              </w:rPr>
            </w:r>
            <w:r w:rsidR="00A57862">
              <w:rPr>
                <w:webHidden/>
              </w:rPr>
              <w:fldChar w:fldCharType="separate"/>
            </w:r>
            <w:r w:rsidR="00A57862">
              <w:rPr>
                <w:webHidden/>
              </w:rPr>
              <w:t>147</w:t>
            </w:r>
            <w:r w:rsidR="00A57862">
              <w:rPr>
                <w:webHidden/>
              </w:rPr>
              <w:fldChar w:fldCharType="end"/>
            </w:r>
          </w:hyperlink>
        </w:p>
        <w:p w14:paraId="3FC7A46B" w14:textId="47719095" w:rsidR="00A57862" w:rsidRDefault="00912091">
          <w:pPr>
            <w:pStyle w:val="TOC2"/>
            <w:rPr>
              <w:rFonts w:asciiTheme="minorHAnsi" w:eastAsiaTheme="minorEastAsia" w:hAnsiTheme="minorHAnsi" w:cstheme="minorBidi"/>
              <w:color w:val="auto"/>
              <w:szCs w:val="22"/>
              <w:lang w:eastAsia="en-NZ"/>
            </w:rPr>
          </w:pPr>
          <w:hyperlink w:anchor="_Toc168639100" w:history="1">
            <w:r w:rsidR="00A57862" w:rsidRPr="00A139B3">
              <w:rPr>
                <w:rStyle w:val="Hyperlink"/>
              </w:rPr>
              <w:t>Faith and State worked together</w:t>
            </w:r>
            <w:r w:rsidR="00A57862">
              <w:rPr>
                <w:webHidden/>
              </w:rPr>
              <w:tab/>
            </w:r>
            <w:r w:rsidR="00A57862">
              <w:rPr>
                <w:webHidden/>
              </w:rPr>
              <w:fldChar w:fldCharType="begin"/>
            </w:r>
            <w:r w:rsidR="00A57862">
              <w:rPr>
                <w:webHidden/>
              </w:rPr>
              <w:instrText xml:space="preserve"> PAGEREF _Toc168639100 \h </w:instrText>
            </w:r>
            <w:r w:rsidR="00A57862">
              <w:rPr>
                <w:webHidden/>
              </w:rPr>
            </w:r>
            <w:r w:rsidR="00A57862">
              <w:rPr>
                <w:webHidden/>
              </w:rPr>
              <w:fldChar w:fldCharType="separate"/>
            </w:r>
            <w:r w:rsidR="00A57862">
              <w:rPr>
                <w:webHidden/>
              </w:rPr>
              <w:t>147</w:t>
            </w:r>
            <w:r w:rsidR="00A57862">
              <w:rPr>
                <w:webHidden/>
              </w:rPr>
              <w:fldChar w:fldCharType="end"/>
            </w:r>
          </w:hyperlink>
        </w:p>
        <w:p w14:paraId="68FB6CAB" w14:textId="3908F9E3" w:rsidR="00A57862" w:rsidRDefault="00912091">
          <w:pPr>
            <w:pStyle w:val="TOC2"/>
            <w:rPr>
              <w:rFonts w:asciiTheme="minorHAnsi" w:eastAsiaTheme="minorEastAsia" w:hAnsiTheme="minorHAnsi" w:cstheme="minorBidi"/>
              <w:color w:val="auto"/>
              <w:szCs w:val="22"/>
              <w:lang w:eastAsia="en-NZ"/>
            </w:rPr>
          </w:pPr>
          <w:hyperlink w:anchor="_Toc168639101" w:history="1">
            <w:r w:rsidR="00A57862" w:rsidRPr="00A139B3">
              <w:rPr>
                <w:rStyle w:val="Hyperlink"/>
              </w:rPr>
              <w:t>Ngā whakahaerenga o ngā hāhi | Governance structures of the faiths</w:t>
            </w:r>
            <w:r w:rsidR="00A57862">
              <w:rPr>
                <w:webHidden/>
              </w:rPr>
              <w:tab/>
            </w:r>
            <w:r w:rsidR="00A57862">
              <w:rPr>
                <w:webHidden/>
              </w:rPr>
              <w:fldChar w:fldCharType="begin"/>
            </w:r>
            <w:r w:rsidR="00A57862">
              <w:rPr>
                <w:webHidden/>
              </w:rPr>
              <w:instrText xml:space="preserve"> PAGEREF _Toc168639101 \h </w:instrText>
            </w:r>
            <w:r w:rsidR="00A57862">
              <w:rPr>
                <w:webHidden/>
              </w:rPr>
            </w:r>
            <w:r w:rsidR="00A57862">
              <w:rPr>
                <w:webHidden/>
              </w:rPr>
              <w:fldChar w:fldCharType="separate"/>
            </w:r>
            <w:r w:rsidR="00A57862">
              <w:rPr>
                <w:webHidden/>
              </w:rPr>
              <w:t>149</w:t>
            </w:r>
            <w:r w:rsidR="00A57862">
              <w:rPr>
                <w:webHidden/>
              </w:rPr>
              <w:fldChar w:fldCharType="end"/>
            </w:r>
          </w:hyperlink>
        </w:p>
        <w:p w14:paraId="1084D296" w14:textId="477B3DB8" w:rsidR="00A57862" w:rsidRDefault="00912091">
          <w:pPr>
            <w:pStyle w:val="TOC3"/>
            <w:rPr>
              <w:rFonts w:asciiTheme="minorHAnsi" w:eastAsiaTheme="minorEastAsia" w:hAnsiTheme="minorHAnsi" w:cstheme="minorBidi"/>
              <w:color w:val="auto"/>
              <w:szCs w:val="22"/>
              <w:lang w:eastAsia="en-NZ"/>
            </w:rPr>
          </w:pPr>
          <w:hyperlink w:anchor="_Toc168639102" w:history="1">
            <w:r w:rsidR="00A57862" w:rsidRPr="00A139B3">
              <w:rPr>
                <w:rStyle w:val="Hyperlink"/>
              </w:rPr>
              <w:t>Ngā Pīhopa me ngā kaiārahi whakaminenga o te Hāhi Katorika i Aotearoa</w:t>
            </w:r>
            <w:r w:rsidR="00A57862">
              <w:rPr>
                <w:webHidden/>
              </w:rPr>
              <w:tab/>
            </w:r>
            <w:r w:rsidR="00A57862">
              <w:rPr>
                <w:webHidden/>
              </w:rPr>
              <w:fldChar w:fldCharType="begin"/>
            </w:r>
            <w:r w:rsidR="00A57862">
              <w:rPr>
                <w:webHidden/>
              </w:rPr>
              <w:instrText xml:space="preserve"> PAGEREF _Toc168639102 \h </w:instrText>
            </w:r>
            <w:r w:rsidR="00A57862">
              <w:rPr>
                <w:webHidden/>
              </w:rPr>
            </w:r>
            <w:r w:rsidR="00A57862">
              <w:rPr>
                <w:webHidden/>
              </w:rPr>
              <w:fldChar w:fldCharType="separate"/>
            </w:r>
            <w:r w:rsidR="00A57862">
              <w:rPr>
                <w:webHidden/>
              </w:rPr>
              <w:t>150</w:t>
            </w:r>
            <w:r w:rsidR="00A57862">
              <w:rPr>
                <w:webHidden/>
              </w:rPr>
              <w:fldChar w:fldCharType="end"/>
            </w:r>
          </w:hyperlink>
        </w:p>
        <w:p w14:paraId="528F7EA3" w14:textId="443CDC42" w:rsidR="00A57862" w:rsidRDefault="00912091">
          <w:pPr>
            <w:pStyle w:val="TOC3"/>
            <w:rPr>
              <w:rFonts w:asciiTheme="minorHAnsi" w:eastAsiaTheme="minorEastAsia" w:hAnsiTheme="minorHAnsi" w:cstheme="minorBidi"/>
              <w:color w:val="auto"/>
              <w:szCs w:val="22"/>
              <w:lang w:eastAsia="en-NZ"/>
            </w:rPr>
          </w:pPr>
          <w:hyperlink w:anchor="_Toc168639103" w:history="1">
            <w:r w:rsidR="00A57862" w:rsidRPr="00A139B3">
              <w:rPr>
                <w:rStyle w:val="Hyperlink"/>
              </w:rPr>
              <w:t>Bishops and congregational leaders of the Catholic Church in Aotearoa New Zealand</w:t>
            </w:r>
            <w:r w:rsidR="00A57862">
              <w:rPr>
                <w:webHidden/>
              </w:rPr>
              <w:tab/>
            </w:r>
            <w:r w:rsidR="00A57862">
              <w:rPr>
                <w:webHidden/>
              </w:rPr>
              <w:fldChar w:fldCharType="begin"/>
            </w:r>
            <w:r w:rsidR="00A57862">
              <w:rPr>
                <w:webHidden/>
              </w:rPr>
              <w:instrText xml:space="preserve"> PAGEREF _Toc168639103 \h </w:instrText>
            </w:r>
            <w:r w:rsidR="00A57862">
              <w:rPr>
                <w:webHidden/>
              </w:rPr>
            </w:r>
            <w:r w:rsidR="00A57862">
              <w:rPr>
                <w:webHidden/>
              </w:rPr>
              <w:fldChar w:fldCharType="separate"/>
            </w:r>
            <w:r w:rsidR="00A57862">
              <w:rPr>
                <w:webHidden/>
              </w:rPr>
              <w:t>150</w:t>
            </w:r>
            <w:r w:rsidR="00A57862">
              <w:rPr>
                <w:webHidden/>
              </w:rPr>
              <w:fldChar w:fldCharType="end"/>
            </w:r>
          </w:hyperlink>
        </w:p>
        <w:p w14:paraId="65FA0B41" w14:textId="66207ABB" w:rsidR="00A57862" w:rsidRDefault="00912091">
          <w:pPr>
            <w:pStyle w:val="TOC3"/>
            <w:rPr>
              <w:rFonts w:asciiTheme="minorHAnsi" w:eastAsiaTheme="minorEastAsia" w:hAnsiTheme="minorHAnsi" w:cstheme="minorBidi"/>
              <w:color w:val="auto"/>
              <w:szCs w:val="22"/>
              <w:lang w:eastAsia="en-NZ"/>
            </w:rPr>
          </w:pPr>
          <w:hyperlink w:anchor="_Toc168639104" w:history="1">
            <w:r w:rsidR="00A57862" w:rsidRPr="00A139B3">
              <w:rPr>
                <w:rStyle w:val="Hyperlink"/>
              </w:rPr>
              <w:t>Te Hāhi Mihingare | Anglican Church</w:t>
            </w:r>
            <w:r w:rsidR="00A57862">
              <w:rPr>
                <w:webHidden/>
              </w:rPr>
              <w:tab/>
            </w:r>
            <w:r w:rsidR="00A57862">
              <w:rPr>
                <w:webHidden/>
              </w:rPr>
              <w:fldChar w:fldCharType="begin"/>
            </w:r>
            <w:r w:rsidR="00A57862">
              <w:rPr>
                <w:webHidden/>
              </w:rPr>
              <w:instrText xml:space="preserve"> PAGEREF _Toc168639104 \h </w:instrText>
            </w:r>
            <w:r w:rsidR="00A57862">
              <w:rPr>
                <w:webHidden/>
              </w:rPr>
            </w:r>
            <w:r w:rsidR="00A57862">
              <w:rPr>
                <w:webHidden/>
              </w:rPr>
              <w:fldChar w:fldCharType="separate"/>
            </w:r>
            <w:r w:rsidR="00A57862">
              <w:rPr>
                <w:webHidden/>
              </w:rPr>
              <w:t>152</w:t>
            </w:r>
            <w:r w:rsidR="00A57862">
              <w:rPr>
                <w:webHidden/>
              </w:rPr>
              <w:fldChar w:fldCharType="end"/>
            </w:r>
          </w:hyperlink>
        </w:p>
        <w:p w14:paraId="448EA6DD" w14:textId="2E5DB087" w:rsidR="00A57862" w:rsidRDefault="00912091">
          <w:pPr>
            <w:pStyle w:val="TOC3"/>
            <w:rPr>
              <w:rFonts w:asciiTheme="minorHAnsi" w:eastAsiaTheme="minorEastAsia" w:hAnsiTheme="minorHAnsi" w:cstheme="minorBidi"/>
              <w:color w:val="auto"/>
              <w:szCs w:val="22"/>
              <w:lang w:eastAsia="en-NZ"/>
            </w:rPr>
          </w:pPr>
          <w:hyperlink w:anchor="_Toc168639105" w:history="1">
            <w:r w:rsidR="00A57862" w:rsidRPr="00A139B3">
              <w:rPr>
                <w:rStyle w:val="Hyperlink"/>
              </w:rPr>
              <w:t>Te Ope Whakaora ki Aotearoa, Whītī, Tonga me Hāmoa</w:t>
            </w:r>
            <w:r w:rsidR="00A57862">
              <w:rPr>
                <w:webHidden/>
              </w:rPr>
              <w:tab/>
            </w:r>
            <w:r w:rsidR="00A57862">
              <w:rPr>
                <w:webHidden/>
              </w:rPr>
              <w:fldChar w:fldCharType="begin"/>
            </w:r>
            <w:r w:rsidR="00A57862">
              <w:rPr>
                <w:webHidden/>
              </w:rPr>
              <w:instrText xml:space="preserve"> PAGEREF _Toc168639105 \h </w:instrText>
            </w:r>
            <w:r w:rsidR="00A57862">
              <w:rPr>
                <w:webHidden/>
              </w:rPr>
            </w:r>
            <w:r w:rsidR="00A57862">
              <w:rPr>
                <w:webHidden/>
              </w:rPr>
              <w:fldChar w:fldCharType="separate"/>
            </w:r>
            <w:r w:rsidR="00A57862">
              <w:rPr>
                <w:webHidden/>
              </w:rPr>
              <w:t>155</w:t>
            </w:r>
            <w:r w:rsidR="00A57862">
              <w:rPr>
                <w:webHidden/>
              </w:rPr>
              <w:fldChar w:fldCharType="end"/>
            </w:r>
          </w:hyperlink>
        </w:p>
        <w:p w14:paraId="2FA4357E" w14:textId="35F6EAF2" w:rsidR="00A57862" w:rsidRDefault="00912091">
          <w:pPr>
            <w:pStyle w:val="TOC3"/>
            <w:rPr>
              <w:rFonts w:asciiTheme="minorHAnsi" w:eastAsiaTheme="minorEastAsia" w:hAnsiTheme="minorHAnsi" w:cstheme="minorBidi"/>
              <w:color w:val="auto"/>
              <w:szCs w:val="22"/>
              <w:lang w:eastAsia="en-NZ"/>
            </w:rPr>
          </w:pPr>
          <w:hyperlink w:anchor="_Toc168639106" w:history="1">
            <w:r w:rsidR="00A57862" w:rsidRPr="00A139B3">
              <w:rPr>
                <w:rStyle w:val="Hyperlink"/>
              </w:rPr>
              <w:t>The Salvation Army New Zealand, Fiji, Tonga and Samoan Territory</w:t>
            </w:r>
            <w:r w:rsidR="00A57862">
              <w:rPr>
                <w:webHidden/>
              </w:rPr>
              <w:tab/>
            </w:r>
            <w:r w:rsidR="00A57862">
              <w:rPr>
                <w:webHidden/>
              </w:rPr>
              <w:fldChar w:fldCharType="begin"/>
            </w:r>
            <w:r w:rsidR="00A57862">
              <w:rPr>
                <w:webHidden/>
              </w:rPr>
              <w:instrText xml:space="preserve"> PAGEREF _Toc168639106 \h </w:instrText>
            </w:r>
            <w:r w:rsidR="00A57862">
              <w:rPr>
                <w:webHidden/>
              </w:rPr>
            </w:r>
            <w:r w:rsidR="00A57862">
              <w:rPr>
                <w:webHidden/>
              </w:rPr>
              <w:fldChar w:fldCharType="separate"/>
            </w:r>
            <w:r w:rsidR="00A57862">
              <w:rPr>
                <w:webHidden/>
              </w:rPr>
              <w:t>155</w:t>
            </w:r>
            <w:r w:rsidR="00A57862">
              <w:rPr>
                <w:webHidden/>
              </w:rPr>
              <w:fldChar w:fldCharType="end"/>
            </w:r>
          </w:hyperlink>
        </w:p>
        <w:p w14:paraId="49A4E802" w14:textId="37690B4B" w:rsidR="00A57862" w:rsidRDefault="00912091">
          <w:pPr>
            <w:pStyle w:val="TOC3"/>
            <w:rPr>
              <w:rFonts w:asciiTheme="minorHAnsi" w:eastAsiaTheme="minorEastAsia" w:hAnsiTheme="minorHAnsi" w:cstheme="minorBidi"/>
              <w:color w:val="auto"/>
              <w:szCs w:val="22"/>
              <w:lang w:eastAsia="en-NZ"/>
            </w:rPr>
          </w:pPr>
          <w:hyperlink w:anchor="_Toc168639107" w:history="1">
            <w:r w:rsidR="00A57862" w:rsidRPr="00A139B3">
              <w:rPr>
                <w:rStyle w:val="Hyperlink"/>
              </w:rPr>
              <w:t>Te Hāhi Weteriana | Methodist Church</w:t>
            </w:r>
            <w:r w:rsidR="00A57862">
              <w:rPr>
                <w:webHidden/>
              </w:rPr>
              <w:tab/>
            </w:r>
            <w:r w:rsidR="00A57862">
              <w:rPr>
                <w:webHidden/>
              </w:rPr>
              <w:fldChar w:fldCharType="begin"/>
            </w:r>
            <w:r w:rsidR="00A57862">
              <w:rPr>
                <w:webHidden/>
              </w:rPr>
              <w:instrText xml:space="preserve"> PAGEREF _Toc168639107 \h </w:instrText>
            </w:r>
            <w:r w:rsidR="00A57862">
              <w:rPr>
                <w:webHidden/>
              </w:rPr>
            </w:r>
            <w:r w:rsidR="00A57862">
              <w:rPr>
                <w:webHidden/>
              </w:rPr>
              <w:fldChar w:fldCharType="separate"/>
            </w:r>
            <w:r w:rsidR="00A57862">
              <w:rPr>
                <w:webHidden/>
              </w:rPr>
              <w:t>156</w:t>
            </w:r>
            <w:r w:rsidR="00A57862">
              <w:rPr>
                <w:webHidden/>
              </w:rPr>
              <w:fldChar w:fldCharType="end"/>
            </w:r>
          </w:hyperlink>
        </w:p>
        <w:p w14:paraId="56656845" w14:textId="623B7933" w:rsidR="00A57862" w:rsidRDefault="00912091">
          <w:pPr>
            <w:pStyle w:val="TOC3"/>
            <w:rPr>
              <w:rFonts w:asciiTheme="minorHAnsi" w:eastAsiaTheme="minorEastAsia" w:hAnsiTheme="minorHAnsi" w:cstheme="minorBidi"/>
              <w:color w:val="auto"/>
              <w:szCs w:val="22"/>
              <w:lang w:eastAsia="en-NZ"/>
            </w:rPr>
          </w:pPr>
          <w:hyperlink w:anchor="_Toc168639108" w:history="1">
            <w:r w:rsidR="00A57862" w:rsidRPr="00A139B3">
              <w:rPr>
                <w:rStyle w:val="Hyperlink"/>
                <w:lang w:val="en-US"/>
              </w:rPr>
              <w:t>Te Hāhi Perehipitīriana o Aotearoa | Presbyterian Church of New Zealand</w:t>
            </w:r>
            <w:r w:rsidR="00A57862">
              <w:rPr>
                <w:webHidden/>
              </w:rPr>
              <w:tab/>
            </w:r>
            <w:r w:rsidR="00A57862">
              <w:rPr>
                <w:webHidden/>
              </w:rPr>
              <w:fldChar w:fldCharType="begin"/>
            </w:r>
            <w:r w:rsidR="00A57862">
              <w:rPr>
                <w:webHidden/>
              </w:rPr>
              <w:instrText xml:space="preserve"> PAGEREF _Toc168639108 \h </w:instrText>
            </w:r>
            <w:r w:rsidR="00A57862">
              <w:rPr>
                <w:webHidden/>
              </w:rPr>
            </w:r>
            <w:r w:rsidR="00A57862">
              <w:rPr>
                <w:webHidden/>
              </w:rPr>
              <w:fldChar w:fldCharType="separate"/>
            </w:r>
            <w:r w:rsidR="00A57862">
              <w:rPr>
                <w:webHidden/>
              </w:rPr>
              <w:t>157</w:t>
            </w:r>
            <w:r w:rsidR="00A57862">
              <w:rPr>
                <w:webHidden/>
              </w:rPr>
              <w:fldChar w:fldCharType="end"/>
            </w:r>
          </w:hyperlink>
        </w:p>
        <w:p w14:paraId="0B5E0D37" w14:textId="7431F8AD" w:rsidR="00A57862" w:rsidRDefault="00912091">
          <w:pPr>
            <w:pStyle w:val="TOC3"/>
            <w:rPr>
              <w:rFonts w:asciiTheme="minorHAnsi" w:eastAsiaTheme="minorEastAsia" w:hAnsiTheme="minorHAnsi" w:cstheme="minorBidi"/>
              <w:color w:val="auto"/>
              <w:szCs w:val="22"/>
              <w:lang w:eastAsia="en-NZ"/>
            </w:rPr>
          </w:pPr>
          <w:hyperlink w:anchor="_Toc168639109" w:history="1">
            <w:r w:rsidR="00A57862" w:rsidRPr="00A139B3">
              <w:rPr>
                <w:rStyle w:val="Hyperlink"/>
                <w:rFonts w:eastAsia="Calibri"/>
                <w:shd w:val="clear" w:color="auto" w:fill="FFFFFF"/>
              </w:rPr>
              <w:t>Overview of structure and functions of the Presbyterian Church</w:t>
            </w:r>
            <w:r w:rsidR="00A57862">
              <w:rPr>
                <w:webHidden/>
              </w:rPr>
              <w:tab/>
            </w:r>
            <w:r w:rsidR="00A57862">
              <w:rPr>
                <w:webHidden/>
              </w:rPr>
              <w:fldChar w:fldCharType="begin"/>
            </w:r>
            <w:r w:rsidR="00A57862">
              <w:rPr>
                <w:webHidden/>
              </w:rPr>
              <w:instrText xml:space="preserve"> PAGEREF _Toc168639109 \h </w:instrText>
            </w:r>
            <w:r w:rsidR="00A57862">
              <w:rPr>
                <w:webHidden/>
              </w:rPr>
            </w:r>
            <w:r w:rsidR="00A57862">
              <w:rPr>
                <w:webHidden/>
              </w:rPr>
              <w:fldChar w:fldCharType="separate"/>
            </w:r>
            <w:r w:rsidR="00A57862">
              <w:rPr>
                <w:webHidden/>
              </w:rPr>
              <w:t>158</w:t>
            </w:r>
            <w:r w:rsidR="00A57862">
              <w:rPr>
                <w:webHidden/>
              </w:rPr>
              <w:fldChar w:fldCharType="end"/>
            </w:r>
          </w:hyperlink>
        </w:p>
        <w:p w14:paraId="322DAAE8" w14:textId="57D5584B" w:rsidR="00A57862" w:rsidRDefault="00912091">
          <w:pPr>
            <w:pStyle w:val="TOC4"/>
            <w:rPr>
              <w:rFonts w:asciiTheme="minorHAnsi" w:eastAsiaTheme="minorEastAsia" w:hAnsiTheme="minorHAnsi" w:cstheme="minorBidi"/>
              <w:color w:val="auto"/>
              <w:szCs w:val="22"/>
              <w:lang w:eastAsia="en-NZ"/>
            </w:rPr>
          </w:pPr>
          <w:hyperlink w:anchor="_Toc168639110" w:history="1">
            <w:r w:rsidR="00A57862" w:rsidRPr="00A139B3">
              <w:rPr>
                <w:rStyle w:val="Hyperlink"/>
              </w:rPr>
              <w:t>Rōpū tautoko Perehipitīriana | Presbyterian Support</w:t>
            </w:r>
            <w:r w:rsidR="00A57862">
              <w:rPr>
                <w:webHidden/>
              </w:rPr>
              <w:tab/>
            </w:r>
            <w:r w:rsidR="00A57862">
              <w:rPr>
                <w:webHidden/>
              </w:rPr>
              <w:fldChar w:fldCharType="begin"/>
            </w:r>
            <w:r w:rsidR="00A57862">
              <w:rPr>
                <w:webHidden/>
              </w:rPr>
              <w:instrText xml:space="preserve"> PAGEREF _Toc168639110 \h </w:instrText>
            </w:r>
            <w:r w:rsidR="00A57862">
              <w:rPr>
                <w:webHidden/>
              </w:rPr>
            </w:r>
            <w:r w:rsidR="00A57862">
              <w:rPr>
                <w:webHidden/>
              </w:rPr>
              <w:fldChar w:fldCharType="separate"/>
            </w:r>
            <w:r w:rsidR="00A57862">
              <w:rPr>
                <w:webHidden/>
              </w:rPr>
              <w:t>160</w:t>
            </w:r>
            <w:r w:rsidR="00A57862">
              <w:rPr>
                <w:webHidden/>
              </w:rPr>
              <w:fldChar w:fldCharType="end"/>
            </w:r>
          </w:hyperlink>
        </w:p>
        <w:p w14:paraId="1D025B67" w14:textId="5CE46EEC" w:rsidR="00A57862" w:rsidRDefault="00912091">
          <w:pPr>
            <w:pStyle w:val="TOC3"/>
            <w:rPr>
              <w:rFonts w:asciiTheme="minorHAnsi" w:eastAsiaTheme="minorEastAsia" w:hAnsiTheme="minorHAnsi" w:cstheme="minorBidi"/>
              <w:color w:val="auto"/>
              <w:szCs w:val="22"/>
              <w:lang w:eastAsia="en-NZ"/>
            </w:rPr>
          </w:pPr>
          <w:hyperlink w:anchor="_Toc168639111" w:history="1">
            <w:r w:rsidR="00A57862" w:rsidRPr="00A139B3">
              <w:rPr>
                <w:rStyle w:val="Hyperlink"/>
              </w:rPr>
              <w:t>Te Hapori Karaitiana o Gloriavale | Gloriavale Christian Community</w:t>
            </w:r>
            <w:r w:rsidR="00A57862">
              <w:rPr>
                <w:webHidden/>
              </w:rPr>
              <w:tab/>
            </w:r>
            <w:r w:rsidR="00A57862">
              <w:rPr>
                <w:webHidden/>
              </w:rPr>
              <w:fldChar w:fldCharType="begin"/>
            </w:r>
            <w:r w:rsidR="00A57862">
              <w:rPr>
                <w:webHidden/>
              </w:rPr>
              <w:instrText xml:space="preserve"> PAGEREF _Toc168639111 \h </w:instrText>
            </w:r>
            <w:r w:rsidR="00A57862">
              <w:rPr>
                <w:webHidden/>
              </w:rPr>
            </w:r>
            <w:r w:rsidR="00A57862">
              <w:rPr>
                <w:webHidden/>
              </w:rPr>
              <w:fldChar w:fldCharType="separate"/>
            </w:r>
            <w:r w:rsidR="00A57862">
              <w:rPr>
                <w:webHidden/>
              </w:rPr>
              <w:t>160</w:t>
            </w:r>
            <w:r w:rsidR="00A57862">
              <w:rPr>
                <w:webHidden/>
              </w:rPr>
              <w:fldChar w:fldCharType="end"/>
            </w:r>
          </w:hyperlink>
        </w:p>
        <w:p w14:paraId="7E793F14" w14:textId="4F76E358" w:rsidR="00A57862" w:rsidRDefault="00912091">
          <w:pPr>
            <w:pStyle w:val="TOC3"/>
            <w:rPr>
              <w:rFonts w:asciiTheme="minorHAnsi" w:eastAsiaTheme="minorEastAsia" w:hAnsiTheme="minorHAnsi" w:cstheme="minorBidi"/>
              <w:color w:val="auto"/>
              <w:szCs w:val="22"/>
              <w:lang w:eastAsia="en-NZ"/>
            </w:rPr>
          </w:pPr>
          <w:hyperlink w:anchor="_Toc168639112" w:history="1">
            <w:r w:rsidR="00A57862" w:rsidRPr="00A139B3">
              <w:rPr>
                <w:rStyle w:val="Hyperlink"/>
                <w:rFonts w:eastAsia="Calibri"/>
                <w:shd w:val="clear" w:color="auto" w:fill="FFFFFF"/>
              </w:rPr>
              <w:t>Overview of structure and functions of the Gloriavale Christian Community</w:t>
            </w:r>
            <w:r w:rsidR="00A57862">
              <w:rPr>
                <w:webHidden/>
              </w:rPr>
              <w:tab/>
            </w:r>
            <w:r w:rsidR="00A57862">
              <w:rPr>
                <w:webHidden/>
              </w:rPr>
              <w:fldChar w:fldCharType="begin"/>
            </w:r>
            <w:r w:rsidR="00A57862">
              <w:rPr>
                <w:webHidden/>
              </w:rPr>
              <w:instrText xml:space="preserve"> PAGEREF _Toc168639112 \h </w:instrText>
            </w:r>
            <w:r w:rsidR="00A57862">
              <w:rPr>
                <w:webHidden/>
              </w:rPr>
            </w:r>
            <w:r w:rsidR="00A57862">
              <w:rPr>
                <w:webHidden/>
              </w:rPr>
              <w:fldChar w:fldCharType="separate"/>
            </w:r>
            <w:r w:rsidR="00A57862">
              <w:rPr>
                <w:webHidden/>
              </w:rPr>
              <w:t>161</w:t>
            </w:r>
            <w:r w:rsidR="00A57862">
              <w:rPr>
                <w:webHidden/>
              </w:rPr>
              <w:fldChar w:fldCharType="end"/>
            </w:r>
          </w:hyperlink>
        </w:p>
        <w:p w14:paraId="0C75D91B" w14:textId="38592F5C" w:rsidR="00A57862" w:rsidRDefault="00912091">
          <w:pPr>
            <w:pStyle w:val="TOC3"/>
            <w:rPr>
              <w:rFonts w:asciiTheme="minorHAnsi" w:eastAsiaTheme="minorEastAsia" w:hAnsiTheme="minorHAnsi" w:cstheme="minorBidi"/>
              <w:color w:val="auto"/>
              <w:szCs w:val="22"/>
              <w:lang w:eastAsia="en-NZ"/>
            </w:rPr>
          </w:pPr>
          <w:hyperlink w:anchor="_Toc168639113" w:history="1">
            <w:r w:rsidR="00A57862" w:rsidRPr="00A139B3">
              <w:rPr>
                <w:rStyle w:val="Hyperlink"/>
              </w:rPr>
              <w:t>Te Hāhi Karaitiana o Plymouth Brethren | Plymouth Brethren Christian Church</w:t>
            </w:r>
            <w:r w:rsidR="00A57862">
              <w:rPr>
                <w:webHidden/>
              </w:rPr>
              <w:tab/>
            </w:r>
            <w:r w:rsidR="00A57862">
              <w:rPr>
                <w:webHidden/>
              </w:rPr>
              <w:fldChar w:fldCharType="begin"/>
            </w:r>
            <w:r w:rsidR="00A57862">
              <w:rPr>
                <w:webHidden/>
              </w:rPr>
              <w:instrText xml:space="preserve"> PAGEREF _Toc168639113 \h </w:instrText>
            </w:r>
            <w:r w:rsidR="00A57862">
              <w:rPr>
                <w:webHidden/>
              </w:rPr>
            </w:r>
            <w:r w:rsidR="00A57862">
              <w:rPr>
                <w:webHidden/>
              </w:rPr>
              <w:fldChar w:fldCharType="separate"/>
            </w:r>
            <w:r w:rsidR="00A57862">
              <w:rPr>
                <w:webHidden/>
              </w:rPr>
              <w:t>161</w:t>
            </w:r>
            <w:r w:rsidR="00A57862">
              <w:rPr>
                <w:webHidden/>
              </w:rPr>
              <w:fldChar w:fldCharType="end"/>
            </w:r>
          </w:hyperlink>
        </w:p>
        <w:p w14:paraId="20169795" w14:textId="00AC3947" w:rsidR="00A57862" w:rsidRDefault="00912091">
          <w:pPr>
            <w:pStyle w:val="TOC3"/>
            <w:rPr>
              <w:rFonts w:asciiTheme="minorHAnsi" w:eastAsiaTheme="minorEastAsia" w:hAnsiTheme="minorHAnsi" w:cstheme="minorBidi"/>
              <w:color w:val="auto"/>
              <w:szCs w:val="22"/>
              <w:lang w:eastAsia="en-NZ"/>
            </w:rPr>
          </w:pPr>
          <w:hyperlink w:anchor="_Toc168639114" w:history="1">
            <w:r w:rsidR="00A57862" w:rsidRPr="00A139B3">
              <w:rPr>
                <w:rStyle w:val="Hyperlink"/>
                <w:rFonts w:eastAsia="Calibri"/>
                <w:shd w:val="clear" w:color="auto" w:fill="FFFFFF"/>
              </w:rPr>
              <w:t>Overview of structure and functions of the Plymouth Brethren Christian Church</w:t>
            </w:r>
            <w:r w:rsidR="00A57862">
              <w:rPr>
                <w:webHidden/>
              </w:rPr>
              <w:tab/>
            </w:r>
            <w:r w:rsidR="00A57862">
              <w:rPr>
                <w:webHidden/>
              </w:rPr>
              <w:fldChar w:fldCharType="begin"/>
            </w:r>
            <w:r w:rsidR="00A57862">
              <w:rPr>
                <w:webHidden/>
              </w:rPr>
              <w:instrText xml:space="preserve"> PAGEREF _Toc168639114 \h </w:instrText>
            </w:r>
            <w:r w:rsidR="00A57862">
              <w:rPr>
                <w:webHidden/>
              </w:rPr>
            </w:r>
            <w:r w:rsidR="00A57862">
              <w:rPr>
                <w:webHidden/>
              </w:rPr>
              <w:fldChar w:fldCharType="separate"/>
            </w:r>
            <w:r w:rsidR="00A57862">
              <w:rPr>
                <w:webHidden/>
              </w:rPr>
              <w:t>162</w:t>
            </w:r>
            <w:r w:rsidR="00A57862">
              <w:rPr>
                <w:webHidden/>
              </w:rPr>
              <w:fldChar w:fldCharType="end"/>
            </w:r>
          </w:hyperlink>
        </w:p>
        <w:p w14:paraId="1DC20081" w14:textId="6653C181" w:rsidR="00A57862" w:rsidRDefault="00912091">
          <w:pPr>
            <w:pStyle w:val="TOC3"/>
            <w:rPr>
              <w:rFonts w:asciiTheme="minorHAnsi" w:eastAsiaTheme="minorEastAsia" w:hAnsiTheme="minorHAnsi" w:cstheme="minorBidi"/>
              <w:color w:val="auto"/>
              <w:szCs w:val="22"/>
              <w:lang w:eastAsia="en-NZ"/>
            </w:rPr>
          </w:pPr>
          <w:hyperlink w:anchor="_Toc168639115" w:history="1">
            <w:r w:rsidR="00A57862" w:rsidRPr="00A139B3">
              <w:rPr>
                <w:rStyle w:val="Hyperlink"/>
              </w:rPr>
              <w:t>Ngā Kaiwhakapae o Ihowa | Jehovah’s Witnesses</w:t>
            </w:r>
            <w:r w:rsidR="00A57862">
              <w:rPr>
                <w:webHidden/>
              </w:rPr>
              <w:tab/>
            </w:r>
            <w:r w:rsidR="00A57862">
              <w:rPr>
                <w:webHidden/>
              </w:rPr>
              <w:fldChar w:fldCharType="begin"/>
            </w:r>
            <w:r w:rsidR="00A57862">
              <w:rPr>
                <w:webHidden/>
              </w:rPr>
              <w:instrText xml:space="preserve"> PAGEREF _Toc168639115 \h </w:instrText>
            </w:r>
            <w:r w:rsidR="00A57862">
              <w:rPr>
                <w:webHidden/>
              </w:rPr>
            </w:r>
            <w:r w:rsidR="00A57862">
              <w:rPr>
                <w:webHidden/>
              </w:rPr>
              <w:fldChar w:fldCharType="separate"/>
            </w:r>
            <w:r w:rsidR="00A57862">
              <w:rPr>
                <w:webHidden/>
              </w:rPr>
              <w:t>163</w:t>
            </w:r>
            <w:r w:rsidR="00A57862">
              <w:rPr>
                <w:webHidden/>
              </w:rPr>
              <w:fldChar w:fldCharType="end"/>
            </w:r>
          </w:hyperlink>
        </w:p>
        <w:p w14:paraId="369A1261" w14:textId="36D22CEF" w:rsidR="00A57862" w:rsidRDefault="00912091">
          <w:pPr>
            <w:pStyle w:val="TOC2"/>
            <w:rPr>
              <w:rFonts w:asciiTheme="minorHAnsi" w:eastAsiaTheme="minorEastAsia" w:hAnsiTheme="minorHAnsi" w:cstheme="minorBidi"/>
              <w:color w:val="auto"/>
              <w:szCs w:val="22"/>
              <w:lang w:eastAsia="en-NZ"/>
            </w:rPr>
          </w:pPr>
          <w:hyperlink w:anchor="_Toc168639116" w:history="1">
            <w:r w:rsidR="00A57862" w:rsidRPr="00A139B3">
              <w:rPr>
                <w:rStyle w:val="Hyperlink"/>
              </w:rPr>
              <w:t>Ngā whakaritenga tuāpapa</w:t>
            </w:r>
            <w:r w:rsidR="00A57862" w:rsidRPr="00A139B3">
              <w:rPr>
                <w:rStyle w:val="Hyperlink"/>
                <w:rFonts w:ascii="Cambria Math" w:hAnsi="Cambria Math" w:cs="Cambria Math"/>
              </w:rPr>
              <w:t>‑</w:t>
            </w:r>
            <w:r w:rsidR="00A57862" w:rsidRPr="00A139B3">
              <w:rPr>
                <w:rStyle w:val="Hyperlink"/>
              </w:rPr>
              <w:t>whakapono i te w</w:t>
            </w:r>
            <w:r w:rsidR="00A57862" w:rsidRPr="00A139B3">
              <w:rPr>
                <w:rStyle w:val="Hyperlink"/>
                <w:rFonts w:cs="Arial"/>
              </w:rPr>
              <w:t>ā</w:t>
            </w:r>
            <w:r w:rsidR="00A57862" w:rsidRPr="00A139B3">
              <w:rPr>
                <w:rStyle w:val="Hyperlink"/>
              </w:rPr>
              <w:t xml:space="preserve"> o te Pakirehua</w:t>
            </w:r>
            <w:r w:rsidR="00A57862">
              <w:rPr>
                <w:webHidden/>
              </w:rPr>
              <w:tab/>
            </w:r>
            <w:r w:rsidR="00A57862">
              <w:rPr>
                <w:webHidden/>
              </w:rPr>
              <w:fldChar w:fldCharType="begin"/>
            </w:r>
            <w:r w:rsidR="00A57862">
              <w:rPr>
                <w:webHidden/>
              </w:rPr>
              <w:instrText xml:space="preserve"> PAGEREF _Toc168639116 \h </w:instrText>
            </w:r>
            <w:r w:rsidR="00A57862">
              <w:rPr>
                <w:webHidden/>
              </w:rPr>
            </w:r>
            <w:r w:rsidR="00A57862">
              <w:rPr>
                <w:webHidden/>
              </w:rPr>
              <w:fldChar w:fldCharType="separate"/>
            </w:r>
            <w:r w:rsidR="00A57862">
              <w:rPr>
                <w:webHidden/>
              </w:rPr>
              <w:t>165</w:t>
            </w:r>
            <w:r w:rsidR="00A57862">
              <w:rPr>
                <w:webHidden/>
              </w:rPr>
              <w:fldChar w:fldCharType="end"/>
            </w:r>
          </w:hyperlink>
        </w:p>
        <w:p w14:paraId="4FBFF1F2" w14:textId="6FB7E129" w:rsidR="00A57862" w:rsidRDefault="00912091">
          <w:pPr>
            <w:pStyle w:val="TOC2"/>
            <w:rPr>
              <w:rFonts w:asciiTheme="minorHAnsi" w:eastAsiaTheme="minorEastAsia" w:hAnsiTheme="minorHAnsi" w:cstheme="minorBidi"/>
              <w:color w:val="auto"/>
              <w:szCs w:val="22"/>
              <w:lang w:eastAsia="en-NZ"/>
            </w:rPr>
          </w:pPr>
          <w:hyperlink w:anchor="_Toc168639117" w:history="1">
            <w:r w:rsidR="00A57862" w:rsidRPr="00A139B3">
              <w:rPr>
                <w:rStyle w:val="Hyperlink"/>
              </w:rPr>
              <w:t>Faith-based care settings during the Inquiry period</w:t>
            </w:r>
            <w:r w:rsidR="00A57862">
              <w:rPr>
                <w:webHidden/>
              </w:rPr>
              <w:tab/>
            </w:r>
            <w:r w:rsidR="00A57862">
              <w:rPr>
                <w:webHidden/>
              </w:rPr>
              <w:fldChar w:fldCharType="begin"/>
            </w:r>
            <w:r w:rsidR="00A57862">
              <w:rPr>
                <w:webHidden/>
              </w:rPr>
              <w:instrText xml:space="preserve"> PAGEREF _Toc168639117 \h </w:instrText>
            </w:r>
            <w:r w:rsidR="00A57862">
              <w:rPr>
                <w:webHidden/>
              </w:rPr>
            </w:r>
            <w:r w:rsidR="00A57862">
              <w:rPr>
                <w:webHidden/>
              </w:rPr>
              <w:fldChar w:fldCharType="separate"/>
            </w:r>
            <w:r w:rsidR="00A57862">
              <w:rPr>
                <w:webHidden/>
              </w:rPr>
              <w:t>165</w:t>
            </w:r>
            <w:r w:rsidR="00A57862">
              <w:rPr>
                <w:webHidden/>
              </w:rPr>
              <w:fldChar w:fldCharType="end"/>
            </w:r>
          </w:hyperlink>
        </w:p>
        <w:p w14:paraId="11B1C189" w14:textId="259322CD" w:rsidR="00A57862" w:rsidRDefault="00912091">
          <w:pPr>
            <w:pStyle w:val="TOC3"/>
            <w:rPr>
              <w:rFonts w:asciiTheme="minorHAnsi" w:eastAsiaTheme="minorEastAsia" w:hAnsiTheme="minorHAnsi" w:cstheme="minorBidi"/>
              <w:color w:val="auto"/>
              <w:szCs w:val="22"/>
              <w:lang w:eastAsia="en-NZ"/>
            </w:rPr>
          </w:pPr>
          <w:hyperlink w:anchor="_Toc168639118" w:history="1">
            <w:r w:rsidR="00A57862" w:rsidRPr="00A139B3">
              <w:rPr>
                <w:rStyle w:val="Hyperlink"/>
              </w:rPr>
              <w:t>Kāinga taurima tamariki me ngā whare taurima tamariki pani</w:t>
            </w:r>
            <w:r w:rsidR="00A57862">
              <w:rPr>
                <w:webHidden/>
              </w:rPr>
              <w:tab/>
            </w:r>
            <w:r w:rsidR="00A57862">
              <w:rPr>
                <w:webHidden/>
              </w:rPr>
              <w:fldChar w:fldCharType="begin"/>
            </w:r>
            <w:r w:rsidR="00A57862">
              <w:rPr>
                <w:webHidden/>
              </w:rPr>
              <w:instrText xml:space="preserve"> PAGEREF _Toc168639118 \h </w:instrText>
            </w:r>
            <w:r w:rsidR="00A57862">
              <w:rPr>
                <w:webHidden/>
              </w:rPr>
            </w:r>
            <w:r w:rsidR="00A57862">
              <w:rPr>
                <w:webHidden/>
              </w:rPr>
              <w:fldChar w:fldCharType="separate"/>
            </w:r>
            <w:r w:rsidR="00A57862">
              <w:rPr>
                <w:webHidden/>
              </w:rPr>
              <w:t>165</w:t>
            </w:r>
            <w:r w:rsidR="00A57862">
              <w:rPr>
                <w:webHidden/>
              </w:rPr>
              <w:fldChar w:fldCharType="end"/>
            </w:r>
          </w:hyperlink>
        </w:p>
        <w:p w14:paraId="6B5A5878" w14:textId="637BD9BF" w:rsidR="00A57862" w:rsidRDefault="00912091">
          <w:pPr>
            <w:pStyle w:val="TOC3"/>
            <w:rPr>
              <w:rFonts w:asciiTheme="minorHAnsi" w:eastAsiaTheme="minorEastAsia" w:hAnsiTheme="minorHAnsi" w:cstheme="minorBidi"/>
              <w:color w:val="auto"/>
              <w:szCs w:val="22"/>
              <w:lang w:eastAsia="en-NZ"/>
            </w:rPr>
          </w:pPr>
          <w:hyperlink w:anchor="_Toc168639119" w:history="1">
            <w:r w:rsidR="00A57862" w:rsidRPr="00A139B3">
              <w:rPr>
                <w:rStyle w:val="Hyperlink"/>
              </w:rPr>
              <w:t>Faith-based children’s homes and orphanages</w:t>
            </w:r>
            <w:r w:rsidR="00A57862">
              <w:rPr>
                <w:webHidden/>
              </w:rPr>
              <w:tab/>
            </w:r>
            <w:r w:rsidR="00A57862">
              <w:rPr>
                <w:webHidden/>
              </w:rPr>
              <w:fldChar w:fldCharType="begin"/>
            </w:r>
            <w:r w:rsidR="00A57862">
              <w:rPr>
                <w:webHidden/>
              </w:rPr>
              <w:instrText xml:space="preserve"> PAGEREF _Toc168639119 \h </w:instrText>
            </w:r>
            <w:r w:rsidR="00A57862">
              <w:rPr>
                <w:webHidden/>
              </w:rPr>
            </w:r>
            <w:r w:rsidR="00A57862">
              <w:rPr>
                <w:webHidden/>
              </w:rPr>
              <w:fldChar w:fldCharType="separate"/>
            </w:r>
            <w:r w:rsidR="00A57862">
              <w:rPr>
                <w:webHidden/>
              </w:rPr>
              <w:t>165</w:t>
            </w:r>
            <w:r w:rsidR="00A57862">
              <w:rPr>
                <w:webHidden/>
              </w:rPr>
              <w:fldChar w:fldCharType="end"/>
            </w:r>
          </w:hyperlink>
        </w:p>
        <w:p w14:paraId="0400DA2D" w14:textId="3B3009E2" w:rsidR="00A57862" w:rsidRDefault="00912091">
          <w:pPr>
            <w:pStyle w:val="TOC3"/>
            <w:rPr>
              <w:rFonts w:asciiTheme="minorHAnsi" w:eastAsiaTheme="minorEastAsia" w:hAnsiTheme="minorHAnsi" w:cstheme="minorBidi"/>
              <w:color w:val="auto"/>
              <w:szCs w:val="22"/>
              <w:lang w:eastAsia="en-NZ"/>
            </w:rPr>
          </w:pPr>
          <w:hyperlink w:anchor="_Toc168639120" w:history="1">
            <w:r w:rsidR="00A57862" w:rsidRPr="00A139B3">
              <w:rPr>
                <w:rStyle w:val="Hyperlink"/>
              </w:rPr>
              <w:t>Kāinga atawhai tamariki | Foster homes</w:t>
            </w:r>
            <w:r w:rsidR="00A57862">
              <w:rPr>
                <w:webHidden/>
              </w:rPr>
              <w:tab/>
            </w:r>
            <w:r w:rsidR="00A57862">
              <w:rPr>
                <w:webHidden/>
              </w:rPr>
              <w:fldChar w:fldCharType="begin"/>
            </w:r>
            <w:r w:rsidR="00A57862">
              <w:rPr>
                <w:webHidden/>
              </w:rPr>
              <w:instrText xml:space="preserve"> PAGEREF _Toc168639120 \h </w:instrText>
            </w:r>
            <w:r w:rsidR="00A57862">
              <w:rPr>
                <w:webHidden/>
              </w:rPr>
            </w:r>
            <w:r w:rsidR="00A57862">
              <w:rPr>
                <w:webHidden/>
              </w:rPr>
              <w:fldChar w:fldCharType="separate"/>
            </w:r>
            <w:r w:rsidR="00A57862">
              <w:rPr>
                <w:webHidden/>
              </w:rPr>
              <w:t>166</w:t>
            </w:r>
            <w:r w:rsidR="00A57862">
              <w:rPr>
                <w:webHidden/>
              </w:rPr>
              <w:fldChar w:fldCharType="end"/>
            </w:r>
          </w:hyperlink>
        </w:p>
        <w:p w14:paraId="2FBE9716" w14:textId="02549A28" w:rsidR="00A57862" w:rsidRDefault="00912091">
          <w:pPr>
            <w:pStyle w:val="TOC3"/>
            <w:rPr>
              <w:rFonts w:asciiTheme="minorHAnsi" w:eastAsiaTheme="minorEastAsia" w:hAnsiTheme="minorHAnsi" w:cstheme="minorBidi"/>
              <w:color w:val="auto"/>
              <w:szCs w:val="22"/>
              <w:lang w:eastAsia="en-NZ"/>
            </w:rPr>
          </w:pPr>
          <w:hyperlink w:anchor="_Toc168639121" w:history="1">
            <w:r w:rsidR="00A57862" w:rsidRPr="00A139B3">
              <w:rPr>
                <w:rStyle w:val="Hyperlink"/>
              </w:rPr>
              <w:t>Kāinga taurima māmā takakau | Unmarried mothers’ homes</w:t>
            </w:r>
            <w:r w:rsidR="00A57862">
              <w:rPr>
                <w:webHidden/>
              </w:rPr>
              <w:tab/>
            </w:r>
            <w:r w:rsidR="00A57862">
              <w:rPr>
                <w:webHidden/>
              </w:rPr>
              <w:fldChar w:fldCharType="begin"/>
            </w:r>
            <w:r w:rsidR="00A57862">
              <w:rPr>
                <w:webHidden/>
              </w:rPr>
              <w:instrText xml:space="preserve"> PAGEREF _Toc168639121 \h </w:instrText>
            </w:r>
            <w:r w:rsidR="00A57862">
              <w:rPr>
                <w:webHidden/>
              </w:rPr>
            </w:r>
            <w:r w:rsidR="00A57862">
              <w:rPr>
                <w:webHidden/>
              </w:rPr>
              <w:fldChar w:fldCharType="separate"/>
            </w:r>
            <w:r w:rsidR="00A57862">
              <w:rPr>
                <w:webHidden/>
              </w:rPr>
              <w:t>167</w:t>
            </w:r>
            <w:r w:rsidR="00A57862">
              <w:rPr>
                <w:webHidden/>
              </w:rPr>
              <w:fldChar w:fldCharType="end"/>
            </w:r>
          </w:hyperlink>
        </w:p>
        <w:p w14:paraId="3DB6FD4F" w14:textId="0DB4888F" w:rsidR="00A57862" w:rsidRDefault="00912091">
          <w:pPr>
            <w:pStyle w:val="TOC4"/>
            <w:rPr>
              <w:rFonts w:asciiTheme="minorHAnsi" w:eastAsiaTheme="minorEastAsia" w:hAnsiTheme="minorHAnsi" w:cstheme="minorBidi"/>
              <w:color w:val="auto"/>
              <w:szCs w:val="22"/>
              <w:lang w:eastAsia="en-NZ"/>
            </w:rPr>
          </w:pPr>
          <w:hyperlink w:anchor="_Toc168639122" w:history="1">
            <w:r w:rsidR="00A57862" w:rsidRPr="00A139B3">
              <w:rPr>
                <w:rStyle w:val="Hyperlink"/>
              </w:rPr>
              <w:t>Kāinga taurima māmā takakau Katorika | Catholic unmarried mothers’ homes</w:t>
            </w:r>
            <w:r w:rsidR="00A57862">
              <w:rPr>
                <w:webHidden/>
              </w:rPr>
              <w:tab/>
            </w:r>
            <w:r w:rsidR="00A57862">
              <w:rPr>
                <w:webHidden/>
              </w:rPr>
              <w:fldChar w:fldCharType="begin"/>
            </w:r>
            <w:r w:rsidR="00A57862">
              <w:rPr>
                <w:webHidden/>
              </w:rPr>
              <w:instrText xml:space="preserve"> PAGEREF _Toc168639122 \h </w:instrText>
            </w:r>
            <w:r w:rsidR="00A57862">
              <w:rPr>
                <w:webHidden/>
              </w:rPr>
            </w:r>
            <w:r w:rsidR="00A57862">
              <w:rPr>
                <w:webHidden/>
              </w:rPr>
              <w:fldChar w:fldCharType="separate"/>
            </w:r>
            <w:r w:rsidR="00A57862">
              <w:rPr>
                <w:webHidden/>
              </w:rPr>
              <w:t>167</w:t>
            </w:r>
            <w:r w:rsidR="00A57862">
              <w:rPr>
                <w:webHidden/>
              </w:rPr>
              <w:fldChar w:fldCharType="end"/>
            </w:r>
          </w:hyperlink>
        </w:p>
        <w:p w14:paraId="3020A321" w14:textId="570A58AF" w:rsidR="00A57862" w:rsidRDefault="00912091">
          <w:pPr>
            <w:pStyle w:val="TOC4"/>
            <w:rPr>
              <w:rFonts w:asciiTheme="minorHAnsi" w:eastAsiaTheme="minorEastAsia" w:hAnsiTheme="minorHAnsi" w:cstheme="minorBidi"/>
              <w:color w:val="auto"/>
              <w:szCs w:val="22"/>
              <w:lang w:eastAsia="en-NZ"/>
            </w:rPr>
          </w:pPr>
          <w:hyperlink w:anchor="_Toc168639123" w:history="1">
            <w:r w:rsidR="00A57862" w:rsidRPr="00A139B3">
              <w:rPr>
                <w:rStyle w:val="Hyperlink"/>
              </w:rPr>
              <w:t>Kāinga taurima māmā takakau Mihingare | Anglican unmarried mothers’ homes</w:t>
            </w:r>
            <w:r w:rsidR="00A57862">
              <w:rPr>
                <w:webHidden/>
              </w:rPr>
              <w:tab/>
            </w:r>
            <w:r w:rsidR="00A57862">
              <w:rPr>
                <w:webHidden/>
              </w:rPr>
              <w:fldChar w:fldCharType="begin"/>
            </w:r>
            <w:r w:rsidR="00A57862">
              <w:rPr>
                <w:webHidden/>
              </w:rPr>
              <w:instrText xml:space="preserve"> PAGEREF _Toc168639123 \h </w:instrText>
            </w:r>
            <w:r w:rsidR="00A57862">
              <w:rPr>
                <w:webHidden/>
              </w:rPr>
            </w:r>
            <w:r w:rsidR="00A57862">
              <w:rPr>
                <w:webHidden/>
              </w:rPr>
              <w:fldChar w:fldCharType="separate"/>
            </w:r>
            <w:r w:rsidR="00A57862">
              <w:rPr>
                <w:webHidden/>
              </w:rPr>
              <w:t>167</w:t>
            </w:r>
            <w:r w:rsidR="00A57862">
              <w:rPr>
                <w:webHidden/>
              </w:rPr>
              <w:fldChar w:fldCharType="end"/>
            </w:r>
          </w:hyperlink>
        </w:p>
        <w:p w14:paraId="6F1F0440" w14:textId="1E65CA10" w:rsidR="00A57862" w:rsidRDefault="00912091">
          <w:pPr>
            <w:pStyle w:val="TOC4"/>
            <w:rPr>
              <w:rFonts w:asciiTheme="minorHAnsi" w:eastAsiaTheme="minorEastAsia" w:hAnsiTheme="minorHAnsi" w:cstheme="minorBidi"/>
              <w:color w:val="auto"/>
              <w:szCs w:val="22"/>
              <w:lang w:eastAsia="en-NZ"/>
            </w:rPr>
          </w:pPr>
          <w:hyperlink w:anchor="_Toc168639124" w:history="1">
            <w:r w:rsidR="00A57862" w:rsidRPr="00A139B3">
              <w:rPr>
                <w:rStyle w:val="Hyperlink"/>
              </w:rPr>
              <w:t>Kāinga taurima māmā takakau o Te Ope Whakaora | The Salvation Army unmarried mothers’ homes</w:t>
            </w:r>
            <w:r w:rsidR="00A57862">
              <w:rPr>
                <w:webHidden/>
              </w:rPr>
              <w:tab/>
            </w:r>
            <w:r w:rsidR="00A57862">
              <w:rPr>
                <w:webHidden/>
              </w:rPr>
              <w:fldChar w:fldCharType="begin"/>
            </w:r>
            <w:r w:rsidR="00A57862">
              <w:rPr>
                <w:webHidden/>
              </w:rPr>
              <w:instrText xml:space="preserve"> PAGEREF _Toc168639124 \h </w:instrText>
            </w:r>
            <w:r w:rsidR="00A57862">
              <w:rPr>
                <w:webHidden/>
              </w:rPr>
            </w:r>
            <w:r w:rsidR="00A57862">
              <w:rPr>
                <w:webHidden/>
              </w:rPr>
              <w:fldChar w:fldCharType="separate"/>
            </w:r>
            <w:r w:rsidR="00A57862">
              <w:rPr>
                <w:webHidden/>
              </w:rPr>
              <w:t>167</w:t>
            </w:r>
            <w:r w:rsidR="00A57862">
              <w:rPr>
                <w:webHidden/>
              </w:rPr>
              <w:fldChar w:fldCharType="end"/>
            </w:r>
          </w:hyperlink>
        </w:p>
        <w:p w14:paraId="13F2EE3C" w14:textId="496B3A3E" w:rsidR="00A57862" w:rsidRDefault="00912091">
          <w:pPr>
            <w:pStyle w:val="TOC4"/>
            <w:rPr>
              <w:rFonts w:asciiTheme="minorHAnsi" w:eastAsiaTheme="minorEastAsia" w:hAnsiTheme="minorHAnsi" w:cstheme="minorBidi"/>
              <w:color w:val="auto"/>
              <w:szCs w:val="22"/>
              <w:lang w:eastAsia="en-NZ"/>
            </w:rPr>
          </w:pPr>
          <w:hyperlink w:anchor="_Toc168639125" w:history="1">
            <w:r w:rsidR="00A57862" w:rsidRPr="00A139B3">
              <w:rPr>
                <w:rStyle w:val="Hyperlink"/>
              </w:rPr>
              <w:t>Kāinga taurima māmā takakau Perehipitīriana | Presbyterian unmarried mothers’ homes</w:t>
            </w:r>
            <w:r w:rsidR="00A57862">
              <w:rPr>
                <w:webHidden/>
              </w:rPr>
              <w:tab/>
            </w:r>
            <w:r w:rsidR="00A57862">
              <w:rPr>
                <w:webHidden/>
              </w:rPr>
              <w:fldChar w:fldCharType="begin"/>
            </w:r>
            <w:r w:rsidR="00A57862">
              <w:rPr>
                <w:webHidden/>
              </w:rPr>
              <w:instrText xml:space="preserve"> PAGEREF _Toc168639125 \h </w:instrText>
            </w:r>
            <w:r w:rsidR="00A57862">
              <w:rPr>
                <w:webHidden/>
              </w:rPr>
            </w:r>
            <w:r w:rsidR="00A57862">
              <w:rPr>
                <w:webHidden/>
              </w:rPr>
              <w:fldChar w:fldCharType="separate"/>
            </w:r>
            <w:r w:rsidR="00A57862">
              <w:rPr>
                <w:webHidden/>
              </w:rPr>
              <w:t>167</w:t>
            </w:r>
            <w:r w:rsidR="00A57862">
              <w:rPr>
                <w:webHidden/>
              </w:rPr>
              <w:fldChar w:fldCharType="end"/>
            </w:r>
          </w:hyperlink>
        </w:p>
        <w:p w14:paraId="69AA2552" w14:textId="27E1374D" w:rsidR="00A57862" w:rsidRDefault="00912091">
          <w:pPr>
            <w:pStyle w:val="TOC3"/>
            <w:rPr>
              <w:rFonts w:asciiTheme="minorHAnsi" w:eastAsiaTheme="minorEastAsia" w:hAnsiTheme="minorHAnsi" w:cstheme="minorBidi"/>
              <w:color w:val="auto"/>
              <w:szCs w:val="22"/>
              <w:lang w:eastAsia="en-NZ"/>
            </w:rPr>
          </w:pPr>
          <w:hyperlink w:anchor="_Toc168639126" w:history="1">
            <w:r w:rsidR="00A57862" w:rsidRPr="00A139B3">
              <w:rPr>
                <w:rStyle w:val="Hyperlink"/>
              </w:rPr>
              <w:t>Te whakapono me te whāngai | Faith and adoption</w:t>
            </w:r>
            <w:r w:rsidR="00A57862">
              <w:rPr>
                <w:webHidden/>
              </w:rPr>
              <w:tab/>
            </w:r>
            <w:r w:rsidR="00A57862">
              <w:rPr>
                <w:webHidden/>
              </w:rPr>
              <w:fldChar w:fldCharType="begin"/>
            </w:r>
            <w:r w:rsidR="00A57862">
              <w:rPr>
                <w:webHidden/>
              </w:rPr>
              <w:instrText xml:space="preserve"> PAGEREF _Toc168639126 \h </w:instrText>
            </w:r>
            <w:r w:rsidR="00A57862">
              <w:rPr>
                <w:webHidden/>
              </w:rPr>
            </w:r>
            <w:r w:rsidR="00A57862">
              <w:rPr>
                <w:webHidden/>
              </w:rPr>
              <w:fldChar w:fldCharType="separate"/>
            </w:r>
            <w:r w:rsidR="00A57862">
              <w:rPr>
                <w:webHidden/>
              </w:rPr>
              <w:t>167</w:t>
            </w:r>
            <w:r w:rsidR="00A57862">
              <w:rPr>
                <w:webHidden/>
              </w:rPr>
              <w:fldChar w:fldCharType="end"/>
            </w:r>
          </w:hyperlink>
        </w:p>
        <w:p w14:paraId="3F66BD77" w14:textId="79048AE7" w:rsidR="00A57862" w:rsidRDefault="00912091">
          <w:pPr>
            <w:pStyle w:val="TOC3"/>
            <w:rPr>
              <w:rFonts w:asciiTheme="minorHAnsi" w:eastAsiaTheme="minorEastAsia" w:hAnsiTheme="minorHAnsi" w:cstheme="minorBidi"/>
              <w:color w:val="auto"/>
              <w:szCs w:val="22"/>
              <w:lang w:eastAsia="en-NZ"/>
            </w:rPr>
          </w:pPr>
          <w:hyperlink w:anchor="_Toc168639127" w:history="1">
            <w:r w:rsidR="00A57862" w:rsidRPr="00A139B3">
              <w:rPr>
                <w:rStyle w:val="Hyperlink"/>
              </w:rPr>
              <w:t>Kura tūāpapa-whakapono me ngā whare mātauranga</w:t>
            </w:r>
            <w:r w:rsidR="00A57862">
              <w:rPr>
                <w:webHidden/>
              </w:rPr>
              <w:tab/>
            </w:r>
            <w:r w:rsidR="00A57862">
              <w:rPr>
                <w:webHidden/>
              </w:rPr>
              <w:fldChar w:fldCharType="begin"/>
            </w:r>
            <w:r w:rsidR="00A57862">
              <w:rPr>
                <w:webHidden/>
              </w:rPr>
              <w:instrText xml:space="preserve"> PAGEREF _Toc168639127 \h </w:instrText>
            </w:r>
            <w:r w:rsidR="00A57862">
              <w:rPr>
                <w:webHidden/>
              </w:rPr>
            </w:r>
            <w:r w:rsidR="00A57862">
              <w:rPr>
                <w:webHidden/>
              </w:rPr>
              <w:fldChar w:fldCharType="separate"/>
            </w:r>
            <w:r w:rsidR="00A57862">
              <w:rPr>
                <w:webHidden/>
              </w:rPr>
              <w:t>168</w:t>
            </w:r>
            <w:r w:rsidR="00A57862">
              <w:rPr>
                <w:webHidden/>
              </w:rPr>
              <w:fldChar w:fldCharType="end"/>
            </w:r>
          </w:hyperlink>
        </w:p>
        <w:p w14:paraId="637F4FAD" w14:textId="5A787F0C" w:rsidR="00A57862" w:rsidRDefault="00912091">
          <w:pPr>
            <w:pStyle w:val="TOC3"/>
            <w:rPr>
              <w:rFonts w:asciiTheme="minorHAnsi" w:eastAsiaTheme="minorEastAsia" w:hAnsiTheme="minorHAnsi" w:cstheme="minorBidi"/>
              <w:color w:val="auto"/>
              <w:szCs w:val="22"/>
              <w:lang w:eastAsia="en-NZ"/>
            </w:rPr>
          </w:pPr>
          <w:hyperlink w:anchor="_Toc168639128" w:history="1">
            <w:r w:rsidR="00A57862" w:rsidRPr="00A139B3">
              <w:rPr>
                <w:rStyle w:val="Hyperlink"/>
              </w:rPr>
              <w:t>Faith-based schools and education facilities</w:t>
            </w:r>
            <w:r w:rsidR="00A57862">
              <w:rPr>
                <w:webHidden/>
              </w:rPr>
              <w:tab/>
            </w:r>
            <w:r w:rsidR="00A57862">
              <w:rPr>
                <w:webHidden/>
              </w:rPr>
              <w:fldChar w:fldCharType="begin"/>
            </w:r>
            <w:r w:rsidR="00A57862">
              <w:rPr>
                <w:webHidden/>
              </w:rPr>
              <w:instrText xml:space="preserve"> PAGEREF _Toc168639128 \h </w:instrText>
            </w:r>
            <w:r w:rsidR="00A57862">
              <w:rPr>
                <w:webHidden/>
              </w:rPr>
            </w:r>
            <w:r w:rsidR="00A57862">
              <w:rPr>
                <w:webHidden/>
              </w:rPr>
              <w:fldChar w:fldCharType="separate"/>
            </w:r>
            <w:r w:rsidR="00A57862">
              <w:rPr>
                <w:webHidden/>
              </w:rPr>
              <w:t>168</w:t>
            </w:r>
            <w:r w:rsidR="00A57862">
              <w:rPr>
                <w:webHidden/>
              </w:rPr>
              <w:fldChar w:fldCharType="end"/>
            </w:r>
          </w:hyperlink>
        </w:p>
        <w:p w14:paraId="26208AB3" w14:textId="43E92B2C" w:rsidR="00A57862" w:rsidRDefault="00912091">
          <w:pPr>
            <w:pStyle w:val="TOC3"/>
            <w:rPr>
              <w:rFonts w:asciiTheme="minorHAnsi" w:eastAsiaTheme="minorEastAsia" w:hAnsiTheme="minorHAnsi" w:cstheme="minorBidi"/>
              <w:color w:val="auto"/>
              <w:szCs w:val="22"/>
              <w:lang w:eastAsia="en-NZ"/>
            </w:rPr>
          </w:pPr>
          <w:hyperlink w:anchor="_Toc168639129" w:history="1">
            <w:r w:rsidR="00A57862" w:rsidRPr="00A139B3">
              <w:rPr>
                <w:rStyle w:val="Hyperlink"/>
              </w:rPr>
              <w:t>Te kuhunga o te tangata ki ngā kura tūāpapa-whakapono</w:t>
            </w:r>
            <w:r w:rsidR="00A57862">
              <w:rPr>
                <w:webHidden/>
              </w:rPr>
              <w:tab/>
            </w:r>
            <w:r w:rsidR="00A57862">
              <w:rPr>
                <w:webHidden/>
              </w:rPr>
              <w:fldChar w:fldCharType="begin"/>
            </w:r>
            <w:r w:rsidR="00A57862">
              <w:rPr>
                <w:webHidden/>
              </w:rPr>
              <w:instrText xml:space="preserve"> PAGEREF _Toc168639129 \h </w:instrText>
            </w:r>
            <w:r w:rsidR="00A57862">
              <w:rPr>
                <w:webHidden/>
              </w:rPr>
            </w:r>
            <w:r w:rsidR="00A57862">
              <w:rPr>
                <w:webHidden/>
              </w:rPr>
              <w:fldChar w:fldCharType="separate"/>
            </w:r>
            <w:r w:rsidR="00A57862">
              <w:rPr>
                <w:webHidden/>
              </w:rPr>
              <w:t>169</w:t>
            </w:r>
            <w:r w:rsidR="00A57862">
              <w:rPr>
                <w:webHidden/>
              </w:rPr>
              <w:fldChar w:fldCharType="end"/>
            </w:r>
          </w:hyperlink>
        </w:p>
        <w:p w14:paraId="4975A941" w14:textId="5BDF7514" w:rsidR="00A57862" w:rsidRDefault="00912091">
          <w:pPr>
            <w:pStyle w:val="TOC3"/>
            <w:rPr>
              <w:rFonts w:asciiTheme="minorHAnsi" w:eastAsiaTheme="minorEastAsia" w:hAnsiTheme="minorHAnsi" w:cstheme="minorBidi"/>
              <w:color w:val="auto"/>
              <w:szCs w:val="22"/>
              <w:lang w:eastAsia="en-NZ"/>
            </w:rPr>
          </w:pPr>
          <w:hyperlink w:anchor="_Toc168639130" w:history="1">
            <w:r w:rsidR="00A57862" w:rsidRPr="00A139B3">
              <w:rPr>
                <w:rStyle w:val="Hyperlink"/>
              </w:rPr>
              <w:t>How people entered faith-based schools</w:t>
            </w:r>
            <w:r w:rsidR="00A57862">
              <w:rPr>
                <w:webHidden/>
              </w:rPr>
              <w:tab/>
            </w:r>
            <w:r w:rsidR="00A57862">
              <w:rPr>
                <w:webHidden/>
              </w:rPr>
              <w:fldChar w:fldCharType="begin"/>
            </w:r>
            <w:r w:rsidR="00A57862">
              <w:rPr>
                <w:webHidden/>
              </w:rPr>
              <w:instrText xml:space="preserve"> PAGEREF _Toc168639130 \h </w:instrText>
            </w:r>
            <w:r w:rsidR="00A57862">
              <w:rPr>
                <w:webHidden/>
              </w:rPr>
            </w:r>
            <w:r w:rsidR="00A57862">
              <w:rPr>
                <w:webHidden/>
              </w:rPr>
              <w:fldChar w:fldCharType="separate"/>
            </w:r>
            <w:r w:rsidR="00A57862">
              <w:rPr>
                <w:webHidden/>
              </w:rPr>
              <w:t>169</w:t>
            </w:r>
            <w:r w:rsidR="00A57862">
              <w:rPr>
                <w:webHidden/>
              </w:rPr>
              <w:fldChar w:fldCharType="end"/>
            </w:r>
          </w:hyperlink>
        </w:p>
        <w:p w14:paraId="41EAED3E" w14:textId="052CF154" w:rsidR="00A57862" w:rsidRDefault="00912091">
          <w:pPr>
            <w:pStyle w:val="TOC4"/>
            <w:rPr>
              <w:rFonts w:asciiTheme="minorHAnsi" w:eastAsiaTheme="minorEastAsia" w:hAnsiTheme="minorHAnsi" w:cstheme="minorBidi"/>
              <w:color w:val="auto"/>
              <w:szCs w:val="22"/>
              <w:lang w:eastAsia="en-NZ"/>
            </w:rPr>
          </w:pPr>
          <w:hyperlink w:anchor="_Toc168639131" w:history="1">
            <w:r w:rsidR="00A57862" w:rsidRPr="00A139B3">
              <w:rPr>
                <w:rStyle w:val="Hyperlink"/>
                <w:shd w:val="clear" w:color="auto" w:fill="FFFFFF"/>
              </w:rPr>
              <w:t>Kura Katorika | Catholic schools</w:t>
            </w:r>
            <w:r w:rsidR="00A57862">
              <w:rPr>
                <w:webHidden/>
              </w:rPr>
              <w:tab/>
            </w:r>
            <w:r w:rsidR="00A57862">
              <w:rPr>
                <w:webHidden/>
              </w:rPr>
              <w:fldChar w:fldCharType="begin"/>
            </w:r>
            <w:r w:rsidR="00A57862">
              <w:rPr>
                <w:webHidden/>
              </w:rPr>
              <w:instrText xml:space="preserve"> PAGEREF _Toc168639131 \h </w:instrText>
            </w:r>
            <w:r w:rsidR="00A57862">
              <w:rPr>
                <w:webHidden/>
              </w:rPr>
            </w:r>
            <w:r w:rsidR="00A57862">
              <w:rPr>
                <w:webHidden/>
              </w:rPr>
              <w:fldChar w:fldCharType="separate"/>
            </w:r>
            <w:r w:rsidR="00A57862">
              <w:rPr>
                <w:webHidden/>
              </w:rPr>
              <w:t>170</w:t>
            </w:r>
            <w:r w:rsidR="00A57862">
              <w:rPr>
                <w:webHidden/>
              </w:rPr>
              <w:fldChar w:fldCharType="end"/>
            </w:r>
          </w:hyperlink>
        </w:p>
        <w:p w14:paraId="6C9C3A10" w14:textId="6F142775" w:rsidR="00A57862" w:rsidRDefault="00912091">
          <w:pPr>
            <w:pStyle w:val="TOC4"/>
            <w:rPr>
              <w:rFonts w:asciiTheme="minorHAnsi" w:eastAsiaTheme="minorEastAsia" w:hAnsiTheme="minorHAnsi" w:cstheme="minorBidi"/>
              <w:color w:val="auto"/>
              <w:szCs w:val="22"/>
              <w:lang w:eastAsia="en-NZ"/>
            </w:rPr>
          </w:pPr>
          <w:hyperlink w:anchor="_Toc168639132" w:history="1">
            <w:r w:rsidR="00A57862" w:rsidRPr="00A139B3">
              <w:rPr>
                <w:rStyle w:val="Hyperlink"/>
                <w:shd w:val="clear" w:color="auto" w:fill="FFFFFF"/>
              </w:rPr>
              <w:t>Kura Weteriana | Methodist school</w:t>
            </w:r>
            <w:r w:rsidR="00A57862">
              <w:rPr>
                <w:webHidden/>
              </w:rPr>
              <w:tab/>
            </w:r>
            <w:r w:rsidR="00A57862">
              <w:rPr>
                <w:webHidden/>
              </w:rPr>
              <w:fldChar w:fldCharType="begin"/>
            </w:r>
            <w:r w:rsidR="00A57862">
              <w:rPr>
                <w:webHidden/>
              </w:rPr>
              <w:instrText xml:space="preserve"> PAGEREF _Toc168639132 \h </w:instrText>
            </w:r>
            <w:r w:rsidR="00A57862">
              <w:rPr>
                <w:webHidden/>
              </w:rPr>
            </w:r>
            <w:r w:rsidR="00A57862">
              <w:rPr>
                <w:webHidden/>
              </w:rPr>
              <w:fldChar w:fldCharType="separate"/>
            </w:r>
            <w:r w:rsidR="00A57862">
              <w:rPr>
                <w:webHidden/>
              </w:rPr>
              <w:t>170</w:t>
            </w:r>
            <w:r w:rsidR="00A57862">
              <w:rPr>
                <w:webHidden/>
              </w:rPr>
              <w:fldChar w:fldCharType="end"/>
            </w:r>
          </w:hyperlink>
        </w:p>
        <w:p w14:paraId="406C7026" w14:textId="1E530C09" w:rsidR="00A57862" w:rsidRDefault="00912091">
          <w:pPr>
            <w:pStyle w:val="TOC4"/>
            <w:rPr>
              <w:rFonts w:asciiTheme="minorHAnsi" w:eastAsiaTheme="minorEastAsia" w:hAnsiTheme="minorHAnsi" w:cstheme="minorBidi"/>
              <w:color w:val="auto"/>
              <w:szCs w:val="22"/>
              <w:lang w:eastAsia="en-NZ"/>
            </w:rPr>
          </w:pPr>
          <w:hyperlink w:anchor="_Toc168639133" w:history="1">
            <w:r w:rsidR="00A57862" w:rsidRPr="00A139B3">
              <w:rPr>
                <w:rStyle w:val="Hyperlink"/>
              </w:rPr>
              <w:t>Kura Mihingare | Anglican schools</w:t>
            </w:r>
            <w:r w:rsidR="00A57862">
              <w:rPr>
                <w:webHidden/>
              </w:rPr>
              <w:tab/>
            </w:r>
            <w:r w:rsidR="00A57862">
              <w:rPr>
                <w:webHidden/>
              </w:rPr>
              <w:fldChar w:fldCharType="begin"/>
            </w:r>
            <w:r w:rsidR="00A57862">
              <w:rPr>
                <w:webHidden/>
              </w:rPr>
              <w:instrText xml:space="preserve"> PAGEREF _Toc168639133 \h </w:instrText>
            </w:r>
            <w:r w:rsidR="00A57862">
              <w:rPr>
                <w:webHidden/>
              </w:rPr>
            </w:r>
            <w:r w:rsidR="00A57862">
              <w:rPr>
                <w:webHidden/>
              </w:rPr>
              <w:fldChar w:fldCharType="separate"/>
            </w:r>
            <w:r w:rsidR="00A57862">
              <w:rPr>
                <w:webHidden/>
              </w:rPr>
              <w:t>170</w:t>
            </w:r>
            <w:r w:rsidR="00A57862">
              <w:rPr>
                <w:webHidden/>
              </w:rPr>
              <w:fldChar w:fldCharType="end"/>
            </w:r>
          </w:hyperlink>
        </w:p>
        <w:p w14:paraId="1B1730DB" w14:textId="2D81B8CA" w:rsidR="00A57862" w:rsidRDefault="00912091">
          <w:pPr>
            <w:pStyle w:val="TOC4"/>
            <w:rPr>
              <w:rFonts w:asciiTheme="minorHAnsi" w:eastAsiaTheme="minorEastAsia" w:hAnsiTheme="minorHAnsi" w:cstheme="minorBidi"/>
              <w:color w:val="auto"/>
              <w:szCs w:val="22"/>
              <w:lang w:eastAsia="en-NZ"/>
            </w:rPr>
          </w:pPr>
          <w:hyperlink w:anchor="_Toc168639134" w:history="1">
            <w:r w:rsidR="00A57862" w:rsidRPr="00A139B3">
              <w:rPr>
                <w:rStyle w:val="Hyperlink"/>
              </w:rPr>
              <w:t>Kura Perehipitīriana | Presbyterian schools</w:t>
            </w:r>
            <w:r w:rsidR="00A57862">
              <w:rPr>
                <w:webHidden/>
              </w:rPr>
              <w:tab/>
            </w:r>
            <w:r w:rsidR="00A57862">
              <w:rPr>
                <w:webHidden/>
              </w:rPr>
              <w:fldChar w:fldCharType="begin"/>
            </w:r>
            <w:r w:rsidR="00A57862">
              <w:rPr>
                <w:webHidden/>
              </w:rPr>
              <w:instrText xml:space="preserve"> PAGEREF _Toc168639134 \h </w:instrText>
            </w:r>
            <w:r w:rsidR="00A57862">
              <w:rPr>
                <w:webHidden/>
              </w:rPr>
            </w:r>
            <w:r w:rsidR="00A57862">
              <w:rPr>
                <w:webHidden/>
              </w:rPr>
              <w:fldChar w:fldCharType="separate"/>
            </w:r>
            <w:r w:rsidR="00A57862">
              <w:rPr>
                <w:webHidden/>
              </w:rPr>
              <w:t>170</w:t>
            </w:r>
            <w:r w:rsidR="00A57862">
              <w:rPr>
                <w:webHidden/>
              </w:rPr>
              <w:fldChar w:fldCharType="end"/>
            </w:r>
          </w:hyperlink>
        </w:p>
        <w:p w14:paraId="63BA0D3C" w14:textId="775B52CF" w:rsidR="00A57862" w:rsidRDefault="00912091">
          <w:pPr>
            <w:pStyle w:val="TOC4"/>
            <w:rPr>
              <w:rFonts w:asciiTheme="minorHAnsi" w:eastAsiaTheme="minorEastAsia" w:hAnsiTheme="minorHAnsi" w:cstheme="minorBidi"/>
              <w:color w:val="auto"/>
              <w:szCs w:val="22"/>
              <w:lang w:eastAsia="en-NZ"/>
            </w:rPr>
          </w:pPr>
          <w:hyperlink w:anchor="_Toc168639135" w:history="1">
            <w:r w:rsidR="00A57862" w:rsidRPr="00A139B3">
              <w:rPr>
                <w:rStyle w:val="Hyperlink"/>
              </w:rPr>
              <w:t>Kura noho Māori | Māori boarding schools</w:t>
            </w:r>
            <w:r w:rsidR="00A57862">
              <w:rPr>
                <w:webHidden/>
              </w:rPr>
              <w:tab/>
            </w:r>
            <w:r w:rsidR="00A57862">
              <w:rPr>
                <w:webHidden/>
              </w:rPr>
              <w:fldChar w:fldCharType="begin"/>
            </w:r>
            <w:r w:rsidR="00A57862">
              <w:rPr>
                <w:webHidden/>
              </w:rPr>
              <w:instrText xml:space="preserve"> PAGEREF _Toc168639135 \h </w:instrText>
            </w:r>
            <w:r w:rsidR="00A57862">
              <w:rPr>
                <w:webHidden/>
              </w:rPr>
            </w:r>
            <w:r w:rsidR="00A57862">
              <w:rPr>
                <w:webHidden/>
              </w:rPr>
              <w:fldChar w:fldCharType="separate"/>
            </w:r>
            <w:r w:rsidR="00A57862">
              <w:rPr>
                <w:webHidden/>
              </w:rPr>
              <w:t>171</w:t>
            </w:r>
            <w:r w:rsidR="00A57862">
              <w:rPr>
                <w:webHidden/>
              </w:rPr>
              <w:fldChar w:fldCharType="end"/>
            </w:r>
          </w:hyperlink>
        </w:p>
        <w:p w14:paraId="739AA22B" w14:textId="26F8113D" w:rsidR="00A57862" w:rsidRDefault="00912091">
          <w:pPr>
            <w:pStyle w:val="TOC4"/>
            <w:rPr>
              <w:rFonts w:asciiTheme="minorHAnsi" w:eastAsiaTheme="minorEastAsia" w:hAnsiTheme="minorHAnsi" w:cstheme="minorBidi"/>
              <w:color w:val="auto"/>
              <w:szCs w:val="22"/>
              <w:lang w:eastAsia="en-NZ"/>
            </w:rPr>
          </w:pPr>
          <w:hyperlink w:anchor="_Toc168639136" w:history="1">
            <w:r w:rsidR="00A57862" w:rsidRPr="00A139B3">
              <w:rPr>
                <w:rStyle w:val="Hyperlink"/>
              </w:rPr>
              <w:t>Te Kura Hapori Karaitiana o Gloriavale | Gloriavale Christian Community school</w:t>
            </w:r>
            <w:r w:rsidR="00A57862">
              <w:rPr>
                <w:webHidden/>
              </w:rPr>
              <w:tab/>
            </w:r>
            <w:r w:rsidR="00A57862">
              <w:rPr>
                <w:webHidden/>
              </w:rPr>
              <w:fldChar w:fldCharType="begin"/>
            </w:r>
            <w:r w:rsidR="00A57862">
              <w:rPr>
                <w:webHidden/>
              </w:rPr>
              <w:instrText xml:space="preserve"> PAGEREF _Toc168639136 \h </w:instrText>
            </w:r>
            <w:r w:rsidR="00A57862">
              <w:rPr>
                <w:webHidden/>
              </w:rPr>
            </w:r>
            <w:r w:rsidR="00A57862">
              <w:rPr>
                <w:webHidden/>
              </w:rPr>
              <w:fldChar w:fldCharType="separate"/>
            </w:r>
            <w:r w:rsidR="00A57862">
              <w:rPr>
                <w:webHidden/>
              </w:rPr>
              <w:t>171</w:t>
            </w:r>
            <w:r w:rsidR="00A57862">
              <w:rPr>
                <w:webHidden/>
              </w:rPr>
              <w:fldChar w:fldCharType="end"/>
            </w:r>
          </w:hyperlink>
        </w:p>
        <w:p w14:paraId="0E4C30A1" w14:textId="5AAF9CD0" w:rsidR="00A57862" w:rsidRDefault="00912091">
          <w:pPr>
            <w:pStyle w:val="TOC4"/>
            <w:rPr>
              <w:rFonts w:asciiTheme="minorHAnsi" w:eastAsiaTheme="minorEastAsia" w:hAnsiTheme="minorHAnsi" w:cstheme="minorBidi"/>
              <w:color w:val="auto"/>
              <w:szCs w:val="22"/>
              <w:lang w:eastAsia="en-NZ"/>
            </w:rPr>
          </w:pPr>
          <w:hyperlink w:anchor="_Toc168639137" w:history="1">
            <w:r w:rsidR="00A57862" w:rsidRPr="00A139B3">
              <w:rPr>
                <w:rStyle w:val="Hyperlink"/>
              </w:rPr>
              <w:t>Te Kura Karaitiana o Plymouth Brethren | Plymouth Brethren Christian Church school</w:t>
            </w:r>
            <w:r w:rsidR="00A57862">
              <w:rPr>
                <w:webHidden/>
              </w:rPr>
              <w:tab/>
            </w:r>
            <w:r w:rsidR="00A57862">
              <w:rPr>
                <w:webHidden/>
              </w:rPr>
              <w:fldChar w:fldCharType="begin"/>
            </w:r>
            <w:r w:rsidR="00A57862">
              <w:rPr>
                <w:webHidden/>
              </w:rPr>
              <w:instrText xml:space="preserve"> PAGEREF _Toc168639137 \h </w:instrText>
            </w:r>
            <w:r w:rsidR="00A57862">
              <w:rPr>
                <w:webHidden/>
              </w:rPr>
            </w:r>
            <w:r w:rsidR="00A57862">
              <w:rPr>
                <w:webHidden/>
              </w:rPr>
              <w:fldChar w:fldCharType="separate"/>
            </w:r>
            <w:r w:rsidR="00A57862">
              <w:rPr>
                <w:webHidden/>
              </w:rPr>
              <w:t>171</w:t>
            </w:r>
            <w:r w:rsidR="00A57862">
              <w:rPr>
                <w:webHidden/>
              </w:rPr>
              <w:fldChar w:fldCharType="end"/>
            </w:r>
          </w:hyperlink>
        </w:p>
        <w:p w14:paraId="1BF23E46" w14:textId="5A351465" w:rsidR="00A57862" w:rsidRDefault="00912091">
          <w:pPr>
            <w:pStyle w:val="TOC4"/>
            <w:rPr>
              <w:rFonts w:asciiTheme="minorHAnsi" w:eastAsiaTheme="minorEastAsia" w:hAnsiTheme="minorHAnsi" w:cstheme="minorBidi"/>
              <w:color w:val="auto"/>
              <w:szCs w:val="22"/>
              <w:lang w:eastAsia="en-NZ"/>
            </w:rPr>
          </w:pPr>
          <w:hyperlink w:anchor="_Toc168639138" w:history="1">
            <w:r w:rsidR="00A57862" w:rsidRPr="00A139B3">
              <w:rPr>
                <w:rStyle w:val="Hyperlink"/>
              </w:rPr>
              <w:t>Ngā kura hāhi me ētahi atu whare mātauranga whakapono</w:t>
            </w:r>
            <w:r w:rsidR="00A57862">
              <w:rPr>
                <w:webHidden/>
              </w:rPr>
              <w:tab/>
            </w:r>
            <w:r w:rsidR="00A57862">
              <w:rPr>
                <w:webHidden/>
              </w:rPr>
              <w:fldChar w:fldCharType="begin"/>
            </w:r>
            <w:r w:rsidR="00A57862">
              <w:rPr>
                <w:webHidden/>
              </w:rPr>
              <w:instrText xml:space="preserve"> PAGEREF _Toc168639138 \h </w:instrText>
            </w:r>
            <w:r w:rsidR="00A57862">
              <w:rPr>
                <w:webHidden/>
              </w:rPr>
            </w:r>
            <w:r w:rsidR="00A57862">
              <w:rPr>
                <w:webHidden/>
              </w:rPr>
              <w:fldChar w:fldCharType="separate"/>
            </w:r>
            <w:r w:rsidR="00A57862">
              <w:rPr>
                <w:webHidden/>
              </w:rPr>
              <w:t>172</w:t>
            </w:r>
            <w:r w:rsidR="00A57862">
              <w:rPr>
                <w:webHidden/>
              </w:rPr>
              <w:fldChar w:fldCharType="end"/>
            </w:r>
          </w:hyperlink>
        </w:p>
        <w:p w14:paraId="374BB63B" w14:textId="0159C72B" w:rsidR="00A57862" w:rsidRDefault="00912091">
          <w:pPr>
            <w:pStyle w:val="TOC4"/>
            <w:rPr>
              <w:rFonts w:asciiTheme="minorHAnsi" w:eastAsiaTheme="minorEastAsia" w:hAnsiTheme="minorHAnsi" w:cstheme="minorBidi"/>
              <w:color w:val="auto"/>
              <w:szCs w:val="22"/>
              <w:lang w:eastAsia="en-NZ"/>
            </w:rPr>
          </w:pPr>
          <w:hyperlink w:anchor="_Toc168639139" w:history="1">
            <w:r w:rsidR="00A57862" w:rsidRPr="00A139B3">
              <w:rPr>
                <w:rStyle w:val="Hyperlink"/>
              </w:rPr>
              <w:t>Seminaries and other religious education institutions</w:t>
            </w:r>
            <w:r w:rsidR="00A57862">
              <w:rPr>
                <w:webHidden/>
              </w:rPr>
              <w:tab/>
            </w:r>
            <w:r w:rsidR="00A57862">
              <w:rPr>
                <w:webHidden/>
              </w:rPr>
              <w:fldChar w:fldCharType="begin"/>
            </w:r>
            <w:r w:rsidR="00A57862">
              <w:rPr>
                <w:webHidden/>
              </w:rPr>
              <w:instrText xml:space="preserve"> PAGEREF _Toc168639139 \h </w:instrText>
            </w:r>
            <w:r w:rsidR="00A57862">
              <w:rPr>
                <w:webHidden/>
              </w:rPr>
            </w:r>
            <w:r w:rsidR="00A57862">
              <w:rPr>
                <w:webHidden/>
              </w:rPr>
              <w:fldChar w:fldCharType="separate"/>
            </w:r>
            <w:r w:rsidR="00A57862">
              <w:rPr>
                <w:webHidden/>
              </w:rPr>
              <w:t>172</w:t>
            </w:r>
            <w:r w:rsidR="00A57862">
              <w:rPr>
                <w:webHidden/>
              </w:rPr>
              <w:fldChar w:fldCharType="end"/>
            </w:r>
          </w:hyperlink>
        </w:p>
        <w:p w14:paraId="6E9AD51D" w14:textId="643FEBB5" w:rsidR="00A57862" w:rsidRDefault="00912091">
          <w:pPr>
            <w:pStyle w:val="TOC2"/>
            <w:rPr>
              <w:rFonts w:asciiTheme="minorHAnsi" w:eastAsiaTheme="minorEastAsia" w:hAnsiTheme="minorHAnsi" w:cstheme="minorBidi"/>
              <w:color w:val="auto"/>
              <w:szCs w:val="22"/>
              <w:lang w:eastAsia="en-NZ"/>
            </w:rPr>
          </w:pPr>
          <w:hyperlink w:anchor="_Toc168639140" w:history="1">
            <w:r w:rsidR="00A57862" w:rsidRPr="00A139B3">
              <w:rPr>
                <w:rStyle w:val="Hyperlink"/>
              </w:rPr>
              <w:t>Te taurimatanga o te hunga Turi me te hunga whaikaha i ngā whakaritenga tūāpapa-whakapono</w:t>
            </w:r>
            <w:r w:rsidR="00A57862">
              <w:rPr>
                <w:webHidden/>
              </w:rPr>
              <w:tab/>
            </w:r>
            <w:r w:rsidR="00A57862">
              <w:rPr>
                <w:webHidden/>
              </w:rPr>
              <w:fldChar w:fldCharType="begin"/>
            </w:r>
            <w:r w:rsidR="00A57862">
              <w:rPr>
                <w:webHidden/>
              </w:rPr>
              <w:instrText xml:space="preserve"> PAGEREF _Toc168639140 \h </w:instrText>
            </w:r>
            <w:r w:rsidR="00A57862">
              <w:rPr>
                <w:webHidden/>
              </w:rPr>
            </w:r>
            <w:r w:rsidR="00A57862">
              <w:rPr>
                <w:webHidden/>
              </w:rPr>
              <w:fldChar w:fldCharType="separate"/>
            </w:r>
            <w:r w:rsidR="00A57862">
              <w:rPr>
                <w:webHidden/>
              </w:rPr>
              <w:t>172</w:t>
            </w:r>
            <w:r w:rsidR="00A57862">
              <w:rPr>
                <w:webHidden/>
              </w:rPr>
              <w:fldChar w:fldCharType="end"/>
            </w:r>
          </w:hyperlink>
        </w:p>
        <w:p w14:paraId="44EEB804" w14:textId="18B8997B" w:rsidR="00A57862" w:rsidRDefault="00912091">
          <w:pPr>
            <w:pStyle w:val="TOC2"/>
            <w:rPr>
              <w:rFonts w:asciiTheme="minorHAnsi" w:eastAsiaTheme="minorEastAsia" w:hAnsiTheme="minorHAnsi" w:cstheme="minorBidi"/>
              <w:color w:val="auto"/>
              <w:szCs w:val="22"/>
              <w:lang w:eastAsia="en-NZ"/>
            </w:rPr>
          </w:pPr>
          <w:hyperlink w:anchor="_Toc168639141" w:history="1">
            <w:r w:rsidR="00A57862" w:rsidRPr="00A139B3">
              <w:rPr>
                <w:rStyle w:val="Hyperlink"/>
              </w:rPr>
              <w:t>Care of Deaf people and disabled people in faith-based care settings</w:t>
            </w:r>
            <w:r w:rsidR="00A57862">
              <w:rPr>
                <w:webHidden/>
              </w:rPr>
              <w:tab/>
            </w:r>
            <w:r w:rsidR="00A57862">
              <w:rPr>
                <w:webHidden/>
              </w:rPr>
              <w:fldChar w:fldCharType="begin"/>
            </w:r>
            <w:r w:rsidR="00A57862">
              <w:rPr>
                <w:webHidden/>
              </w:rPr>
              <w:instrText xml:space="preserve"> PAGEREF _Toc168639141 \h </w:instrText>
            </w:r>
            <w:r w:rsidR="00A57862">
              <w:rPr>
                <w:webHidden/>
              </w:rPr>
            </w:r>
            <w:r w:rsidR="00A57862">
              <w:rPr>
                <w:webHidden/>
              </w:rPr>
              <w:fldChar w:fldCharType="separate"/>
            </w:r>
            <w:r w:rsidR="00A57862">
              <w:rPr>
                <w:webHidden/>
              </w:rPr>
              <w:t>172</w:t>
            </w:r>
            <w:r w:rsidR="00A57862">
              <w:rPr>
                <w:webHidden/>
              </w:rPr>
              <w:fldChar w:fldCharType="end"/>
            </w:r>
          </w:hyperlink>
        </w:p>
        <w:p w14:paraId="5BBD826A" w14:textId="40F9439C" w:rsidR="2E6C9B25" w:rsidRPr="004A0212" w:rsidRDefault="2E6C9B25" w:rsidP="00D668D0">
          <w:pPr>
            <w:pStyle w:val="TOC2"/>
            <w:rPr>
              <w:rStyle w:val="Hyperlink"/>
              <w:lang w:eastAsia="en-NZ"/>
            </w:rPr>
          </w:pPr>
          <w:r w:rsidRPr="004A0212">
            <w:fldChar w:fldCharType="end"/>
          </w:r>
        </w:p>
      </w:sdtContent>
    </w:sdt>
    <w:p w14:paraId="5338C0A0" w14:textId="13945442" w:rsidR="0081438D" w:rsidRPr="004A0212" w:rsidRDefault="0081438D" w:rsidP="00B71C17">
      <w:pPr>
        <w:keepLines w:val="0"/>
        <w:widowControl w:val="0"/>
        <w:rPr>
          <w:rFonts w:ascii="Arial" w:hAnsi="Arial" w:cs="Arial"/>
          <w:sz w:val="22"/>
          <w:szCs w:val="22"/>
        </w:rPr>
      </w:pPr>
    </w:p>
    <w:p w14:paraId="7B32BD1E" w14:textId="77777777" w:rsidR="00E8546D" w:rsidRPr="004A0212" w:rsidRDefault="0081438D" w:rsidP="00E8546D">
      <w:pPr>
        <w:pStyle w:val="TOCHeading"/>
        <w:rPr>
          <w:rFonts w:ascii="Arial" w:hAnsi="Arial" w:cs="Arial"/>
        </w:rPr>
      </w:pPr>
      <w:r w:rsidRPr="004A0212">
        <w:rPr>
          <w:rFonts w:ascii="Arial" w:hAnsi="Arial" w:cs="Arial"/>
        </w:rPr>
        <w:br w:type="page"/>
      </w:r>
    </w:p>
    <w:p w14:paraId="0684D4E8" w14:textId="00442B18" w:rsidR="00485CC6" w:rsidRPr="004A0212" w:rsidRDefault="00651237" w:rsidP="00CE5515">
      <w:pPr>
        <w:pStyle w:val="Heading1"/>
      </w:pPr>
      <w:bookmarkStart w:id="7" w:name="_Toc332620977"/>
      <w:bookmarkStart w:id="8" w:name="_Toc168638871"/>
      <w:bookmarkStart w:id="9" w:name="_Toc147935369"/>
      <w:bookmarkStart w:id="10" w:name="_Toc148443548"/>
      <w:bookmarkStart w:id="11" w:name="_Toc150933070"/>
      <w:bookmarkStart w:id="12" w:name="_Toc150953387"/>
      <w:proofErr w:type="spellStart"/>
      <w:r w:rsidRPr="004A0212">
        <w:t>Kuputaka</w:t>
      </w:r>
      <w:proofErr w:type="spellEnd"/>
      <w:r w:rsidR="001F2EA8">
        <w:t xml:space="preserve"> | </w:t>
      </w:r>
      <w:r w:rsidR="2D59498B" w:rsidRPr="004A0212">
        <w:t>Glossary</w:t>
      </w:r>
      <w:bookmarkEnd w:id="7"/>
      <w:bookmarkEnd w:id="8"/>
    </w:p>
    <w:tbl>
      <w:tblPr>
        <w:tblStyle w:val="TableGrid"/>
        <w:tblW w:w="4790" w:type="pct"/>
        <w:tblLook w:val="06A0" w:firstRow="1" w:lastRow="0" w:firstColumn="1" w:lastColumn="0" w:noHBand="1" w:noVBand="1"/>
      </w:tblPr>
      <w:tblGrid>
        <w:gridCol w:w="2221"/>
        <w:gridCol w:w="6416"/>
      </w:tblGrid>
      <w:tr w:rsidR="00B1794E" w:rsidRPr="004A0212" w14:paraId="258E844C" w14:textId="77777777" w:rsidTr="006235F6">
        <w:trPr>
          <w:trHeight w:val="300"/>
          <w:tblHeader/>
        </w:trPr>
        <w:tc>
          <w:tcPr>
            <w:tcW w:w="1286" w:type="pct"/>
            <w:shd w:val="clear" w:color="auto" w:fill="7BC7CE" w:themeFill="accent1"/>
          </w:tcPr>
          <w:p w14:paraId="34F5223E" w14:textId="77777777" w:rsidR="00B1794E" w:rsidRPr="004A0212" w:rsidRDefault="00B1794E" w:rsidP="006235F6">
            <w:pPr>
              <w:spacing w:after="120"/>
              <w:rPr>
                <w:rFonts w:ascii="Arial" w:hAnsi="Arial" w:cs="Arial"/>
                <w:b/>
                <w:color w:val="FFFFFF" w:themeColor="background1"/>
                <w:sz w:val="22"/>
                <w:szCs w:val="22"/>
              </w:rPr>
            </w:pPr>
            <w:r w:rsidRPr="007410B5">
              <w:rPr>
                <w:rFonts w:ascii="Arial" w:hAnsi="Arial" w:cs="Arial"/>
                <w:b/>
                <w:bCs/>
                <w:color w:val="auto"/>
                <w:sz w:val="22"/>
                <w:szCs w:val="22"/>
              </w:rPr>
              <w:t>Term</w:t>
            </w:r>
          </w:p>
        </w:tc>
        <w:tc>
          <w:tcPr>
            <w:tcW w:w="3714" w:type="pct"/>
            <w:shd w:val="clear" w:color="auto" w:fill="7BC7CE" w:themeFill="accent1"/>
          </w:tcPr>
          <w:p w14:paraId="3B2F6DA7" w14:textId="77777777" w:rsidR="00B1794E" w:rsidRPr="004A0212" w:rsidRDefault="00B1794E" w:rsidP="006235F6">
            <w:pPr>
              <w:spacing w:after="120"/>
              <w:rPr>
                <w:rFonts w:ascii="Arial" w:hAnsi="Arial" w:cs="Arial"/>
                <w:b/>
                <w:color w:val="FFFFFF" w:themeColor="background1"/>
                <w:sz w:val="22"/>
                <w:szCs w:val="22"/>
              </w:rPr>
            </w:pPr>
            <w:r w:rsidRPr="007410B5">
              <w:rPr>
                <w:rFonts w:ascii="Arial" w:hAnsi="Arial" w:cs="Arial"/>
                <w:b/>
                <w:color w:val="auto"/>
                <w:sz w:val="22"/>
                <w:szCs w:val="22"/>
              </w:rPr>
              <w:t>Explanation</w:t>
            </w:r>
          </w:p>
        </w:tc>
      </w:tr>
      <w:tr w:rsidR="00B1794E" w:rsidRPr="004A0212" w14:paraId="79F64856" w14:textId="77777777" w:rsidTr="006235F6">
        <w:trPr>
          <w:trHeight w:val="300"/>
        </w:trPr>
        <w:tc>
          <w:tcPr>
            <w:tcW w:w="1286" w:type="pct"/>
          </w:tcPr>
          <w:p w14:paraId="67762F46"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assimilation</w:t>
            </w:r>
          </w:p>
        </w:tc>
        <w:tc>
          <w:tcPr>
            <w:tcW w:w="3714" w:type="pct"/>
          </w:tcPr>
          <w:p w14:paraId="3C007E33" w14:textId="77777777" w:rsidR="00B1794E" w:rsidRPr="004A0212" w:rsidRDefault="00B1794E" w:rsidP="00AB1628">
            <w:pPr>
              <w:pStyle w:val="Tablenormal0"/>
              <w:rPr>
                <w:rFonts w:ascii="Arial" w:hAnsi="Arial" w:cs="Arial"/>
                <w:szCs w:val="22"/>
              </w:rPr>
            </w:pPr>
            <w:r w:rsidRPr="00AB1628">
              <w:rPr>
                <w:rFonts w:ascii="Arial" w:hAnsi="Arial" w:cs="Arial"/>
                <w:szCs w:val="22"/>
                <w:lang w:val="en-US"/>
              </w:rPr>
              <w:t>Government policy referring to the process through which individuals and groups of a minority culture are made to change their beliefs and traditional practices and must acquire the habits, attitudes and ways of life of the majority culture.</w:t>
            </w:r>
          </w:p>
        </w:tc>
      </w:tr>
      <w:tr w:rsidR="00B1794E" w:rsidRPr="004A0212" w14:paraId="0DAF7C22" w14:textId="77777777" w:rsidTr="006235F6">
        <w:trPr>
          <w:trHeight w:val="300"/>
        </w:trPr>
        <w:tc>
          <w:tcPr>
            <w:tcW w:w="1286" w:type="pct"/>
          </w:tcPr>
          <w:p w14:paraId="7841F4F7"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borstal</w:t>
            </w:r>
          </w:p>
        </w:tc>
        <w:tc>
          <w:tcPr>
            <w:tcW w:w="3714" w:type="pct"/>
          </w:tcPr>
          <w:p w14:paraId="155F8CF6" w14:textId="77777777" w:rsidR="00B1794E" w:rsidRPr="004A0212" w:rsidRDefault="00B1794E" w:rsidP="00AB1628">
            <w:pPr>
              <w:pStyle w:val="Tablenormal0"/>
              <w:rPr>
                <w:rFonts w:ascii="Arial" w:hAnsi="Arial" w:cs="Arial"/>
                <w:szCs w:val="22"/>
              </w:rPr>
            </w:pPr>
            <w:r w:rsidRPr="007030CA">
              <w:rPr>
                <w:rFonts w:ascii="Arial" w:hAnsi="Arial" w:cs="Arial"/>
                <w:szCs w:val="22"/>
              </w:rPr>
              <w:t xml:space="preserve">Institutions for young offenders (aged 15 to 21), aimed at reforming behaviour and preventing offenders from becoming “habitual criminals”. Borstals ran from 1924 until 1981 under the Prevention of Crime Act </w:t>
            </w:r>
            <w:r w:rsidRPr="00AB1628">
              <w:rPr>
                <w:rFonts w:ascii="Arial" w:hAnsi="Arial" w:cs="Arial"/>
                <w:szCs w:val="22"/>
                <w:lang w:val="en-US"/>
              </w:rPr>
              <w:t>(</w:t>
            </w:r>
            <w:proofErr w:type="spellStart"/>
            <w:r w:rsidRPr="00AB1628">
              <w:rPr>
                <w:rFonts w:ascii="Arial" w:hAnsi="Arial" w:cs="Arial"/>
                <w:szCs w:val="22"/>
                <w:lang w:val="en-US"/>
              </w:rPr>
              <w:t>Borstal</w:t>
            </w:r>
            <w:proofErr w:type="spellEnd"/>
            <w:r w:rsidRPr="00AB1628">
              <w:rPr>
                <w:rFonts w:ascii="Arial" w:hAnsi="Arial" w:cs="Arial"/>
                <w:szCs w:val="22"/>
                <w:lang w:val="en-US"/>
              </w:rPr>
              <w:t xml:space="preserve"> Institutions Establishment) Act 1924.</w:t>
            </w:r>
          </w:p>
        </w:tc>
      </w:tr>
      <w:tr w:rsidR="00B1794E" w:rsidRPr="004A0212" w14:paraId="1E7B0530" w14:textId="77777777" w:rsidTr="006235F6">
        <w:trPr>
          <w:trHeight w:val="300"/>
        </w:trPr>
        <w:tc>
          <w:tcPr>
            <w:tcW w:w="1286" w:type="pct"/>
          </w:tcPr>
          <w:p w14:paraId="2039D1C3"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cultural racism</w:t>
            </w:r>
          </w:p>
        </w:tc>
        <w:tc>
          <w:tcPr>
            <w:tcW w:w="3714" w:type="pct"/>
          </w:tcPr>
          <w:p w14:paraId="6530DC29" w14:textId="77777777" w:rsidR="00B1794E" w:rsidRPr="004A0212" w:rsidRDefault="00B1794E" w:rsidP="00AB1628">
            <w:pPr>
              <w:pStyle w:val="Tablenormal0"/>
              <w:rPr>
                <w:rFonts w:ascii="Arial" w:hAnsi="Arial" w:cs="Arial"/>
                <w:szCs w:val="22"/>
              </w:rPr>
            </w:pPr>
            <w:r w:rsidRPr="00AB1628">
              <w:rPr>
                <w:rFonts w:ascii="Arial" w:hAnsi="Arial" w:cs="Arial"/>
                <w:szCs w:val="22"/>
              </w:rPr>
              <w:t xml:space="preserve">Negative attitudes to the culture and lifestyles of </w:t>
            </w:r>
            <w:r w:rsidRPr="004A0212">
              <w:rPr>
                <w:rFonts w:ascii="Arial" w:hAnsi="Arial" w:cs="Arial"/>
                <w:szCs w:val="22"/>
              </w:rPr>
              <w:t>indigenous and minority culture.</w:t>
            </w:r>
          </w:p>
        </w:tc>
      </w:tr>
      <w:tr w:rsidR="00B1794E" w:rsidRPr="004A0212" w14:paraId="4B254900" w14:textId="77777777" w:rsidTr="006235F6">
        <w:trPr>
          <w:trHeight w:val="300"/>
        </w:trPr>
        <w:tc>
          <w:tcPr>
            <w:tcW w:w="1286" w:type="pct"/>
          </w:tcPr>
          <w:p w14:paraId="7082B250"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deinstitutionalisation</w:t>
            </w:r>
          </w:p>
        </w:tc>
        <w:tc>
          <w:tcPr>
            <w:tcW w:w="3714" w:type="pct"/>
          </w:tcPr>
          <w:p w14:paraId="60FFA9E3" w14:textId="77777777" w:rsidR="00B1794E" w:rsidRPr="004A0212" w:rsidRDefault="00B1794E" w:rsidP="00AB1628">
            <w:pPr>
              <w:pStyle w:val="Tablenormal0"/>
              <w:rPr>
                <w:rFonts w:ascii="Arial" w:hAnsi="Arial" w:cs="Arial"/>
                <w:szCs w:val="22"/>
              </w:rPr>
            </w:pPr>
            <w:r w:rsidRPr="00AB1628">
              <w:rPr>
                <w:rFonts w:ascii="Arial" w:hAnsi="Arial" w:cs="Arial"/>
                <w:szCs w:val="22"/>
              </w:rPr>
              <w:t>The process of closing institutions that</w:t>
            </w:r>
            <w:r w:rsidRPr="004A0212">
              <w:rPr>
                <w:rFonts w:ascii="Arial" w:hAnsi="Arial" w:cs="Arial"/>
                <w:szCs w:val="22"/>
              </w:rPr>
              <w:t xml:space="preserve"> segregated people based on governmental policy.</w:t>
            </w:r>
          </w:p>
        </w:tc>
      </w:tr>
      <w:tr w:rsidR="00B1794E" w:rsidRPr="004A0212" w14:paraId="066E4B9D" w14:textId="77777777" w:rsidTr="006235F6">
        <w:trPr>
          <w:trHeight w:val="300"/>
        </w:trPr>
        <w:tc>
          <w:tcPr>
            <w:tcW w:w="1286" w:type="pct"/>
          </w:tcPr>
          <w:p w14:paraId="706E4F2D"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 xml:space="preserve">disablism </w:t>
            </w:r>
          </w:p>
        </w:tc>
        <w:tc>
          <w:tcPr>
            <w:tcW w:w="3714" w:type="pct"/>
          </w:tcPr>
          <w:p w14:paraId="52E06ACE" w14:textId="77777777" w:rsidR="00B1794E" w:rsidRPr="004A0212" w:rsidRDefault="00B1794E" w:rsidP="00AB1628">
            <w:pPr>
              <w:pStyle w:val="Tablenormal0"/>
              <w:rPr>
                <w:rFonts w:ascii="Arial" w:hAnsi="Arial" w:cs="Arial"/>
                <w:szCs w:val="22"/>
              </w:rPr>
            </w:pPr>
            <w:r w:rsidRPr="00AB1628">
              <w:rPr>
                <w:rFonts w:ascii="Arial" w:hAnsi="Arial" w:cs="Arial"/>
                <w:szCs w:val="22"/>
              </w:rPr>
              <w:t xml:space="preserve">Conscious, direct discrimination against people who are disabled, based on their disability. </w:t>
            </w:r>
          </w:p>
        </w:tc>
      </w:tr>
      <w:tr w:rsidR="00B1794E" w:rsidRPr="004A0212" w14:paraId="762156CD" w14:textId="77777777" w:rsidTr="006235F6">
        <w:trPr>
          <w:trHeight w:val="300"/>
        </w:trPr>
        <w:tc>
          <w:tcPr>
            <w:tcW w:w="1286" w:type="pct"/>
          </w:tcPr>
          <w:p w14:paraId="5057734B"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eugenics</w:t>
            </w:r>
          </w:p>
        </w:tc>
        <w:tc>
          <w:tcPr>
            <w:tcW w:w="3714" w:type="pct"/>
          </w:tcPr>
          <w:p w14:paraId="45EED2FF" w14:textId="77777777" w:rsidR="00B1794E" w:rsidRPr="004A0212" w:rsidRDefault="00B1794E" w:rsidP="00AB1628">
            <w:pPr>
              <w:pStyle w:val="Tablenormal0"/>
              <w:rPr>
                <w:rFonts w:ascii="Arial" w:hAnsi="Arial" w:cs="Arial"/>
                <w:szCs w:val="22"/>
              </w:rPr>
            </w:pPr>
            <w:r w:rsidRPr="00AB1628">
              <w:rPr>
                <w:rFonts w:ascii="Arial" w:hAnsi="Arial" w:cs="Arial"/>
                <w:szCs w:val="22"/>
              </w:rPr>
              <w:t>A</w:t>
            </w:r>
            <w:r w:rsidRPr="004A0212">
              <w:rPr>
                <w:rFonts w:ascii="Arial" w:hAnsi="Arial" w:cs="Arial"/>
                <w:szCs w:val="22"/>
              </w:rPr>
              <w:t xml:space="preserve"> pseudo-science that aims to improve the genetic quality of the human population. This included altering gene pools by excluding people and groups deemed to be ‘inferior’. </w:t>
            </w:r>
          </w:p>
        </w:tc>
      </w:tr>
      <w:tr w:rsidR="00B1794E" w:rsidRPr="004A0212" w14:paraId="5C78D5FE" w14:textId="77777777" w:rsidTr="006235F6">
        <w:trPr>
          <w:trHeight w:val="300"/>
        </w:trPr>
        <w:tc>
          <w:tcPr>
            <w:tcW w:w="1286" w:type="pct"/>
          </w:tcPr>
          <w:p w14:paraId="780BF253"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institutional racism</w:t>
            </w:r>
            <w:r w:rsidRPr="00AB1628">
              <w:rPr>
                <w:rFonts w:ascii="Arial" w:hAnsi="Arial" w:cs="Arial"/>
                <w:sz w:val="22"/>
                <w:szCs w:val="22"/>
              </w:rPr>
              <w:t xml:space="preserve"> (structural racism)</w:t>
            </w:r>
          </w:p>
        </w:tc>
        <w:tc>
          <w:tcPr>
            <w:tcW w:w="3714" w:type="pct"/>
          </w:tcPr>
          <w:p w14:paraId="7D5C6418" w14:textId="77777777" w:rsidR="00B1794E" w:rsidRPr="004A0212" w:rsidRDefault="00B1794E" w:rsidP="00AB1628">
            <w:pPr>
              <w:pStyle w:val="Tablenormal0"/>
              <w:rPr>
                <w:rFonts w:ascii="Arial" w:hAnsi="Arial" w:cs="Arial"/>
                <w:szCs w:val="22"/>
              </w:rPr>
            </w:pPr>
            <w:r w:rsidRPr="00AB1628">
              <w:rPr>
                <w:rFonts w:ascii="Arial" w:hAnsi="Arial" w:cs="Arial"/>
                <w:szCs w:val="22"/>
                <w:lang w:val="en-US"/>
              </w:rPr>
              <w:t xml:space="preserve">A form of indirect discrimination as it occurs when an action, omission, or policy that appears to treat everyone in the same manner, </w:t>
            </w:r>
            <w:proofErr w:type="gramStart"/>
            <w:r w:rsidRPr="00AB1628">
              <w:rPr>
                <w:rFonts w:ascii="Arial" w:hAnsi="Arial" w:cs="Arial"/>
                <w:szCs w:val="22"/>
                <w:lang w:val="en-US"/>
              </w:rPr>
              <w:t>actually creates</w:t>
            </w:r>
            <w:proofErr w:type="gramEnd"/>
            <w:r w:rsidRPr="00AB1628">
              <w:rPr>
                <w:rFonts w:ascii="Arial" w:hAnsi="Arial" w:cs="Arial"/>
                <w:szCs w:val="22"/>
                <w:lang w:val="en-US"/>
              </w:rPr>
              <w:t xml:space="preserve"> negative effects unfairly impacting a particular group.</w:t>
            </w:r>
          </w:p>
        </w:tc>
      </w:tr>
      <w:tr w:rsidR="00B1794E" w:rsidRPr="004A0212" w14:paraId="10EB90AA" w14:textId="77777777" w:rsidTr="004A43CD">
        <w:trPr>
          <w:trHeight w:val="458"/>
        </w:trPr>
        <w:tc>
          <w:tcPr>
            <w:tcW w:w="1286" w:type="pct"/>
          </w:tcPr>
          <w:p w14:paraId="22B6530F"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Inquiry period</w:t>
            </w:r>
          </w:p>
        </w:tc>
        <w:tc>
          <w:tcPr>
            <w:tcW w:w="3714" w:type="pct"/>
          </w:tcPr>
          <w:p w14:paraId="7134C80D" w14:textId="25F46BE6" w:rsidR="00B1794E" w:rsidRPr="004A43CD" w:rsidRDefault="00B1794E" w:rsidP="00AB1628">
            <w:pPr>
              <w:pStyle w:val="Tablenormal0"/>
              <w:rPr>
                <w:rFonts w:ascii="Arial" w:eastAsia="Calibri" w:hAnsi="Arial" w:cs="Arial"/>
                <w:szCs w:val="22"/>
              </w:rPr>
            </w:pPr>
            <w:r w:rsidRPr="00AB1628">
              <w:rPr>
                <w:rFonts w:ascii="Arial" w:eastAsia="Calibri" w:hAnsi="Arial" w:cs="Arial"/>
                <w:szCs w:val="22"/>
              </w:rPr>
              <w:t xml:space="preserve">1 January 1950–31 December 1999 </w:t>
            </w:r>
          </w:p>
        </w:tc>
      </w:tr>
      <w:tr w:rsidR="00B1794E" w:rsidRPr="004A0212" w14:paraId="21DD523C" w14:textId="77777777" w:rsidTr="006235F6">
        <w:trPr>
          <w:trHeight w:val="300"/>
        </w:trPr>
        <w:tc>
          <w:tcPr>
            <w:tcW w:w="1286" w:type="pct"/>
          </w:tcPr>
          <w:p w14:paraId="381979A3"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mental distress</w:t>
            </w:r>
          </w:p>
        </w:tc>
        <w:tc>
          <w:tcPr>
            <w:tcW w:w="3714" w:type="pct"/>
          </w:tcPr>
          <w:p w14:paraId="445C3EAD" w14:textId="77777777" w:rsidR="00B1794E" w:rsidRPr="004A0212" w:rsidRDefault="00B1794E" w:rsidP="00AB1628">
            <w:pPr>
              <w:pStyle w:val="Tablenormal0"/>
              <w:rPr>
                <w:rFonts w:ascii="Arial" w:eastAsia="Arial" w:hAnsi="Arial" w:cs="Arial"/>
                <w:szCs w:val="22"/>
              </w:rPr>
            </w:pPr>
            <w:r w:rsidRPr="00AB1628">
              <w:rPr>
                <w:rFonts w:ascii="Arial" w:hAnsi="Arial" w:cs="Arial"/>
                <w:szCs w:val="22"/>
              </w:rPr>
              <w:t>A mental or emotional state that causes disruption to daily life and that can vary in length of time and intensity.</w:t>
            </w:r>
          </w:p>
        </w:tc>
      </w:tr>
      <w:tr w:rsidR="00B1794E" w:rsidRPr="004A0212" w14:paraId="4C886A0B" w14:textId="77777777" w:rsidTr="006235F6">
        <w:trPr>
          <w:trHeight w:val="300"/>
        </w:trPr>
        <w:tc>
          <w:tcPr>
            <w:tcW w:w="1286" w:type="pct"/>
          </w:tcPr>
          <w:p w14:paraId="42A8840A"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oralism</w:t>
            </w:r>
          </w:p>
        </w:tc>
        <w:tc>
          <w:tcPr>
            <w:tcW w:w="3714" w:type="pct"/>
          </w:tcPr>
          <w:p w14:paraId="55DE4EF8" w14:textId="77777777" w:rsidR="00B1794E" w:rsidRPr="004A0212" w:rsidRDefault="00B1794E" w:rsidP="00AB1628">
            <w:pPr>
              <w:pStyle w:val="Tablenormal0"/>
              <w:rPr>
                <w:rFonts w:ascii="Arial" w:hAnsi="Arial" w:cs="Arial"/>
                <w:szCs w:val="22"/>
              </w:rPr>
            </w:pPr>
            <w:r w:rsidRPr="00AB1628">
              <w:rPr>
                <w:rFonts w:ascii="Arial" w:eastAsia="Arial" w:hAnsi="Arial" w:cs="Arial"/>
                <w:szCs w:val="22"/>
              </w:rPr>
              <w:t>Use of verbalisation and lip reading to educate the deaf community.</w:t>
            </w:r>
          </w:p>
        </w:tc>
      </w:tr>
      <w:tr w:rsidR="00B1794E" w:rsidRPr="004A0212" w14:paraId="742E10DC" w14:textId="77777777" w:rsidTr="006235F6">
        <w:trPr>
          <w:trHeight w:val="300"/>
        </w:trPr>
        <w:tc>
          <w:tcPr>
            <w:tcW w:w="1286" w:type="pct"/>
          </w:tcPr>
          <w:p w14:paraId="2858FBB1"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 xml:space="preserve">psychopaedic </w:t>
            </w:r>
          </w:p>
        </w:tc>
        <w:tc>
          <w:tcPr>
            <w:tcW w:w="3714" w:type="pct"/>
          </w:tcPr>
          <w:p w14:paraId="78BC8B04" w14:textId="77777777" w:rsidR="00B1794E" w:rsidRPr="004A0212" w:rsidRDefault="00B1794E" w:rsidP="00AB1628">
            <w:pPr>
              <w:pStyle w:val="Tablenormal0"/>
              <w:rPr>
                <w:rFonts w:ascii="Arial" w:hAnsi="Arial" w:cs="Arial"/>
                <w:szCs w:val="22"/>
              </w:rPr>
            </w:pPr>
            <w:r w:rsidRPr="00AB1628">
              <w:rPr>
                <w:rFonts w:ascii="Arial" w:hAnsi="Arial" w:cs="Arial"/>
                <w:szCs w:val="22"/>
              </w:rPr>
              <w:t>Outdated Aotearoa New Zealand term to distinguish people with a learning disability from people experiencing mental distress.</w:t>
            </w:r>
          </w:p>
        </w:tc>
      </w:tr>
      <w:tr w:rsidR="00B1794E" w:rsidRPr="004A0212" w14:paraId="6817AB8E" w14:textId="77777777" w:rsidTr="006235F6">
        <w:trPr>
          <w:trHeight w:val="300"/>
        </w:trPr>
        <w:tc>
          <w:tcPr>
            <w:tcW w:w="1286" w:type="pct"/>
          </w:tcPr>
          <w:p w14:paraId="2649C43B" w14:textId="0477D1F2" w:rsidR="00B1794E" w:rsidRPr="004A0212" w:rsidRDefault="00B1794E" w:rsidP="00AB1628">
            <w:pPr>
              <w:pStyle w:val="Tablenormal0"/>
              <w:rPr>
                <w:rFonts w:ascii="Arial" w:hAnsi="Arial" w:cs="Arial"/>
                <w:szCs w:val="22"/>
              </w:rPr>
            </w:pPr>
            <w:r w:rsidRPr="00AB1628">
              <w:rPr>
                <w:rFonts w:ascii="Arial" w:hAnsi="Arial" w:cs="Arial"/>
                <w:szCs w:val="22"/>
              </w:rPr>
              <w:t>tāngata whaikaha</w:t>
            </w:r>
            <w:r w:rsidR="005816E7">
              <w:rPr>
                <w:rFonts w:ascii="Arial" w:hAnsi="Arial" w:cs="Arial"/>
                <w:szCs w:val="22"/>
              </w:rPr>
              <w:t xml:space="preserve"> Māori </w:t>
            </w:r>
          </w:p>
        </w:tc>
        <w:tc>
          <w:tcPr>
            <w:tcW w:w="3714" w:type="pct"/>
          </w:tcPr>
          <w:p w14:paraId="76F9CC18" w14:textId="0D5BB6DB" w:rsidR="00B1794E" w:rsidRPr="004A0212" w:rsidRDefault="00B1794E" w:rsidP="00AB1628">
            <w:pPr>
              <w:pStyle w:val="Tablenormal0"/>
              <w:rPr>
                <w:rFonts w:ascii="Arial" w:hAnsi="Arial" w:cs="Arial"/>
                <w:szCs w:val="22"/>
              </w:rPr>
            </w:pPr>
            <w:r w:rsidRPr="00AB1628">
              <w:rPr>
                <w:rFonts w:ascii="Arial" w:hAnsi="Arial" w:cs="Arial"/>
                <w:szCs w:val="22"/>
              </w:rPr>
              <w:t xml:space="preserve">A </w:t>
            </w:r>
            <w:proofErr w:type="spellStart"/>
            <w:r w:rsidRPr="00AB1628">
              <w:rPr>
                <w:rFonts w:ascii="Arial" w:hAnsi="Arial" w:cs="Arial"/>
                <w:szCs w:val="22"/>
              </w:rPr>
              <w:t>reo</w:t>
            </w:r>
            <w:proofErr w:type="spellEnd"/>
            <w:r w:rsidRPr="00AB1628">
              <w:rPr>
                <w:rFonts w:ascii="Arial" w:hAnsi="Arial" w:cs="Arial"/>
                <w:szCs w:val="22"/>
              </w:rPr>
              <w:t xml:space="preserve"> Māori term for disabled people. </w:t>
            </w:r>
            <w:r w:rsidRPr="00AB1628">
              <w:rPr>
                <w:rFonts w:ascii="Arial" w:hAnsi="Arial" w:cs="Arial"/>
                <w:color w:val="auto"/>
                <w:szCs w:val="22"/>
                <w:lang w:val="en-US"/>
              </w:rPr>
              <w:t>It reflects a definition of people who are determined to do well.</w:t>
            </w:r>
          </w:p>
        </w:tc>
      </w:tr>
      <w:tr w:rsidR="00B1794E" w:rsidRPr="004A0212" w14:paraId="52C9CECB" w14:textId="77777777" w:rsidTr="006235F6">
        <w:trPr>
          <w:trHeight w:val="300"/>
        </w:trPr>
        <w:tc>
          <w:tcPr>
            <w:tcW w:w="1286" w:type="pct"/>
          </w:tcPr>
          <w:p w14:paraId="6F1D43B8" w14:textId="7DA6B341" w:rsidR="00B1794E" w:rsidRPr="004A0212" w:rsidRDefault="00B1794E" w:rsidP="00AB1628">
            <w:pPr>
              <w:pStyle w:val="Tablenormal0"/>
              <w:rPr>
                <w:rFonts w:ascii="Arial" w:hAnsi="Arial" w:cs="Arial"/>
                <w:szCs w:val="22"/>
              </w:rPr>
            </w:pPr>
            <w:r w:rsidRPr="00AB1628">
              <w:rPr>
                <w:rFonts w:ascii="Arial" w:hAnsi="Arial" w:cs="Arial"/>
                <w:szCs w:val="22"/>
              </w:rPr>
              <w:t xml:space="preserve">whānau </w:t>
            </w:r>
            <w:proofErr w:type="spellStart"/>
            <w:r w:rsidRPr="00AB1628">
              <w:rPr>
                <w:rFonts w:ascii="Arial" w:hAnsi="Arial" w:cs="Arial"/>
                <w:szCs w:val="22"/>
              </w:rPr>
              <w:t>hauā</w:t>
            </w:r>
            <w:proofErr w:type="spellEnd"/>
            <w:r w:rsidRPr="00AB1628">
              <w:rPr>
                <w:rFonts w:ascii="Arial" w:hAnsi="Arial" w:cs="Arial"/>
                <w:szCs w:val="22"/>
              </w:rPr>
              <w:t xml:space="preserve"> </w:t>
            </w:r>
            <w:r w:rsidR="005816E7">
              <w:rPr>
                <w:rFonts w:ascii="Arial" w:hAnsi="Arial" w:cs="Arial"/>
                <w:szCs w:val="22"/>
              </w:rPr>
              <w:t>Māori</w:t>
            </w:r>
          </w:p>
        </w:tc>
        <w:tc>
          <w:tcPr>
            <w:tcW w:w="3714" w:type="pct"/>
          </w:tcPr>
          <w:p w14:paraId="50BBE194" w14:textId="544EC748" w:rsidR="00B1794E" w:rsidRPr="004A0212" w:rsidRDefault="00B1794E" w:rsidP="00AB1628">
            <w:pPr>
              <w:pStyle w:val="Tablenormal0"/>
              <w:rPr>
                <w:rFonts w:ascii="Arial" w:hAnsi="Arial" w:cs="Arial"/>
                <w:szCs w:val="22"/>
              </w:rPr>
            </w:pPr>
            <w:r w:rsidRPr="00AB1628">
              <w:rPr>
                <w:rFonts w:ascii="Arial" w:hAnsi="Arial" w:cs="Arial"/>
                <w:szCs w:val="22"/>
              </w:rPr>
              <w:t xml:space="preserve">A </w:t>
            </w:r>
            <w:proofErr w:type="spellStart"/>
            <w:r w:rsidRPr="00AB1628">
              <w:rPr>
                <w:rFonts w:ascii="Arial" w:hAnsi="Arial" w:cs="Arial"/>
                <w:szCs w:val="22"/>
              </w:rPr>
              <w:t>reo</w:t>
            </w:r>
            <w:proofErr w:type="spellEnd"/>
            <w:r w:rsidRPr="00AB1628">
              <w:rPr>
                <w:rFonts w:ascii="Arial" w:hAnsi="Arial" w:cs="Arial"/>
                <w:szCs w:val="22"/>
              </w:rPr>
              <w:t xml:space="preserve"> term for Māori with disabilities, which reflects </w:t>
            </w:r>
            <w:proofErr w:type="spellStart"/>
            <w:r w:rsidRPr="00AB1628">
              <w:rPr>
                <w:rFonts w:ascii="Arial" w:hAnsi="Arial" w:cs="Arial"/>
                <w:szCs w:val="22"/>
              </w:rPr>
              <w:t>te</w:t>
            </w:r>
            <w:proofErr w:type="spellEnd"/>
            <w:r w:rsidRPr="00AB1628">
              <w:rPr>
                <w:rFonts w:ascii="Arial" w:hAnsi="Arial" w:cs="Arial"/>
                <w:szCs w:val="22"/>
              </w:rPr>
              <w:t xml:space="preserve"> </w:t>
            </w:r>
            <w:proofErr w:type="spellStart"/>
            <w:r w:rsidRPr="00AB1628">
              <w:rPr>
                <w:rFonts w:ascii="Arial" w:hAnsi="Arial" w:cs="Arial"/>
                <w:szCs w:val="22"/>
              </w:rPr>
              <w:t>ao</w:t>
            </w:r>
            <w:proofErr w:type="spellEnd"/>
            <w:r w:rsidRPr="00AB1628">
              <w:rPr>
                <w:rFonts w:ascii="Arial" w:hAnsi="Arial" w:cs="Arial"/>
                <w:szCs w:val="22"/>
              </w:rPr>
              <w:t> Māori perspectives and collective orientation.</w:t>
            </w:r>
          </w:p>
        </w:tc>
      </w:tr>
      <w:tr w:rsidR="00B1794E" w:rsidRPr="004A0212" w14:paraId="2602C635" w14:textId="77777777" w:rsidTr="006235F6">
        <w:trPr>
          <w:trHeight w:val="300"/>
        </w:trPr>
        <w:tc>
          <w:tcPr>
            <w:tcW w:w="1286" w:type="pct"/>
          </w:tcPr>
          <w:p w14:paraId="230F2E65" w14:textId="77777777" w:rsidR="00B1794E" w:rsidRPr="004A0212" w:rsidRDefault="00B1794E" w:rsidP="00AB1628">
            <w:pPr>
              <w:pStyle w:val="Tablenormal0"/>
              <w:rPr>
                <w:rFonts w:ascii="Arial" w:hAnsi="Arial" w:cs="Arial"/>
                <w:szCs w:val="22"/>
              </w:rPr>
            </w:pPr>
            <w:proofErr w:type="spellStart"/>
            <w:r w:rsidRPr="00AB1628">
              <w:rPr>
                <w:rFonts w:ascii="Arial" w:hAnsi="Arial" w:cs="Arial"/>
                <w:szCs w:val="22"/>
              </w:rPr>
              <w:t>whāngai</w:t>
            </w:r>
            <w:proofErr w:type="spellEnd"/>
            <w:r w:rsidRPr="00AB1628">
              <w:rPr>
                <w:rFonts w:ascii="Arial" w:hAnsi="Arial" w:cs="Arial"/>
                <w:szCs w:val="22"/>
              </w:rPr>
              <w:t xml:space="preserve"> </w:t>
            </w:r>
          </w:p>
        </w:tc>
        <w:tc>
          <w:tcPr>
            <w:tcW w:w="3714" w:type="pct"/>
          </w:tcPr>
          <w:p w14:paraId="18739AB5" w14:textId="77777777" w:rsidR="00B1794E" w:rsidRPr="004A0212" w:rsidRDefault="00B1794E" w:rsidP="00AB1628">
            <w:pPr>
              <w:pStyle w:val="Tablenormal0"/>
              <w:rPr>
                <w:rFonts w:ascii="Arial" w:hAnsi="Arial" w:cs="Arial"/>
                <w:szCs w:val="22"/>
              </w:rPr>
            </w:pPr>
            <w:r w:rsidRPr="00AB1628">
              <w:rPr>
                <w:rFonts w:ascii="Arial" w:hAnsi="Arial" w:cs="Arial"/>
                <w:szCs w:val="22"/>
                <w:bdr w:val="none" w:sz="0" w:space="0" w:color="auto" w:frame="1"/>
              </w:rPr>
              <w:t>Māori customary adoption or fostering of children</w:t>
            </w:r>
            <w:r w:rsidRPr="00AB1628">
              <w:rPr>
                <w:rFonts w:ascii="Arial" w:hAnsi="Arial" w:cs="Arial"/>
                <w:szCs w:val="22"/>
              </w:rPr>
              <w:t xml:space="preserve"> or young people.</w:t>
            </w:r>
          </w:p>
        </w:tc>
      </w:tr>
    </w:tbl>
    <w:p w14:paraId="76455499" w14:textId="77777777" w:rsidR="001F2EA8" w:rsidRDefault="001F2EA8" w:rsidP="00DC5252">
      <w:pPr>
        <w:rPr>
          <w:rFonts w:ascii="Arial" w:hAnsi="Arial" w:cs="Arial"/>
          <w:sz w:val="22"/>
          <w:szCs w:val="22"/>
        </w:rPr>
      </w:pPr>
    </w:p>
    <w:p w14:paraId="024C4F9E" w14:textId="77777777" w:rsidR="001F2EA8" w:rsidRDefault="001F2EA8">
      <w:pPr>
        <w:keepLines w:val="0"/>
        <w:rPr>
          <w:rFonts w:ascii="Arial" w:hAnsi="Arial" w:cs="Arial"/>
          <w:sz w:val="22"/>
          <w:szCs w:val="22"/>
        </w:rPr>
      </w:pPr>
      <w:r>
        <w:rPr>
          <w:rFonts w:ascii="Arial" w:hAnsi="Arial" w:cs="Arial"/>
          <w:sz w:val="22"/>
          <w:szCs w:val="22"/>
        </w:rPr>
        <w:br w:type="page"/>
      </w:r>
    </w:p>
    <w:p w14:paraId="6CD39BDC" w14:textId="5CCB6771" w:rsidR="00756003" w:rsidRPr="00E7649C" w:rsidRDefault="00EA1511" w:rsidP="00DC5252">
      <w:pPr>
        <w:rPr>
          <w:rFonts w:ascii="Arial" w:hAnsi="Arial" w:cs="Arial"/>
          <w:sz w:val="22"/>
          <w:szCs w:val="22"/>
        </w:rPr>
      </w:pPr>
      <w:r w:rsidRPr="00D47E07">
        <w:rPr>
          <w:rFonts w:ascii="Arial" w:hAnsi="Arial" w:cs="Arial"/>
          <w:sz w:val="22"/>
          <w:szCs w:val="22"/>
        </w:rPr>
        <w:t>[</w:t>
      </w:r>
      <w:r w:rsidR="00BD7646">
        <w:rPr>
          <w:rFonts w:ascii="Arial" w:hAnsi="Arial" w:cs="Arial"/>
          <w:sz w:val="22"/>
          <w:szCs w:val="22"/>
        </w:rPr>
        <w:t>Q</w:t>
      </w:r>
      <w:r w:rsidRPr="00E7649C">
        <w:rPr>
          <w:rFonts w:ascii="Arial" w:hAnsi="Arial" w:cs="Arial"/>
          <w:sz w:val="22"/>
          <w:szCs w:val="22"/>
        </w:rPr>
        <w:t>uote]</w:t>
      </w:r>
    </w:p>
    <w:p w14:paraId="5F53E334" w14:textId="5E3216A2" w:rsidR="00D53893" w:rsidRPr="00E7649C" w:rsidRDefault="00D53893" w:rsidP="005219D0">
      <w:pPr>
        <w:pStyle w:val="AllQuotes"/>
        <w:rPr>
          <w:b/>
        </w:rPr>
      </w:pPr>
      <w:r w:rsidRPr="00E7649C">
        <w:rPr>
          <w:b/>
        </w:rPr>
        <w:t>“The most insidious and destructive form of racism, though, is institutional racism. It is the outcome of monocultural institutions which simply ignore and freeze out the cultures of those who do not belong to the majority.”</w:t>
      </w:r>
    </w:p>
    <w:p w14:paraId="6CAE6B29" w14:textId="77777777" w:rsidR="00796312" w:rsidRDefault="00D53893" w:rsidP="005219D0">
      <w:pPr>
        <w:pStyle w:val="AllQuotes"/>
        <w:rPr>
          <w:b/>
        </w:rPr>
      </w:pPr>
      <w:r w:rsidRPr="000D24E0">
        <w:rPr>
          <w:b/>
        </w:rPr>
        <w:t>M</w:t>
      </w:r>
      <w:r w:rsidRPr="000D24E0">
        <w:rPr>
          <w:rFonts w:hint="eastAsia"/>
          <w:b/>
        </w:rPr>
        <w:t>ā</w:t>
      </w:r>
      <w:r w:rsidRPr="000D24E0">
        <w:rPr>
          <w:b/>
        </w:rPr>
        <w:t>ori Perspective Advisory Committee</w:t>
      </w:r>
    </w:p>
    <w:p w14:paraId="3536ECF2" w14:textId="7A51F675" w:rsidR="00485CC6" w:rsidRPr="000D24E0" w:rsidRDefault="00E03682" w:rsidP="005219D0">
      <w:pPr>
        <w:pStyle w:val="AllQuotes"/>
        <w:rPr>
          <w:b/>
        </w:rPr>
      </w:pPr>
      <w:proofErr w:type="spellStart"/>
      <w:r w:rsidRPr="00E7649C">
        <w:rPr>
          <w:b/>
        </w:rPr>
        <w:t>Pūao-te-Āta-tū</w:t>
      </w:r>
      <w:proofErr w:type="spellEnd"/>
      <w:r w:rsidRPr="000D24E0">
        <w:rPr>
          <w:b/>
        </w:rPr>
        <w:t xml:space="preserve"> </w:t>
      </w:r>
      <w:r w:rsidR="00485CC6" w:rsidRPr="000D24E0">
        <w:rPr>
          <w:b/>
        </w:rPr>
        <w:br w:type="page"/>
      </w:r>
    </w:p>
    <w:p w14:paraId="29AD2184" w14:textId="52F94B3F" w:rsidR="00A37FBE" w:rsidRPr="004A0212" w:rsidRDefault="00BF103A" w:rsidP="0042107B">
      <w:pPr>
        <w:pStyle w:val="Heading1"/>
      </w:pPr>
      <w:bookmarkStart w:id="13" w:name="_Toc168638872"/>
      <w:bookmarkStart w:id="14" w:name="_Toc1389813581"/>
      <w:proofErr w:type="spellStart"/>
      <w:r w:rsidRPr="004A0212">
        <w:t>Ū</w:t>
      </w:r>
      <w:r w:rsidR="7E1F38AB" w:rsidRPr="004A0212">
        <w:t>poko</w:t>
      </w:r>
      <w:proofErr w:type="spellEnd"/>
      <w:r w:rsidR="7E1F38AB" w:rsidRPr="004A0212">
        <w:t xml:space="preserve"> 1: </w:t>
      </w:r>
      <w:r w:rsidR="006D0F01" w:rsidRPr="000C0692">
        <w:t>He</w:t>
      </w:r>
      <w:r w:rsidR="006D0F01" w:rsidRPr="004A0212">
        <w:t xml:space="preserve"> </w:t>
      </w:r>
      <w:proofErr w:type="spellStart"/>
      <w:r w:rsidR="00DF4867" w:rsidRPr="004A0212">
        <w:t>w</w:t>
      </w:r>
      <w:r w:rsidR="7E1F38AB" w:rsidRPr="004A0212">
        <w:t>hakataki</w:t>
      </w:r>
      <w:bookmarkEnd w:id="13"/>
      <w:proofErr w:type="spellEnd"/>
      <w:r w:rsidR="7E1F38AB" w:rsidRPr="004A0212">
        <w:t xml:space="preserve"> </w:t>
      </w:r>
      <w:bookmarkEnd w:id="14"/>
    </w:p>
    <w:p w14:paraId="0DA86534" w14:textId="30AFD395" w:rsidR="00A4160B" w:rsidRPr="004A0212" w:rsidRDefault="2FE16B0F" w:rsidP="0042107B">
      <w:pPr>
        <w:pStyle w:val="Heading1"/>
      </w:pPr>
      <w:bookmarkStart w:id="15" w:name="_Toc168638873"/>
      <w:bookmarkStart w:id="16" w:name="_Toc726860905"/>
      <w:r w:rsidRPr="004A0212">
        <w:t xml:space="preserve">Chapter </w:t>
      </w:r>
      <w:r w:rsidR="6CDF33CD" w:rsidRPr="004A0212">
        <w:t>1</w:t>
      </w:r>
      <w:r w:rsidRPr="004A0212">
        <w:t>: Introduction</w:t>
      </w:r>
      <w:bookmarkEnd w:id="9"/>
      <w:bookmarkEnd w:id="10"/>
      <w:bookmarkEnd w:id="11"/>
      <w:bookmarkEnd w:id="12"/>
      <w:bookmarkEnd w:id="15"/>
      <w:r w:rsidR="3FCC92DA" w:rsidRPr="004A0212">
        <w:t xml:space="preserve"> </w:t>
      </w:r>
      <w:bookmarkEnd w:id="16"/>
    </w:p>
    <w:p w14:paraId="152C8E0F" w14:textId="32B67B09" w:rsidR="00157DD1" w:rsidRPr="004A0212" w:rsidRDefault="003903B1" w:rsidP="007D73A6">
      <w:pPr>
        <w:pStyle w:val="AllNumbparas"/>
        <w:rPr>
          <w:rStyle w:val="normaltextrun"/>
          <w:color w:val="000000" w:themeColor="text1"/>
        </w:rPr>
      </w:pPr>
      <w:r w:rsidRPr="004A0212">
        <w:t xml:space="preserve">This </w:t>
      </w:r>
      <w:r w:rsidR="00E11556" w:rsidRPr="004A0212">
        <w:t>P</w:t>
      </w:r>
      <w:r w:rsidRPr="004A0212">
        <w:t xml:space="preserve">art </w:t>
      </w:r>
      <w:r w:rsidR="00D46DAD" w:rsidRPr="004A0212">
        <w:t xml:space="preserve">focuses on </w:t>
      </w:r>
      <w:r w:rsidR="00562963" w:rsidRPr="004A0212">
        <w:t>t</w:t>
      </w:r>
      <w:r w:rsidR="00ED5D8C" w:rsidRPr="004A0212">
        <w:t xml:space="preserve">he </w:t>
      </w:r>
      <w:r w:rsidR="008C3FB3" w:rsidRPr="004A0212">
        <w:t>social attitudes,</w:t>
      </w:r>
      <w:r w:rsidR="008C3FB3" w:rsidRPr="004A0212" w:rsidDel="00D92968">
        <w:t xml:space="preserve"> </w:t>
      </w:r>
      <w:r w:rsidR="007E22F1" w:rsidRPr="004A0212">
        <w:t>care practices</w:t>
      </w:r>
      <w:r w:rsidR="00D92968" w:rsidRPr="004A0212">
        <w:t>,</w:t>
      </w:r>
      <w:r w:rsidR="005478CD" w:rsidRPr="004A0212">
        <w:t xml:space="preserve"> </w:t>
      </w:r>
      <w:r w:rsidR="006607AF" w:rsidRPr="004A0212">
        <w:t xml:space="preserve">how </w:t>
      </w:r>
      <w:r w:rsidR="00D92968" w:rsidRPr="004A0212">
        <w:t xml:space="preserve">government </w:t>
      </w:r>
      <w:r w:rsidR="006607AF" w:rsidRPr="004A0212">
        <w:t xml:space="preserve">operated </w:t>
      </w:r>
      <w:r w:rsidR="00185650" w:rsidRPr="004A0212">
        <w:t>and important events that</w:t>
      </w:r>
      <w:r w:rsidR="00FD69C7" w:rsidRPr="004A0212">
        <w:t xml:space="preserve"> </w:t>
      </w:r>
      <w:r w:rsidR="00B75566" w:rsidRPr="004A0212">
        <w:t>influenced the</w:t>
      </w:r>
      <w:r w:rsidR="00185650" w:rsidRPr="004A0212">
        <w:t xml:space="preserve"> care </w:t>
      </w:r>
      <w:r w:rsidR="00185650" w:rsidRPr="004A0212">
        <w:rPr>
          <w:color w:val="000000" w:themeColor="text1"/>
        </w:rPr>
        <w:t>system</w:t>
      </w:r>
      <w:r w:rsidR="00B75566" w:rsidRPr="004A0212">
        <w:rPr>
          <w:color w:val="000000" w:themeColor="text1"/>
        </w:rPr>
        <w:t>s</w:t>
      </w:r>
      <w:r w:rsidR="005478CD" w:rsidRPr="004A0212">
        <w:rPr>
          <w:color w:val="000000" w:themeColor="text1"/>
        </w:rPr>
        <w:t xml:space="preserve"> in Aotearoa</w:t>
      </w:r>
      <w:r w:rsidR="00D441CD" w:rsidRPr="004A0212">
        <w:rPr>
          <w:color w:val="000000" w:themeColor="text1"/>
        </w:rPr>
        <w:t xml:space="preserve"> New Zealand</w:t>
      </w:r>
      <w:r w:rsidR="00A14712" w:rsidRPr="004A0212">
        <w:rPr>
          <w:color w:val="000000" w:themeColor="text1"/>
        </w:rPr>
        <w:t>.</w:t>
      </w:r>
      <w:r w:rsidR="00CA1869" w:rsidRPr="004A0212">
        <w:rPr>
          <w:color w:val="000000" w:themeColor="text1"/>
        </w:rPr>
        <w:t xml:space="preserve"> </w:t>
      </w:r>
      <w:r w:rsidR="00CA1869" w:rsidRPr="004A0212">
        <w:rPr>
          <w:rStyle w:val="normaltextrun"/>
          <w:color w:val="000000" w:themeColor="text1"/>
        </w:rPr>
        <w:t xml:space="preserve">It is not intended to be a comprehensive </w:t>
      </w:r>
      <w:proofErr w:type="gramStart"/>
      <w:r w:rsidR="00CA1869" w:rsidRPr="004A0212">
        <w:rPr>
          <w:rStyle w:val="normaltextrun"/>
          <w:color w:val="000000" w:themeColor="text1"/>
        </w:rPr>
        <w:t>history, but</w:t>
      </w:r>
      <w:proofErr w:type="gramEnd"/>
      <w:r w:rsidR="00CA1869" w:rsidRPr="004A0212">
        <w:rPr>
          <w:rStyle w:val="normaltextrun"/>
          <w:color w:val="000000" w:themeColor="text1"/>
        </w:rPr>
        <w:t xml:space="preserve"> highlights key themes and topics that are important context to what this Inquiry heard.</w:t>
      </w:r>
    </w:p>
    <w:p w14:paraId="41E5A24B" w14:textId="29289620" w:rsidR="00D74FCF" w:rsidRPr="004A0212" w:rsidRDefault="00A51F08" w:rsidP="007D73A6">
      <w:pPr>
        <w:pStyle w:val="AllNumbparas"/>
      </w:pPr>
      <w:r w:rsidRPr="004A0212">
        <w:t>Chapter 2 covers traditional societal attitudes to care, including M</w:t>
      </w:r>
      <w:r w:rsidR="009B11FC" w:rsidRPr="004A0212">
        <w:t>ā</w:t>
      </w:r>
      <w:r w:rsidRPr="004A0212">
        <w:t xml:space="preserve">ori, Pacific Peoples and </w:t>
      </w:r>
      <w:r w:rsidR="00A962F5" w:rsidRPr="004A0212">
        <w:t>Pākehā</w:t>
      </w:r>
      <w:r w:rsidR="009B11FC" w:rsidRPr="004A0212">
        <w:t xml:space="preserve">. </w:t>
      </w:r>
    </w:p>
    <w:p w14:paraId="3DA97A38" w14:textId="2EB4FE0C" w:rsidR="004C65E9" w:rsidRPr="004A0212" w:rsidRDefault="00FA582A" w:rsidP="007D73A6">
      <w:pPr>
        <w:pStyle w:val="AllNumbparas"/>
      </w:pPr>
      <w:r w:rsidRPr="004A0212">
        <w:t xml:space="preserve">Chapter 3 looks at </w:t>
      </w:r>
      <w:r w:rsidR="00075AAD" w:rsidRPr="004A0212">
        <w:t xml:space="preserve">Māori </w:t>
      </w:r>
      <w:r w:rsidR="00FF1DBC" w:rsidRPr="004A0212">
        <w:t xml:space="preserve">relationships </w:t>
      </w:r>
      <w:r w:rsidR="004C65E9" w:rsidRPr="004A0212">
        <w:t>and interactions</w:t>
      </w:r>
      <w:r w:rsidR="00075AAD" w:rsidRPr="004A0212">
        <w:t xml:space="preserve"> with faiths and </w:t>
      </w:r>
      <w:r w:rsidR="004643B8" w:rsidRPr="004A0212">
        <w:t>the</w:t>
      </w:r>
      <w:r w:rsidR="00075AAD" w:rsidRPr="004A0212">
        <w:t xml:space="preserve"> Crown</w:t>
      </w:r>
      <w:r w:rsidR="00814EFD" w:rsidRPr="004A0212">
        <w:t xml:space="preserve"> </w:t>
      </w:r>
      <w:r w:rsidRPr="004A0212">
        <w:t xml:space="preserve">including the signing of </w:t>
      </w:r>
      <w:proofErr w:type="spellStart"/>
      <w:r w:rsidR="004034CB" w:rsidRPr="004A0212">
        <w:t>He</w:t>
      </w:r>
      <w:proofErr w:type="spellEnd"/>
      <w:r w:rsidR="004034CB" w:rsidRPr="004A0212">
        <w:t xml:space="preserve"> </w:t>
      </w:r>
      <w:proofErr w:type="spellStart"/>
      <w:r w:rsidR="004034CB" w:rsidRPr="004A0212">
        <w:t>Whakaputanga</w:t>
      </w:r>
      <w:proofErr w:type="spellEnd"/>
      <w:r w:rsidR="004034CB" w:rsidRPr="004A0212">
        <w:t xml:space="preserve"> o </w:t>
      </w:r>
      <w:proofErr w:type="spellStart"/>
      <w:r w:rsidR="004034CB" w:rsidRPr="004A0212">
        <w:t>te</w:t>
      </w:r>
      <w:proofErr w:type="spellEnd"/>
      <w:r w:rsidR="004034CB" w:rsidRPr="004A0212">
        <w:t xml:space="preserve"> Rangatiratanga o N</w:t>
      </w:r>
      <w:r w:rsidR="48293E5E" w:rsidRPr="004A0212">
        <w:t>i</w:t>
      </w:r>
      <w:r w:rsidR="004034CB" w:rsidRPr="004A0212">
        <w:t>u Tiren</w:t>
      </w:r>
      <w:r w:rsidR="225C2CCD" w:rsidRPr="004A0212">
        <w:t>e</w:t>
      </w:r>
      <w:r w:rsidR="004034CB" w:rsidRPr="004A0212">
        <w:t xml:space="preserve"> – the Declaration of Independence </w:t>
      </w:r>
      <w:r w:rsidR="001C334F" w:rsidRPr="004A0212">
        <w:t xml:space="preserve">and </w:t>
      </w:r>
      <w:proofErr w:type="spellStart"/>
      <w:r w:rsidR="00607E45">
        <w:t>t</w:t>
      </w:r>
      <w:r w:rsidR="001C334F" w:rsidRPr="004A0212">
        <w:t>e</w:t>
      </w:r>
      <w:proofErr w:type="spellEnd"/>
      <w:r w:rsidR="001C334F" w:rsidRPr="004A0212">
        <w:t xml:space="preserve"> </w:t>
      </w:r>
      <w:proofErr w:type="spellStart"/>
      <w:r w:rsidR="001C334F" w:rsidRPr="004A0212">
        <w:t>Tiriti</w:t>
      </w:r>
      <w:proofErr w:type="spellEnd"/>
      <w:r w:rsidR="007E2BB8" w:rsidRPr="004A0212">
        <w:t xml:space="preserve"> o Waitangi</w:t>
      </w:r>
      <w:r w:rsidR="00332F40" w:rsidRPr="004A0212">
        <w:t>.</w:t>
      </w:r>
    </w:p>
    <w:p w14:paraId="28500C04" w14:textId="49545D72" w:rsidR="003F1292" w:rsidRPr="004A0212" w:rsidRDefault="003F1292" w:rsidP="007D73A6">
      <w:pPr>
        <w:pStyle w:val="AllNumbparas"/>
      </w:pPr>
      <w:r w:rsidRPr="004A0212">
        <w:t xml:space="preserve">Chapter 4 </w:t>
      </w:r>
      <w:r w:rsidR="00C013F2" w:rsidRPr="004A0212">
        <w:t xml:space="preserve">discusses the </w:t>
      </w:r>
      <w:r w:rsidR="00EC1956" w:rsidRPr="004A0212">
        <w:t>social attitudes, values and beliefs present before and during the Inquiry period (1950–1999) that were reflected in legislation, policy, and operational practice around care settings</w:t>
      </w:r>
      <w:r w:rsidR="006607AF" w:rsidRPr="004A0212">
        <w:t>.</w:t>
      </w:r>
    </w:p>
    <w:p w14:paraId="77058CE0" w14:textId="48337F2E" w:rsidR="00537832" w:rsidRPr="004A0212" w:rsidRDefault="001C334F" w:rsidP="001C334F">
      <w:pPr>
        <w:pStyle w:val="AllNumbparas"/>
      </w:pPr>
      <w:r w:rsidRPr="004A0212">
        <w:t>Chapters 5</w:t>
      </w:r>
      <w:r w:rsidR="00DE23FD" w:rsidRPr="004A0212">
        <w:t xml:space="preserve"> – 7 </w:t>
      </w:r>
      <w:r w:rsidR="007C01AF" w:rsidRPr="004A0212">
        <w:t>cover</w:t>
      </w:r>
      <w:r w:rsidRPr="004A0212">
        <w:t xml:space="preserve"> </w:t>
      </w:r>
      <w:r w:rsidR="004D5745" w:rsidRPr="004A0212">
        <w:t xml:space="preserve">the decades of the Inquiry period with a focus on key events and developments for </w:t>
      </w:r>
      <w:r w:rsidR="00964F18" w:rsidRPr="004A0212">
        <w:t>Māori</w:t>
      </w:r>
      <w:r w:rsidR="004D5745" w:rsidRPr="004A0212">
        <w:t>, Pacific People</w:t>
      </w:r>
      <w:r w:rsidR="0010684E" w:rsidRPr="004A0212">
        <w:t>s</w:t>
      </w:r>
      <w:r w:rsidR="004D5745" w:rsidRPr="004A0212">
        <w:t xml:space="preserve">, Deaf </w:t>
      </w:r>
      <w:r w:rsidR="00457129" w:rsidRPr="004A0212">
        <w:t>people,</w:t>
      </w:r>
      <w:r w:rsidR="004D5745" w:rsidRPr="004A0212">
        <w:t xml:space="preserve"> disabled people</w:t>
      </w:r>
      <w:r w:rsidR="007E2F99" w:rsidRPr="004A0212">
        <w:t xml:space="preserve"> and people experiencing mental distress</w:t>
      </w:r>
      <w:r w:rsidR="009F4F55" w:rsidRPr="004A0212">
        <w:t>. They also explore</w:t>
      </w:r>
      <w:r w:rsidR="00B456D4" w:rsidRPr="004A0212">
        <w:t xml:space="preserve"> </w:t>
      </w:r>
      <w:r w:rsidR="00537832" w:rsidRPr="004A0212">
        <w:t xml:space="preserve">areas such as human rights and understandings of child development, neurodivergence and trauma. It also looks at </w:t>
      </w:r>
      <w:r w:rsidR="00DC22AA" w:rsidRPr="004A0212">
        <w:t xml:space="preserve">poverty, </w:t>
      </w:r>
      <w:r w:rsidR="00606C8B" w:rsidRPr="004A0212">
        <w:t>available social support and economic conditions in each decade.</w:t>
      </w:r>
    </w:p>
    <w:p w14:paraId="7A2EC337" w14:textId="63CDF0A8" w:rsidR="000B5C99" w:rsidRPr="004A0212" w:rsidRDefault="006165B4" w:rsidP="002D105A">
      <w:pPr>
        <w:pStyle w:val="Numbparas"/>
      </w:pPr>
      <w:r w:rsidRPr="004A0212">
        <w:t>Chapter</w:t>
      </w:r>
      <w:r w:rsidR="008B37E2" w:rsidRPr="004A0212">
        <w:t xml:space="preserve"> </w:t>
      </w:r>
      <w:r w:rsidR="007019B2" w:rsidRPr="004A0212">
        <w:t>8</w:t>
      </w:r>
      <w:r w:rsidR="00DF6437" w:rsidRPr="004A0212">
        <w:t xml:space="preserve"> </w:t>
      </w:r>
      <w:r w:rsidR="00144FAD" w:rsidRPr="004A0212">
        <w:t>look</w:t>
      </w:r>
      <w:r w:rsidR="00E11556" w:rsidRPr="004A0212">
        <w:t>s</w:t>
      </w:r>
      <w:r w:rsidR="00144FAD" w:rsidRPr="004A0212">
        <w:t xml:space="preserve"> at available data on </w:t>
      </w:r>
      <w:r w:rsidR="00BF3011" w:rsidRPr="004A0212">
        <w:t xml:space="preserve">Māori, </w:t>
      </w:r>
      <w:r w:rsidR="002870D8" w:rsidRPr="004A0212">
        <w:t>Deaf</w:t>
      </w:r>
      <w:r w:rsidR="00F6194A" w:rsidRPr="004A0212">
        <w:t>,</w:t>
      </w:r>
      <w:r w:rsidR="00BF3011" w:rsidRPr="004A0212">
        <w:t xml:space="preserve"> </w:t>
      </w:r>
      <w:r w:rsidR="00F6194A" w:rsidRPr="004A0212">
        <w:t>disabled people, people experiencing mental distress</w:t>
      </w:r>
      <w:r w:rsidR="00C85891" w:rsidRPr="004A0212">
        <w:t xml:space="preserve"> </w:t>
      </w:r>
      <w:r w:rsidR="00BF3011" w:rsidRPr="004A0212">
        <w:t xml:space="preserve">and Pacific </w:t>
      </w:r>
      <w:r w:rsidR="00E11556" w:rsidRPr="004A0212">
        <w:t>P</w:t>
      </w:r>
      <w:r w:rsidR="00BF3011" w:rsidRPr="004A0212">
        <w:t>eoples</w:t>
      </w:r>
      <w:r w:rsidR="00144FAD" w:rsidRPr="004A0212">
        <w:t xml:space="preserve"> during the Inquiry period</w:t>
      </w:r>
      <w:r w:rsidR="00CC12CE" w:rsidRPr="004A0212">
        <w:t xml:space="preserve"> and how these populations changed </w:t>
      </w:r>
      <w:r w:rsidR="000B5C99" w:rsidRPr="004A0212">
        <w:t xml:space="preserve">over time. </w:t>
      </w:r>
      <w:r w:rsidR="00690D4A" w:rsidRPr="004A0212">
        <w:t xml:space="preserve">It also looks at the changes in religious affiliation between 1950–1999. </w:t>
      </w:r>
    </w:p>
    <w:p w14:paraId="36D471D0" w14:textId="5A02FC7E" w:rsidR="00E71DDF" w:rsidRPr="004A0212" w:rsidRDefault="00E71DDF" w:rsidP="00E71DDF">
      <w:pPr>
        <w:pStyle w:val="AllNumbparas"/>
      </w:pPr>
      <w:r w:rsidRPr="004A0212">
        <w:t xml:space="preserve">Chapter 9 gives an overview of </w:t>
      </w:r>
      <w:r w:rsidR="003E19A4" w:rsidRPr="004A0212">
        <w:t>how government makes decisions and operates</w:t>
      </w:r>
      <w:r w:rsidR="00CD0385" w:rsidRPr="004A0212">
        <w:t xml:space="preserve"> in </w:t>
      </w:r>
      <w:r w:rsidRPr="004A0212">
        <w:t>Aotearoa New Zealand</w:t>
      </w:r>
      <w:r w:rsidR="00CD0385" w:rsidRPr="004A0212">
        <w:t>,</w:t>
      </w:r>
      <w:r w:rsidRPr="004A0212">
        <w:t xml:space="preserve"> and of how the State sector was organised and run during the Inquiry period.</w:t>
      </w:r>
    </w:p>
    <w:p w14:paraId="347FD9D0" w14:textId="493B642B" w:rsidR="004E559A" w:rsidRPr="004A0212" w:rsidRDefault="000B5C99" w:rsidP="007D73A6">
      <w:pPr>
        <w:pStyle w:val="AllNumbparas"/>
      </w:pPr>
      <w:r w:rsidRPr="004A0212">
        <w:t xml:space="preserve">Chapter </w:t>
      </w:r>
      <w:r w:rsidR="00E71DDF" w:rsidRPr="004A0212">
        <w:t>10</w:t>
      </w:r>
      <w:r w:rsidR="00144FAD" w:rsidRPr="004A0212">
        <w:t xml:space="preserve"> </w:t>
      </w:r>
      <w:r w:rsidR="00E71DDF" w:rsidRPr="004A0212">
        <w:t>covers</w:t>
      </w:r>
      <w:r w:rsidR="006F1DAB" w:rsidRPr="004A0212">
        <w:t xml:space="preserve"> the </w:t>
      </w:r>
      <w:r w:rsidR="00822B8C" w:rsidRPr="004A0212">
        <w:t xml:space="preserve">State and faith-based care system </w:t>
      </w:r>
      <w:r w:rsidR="005A2E3B" w:rsidRPr="004A0212">
        <w:t>frameworks</w:t>
      </w:r>
      <w:r w:rsidR="006F1DAB" w:rsidRPr="004A0212">
        <w:t xml:space="preserve">. </w:t>
      </w:r>
      <w:r w:rsidR="004E559A" w:rsidRPr="004A0212">
        <w:t xml:space="preserve">This </w:t>
      </w:r>
      <w:r w:rsidR="00FD592A" w:rsidRPr="004A0212">
        <w:t xml:space="preserve">includes the </w:t>
      </w:r>
      <w:r w:rsidR="001D2FBD" w:rsidRPr="004A0212">
        <w:t>relevant legislation</w:t>
      </w:r>
      <w:r w:rsidR="00FD592A" w:rsidRPr="004A0212">
        <w:t xml:space="preserve">, </w:t>
      </w:r>
      <w:r w:rsidR="00CF3EA7" w:rsidRPr="004A0212">
        <w:t>approach</w:t>
      </w:r>
      <w:r w:rsidR="004643B8" w:rsidRPr="004A0212">
        <w:t>es</w:t>
      </w:r>
      <w:r w:rsidR="00CF3EA7" w:rsidRPr="004A0212">
        <w:t xml:space="preserve"> to car</w:t>
      </w:r>
      <w:r w:rsidR="00BF4FDD" w:rsidRPr="004A0212">
        <w:t xml:space="preserve">e, the different </w:t>
      </w:r>
      <w:r w:rsidR="00285560" w:rsidRPr="004A0212">
        <w:t xml:space="preserve">types of </w:t>
      </w:r>
      <w:r w:rsidR="00BF4FDD" w:rsidRPr="004A0212">
        <w:t>care settings</w:t>
      </w:r>
      <w:r w:rsidR="00690D4A" w:rsidRPr="004A0212">
        <w:t xml:space="preserve">, </w:t>
      </w:r>
      <w:r w:rsidR="001D2FBD" w:rsidRPr="004A0212">
        <w:t>the</w:t>
      </w:r>
      <w:r w:rsidR="007F56ED" w:rsidRPr="004A0212">
        <w:t xml:space="preserve"> governance structures of </w:t>
      </w:r>
      <w:r w:rsidR="00E71DDF" w:rsidRPr="004A0212">
        <w:t xml:space="preserve">the </w:t>
      </w:r>
      <w:r w:rsidR="00074E28" w:rsidRPr="004A0212">
        <w:t>f</w:t>
      </w:r>
      <w:r w:rsidR="00E71DDF" w:rsidRPr="004A0212">
        <w:t xml:space="preserve">aiths and key roles and responsibilities within State and </w:t>
      </w:r>
      <w:r w:rsidR="00074E28" w:rsidRPr="004A0212">
        <w:t>faith-</w:t>
      </w:r>
      <w:r w:rsidR="00E71DDF" w:rsidRPr="004A0212">
        <w:t>based care settings</w:t>
      </w:r>
      <w:r w:rsidR="00EB294C" w:rsidRPr="004A0212">
        <w:t>.</w:t>
      </w:r>
    </w:p>
    <w:p w14:paraId="7B4D2B49" w14:textId="3F9D4B6F" w:rsidR="00E71DDF" w:rsidRPr="004A0212" w:rsidRDefault="00E71DDF" w:rsidP="007D73A6">
      <w:pPr>
        <w:pStyle w:val="AllNumbparas"/>
      </w:pPr>
      <w:r w:rsidRPr="004A0212">
        <w:t xml:space="preserve">Chapter 11 outlines the different types of care settings that existed in Aotearoa New Zealand during the </w:t>
      </w:r>
      <w:r w:rsidR="0041445F" w:rsidRPr="004A0212">
        <w:t>Inquiry</w:t>
      </w:r>
      <w:r w:rsidRPr="004A0212">
        <w:t xml:space="preserve"> period.</w:t>
      </w:r>
    </w:p>
    <w:p w14:paraId="2C0E7120" w14:textId="181647D9" w:rsidR="00586C7E" w:rsidRPr="004A0212" w:rsidRDefault="00586C7E" w:rsidP="007D73A6">
      <w:pPr>
        <w:pStyle w:val="AllNumbparas"/>
        <w:numPr>
          <w:ilvl w:val="0"/>
          <w:numId w:val="0"/>
        </w:numPr>
        <w:ind w:left="851"/>
        <w:rPr>
          <w:color w:val="262626" w:themeColor="text1" w:themeTint="D9"/>
        </w:rPr>
      </w:pPr>
      <w:r w:rsidRPr="004A0212">
        <w:br w:type="page"/>
      </w:r>
    </w:p>
    <w:p w14:paraId="5566EF64" w14:textId="40C89664" w:rsidR="00A37FBE" w:rsidRPr="004A0212" w:rsidRDefault="00467001" w:rsidP="00E2005E">
      <w:pPr>
        <w:pStyle w:val="Heading1"/>
      </w:pPr>
      <w:bookmarkStart w:id="17" w:name="_Toc1194564153"/>
      <w:bookmarkStart w:id="18" w:name="_Toc168638874"/>
      <w:bookmarkStart w:id="19" w:name="_Toc150933071"/>
      <w:bookmarkStart w:id="20" w:name="_Toc150953388"/>
      <w:bookmarkStart w:id="21" w:name="_Toc147935370"/>
      <w:bookmarkStart w:id="22" w:name="_Toc148443549"/>
      <w:bookmarkEnd w:id="0"/>
      <w:proofErr w:type="spellStart"/>
      <w:r w:rsidRPr="004A0212">
        <w:t>Ū</w:t>
      </w:r>
      <w:r w:rsidR="7E1F38AB" w:rsidRPr="004A0212">
        <w:t>poko</w:t>
      </w:r>
      <w:proofErr w:type="spellEnd"/>
      <w:r w:rsidR="7E1F38AB" w:rsidRPr="004A0212">
        <w:t xml:space="preserve"> 2: </w:t>
      </w:r>
      <w:proofErr w:type="spellStart"/>
      <w:r w:rsidR="7E1F38AB" w:rsidRPr="004A0212">
        <w:t>Ngā</w:t>
      </w:r>
      <w:proofErr w:type="spellEnd"/>
      <w:r w:rsidR="7E1F38AB" w:rsidRPr="004A0212">
        <w:t xml:space="preserve"> </w:t>
      </w:r>
      <w:proofErr w:type="spellStart"/>
      <w:r w:rsidR="7E1F38AB" w:rsidRPr="004A0212">
        <w:t>waiaro</w:t>
      </w:r>
      <w:proofErr w:type="spellEnd"/>
      <w:r w:rsidR="62FE1548" w:rsidRPr="004A0212">
        <w:t xml:space="preserve"> </w:t>
      </w:r>
      <w:r w:rsidR="7E1F38AB" w:rsidRPr="004A0212">
        <w:t>ā-</w:t>
      </w:r>
      <w:proofErr w:type="spellStart"/>
      <w:r w:rsidR="7E1F38AB" w:rsidRPr="004A0212">
        <w:t>pāpori</w:t>
      </w:r>
      <w:proofErr w:type="spellEnd"/>
      <w:r w:rsidR="7E1F38AB" w:rsidRPr="004A0212">
        <w:t xml:space="preserve"> </w:t>
      </w:r>
      <w:proofErr w:type="spellStart"/>
      <w:r w:rsidR="7E1F38AB" w:rsidRPr="004A0212">
        <w:t>tuku</w:t>
      </w:r>
      <w:proofErr w:type="spellEnd"/>
      <w:r w:rsidR="7E1F38AB" w:rsidRPr="004A0212">
        <w:t xml:space="preserve"> </w:t>
      </w:r>
      <w:proofErr w:type="spellStart"/>
      <w:r w:rsidR="7E1F38AB" w:rsidRPr="004A0212">
        <w:t>iho</w:t>
      </w:r>
      <w:proofErr w:type="spellEnd"/>
      <w:r w:rsidR="7E1F38AB" w:rsidRPr="004A0212">
        <w:t xml:space="preserve"> ki </w:t>
      </w:r>
      <w:proofErr w:type="spellStart"/>
      <w:r w:rsidR="7E1F38AB" w:rsidRPr="004A0212">
        <w:t>te</w:t>
      </w:r>
      <w:proofErr w:type="spellEnd"/>
      <w:r w:rsidR="7E1F38AB" w:rsidRPr="004A0212">
        <w:t xml:space="preserve"> </w:t>
      </w:r>
      <w:proofErr w:type="spellStart"/>
      <w:r w:rsidR="7E1F38AB" w:rsidRPr="004A0212">
        <w:t>taurimatanga</w:t>
      </w:r>
      <w:bookmarkEnd w:id="17"/>
      <w:bookmarkEnd w:id="18"/>
      <w:proofErr w:type="spellEnd"/>
      <w:r w:rsidR="7E1F38AB" w:rsidRPr="004A0212">
        <w:t xml:space="preserve"> </w:t>
      </w:r>
    </w:p>
    <w:p w14:paraId="3846C572" w14:textId="3D99EEB2" w:rsidR="00E2005E" w:rsidRPr="004A0212" w:rsidRDefault="02B6074E" w:rsidP="00E2005E">
      <w:pPr>
        <w:pStyle w:val="Heading1"/>
      </w:pPr>
      <w:bookmarkStart w:id="23" w:name="_Toc82895409"/>
      <w:bookmarkStart w:id="24" w:name="_Toc168638875"/>
      <w:r w:rsidRPr="004A0212">
        <w:t xml:space="preserve">Chapter 2: </w:t>
      </w:r>
      <w:r w:rsidR="0051219F" w:rsidRPr="004A0212">
        <w:t>Traditional</w:t>
      </w:r>
      <w:r w:rsidR="6CAA79FF" w:rsidRPr="004A0212">
        <w:t xml:space="preserve"> </w:t>
      </w:r>
      <w:r w:rsidR="45DE66EF" w:rsidRPr="004A0212">
        <w:t xml:space="preserve">societal </w:t>
      </w:r>
      <w:r w:rsidR="6CAA79FF" w:rsidRPr="004A0212">
        <w:t>attitudes to care</w:t>
      </w:r>
      <w:bookmarkEnd w:id="19"/>
      <w:bookmarkEnd w:id="20"/>
      <w:bookmarkEnd w:id="23"/>
      <w:bookmarkEnd w:id="24"/>
    </w:p>
    <w:p w14:paraId="25C9C8C6" w14:textId="731927F9" w:rsidR="00850186" w:rsidRPr="004A0212" w:rsidRDefault="7E1F38AB" w:rsidP="00850186">
      <w:pPr>
        <w:pStyle w:val="Heading2"/>
        <w:rPr>
          <w:rFonts w:cs="Arial"/>
        </w:rPr>
      </w:pPr>
      <w:bookmarkStart w:id="25" w:name="_Toc150933072"/>
      <w:bookmarkStart w:id="26" w:name="_Toc150953389"/>
      <w:bookmarkStart w:id="27" w:name="_Toc1975175838"/>
      <w:bookmarkStart w:id="28" w:name="_Toc168638876"/>
      <w:proofErr w:type="spellStart"/>
      <w:r w:rsidRPr="004A0212">
        <w:rPr>
          <w:rFonts w:cs="Arial"/>
        </w:rPr>
        <w:t>Ngā</w:t>
      </w:r>
      <w:proofErr w:type="spellEnd"/>
      <w:r w:rsidRPr="004A0212">
        <w:rPr>
          <w:rFonts w:cs="Arial"/>
        </w:rPr>
        <w:t xml:space="preserve"> </w:t>
      </w:r>
      <w:proofErr w:type="spellStart"/>
      <w:r w:rsidRPr="004A0212">
        <w:rPr>
          <w:rFonts w:cs="Arial"/>
        </w:rPr>
        <w:t>waiaro</w:t>
      </w:r>
      <w:proofErr w:type="spellEnd"/>
      <w:r w:rsidRPr="004A0212">
        <w:rPr>
          <w:rFonts w:cs="Arial"/>
        </w:rPr>
        <w:t xml:space="preserve"> o </w:t>
      </w:r>
      <w:proofErr w:type="spellStart"/>
      <w:r w:rsidRPr="004A0212">
        <w:rPr>
          <w:rFonts w:cs="Arial"/>
        </w:rPr>
        <w:t>te</w:t>
      </w:r>
      <w:proofErr w:type="spellEnd"/>
      <w:r w:rsidRPr="004A0212">
        <w:rPr>
          <w:rFonts w:cs="Arial"/>
        </w:rPr>
        <w:t xml:space="preserve"> Māori ki </w:t>
      </w:r>
      <w:proofErr w:type="spellStart"/>
      <w:r w:rsidRPr="004A0212">
        <w:rPr>
          <w:rFonts w:cs="Arial"/>
        </w:rPr>
        <w:t>te</w:t>
      </w:r>
      <w:proofErr w:type="spellEnd"/>
      <w:r w:rsidRPr="004A0212">
        <w:rPr>
          <w:rFonts w:cs="Arial"/>
        </w:rPr>
        <w:t xml:space="preserve"> </w:t>
      </w:r>
      <w:proofErr w:type="spellStart"/>
      <w:r w:rsidRPr="004A0212">
        <w:rPr>
          <w:rFonts w:cs="Arial"/>
        </w:rPr>
        <w:t>taurimatanga</w:t>
      </w:r>
      <w:proofErr w:type="spellEnd"/>
      <w:r w:rsidRPr="004A0212">
        <w:rPr>
          <w:rFonts w:cs="Arial"/>
        </w:rPr>
        <w:t xml:space="preserve"> | </w:t>
      </w:r>
      <w:r w:rsidR="31B27714" w:rsidRPr="004A0212">
        <w:rPr>
          <w:rFonts w:cs="Arial"/>
        </w:rPr>
        <w:t>Māori attitudes</w:t>
      </w:r>
      <w:r w:rsidR="629FC0EA" w:rsidRPr="004A0212">
        <w:rPr>
          <w:rFonts w:cs="Arial"/>
        </w:rPr>
        <w:t xml:space="preserve"> to care</w:t>
      </w:r>
      <w:bookmarkEnd w:id="25"/>
      <w:bookmarkEnd w:id="26"/>
      <w:bookmarkEnd w:id="27"/>
      <w:bookmarkEnd w:id="28"/>
    </w:p>
    <w:p w14:paraId="42BA2BB9" w14:textId="7138E96F" w:rsidR="00B1238B" w:rsidRPr="004A0212" w:rsidRDefault="0DF34A1A" w:rsidP="00B1238B">
      <w:pPr>
        <w:pStyle w:val="Heading3"/>
        <w:rPr>
          <w:rFonts w:cs="Arial"/>
        </w:rPr>
      </w:pPr>
      <w:bookmarkStart w:id="29" w:name="_Toc147935394"/>
      <w:bookmarkStart w:id="30" w:name="_Toc148443575"/>
      <w:bookmarkStart w:id="31" w:name="_Toc150933073"/>
      <w:bookmarkStart w:id="32" w:name="_Toc150953390"/>
      <w:bookmarkStart w:id="33" w:name="_Toc1579126263"/>
      <w:bookmarkStart w:id="34" w:name="_Toc168638877"/>
      <w:proofErr w:type="spellStart"/>
      <w:r w:rsidRPr="004A0212">
        <w:rPr>
          <w:rFonts w:cs="Arial"/>
        </w:rPr>
        <w:t>Ngā</w:t>
      </w:r>
      <w:proofErr w:type="spellEnd"/>
      <w:r w:rsidRPr="004A0212">
        <w:rPr>
          <w:rFonts w:cs="Arial"/>
        </w:rPr>
        <w:t xml:space="preserve"> </w:t>
      </w:r>
      <w:r w:rsidR="00A25B73" w:rsidRPr="000C0692">
        <w:rPr>
          <w:rFonts w:cs="Arial"/>
        </w:rPr>
        <w:t>ti</w:t>
      </w:r>
      <w:r w:rsidR="006E7A0C" w:rsidRPr="000C0692">
        <w:rPr>
          <w:rFonts w:cs="Arial"/>
        </w:rPr>
        <w:t>kanga</w:t>
      </w:r>
      <w:r w:rsidR="009F5FC1" w:rsidRPr="004A0212">
        <w:rPr>
          <w:rFonts w:cs="Arial"/>
        </w:rPr>
        <w:t xml:space="preserve"> </w:t>
      </w:r>
      <w:r w:rsidRPr="004A0212">
        <w:rPr>
          <w:rFonts w:cs="Arial"/>
        </w:rPr>
        <w:t xml:space="preserve">a </w:t>
      </w:r>
      <w:proofErr w:type="spellStart"/>
      <w:r w:rsidRPr="004A0212">
        <w:rPr>
          <w:rFonts w:cs="Arial"/>
        </w:rPr>
        <w:t>te</w:t>
      </w:r>
      <w:proofErr w:type="spellEnd"/>
      <w:r w:rsidRPr="004A0212">
        <w:rPr>
          <w:rFonts w:cs="Arial"/>
        </w:rPr>
        <w:t xml:space="preserve"> Māori ki </w:t>
      </w:r>
      <w:proofErr w:type="spellStart"/>
      <w:r w:rsidRPr="004A0212">
        <w:rPr>
          <w:rFonts w:cs="Arial"/>
        </w:rPr>
        <w:t>te</w:t>
      </w:r>
      <w:proofErr w:type="spellEnd"/>
      <w:r w:rsidRPr="004A0212">
        <w:rPr>
          <w:rFonts w:cs="Arial"/>
        </w:rPr>
        <w:t xml:space="preserve"> </w:t>
      </w:r>
      <w:proofErr w:type="spellStart"/>
      <w:r w:rsidRPr="004A0212">
        <w:rPr>
          <w:rFonts w:cs="Arial"/>
        </w:rPr>
        <w:t>whakatipu</w:t>
      </w:r>
      <w:proofErr w:type="spellEnd"/>
      <w:r w:rsidRPr="004A0212">
        <w:rPr>
          <w:rFonts w:cs="Arial"/>
        </w:rPr>
        <w:t xml:space="preserve"> </w:t>
      </w:r>
      <w:proofErr w:type="spellStart"/>
      <w:r w:rsidRPr="004A0212">
        <w:rPr>
          <w:rFonts w:cs="Arial"/>
        </w:rPr>
        <w:t>tamariki</w:t>
      </w:r>
      <w:proofErr w:type="spellEnd"/>
      <w:r w:rsidR="33235140" w:rsidRPr="004A0212">
        <w:rPr>
          <w:rFonts w:cs="Arial"/>
        </w:rPr>
        <w:t xml:space="preserve"> | </w:t>
      </w:r>
      <w:r w:rsidR="0051219F" w:rsidRPr="004A0212">
        <w:rPr>
          <w:rFonts w:cs="Arial"/>
        </w:rPr>
        <w:t>Traditional</w:t>
      </w:r>
      <w:r w:rsidR="3610D739" w:rsidRPr="004A0212">
        <w:rPr>
          <w:rFonts w:cs="Arial"/>
        </w:rPr>
        <w:t xml:space="preserve"> Māori models of parenting</w:t>
      </w:r>
      <w:bookmarkEnd w:id="29"/>
      <w:bookmarkEnd w:id="30"/>
      <w:bookmarkEnd w:id="31"/>
      <w:bookmarkEnd w:id="32"/>
      <w:bookmarkEnd w:id="33"/>
      <w:bookmarkEnd w:id="34"/>
    </w:p>
    <w:p w14:paraId="6AA27B5B" w14:textId="02FC7D20" w:rsidR="00B1238B" w:rsidRPr="004A0212" w:rsidRDefault="0BB3282F" w:rsidP="00FA5C42">
      <w:pPr>
        <w:pStyle w:val="AllNumbparas"/>
      </w:pPr>
      <w:r w:rsidRPr="004A0212">
        <w:t>Māori traditionally lived in</w:t>
      </w:r>
      <w:r w:rsidR="7B2206A0" w:rsidRPr="004A0212">
        <w:t xml:space="preserve"> papakāinga (village settlement</w:t>
      </w:r>
      <w:r w:rsidR="588FE3A9" w:rsidRPr="004A0212">
        <w:t>s</w:t>
      </w:r>
      <w:r w:rsidR="7B2206A0" w:rsidRPr="004A0212">
        <w:t xml:space="preserve">) </w:t>
      </w:r>
      <w:r w:rsidR="5DFC3E0D" w:rsidRPr="004A0212">
        <w:t>consisting</w:t>
      </w:r>
      <w:r w:rsidR="7B2206A0" w:rsidRPr="004A0212">
        <w:t xml:space="preserve"> of wh</w:t>
      </w:r>
      <w:r w:rsidR="0370446B" w:rsidRPr="004A0212">
        <w:t>ā</w:t>
      </w:r>
      <w:r w:rsidR="7B2206A0" w:rsidRPr="004A0212">
        <w:t>nau groups of 30 to 45 people</w:t>
      </w:r>
      <w:r w:rsidR="0AEF82BC" w:rsidRPr="004A0212">
        <w:t xml:space="preserve">. These were normally made up of </w:t>
      </w:r>
      <w:r w:rsidR="2E6A832E" w:rsidRPr="004A0212">
        <w:t>kuia and kaum</w:t>
      </w:r>
      <w:r w:rsidR="6596D925" w:rsidRPr="004A0212">
        <w:t>āt</w:t>
      </w:r>
      <w:r w:rsidR="2E6A832E" w:rsidRPr="004A0212">
        <w:t>ua (femal</w:t>
      </w:r>
      <w:r w:rsidR="5342B790" w:rsidRPr="004A0212">
        <w:t>e and male elders)</w:t>
      </w:r>
      <w:r w:rsidR="7B2206A0" w:rsidRPr="004A0212">
        <w:t xml:space="preserve">, pākeke (senior adults such as parents, uncles and aunts), and </w:t>
      </w:r>
      <w:proofErr w:type="spellStart"/>
      <w:r w:rsidR="4CD6459C" w:rsidRPr="004A0212">
        <w:t>tama</w:t>
      </w:r>
      <w:proofErr w:type="spellEnd"/>
      <w:r w:rsidR="7B2206A0" w:rsidRPr="004A0212">
        <w:t xml:space="preserve"> and</w:t>
      </w:r>
      <w:r w:rsidR="708888F6" w:rsidRPr="004A0212">
        <w:t xml:space="preserve"> </w:t>
      </w:r>
      <w:proofErr w:type="spellStart"/>
      <w:r w:rsidR="708888F6" w:rsidRPr="004A0212">
        <w:t>tamāhine</w:t>
      </w:r>
      <w:proofErr w:type="spellEnd"/>
      <w:r w:rsidR="7B2206A0" w:rsidRPr="004A0212">
        <w:t xml:space="preserve"> together with their spouses and </w:t>
      </w:r>
      <w:r w:rsidR="7C151D1F" w:rsidRPr="004A0212">
        <w:t>tamariki</w:t>
      </w:r>
      <w:r w:rsidR="71E9AD68" w:rsidRPr="004A0212">
        <w:t xml:space="preserve"> (children)</w:t>
      </w:r>
      <w:r w:rsidR="7C151D1F" w:rsidRPr="004A0212">
        <w:t xml:space="preserve">. Everyone </w:t>
      </w:r>
      <w:r w:rsidR="7B2206A0" w:rsidRPr="004A0212">
        <w:t>help</w:t>
      </w:r>
      <w:r w:rsidR="7C151D1F" w:rsidRPr="004A0212">
        <w:t>ed</w:t>
      </w:r>
      <w:r w:rsidR="7B2206A0" w:rsidRPr="004A0212">
        <w:t xml:space="preserve"> to raise </w:t>
      </w:r>
      <w:r w:rsidR="7C306ACC" w:rsidRPr="004A0212">
        <w:t xml:space="preserve">the </w:t>
      </w:r>
      <w:r w:rsidR="7B2206A0" w:rsidRPr="004A0212">
        <w:t>tamariki. This practice reflected a fundamental belief that “the child is the child of the tribe</w:t>
      </w:r>
      <w:r w:rsidR="1423E855" w:rsidRPr="004A0212">
        <w:t>”</w:t>
      </w:r>
      <w:r w:rsidR="7B2206A0" w:rsidRPr="004A0212">
        <w:t>.</w:t>
      </w:r>
      <w:r w:rsidR="00B1238B" w:rsidRPr="004A0212">
        <w:rPr>
          <w:rStyle w:val="StyleFootnoteReferenceFagoFunotenzeichenFagoFunotenzeichen"/>
        </w:rPr>
        <w:footnoteReference w:id="2"/>
      </w:r>
      <w:r w:rsidR="3610D739" w:rsidRPr="004A0212">
        <w:t xml:space="preserve"> </w:t>
      </w:r>
    </w:p>
    <w:p w14:paraId="76633D94" w14:textId="622FF9D4" w:rsidR="00B1238B" w:rsidRPr="004A0212" w:rsidRDefault="2EC06DB1" w:rsidP="007D73A6">
      <w:pPr>
        <w:pStyle w:val="AllNumbparas"/>
      </w:pPr>
      <w:r w:rsidRPr="004A0212">
        <w:t xml:space="preserve">Caring for and raising tamariki as a collective, with whānau members having </w:t>
      </w:r>
      <w:r w:rsidR="2FF7FF5E" w:rsidRPr="004A0212">
        <w:t xml:space="preserve">different roles and </w:t>
      </w:r>
      <w:r w:rsidR="000A6DBD" w:rsidRPr="004A0212">
        <w:t>responsibilities</w:t>
      </w:r>
      <w:r w:rsidR="09F9D7CA" w:rsidRPr="004A0212">
        <w:t>,</w:t>
      </w:r>
      <w:r w:rsidR="7CB4D337" w:rsidRPr="004A0212">
        <w:t xml:space="preserve"> meant that </w:t>
      </w:r>
      <w:r w:rsidR="2B3778E4" w:rsidRPr="004A0212">
        <w:t>tamariki were b</w:t>
      </w:r>
      <w:r w:rsidR="008F5438" w:rsidRPr="004A0212">
        <w:t>r</w:t>
      </w:r>
      <w:r w:rsidR="2B3778E4" w:rsidRPr="004A0212">
        <w:t xml:space="preserve">ought up in an environment </w:t>
      </w:r>
      <w:r w:rsidR="001B283C" w:rsidRPr="004A0212">
        <w:t>that</w:t>
      </w:r>
      <w:r w:rsidR="2B3778E4" w:rsidRPr="004A0212">
        <w:t xml:space="preserve"> </w:t>
      </w:r>
      <w:r w:rsidR="001B283C" w:rsidRPr="004A0212">
        <w:t>knitted the</w:t>
      </w:r>
      <w:r w:rsidR="342FDFD9" w:rsidRPr="004A0212">
        <w:t xml:space="preserve"> </w:t>
      </w:r>
      <w:r w:rsidR="7CB4D337" w:rsidRPr="004A0212">
        <w:t>whānau</w:t>
      </w:r>
      <w:r w:rsidR="001B283C" w:rsidRPr="004A0212">
        <w:t xml:space="preserve"> together</w:t>
      </w:r>
      <w:r w:rsidR="7CB4D337" w:rsidRPr="004A0212">
        <w:t xml:space="preserve">. </w:t>
      </w:r>
      <w:r w:rsidR="00B1238B" w:rsidRPr="004A0212">
        <w:t xml:space="preserve">It also meant that multiple people were </w:t>
      </w:r>
      <w:r w:rsidR="00A6102E" w:rsidRPr="004A0212">
        <w:t>observing each other</w:t>
      </w:r>
      <w:r w:rsidR="00B1238B" w:rsidRPr="004A0212">
        <w:t xml:space="preserve"> as a further way to ensure care for tamariki</w:t>
      </w:r>
      <w:r w:rsidR="10352CF8" w:rsidRPr="004A0212">
        <w:t xml:space="preserve"> Māori</w:t>
      </w:r>
      <w:r w:rsidR="00B1238B" w:rsidRPr="004A0212">
        <w:t>.</w:t>
      </w:r>
      <w:r w:rsidR="00B1238B" w:rsidRPr="004A0212">
        <w:rPr>
          <w:rStyle w:val="StyleFootnoteReferenceFagoFunotenzeichenFagoFunotenzeichen"/>
        </w:rPr>
        <w:footnoteReference w:id="3"/>
      </w:r>
    </w:p>
    <w:p w14:paraId="583E49B4" w14:textId="71B116A1" w:rsidR="00B1238B" w:rsidRPr="004A0212" w:rsidRDefault="00B47ADB" w:rsidP="007D73A6">
      <w:pPr>
        <w:pStyle w:val="AllNumbparas"/>
        <w:rPr>
          <w:lang w:eastAsia="en-US"/>
        </w:rPr>
      </w:pPr>
      <w:r w:rsidRPr="004A0212">
        <w:t xml:space="preserve">Tamariki </w:t>
      </w:r>
      <w:proofErr w:type="gramStart"/>
      <w:r w:rsidRPr="004A0212">
        <w:t>were</w:t>
      </w:r>
      <w:proofErr w:type="gramEnd"/>
      <w:r w:rsidRPr="004A0212">
        <w:t xml:space="preserve"> generally treated with reverence i</w:t>
      </w:r>
      <w:r w:rsidR="00B1238B" w:rsidRPr="004A0212">
        <w:t>n traditional Māori society and it was rare for adults to be violent towards them.</w:t>
      </w:r>
      <w:r w:rsidR="00D731E2" w:rsidRPr="004A0212">
        <w:t xml:space="preserve"> Tr</w:t>
      </w:r>
      <w:r w:rsidR="00236DCF" w:rsidRPr="004A0212">
        <w:t xml:space="preserve">aditional </w:t>
      </w:r>
      <w:proofErr w:type="spellStart"/>
      <w:r w:rsidR="00F92331" w:rsidRPr="004A0212">
        <w:t>whakataukī</w:t>
      </w:r>
      <w:proofErr w:type="spellEnd"/>
      <w:r w:rsidR="00236DCF" w:rsidRPr="004A0212">
        <w:t xml:space="preserve"> </w:t>
      </w:r>
      <w:proofErr w:type="spellStart"/>
      <w:r w:rsidR="00236DCF" w:rsidRPr="004A0212">
        <w:t>purākau</w:t>
      </w:r>
      <w:proofErr w:type="spellEnd"/>
      <w:r w:rsidR="00906335" w:rsidRPr="004A0212">
        <w:t xml:space="preserve"> speak to the high regard held for children. </w:t>
      </w:r>
      <w:r w:rsidR="00401321" w:rsidRPr="004A0212">
        <w:t>Dr</w:t>
      </w:r>
      <w:r w:rsidR="00257217" w:rsidRPr="004A0212">
        <w:t xml:space="preserve"> Rawiri </w:t>
      </w:r>
      <w:proofErr w:type="spellStart"/>
      <w:r w:rsidR="00257217" w:rsidRPr="004A0212">
        <w:t>Ta</w:t>
      </w:r>
      <w:r w:rsidR="00561FAE" w:rsidRPr="004A0212">
        <w:t>onui</w:t>
      </w:r>
      <w:proofErr w:type="spellEnd"/>
      <w:r w:rsidR="00872556" w:rsidRPr="004A0212">
        <w:t xml:space="preserve"> notes</w:t>
      </w:r>
      <w:r w:rsidR="00BB42F2" w:rsidRPr="004A0212">
        <w:t xml:space="preserve"> “</w:t>
      </w:r>
      <w:r w:rsidR="00872556" w:rsidRPr="004A0212">
        <w:t xml:space="preserve">the most insidious and destructive form of racism, though, is </w:t>
      </w:r>
      <w:r w:rsidR="00F30BF4" w:rsidRPr="004A0212">
        <w:t xml:space="preserve">institutional racism. It is the outcome of monocultural institutions which simply </w:t>
      </w:r>
      <w:r w:rsidR="0038494A" w:rsidRPr="004A0212">
        <w:t>ignore and freeze out the cultures of those who do not belong to the majority”</w:t>
      </w:r>
      <w:r w:rsidR="00B1238B" w:rsidRPr="004A0212">
        <w:t>.</w:t>
      </w:r>
      <w:r w:rsidR="00B1238B" w:rsidRPr="004A0212">
        <w:rPr>
          <w:rStyle w:val="StyleFootnoteReferenceFagoFunotenzeichenFagoFunotenzeichen"/>
        </w:rPr>
        <w:footnoteReference w:id="4"/>
      </w:r>
      <w:r w:rsidR="003A4495" w:rsidRPr="004A0212">
        <w:t xml:space="preserve"> </w:t>
      </w:r>
      <w:proofErr w:type="spellStart"/>
      <w:r w:rsidR="007C2405" w:rsidRPr="004A0212">
        <w:t>Wā</w:t>
      </w:r>
      <w:r w:rsidR="00B026C0" w:rsidRPr="004A0212">
        <w:t>hine</w:t>
      </w:r>
      <w:proofErr w:type="spellEnd"/>
      <w:r w:rsidR="005E7811" w:rsidRPr="004A0212">
        <w:t xml:space="preserve"> (women)</w:t>
      </w:r>
      <w:r w:rsidR="00B026C0" w:rsidRPr="004A0212">
        <w:t xml:space="preserve"> and </w:t>
      </w:r>
      <w:proofErr w:type="spellStart"/>
      <w:r w:rsidR="00EA5423" w:rsidRPr="004A0212">
        <w:t>tamariki</w:t>
      </w:r>
      <w:proofErr w:type="spellEnd"/>
      <w:r w:rsidR="00B026C0" w:rsidRPr="004A0212">
        <w:t xml:space="preserve"> </w:t>
      </w:r>
      <w:r w:rsidR="00D47283" w:rsidRPr="004A0212">
        <w:t xml:space="preserve">were the bearers of future generations </w:t>
      </w:r>
      <w:r w:rsidR="00947910" w:rsidRPr="004A0212">
        <w:t>and any violence against them was generally viewed as a transgression a</w:t>
      </w:r>
      <w:r w:rsidR="006C568E" w:rsidRPr="004A0212">
        <w:t>gainst whakapapa.</w:t>
      </w:r>
      <w:r w:rsidR="006C568E" w:rsidRPr="004A0212">
        <w:rPr>
          <w:rStyle w:val="StyleFootnoteReferenceFagoFunotenzeichenFagoFunotenzeichen"/>
        </w:rPr>
        <w:footnoteReference w:id="5"/>
      </w:r>
    </w:p>
    <w:p w14:paraId="432FF151" w14:textId="6ED6A1D1" w:rsidR="0041267B" w:rsidRPr="004A0212" w:rsidRDefault="00EA1A4B" w:rsidP="007D73A6">
      <w:pPr>
        <w:pStyle w:val="AllNumbparas"/>
      </w:pPr>
      <w:r w:rsidRPr="004A0212">
        <w:t>As noted in Part 1</w:t>
      </w:r>
      <w:r w:rsidR="001A2D27" w:rsidRPr="004A0212">
        <w:t>, this</w:t>
      </w:r>
      <w:r w:rsidR="30018E63" w:rsidRPr="004A0212">
        <w:t xml:space="preserve"> is not to suggest that traditional Māori society did not have instances of abuse</w:t>
      </w:r>
      <w:r w:rsidR="001A2D27" w:rsidRPr="004A0212">
        <w:t>. What</w:t>
      </w:r>
      <w:r w:rsidR="30018E63" w:rsidRPr="004A0212">
        <w:t xml:space="preserve"> is clear from narratives </w:t>
      </w:r>
      <w:r w:rsidR="225F8B75" w:rsidRPr="004A0212">
        <w:t>within</w:t>
      </w:r>
      <w:r w:rsidR="77CAEF61" w:rsidRPr="004A0212">
        <w:t xml:space="preserve"> </w:t>
      </w:r>
      <w:proofErr w:type="spellStart"/>
      <w:r w:rsidR="77CAEF61" w:rsidRPr="004A0212">
        <w:t>pūrākau</w:t>
      </w:r>
      <w:proofErr w:type="spellEnd"/>
      <w:r w:rsidR="00A06D4A" w:rsidRPr="004A0212">
        <w:t xml:space="preserve"> (myths and legends)</w:t>
      </w:r>
      <w:r w:rsidR="77CAEF61" w:rsidRPr="004A0212">
        <w:t xml:space="preserve">, </w:t>
      </w:r>
      <w:proofErr w:type="spellStart"/>
      <w:r w:rsidR="77CAEF61" w:rsidRPr="004A0212">
        <w:t>waiata</w:t>
      </w:r>
      <w:proofErr w:type="spellEnd"/>
      <w:r w:rsidR="00E676C3" w:rsidRPr="004A0212">
        <w:t xml:space="preserve"> (songs)</w:t>
      </w:r>
      <w:r w:rsidR="77CAEF61" w:rsidRPr="004A0212">
        <w:t xml:space="preserve">, and </w:t>
      </w:r>
      <w:proofErr w:type="spellStart"/>
      <w:r w:rsidR="77CAEF61" w:rsidRPr="004A0212">
        <w:t>whakatauk</w:t>
      </w:r>
      <w:r w:rsidR="005E02F1" w:rsidRPr="004A0212">
        <w:t>ī</w:t>
      </w:r>
      <w:proofErr w:type="spellEnd"/>
      <w:r w:rsidR="005E02F1" w:rsidRPr="004A0212">
        <w:t xml:space="preserve"> (proverbs)</w:t>
      </w:r>
      <w:r w:rsidR="77CAEF61" w:rsidRPr="004A0212">
        <w:t xml:space="preserve">, as well as </w:t>
      </w:r>
      <w:r w:rsidR="2328AEC6" w:rsidRPr="004A0212">
        <w:t>tikanga</w:t>
      </w:r>
      <w:r w:rsidR="77CAEF61" w:rsidRPr="004A0212">
        <w:t xml:space="preserve">, </w:t>
      </w:r>
      <w:r w:rsidR="003947A8" w:rsidRPr="004A0212">
        <w:t xml:space="preserve">is </w:t>
      </w:r>
      <w:r w:rsidR="77CAEF61" w:rsidRPr="004A0212">
        <w:t>that abuse was not something condoned and that it carried consequences</w:t>
      </w:r>
      <w:r w:rsidR="00212BBD" w:rsidRPr="004A0212">
        <w:t>.</w:t>
      </w:r>
      <w:r w:rsidR="77CAEF61" w:rsidRPr="004A0212">
        <w:t xml:space="preserve"> </w:t>
      </w:r>
      <w:r w:rsidR="588B88AB" w:rsidRPr="004A0212">
        <w:t xml:space="preserve">There </w:t>
      </w:r>
      <w:r w:rsidR="46EBB09A" w:rsidRPr="004A0212">
        <w:t>were culturally acceptable behaviours concerning the care, nurturing and protection of tamariki and other whānau members in traditional Māori society.</w:t>
      </w:r>
      <w:r w:rsidR="00611FA4" w:rsidRPr="004A0212">
        <w:rPr>
          <w:rStyle w:val="StyleFootnoteReferenceFagoFunotenzeichenFagoFunotenzeichen"/>
        </w:rPr>
        <w:footnoteReference w:id="6"/>
      </w:r>
      <w:r w:rsidR="46EBB09A" w:rsidRPr="004A0212">
        <w:t xml:space="preserve"> </w:t>
      </w:r>
      <w:r w:rsidR="51B62166" w:rsidRPr="004A0212">
        <w:t xml:space="preserve">Knowledge passed down through generations of </w:t>
      </w:r>
      <w:proofErr w:type="spellStart"/>
      <w:r w:rsidR="51B62166" w:rsidRPr="004A0212">
        <w:t>pukenga</w:t>
      </w:r>
      <w:proofErr w:type="spellEnd"/>
      <w:r w:rsidR="51B62166" w:rsidRPr="004A0212">
        <w:t xml:space="preserve"> </w:t>
      </w:r>
      <w:r w:rsidR="001D76FF" w:rsidRPr="004A0212">
        <w:t>(experts)</w:t>
      </w:r>
      <w:r w:rsidR="51B62166" w:rsidRPr="004A0212">
        <w:t xml:space="preserve"> speak to this. </w:t>
      </w:r>
    </w:p>
    <w:p w14:paraId="215A76B0" w14:textId="28DB752F" w:rsidR="00B1238B" w:rsidRPr="004A0212" w:rsidRDefault="353F8B27" w:rsidP="007D73A6">
      <w:pPr>
        <w:pStyle w:val="AllNumbparas"/>
      </w:pPr>
      <w:r w:rsidRPr="004A0212">
        <w:t>E</w:t>
      </w:r>
      <w:r w:rsidR="2F22C012" w:rsidRPr="004A0212">
        <w:t>arly written</w:t>
      </w:r>
      <w:r w:rsidR="64A26CFF" w:rsidRPr="004A0212">
        <w:t xml:space="preserve"> material </w:t>
      </w:r>
      <w:r w:rsidR="4A6E1820" w:rsidRPr="004A0212">
        <w:t>about care within Māori society</w:t>
      </w:r>
      <w:r w:rsidR="64A26CFF" w:rsidRPr="004A0212">
        <w:t xml:space="preserve"> has </w:t>
      </w:r>
      <w:r w:rsidR="38F11745" w:rsidRPr="004A0212">
        <w:t xml:space="preserve">also </w:t>
      </w:r>
      <w:r w:rsidR="64A26CFF" w:rsidRPr="004A0212">
        <w:t xml:space="preserve">been collected and published by non-Māori </w:t>
      </w:r>
      <w:r w:rsidR="64A26CFF" w:rsidRPr="004A0212">
        <w:rPr>
          <w:color w:val="000000" w:themeColor="text1"/>
        </w:rPr>
        <w:t xml:space="preserve">academics and researchers who studied and often lived with Māori communities. </w:t>
      </w:r>
      <w:r w:rsidR="26F9AE13" w:rsidRPr="004A0212">
        <w:rPr>
          <w:rStyle w:val="normaltextrun"/>
          <w:color w:val="000000" w:themeColor="text1"/>
        </w:rPr>
        <w:t>Many European traders and missionaries recorded observations in the early 19</w:t>
      </w:r>
      <w:r w:rsidR="26F9AE13" w:rsidRPr="004A0212">
        <w:rPr>
          <w:rStyle w:val="normaltextrun"/>
          <w:color w:val="000000" w:themeColor="text1"/>
          <w:vertAlign w:val="superscript"/>
        </w:rPr>
        <w:t>th</w:t>
      </w:r>
      <w:r w:rsidR="26F9AE13" w:rsidRPr="004A0212">
        <w:rPr>
          <w:rStyle w:val="normaltextrun"/>
          <w:color w:val="000000" w:themeColor="text1"/>
        </w:rPr>
        <w:t xml:space="preserve"> century of the loving care given to </w:t>
      </w:r>
      <w:proofErr w:type="spellStart"/>
      <w:r w:rsidR="26F9AE13" w:rsidRPr="004A0212">
        <w:rPr>
          <w:rStyle w:val="normaltextrun"/>
          <w:color w:val="000000" w:themeColor="text1"/>
        </w:rPr>
        <w:t>pēp</w:t>
      </w:r>
      <w:r w:rsidR="4A04238F" w:rsidRPr="004A0212">
        <w:rPr>
          <w:rStyle w:val="normaltextrun"/>
          <w:color w:val="000000" w:themeColor="text1"/>
        </w:rPr>
        <w:t>i</w:t>
      </w:r>
      <w:proofErr w:type="spellEnd"/>
      <w:r w:rsidR="26F9AE13" w:rsidRPr="004A0212">
        <w:rPr>
          <w:rStyle w:val="normaltextrun"/>
          <w:color w:val="000000" w:themeColor="text1"/>
        </w:rPr>
        <w:t xml:space="preserve"> (babies) and </w:t>
      </w:r>
      <w:proofErr w:type="spellStart"/>
      <w:r w:rsidR="26F9AE13" w:rsidRPr="004A0212">
        <w:rPr>
          <w:rStyle w:val="normaltextrun"/>
          <w:color w:val="000000" w:themeColor="text1"/>
        </w:rPr>
        <w:t>tamariki</w:t>
      </w:r>
      <w:proofErr w:type="spellEnd"/>
      <w:r w:rsidR="26F9AE13" w:rsidRPr="004A0212">
        <w:rPr>
          <w:rStyle w:val="normaltextrun"/>
          <w:color w:val="000000" w:themeColor="text1"/>
        </w:rPr>
        <w:t xml:space="preserve"> by parents and other adults. </w:t>
      </w:r>
      <w:r w:rsidR="764D6F62" w:rsidRPr="004A0212">
        <w:rPr>
          <w:color w:val="000000" w:themeColor="text1"/>
        </w:rPr>
        <w:t xml:space="preserve">Māori </w:t>
      </w:r>
      <w:r w:rsidR="764D6F62" w:rsidRPr="004A0212">
        <w:t>f</w:t>
      </w:r>
      <w:r w:rsidR="2F8CA844" w:rsidRPr="004A0212">
        <w:t>athers were</w:t>
      </w:r>
      <w:r w:rsidR="3610D739" w:rsidRPr="004A0212">
        <w:t xml:space="preserve"> nurturer</w:t>
      </w:r>
      <w:r w:rsidR="2F8CA844" w:rsidRPr="004A0212">
        <w:t>s</w:t>
      </w:r>
      <w:r w:rsidR="3610D739" w:rsidRPr="004A0212">
        <w:t xml:space="preserve"> and caregiver</w:t>
      </w:r>
      <w:r w:rsidR="2F8CA844" w:rsidRPr="004A0212">
        <w:t>s</w:t>
      </w:r>
      <w:r w:rsidR="3610D739" w:rsidRPr="004A0212">
        <w:t xml:space="preserve"> of young children</w:t>
      </w:r>
      <w:r w:rsidR="2CAFEB20" w:rsidRPr="004A0212">
        <w:t xml:space="preserve"> in M</w:t>
      </w:r>
      <w:r w:rsidR="2CAFEB20" w:rsidRPr="004A0212">
        <w:rPr>
          <w:rStyle w:val="normaltextrun"/>
          <w:color w:val="000000"/>
        </w:rPr>
        <w:t>ā</w:t>
      </w:r>
      <w:r w:rsidR="2CAFEB20" w:rsidRPr="004A0212">
        <w:t>ori society</w:t>
      </w:r>
      <w:r w:rsidR="3610D739" w:rsidRPr="004A0212">
        <w:t>.</w:t>
      </w:r>
      <w:r w:rsidR="2BC3A666" w:rsidRPr="004A0212">
        <w:t xml:space="preserve"> </w:t>
      </w:r>
      <w:r w:rsidR="3610D739" w:rsidRPr="004A0212">
        <w:t xml:space="preserve">Reverend </w:t>
      </w:r>
      <w:r w:rsidR="3610D739" w:rsidRPr="004A0212">
        <w:rPr>
          <w:rStyle w:val="normaltextrun"/>
          <w:color w:val="000000"/>
        </w:rPr>
        <w:t>Samuel Marsden observed in 1814 that Māori were “kind to their women and children. I never observed a mark of violence on any of them</w:t>
      </w:r>
      <w:r w:rsidR="20D63951" w:rsidRPr="004A0212">
        <w:rPr>
          <w:rStyle w:val="normaltextrun"/>
          <w:color w:val="000000"/>
        </w:rPr>
        <w:t>”</w:t>
      </w:r>
      <w:r w:rsidR="2E3E239A" w:rsidRPr="004A0212">
        <w:rPr>
          <w:rStyle w:val="normaltextrun"/>
          <w:color w:val="000000"/>
        </w:rPr>
        <w:t>.</w:t>
      </w:r>
      <w:r w:rsidR="00B1238B" w:rsidRPr="004A0212">
        <w:rPr>
          <w:rStyle w:val="StyleFootnoteReferenceFagoFunotenzeichenFagoFunotenzeichen"/>
        </w:rPr>
        <w:footnoteReference w:id="7"/>
      </w:r>
      <w:r w:rsidR="3610D739" w:rsidRPr="004A0212">
        <w:rPr>
          <w:rStyle w:val="normaltextrun"/>
          <w:color w:val="000000"/>
        </w:rPr>
        <w:t xml:space="preserve"> T</w:t>
      </w:r>
      <w:r w:rsidR="3610D739" w:rsidRPr="004A0212">
        <w:t>rader Joel Polack noted that “the [Māori] father is devotedly fond of his children, they are his pride, his boast, and peculiar delight”</w:t>
      </w:r>
      <w:r w:rsidR="23481056" w:rsidRPr="004A0212">
        <w:t>.</w:t>
      </w:r>
      <w:r w:rsidR="00B1238B" w:rsidRPr="004A0212">
        <w:rPr>
          <w:rStyle w:val="StyleFootnoteReferenceFagoFunotenzeichenFagoFunotenzeichen"/>
        </w:rPr>
        <w:footnoteReference w:id="8"/>
      </w:r>
      <w:r w:rsidR="3610D739" w:rsidRPr="004A0212">
        <w:t xml:space="preserve"> </w:t>
      </w:r>
    </w:p>
    <w:p w14:paraId="26880E56" w14:textId="41740D76" w:rsidR="00B1238B" w:rsidRPr="004A0212" w:rsidRDefault="00B1238B" w:rsidP="007D73A6">
      <w:pPr>
        <w:pStyle w:val="AllNumbparas"/>
      </w:pPr>
      <w:r w:rsidRPr="004A0212">
        <w:t>Dr Edward Shortland, a colonial administrator and interpreter,</w:t>
      </w:r>
      <w:r w:rsidRPr="004A0212">
        <w:rPr>
          <w:rStyle w:val="StyleFootnoteReferenceFagoFunotenzeichenFagoFunotenzeichen"/>
        </w:rPr>
        <w:footnoteReference w:id="9"/>
      </w:r>
      <w:r w:rsidRPr="004A0212">
        <w:t xml:space="preserve"> observed in the 1840s that “a parent is seldom seen to chastise his child, especially in families of rank”</w:t>
      </w:r>
      <w:r w:rsidR="00C43E60" w:rsidRPr="004A0212">
        <w:t>.</w:t>
      </w:r>
      <w:r w:rsidRPr="004A0212">
        <w:rPr>
          <w:rStyle w:val="StyleFootnoteReferenceFagoFunotenzeichenFagoFunotenzeichen"/>
        </w:rPr>
        <w:footnoteReference w:id="10"/>
      </w:r>
      <w:r w:rsidRPr="004A0212">
        <w:t xml:space="preserve"> Practices associated with tikanga Māori concepts including </w:t>
      </w:r>
      <w:proofErr w:type="spellStart"/>
      <w:r w:rsidRPr="004A0212">
        <w:t>tapu</w:t>
      </w:r>
      <w:proofErr w:type="spellEnd"/>
      <w:r w:rsidRPr="004A0212">
        <w:t xml:space="preserve">, mana, utu and </w:t>
      </w:r>
      <w:proofErr w:type="spellStart"/>
      <w:r w:rsidRPr="004A0212">
        <w:t>muru</w:t>
      </w:r>
      <w:proofErr w:type="spellEnd"/>
      <w:r w:rsidRPr="004A0212">
        <w:t xml:space="preserve"> helped </w:t>
      </w:r>
      <w:r w:rsidR="00A97A14" w:rsidRPr="004A0212">
        <w:t>influence</w:t>
      </w:r>
      <w:r w:rsidR="00A97A14" w:rsidRPr="004A0212" w:rsidDel="00A97A14">
        <w:t xml:space="preserve"> </w:t>
      </w:r>
      <w:r w:rsidRPr="004A0212">
        <w:t xml:space="preserve">behaviour. </w:t>
      </w:r>
    </w:p>
    <w:p w14:paraId="4C9ACF42" w14:textId="77777777" w:rsidR="00B1238B" w:rsidRPr="004A0212" w:rsidRDefault="00B1238B" w:rsidP="007D73A6">
      <w:pPr>
        <w:pStyle w:val="AllNumbparas"/>
      </w:pPr>
      <w:r w:rsidRPr="004A0212">
        <w:t>Dr Shortland observed that, were a parent to physically punish a child, a relative would probably interfere to protect the child “and seek satisfaction for the injury inflicted on the child by seizing some of the pigs or other property”.</w:t>
      </w:r>
      <w:r w:rsidRPr="004A0212">
        <w:rPr>
          <w:rStyle w:val="StyleFootnoteReferenceFagoFunotenzeichenFagoFunotenzeichen"/>
        </w:rPr>
        <w:footnoteReference w:id="11"/>
      </w:r>
      <w:r w:rsidRPr="004A0212">
        <w:t xml:space="preserve"> </w:t>
      </w:r>
    </w:p>
    <w:p w14:paraId="5F0E80E5" w14:textId="77777777" w:rsidR="005A0B70" w:rsidRPr="004A0212" w:rsidRDefault="7E1F38AB" w:rsidP="00B1238B">
      <w:pPr>
        <w:pStyle w:val="Heading3"/>
        <w:rPr>
          <w:rFonts w:cs="Arial"/>
        </w:rPr>
      </w:pPr>
      <w:bookmarkStart w:id="35" w:name="_Toc2098737840"/>
      <w:bookmarkStart w:id="36" w:name="_Toc168638878"/>
      <w:bookmarkStart w:id="37" w:name="_Toc150933074"/>
      <w:bookmarkStart w:id="38" w:name="_Toc150953391"/>
      <w:proofErr w:type="spellStart"/>
      <w:r w:rsidRPr="004A0212">
        <w:rPr>
          <w:rFonts w:cs="Arial"/>
        </w:rPr>
        <w:t>Ngā</w:t>
      </w:r>
      <w:proofErr w:type="spellEnd"/>
      <w:r w:rsidRPr="004A0212">
        <w:rPr>
          <w:rFonts w:cs="Arial"/>
        </w:rPr>
        <w:t xml:space="preserve"> </w:t>
      </w:r>
      <w:proofErr w:type="spellStart"/>
      <w:r w:rsidRPr="004A0212">
        <w:rPr>
          <w:rFonts w:cs="Arial"/>
        </w:rPr>
        <w:t>waiaro</w:t>
      </w:r>
      <w:proofErr w:type="spellEnd"/>
      <w:r w:rsidRPr="004A0212">
        <w:rPr>
          <w:rFonts w:cs="Arial"/>
        </w:rPr>
        <w:t xml:space="preserve"> me </w:t>
      </w:r>
      <w:proofErr w:type="spellStart"/>
      <w:r w:rsidRPr="004A0212">
        <w:rPr>
          <w:rFonts w:cs="Arial"/>
        </w:rPr>
        <w:t>ngā</w:t>
      </w:r>
      <w:proofErr w:type="spellEnd"/>
      <w:r w:rsidRPr="004A0212">
        <w:rPr>
          <w:rFonts w:cs="Arial"/>
        </w:rPr>
        <w:t xml:space="preserve"> </w:t>
      </w:r>
      <w:proofErr w:type="spellStart"/>
      <w:r w:rsidRPr="004A0212">
        <w:rPr>
          <w:rFonts w:cs="Arial"/>
        </w:rPr>
        <w:t>rautaki</w:t>
      </w:r>
      <w:proofErr w:type="spellEnd"/>
      <w:r w:rsidRPr="004A0212">
        <w:rPr>
          <w:rFonts w:cs="Arial"/>
        </w:rPr>
        <w:t xml:space="preserve"> o </w:t>
      </w:r>
      <w:proofErr w:type="spellStart"/>
      <w:r w:rsidRPr="004A0212">
        <w:rPr>
          <w:rFonts w:cs="Arial"/>
        </w:rPr>
        <w:t>te</w:t>
      </w:r>
      <w:proofErr w:type="spellEnd"/>
      <w:r w:rsidRPr="004A0212">
        <w:rPr>
          <w:rFonts w:cs="Arial"/>
        </w:rPr>
        <w:t xml:space="preserve"> Māori ki </w:t>
      </w:r>
      <w:proofErr w:type="spellStart"/>
      <w:r w:rsidRPr="004A0212">
        <w:rPr>
          <w:rFonts w:cs="Arial"/>
        </w:rPr>
        <w:t>te</w:t>
      </w:r>
      <w:proofErr w:type="spellEnd"/>
      <w:r w:rsidRPr="004A0212">
        <w:rPr>
          <w:rFonts w:cs="Arial"/>
        </w:rPr>
        <w:t xml:space="preserve"> </w:t>
      </w:r>
      <w:proofErr w:type="spellStart"/>
      <w:r w:rsidRPr="004A0212">
        <w:rPr>
          <w:rFonts w:cs="Arial"/>
        </w:rPr>
        <w:t>hauora</w:t>
      </w:r>
      <w:proofErr w:type="spellEnd"/>
      <w:r w:rsidRPr="004A0212">
        <w:rPr>
          <w:rFonts w:cs="Arial"/>
        </w:rPr>
        <w:t xml:space="preserve"> me </w:t>
      </w:r>
      <w:proofErr w:type="spellStart"/>
      <w:r w:rsidRPr="004A0212">
        <w:rPr>
          <w:rFonts w:cs="Arial"/>
        </w:rPr>
        <w:t>te</w:t>
      </w:r>
      <w:proofErr w:type="spellEnd"/>
      <w:r w:rsidRPr="004A0212">
        <w:rPr>
          <w:rFonts w:cs="Arial"/>
        </w:rPr>
        <w:t xml:space="preserve"> whaikaha</w:t>
      </w:r>
      <w:bookmarkEnd w:id="35"/>
      <w:bookmarkEnd w:id="36"/>
      <w:r w:rsidRPr="004A0212">
        <w:rPr>
          <w:rFonts w:cs="Arial"/>
        </w:rPr>
        <w:t xml:space="preserve"> </w:t>
      </w:r>
    </w:p>
    <w:p w14:paraId="7D430AB9" w14:textId="74CC5CBC" w:rsidR="00B1238B" w:rsidRPr="004A0212" w:rsidRDefault="3610D739" w:rsidP="00B1238B">
      <w:pPr>
        <w:pStyle w:val="Heading3"/>
        <w:rPr>
          <w:rFonts w:cs="Arial"/>
        </w:rPr>
      </w:pPr>
      <w:bookmarkStart w:id="39" w:name="_Toc1636088483"/>
      <w:bookmarkStart w:id="40" w:name="_Toc168638879"/>
      <w:r w:rsidRPr="004A0212">
        <w:rPr>
          <w:rFonts w:cs="Arial"/>
        </w:rPr>
        <w:t>Māori attitudes and approaches to health and disability</w:t>
      </w:r>
      <w:bookmarkEnd w:id="37"/>
      <w:bookmarkEnd w:id="38"/>
      <w:bookmarkEnd w:id="39"/>
      <w:bookmarkEnd w:id="40"/>
    </w:p>
    <w:p w14:paraId="41B3F54B" w14:textId="7FAC1C35" w:rsidR="00B1238B" w:rsidRPr="004A0212" w:rsidRDefault="00B1238B" w:rsidP="007D73A6">
      <w:pPr>
        <w:pStyle w:val="AllNumbparas"/>
        <w:rPr>
          <w:rFonts w:eastAsia="Georgia Pro"/>
          <w:lang w:eastAsia="en-GB"/>
        </w:rPr>
      </w:pPr>
      <w:r w:rsidRPr="004A0212">
        <w:t xml:space="preserve">Traditional Māori attitudes to </w:t>
      </w:r>
      <w:proofErr w:type="spellStart"/>
      <w:r w:rsidR="000A6DBD" w:rsidRPr="004A0212">
        <w:t>h</w:t>
      </w:r>
      <w:r w:rsidRPr="004A0212">
        <w:t>auora</w:t>
      </w:r>
      <w:proofErr w:type="spellEnd"/>
      <w:r w:rsidR="000A6DBD" w:rsidRPr="004A0212">
        <w:t xml:space="preserve"> (</w:t>
      </w:r>
      <w:r w:rsidRPr="004A0212">
        <w:t>health and wellness</w:t>
      </w:r>
      <w:r w:rsidR="000A6DBD" w:rsidRPr="004A0212">
        <w:t>)</w:t>
      </w:r>
      <w:r w:rsidRPr="004A0212">
        <w:t xml:space="preserve"> had multiple dimensions, including </w:t>
      </w:r>
      <w:proofErr w:type="spellStart"/>
      <w:r w:rsidRPr="004A0212">
        <w:t>hauora</w:t>
      </w:r>
      <w:proofErr w:type="spellEnd"/>
      <w:r w:rsidRPr="004A0212">
        <w:t xml:space="preserve"> </w:t>
      </w:r>
      <w:proofErr w:type="spellStart"/>
      <w:r w:rsidRPr="004A0212">
        <w:t>hinengaro</w:t>
      </w:r>
      <w:proofErr w:type="spellEnd"/>
      <w:r w:rsidRPr="004A0212">
        <w:t xml:space="preserve"> (mental health and wellbeing), </w:t>
      </w:r>
      <w:proofErr w:type="spellStart"/>
      <w:r w:rsidRPr="004A0212">
        <w:t>hauora</w:t>
      </w:r>
      <w:proofErr w:type="spellEnd"/>
      <w:r w:rsidRPr="004A0212">
        <w:t xml:space="preserve"> </w:t>
      </w:r>
      <w:proofErr w:type="spellStart"/>
      <w:r w:rsidRPr="004A0212">
        <w:t>tinana</w:t>
      </w:r>
      <w:proofErr w:type="spellEnd"/>
      <w:r w:rsidRPr="004A0212">
        <w:t xml:space="preserve"> (physical health and wellbeing)</w:t>
      </w:r>
      <w:r w:rsidR="14BF9634" w:rsidRPr="004A0212">
        <w:t>,</w:t>
      </w:r>
      <w:r w:rsidR="000341C2" w:rsidRPr="004A0212">
        <w:t xml:space="preserve"> </w:t>
      </w:r>
      <w:proofErr w:type="spellStart"/>
      <w:r w:rsidRPr="004A0212">
        <w:t>hauora</w:t>
      </w:r>
      <w:proofErr w:type="spellEnd"/>
      <w:r w:rsidRPr="004A0212">
        <w:t xml:space="preserve"> whānau (family health and wellbeing)</w:t>
      </w:r>
      <w:r w:rsidR="4744C3D3" w:rsidRPr="004A0212">
        <w:t xml:space="preserve"> and connection to whenua (land)</w:t>
      </w:r>
      <w:r w:rsidRPr="004A0212">
        <w:t xml:space="preserve">. </w:t>
      </w:r>
    </w:p>
    <w:p w14:paraId="4438FE67" w14:textId="11043DB3" w:rsidR="003620BF" w:rsidRPr="004A0212" w:rsidRDefault="00B1238B" w:rsidP="00A83810">
      <w:pPr>
        <w:pStyle w:val="AllNumbparas"/>
      </w:pPr>
      <w:r w:rsidRPr="004A0212">
        <w:t xml:space="preserve">Wellness required a state of balance in all spiritual aspects of a person, including their </w:t>
      </w:r>
      <w:proofErr w:type="spellStart"/>
      <w:r w:rsidRPr="004A0212">
        <w:t>tapu</w:t>
      </w:r>
      <w:proofErr w:type="spellEnd"/>
      <w:r w:rsidRPr="004A0212">
        <w:t xml:space="preserve">, mana, mauri and </w:t>
      </w:r>
      <w:proofErr w:type="spellStart"/>
      <w:r w:rsidRPr="004A0212">
        <w:t>wairua</w:t>
      </w:r>
      <w:proofErr w:type="spellEnd"/>
      <w:r w:rsidRPr="004A0212">
        <w:t xml:space="preserve">. Traditional Māori healing operated within this broader holistic context. </w:t>
      </w:r>
      <w:r w:rsidR="564B2474" w:rsidRPr="004A0212">
        <w:t xml:space="preserve">Tohunga </w:t>
      </w:r>
      <w:r w:rsidR="1B56A00A" w:rsidRPr="004A0212">
        <w:t>(expert, healer)</w:t>
      </w:r>
      <w:r w:rsidRPr="004A0212">
        <w:rPr>
          <w:lang w:eastAsia="en-GB"/>
        </w:rPr>
        <w:t xml:space="preserve"> addressed</w:t>
      </w:r>
      <w:r w:rsidRPr="004A0212">
        <w:rPr>
          <w:rFonts w:eastAsia="Georgia Pro"/>
          <w:lang w:eastAsia="en-GB"/>
        </w:rPr>
        <w:t xml:space="preserve"> the root cause and </w:t>
      </w:r>
      <w:r w:rsidR="00EA433A" w:rsidRPr="004A0212">
        <w:rPr>
          <w:rFonts w:eastAsia="Georgia Pro"/>
          <w:lang w:eastAsia="en-GB"/>
        </w:rPr>
        <w:t xml:space="preserve">the </w:t>
      </w:r>
      <w:r w:rsidRPr="004A0212">
        <w:rPr>
          <w:rFonts w:eastAsia="Georgia Pro"/>
          <w:lang w:eastAsia="en-GB"/>
        </w:rPr>
        <w:t>symptoms rather than trying to treat a single underlying cause.</w:t>
      </w:r>
      <w:r w:rsidRPr="004A0212">
        <w:rPr>
          <w:rStyle w:val="StyleFootnoteReferenceFagoFunotenzeichenFagoFunotenzeichen"/>
        </w:rPr>
        <w:footnoteReference w:id="12"/>
      </w:r>
      <w:r w:rsidRPr="004A0212">
        <w:rPr>
          <w:rFonts w:eastAsia="Georgia Pro"/>
          <w:lang w:eastAsia="en-GB"/>
        </w:rPr>
        <w:t xml:space="preserve"> </w:t>
      </w:r>
    </w:p>
    <w:p w14:paraId="216C1A18" w14:textId="42855B2F" w:rsidR="000A0431" w:rsidRPr="004A0212" w:rsidRDefault="00B1238B" w:rsidP="007D73A6">
      <w:pPr>
        <w:pStyle w:val="AllNumbparas"/>
      </w:pPr>
      <w:r w:rsidRPr="004A0212">
        <w:t xml:space="preserve">The Western medical concept of disability had no equivalent within </w:t>
      </w:r>
      <w:proofErr w:type="spellStart"/>
      <w:r w:rsidRPr="004A0212">
        <w:t>te</w:t>
      </w:r>
      <w:proofErr w:type="spellEnd"/>
      <w:r w:rsidRPr="004A0212">
        <w:t xml:space="preserve"> </w:t>
      </w:r>
      <w:proofErr w:type="spellStart"/>
      <w:r w:rsidRPr="004A0212">
        <w:t>ao</w:t>
      </w:r>
      <w:proofErr w:type="spellEnd"/>
      <w:r w:rsidRPr="004A0212">
        <w:t xml:space="preserve"> Māori</w:t>
      </w:r>
      <w:r w:rsidR="00996928" w:rsidRPr="004A0212">
        <w:t xml:space="preserve"> (the Māori world)</w:t>
      </w:r>
      <w:r w:rsidRPr="004A0212">
        <w:t>.</w:t>
      </w:r>
      <w:r w:rsidRPr="004A0212">
        <w:rPr>
          <w:rStyle w:val="StyleFootnoteReferenceFagoFunotenzeichenFagoFunotenzeichen"/>
        </w:rPr>
        <w:footnoteReference w:id="13"/>
      </w:r>
      <w:r w:rsidRPr="004A0212">
        <w:t xml:space="preserve"> For example</w:t>
      </w:r>
      <w:r w:rsidR="00EA5423" w:rsidRPr="004A0212">
        <w:t>,</w:t>
      </w:r>
      <w:r w:rsidRPr="004A0212">
        <w:t xml:space="preserve"> Māori oral histories suggest that being </w:t>
      </w:r>
      <w:proofErr w:type="spellStart"/>
      <w:r w:rsidRPr="004A0212">
        <w:t>kāpō</w:t>
      </w:r>
      <w:proofErr w:type="spellEnd"/>
      <w:r w:rsidRPr="004A0212">
        <w:t xml:space="preserve"> (blind) was seen not as a disability but a source of greatness or special power to be shared with their hapū.</w:t>
      </w:r>
      <w:r w:rsidRPr="004A0212">
        <w:rPr>
          <w:rStyle w:val="StyleFootnoteReferenceFagoFunotenzeichenFagoFunotenzeichen"/>
        </w:rPr>
        <w:footnoteReference w:id="14"/>
      </w:r>
      <w:r w:rsidR="00982907" w:rsidRPr="004A0212">
        <w:t xml:space="preserve"> </w:t>
      </w:r>
      <w:r w:rsidR="000A0431" w:rsidRPr="004A0212">
        <w:t xml:space="preserve">There is limited evidence about attitudes to disability and </w:t>
      </w:r>
      <w:r w:rsidR="5FDDE97D" w:rsidRPr="004A0212">
        <w:t>D</w:t>
      </w:r>
      <w:r w:rsidR="000A0431" w:rsidRPr="004A0212">
        <w:t xml:space="preserve">eafness in </w:t>
      </w:r>
      <w:proofErr w:type="spellStart"/>
      <w:r w:rsidR="00EA433A" w:rsidRPr="004A0212">
        <w:t>te</w:t>
      </w:r>
      <w:proofErr w:type="spellEnd"/>
      <w:r w:rsidR="00EA433A" w:rsidRPr="004A0212">
        <w:t xml:space="preserve"> </w:t>
      </w:r>
      <w:proofErr w:type="spellStart"/>
      <w:r w:rsidR="00EA433A" w:rsidRPr="004A0212">
        <w:t>ao</w:t>
      </w:r>
      <w:proofErr w:type="spellEnd"/>
      <w:r w:rsidR="00EA433A" w:rsidRPr="004A0212">
        <w:t xml:space="preserve"> </w:t>
      </w:r>
      <w:proofErr w:type="spellStart"/>
      <w:r w:rsidR="00EA433A" w:rsidRPr="004A0212">
        <w:t>tawhito</w:t>
      </w:r>
      <w:proofErr w:type="spellEnd"/>
      <w:r w:rsidR="00EA433A" w:rsidRPr="004A0212">
        <w:t xml:space="preserve"> </w:t>
      </w:r>
      <w:r w:rsidR="000A0431" w:rsidRPr="004A0212">
        <w:t xml:space="preserve">(the </w:t>
      </w:r>
      <w:r w:rsidR="00EA433A" w:rsidRPr="004A0212">
        <w:t xml:space="preserve">ancient </w:t>
      </w:r>
      <w:r w:rsidR="000A0431" w:rsidRPr="004A0212">
        <w:t>Māori world)</w:t>
      </w:r>
      <w:r w:rsidR="009E5B90" w:rsidRPr="004A0212">
        <w:t>.</w:t>
      </w:r>
      <w:r w:rsidR="000A0431" w:rsidRPr="004A0212">
        <w:rPr>
          <w:rStyle w:val="StyleFootnoteReferenceFagoFunotenzeichenFagoFunotenzeichen"/>
        </w:rPr>
        <w:footnoteReference w:id="15"/>
      </w:r>
      <w:r w:rsidR="000A0431" w:rsidRPr="004A0212">
        <w:t xml:space="preserve"> </w:t>
      </w:r>
      <w:r w:rsidR="00FE61FE" w:rsidRPr="004A0212">
        <w:t>Tāngata</w:t>
      </w:r>
      <w:r w:rsidR="000A0431" w:rsidRPr="004A0212">
        <w:t xml:space="preserve"> Turi likely experienced limited but functional participation in Māori society pre-colonisation.</w:t>
      </w:r>
    </w:p>
    <w:p w14:paraId="3CCC7995" w14:textId="4B31D233" w:rsidR="000A0431" w:rsidRPr="004A0212" w:rsidRDefault="00982907" w:rsidP="007D73A6">
      <w:pPr>
        <w:pStyle w:val="AllNumbparas"/>
      </w:pPr>
      <w:r w:rsidRPr="004A0212">
        <w:t>The arrival of European missionaries and settlers disrupted Māori systems of health and wellbeing.</w:t>
      </w:r>
      <w:r w:rsidRPr="004A0212">
        <w:rPr>
          <w:rStyle w:val="StyleFootnoteReferenceFagoFunotenzeichenFagoFunotenzeichen"/>
        </w:rPr>
        <w:footnoteReference w:id="16"/>
      </w:r>
      <w:r w:rsidRPr="004A0212">
        <w:t xml:space="preserve"> </w:t>
      </w:r>
    </w:p>
    <w:p w14:paraId="42B14DF7" w14:textId="77777777" w:rsidR="005A0B70" w:rsidRPr="004A0212" w:rsidRDefault="0A4AABC7" w:rsidP="00275C3E">
      <w:pPr>
        <w:pStyle w:val="Heading3"/>
        <w:rPr>
          <w:rFonts w:cs="Arial"/>
        </w:rPr>
      </w:pPr>
      <w:bookmarkStart w:id="41" w:name="_Toc161318951"/>
      <w:bookmarkStart w:id="42" w:name="_Toc168638880"/>
      <w:bookmarkStart w:id="43" w:name="_Toc150933075"/>
      <w:bookmarkStart w:id="44" w:name="_Toc150953392"/>
      <w:proofErr w:type="spellStart"/>
      <w:r w:rsidRPr="004A0212">
        <w:rPr>
          <w:rFonts w:cs="Arial"/>
        </w:rPr>
        <w:t>Ngā</w:t>
      </w:r>
      <w:proofErr w:type="spellEnd"/>
      <w:r w:rsidRPr="004A0212">
        <w:rPr>
          <w:rFonts w:cs="Arial"/>
        </w:rPr>
        <w:t xml:space="preserve"> </w:t>
      </w:r>
      <w:proofErr w:type="spellStart"/>
      <w:r w:rsidRPr="004A0212">
        <w:rPr>
          <w:rFonts w:cs="Arial"/>
        </w:rPr>
        <w:t>waiaro</w:t>
      </w:r>
      <w:proofErr w:type="spellEnd"/>
      <w:r w:rsidRPr="004A0212">
        <w:rPr>
          <w:rFonts w:cs="Arial"/>
        </w:rPr>
        <w:t xml:space="preserve"> o </w:t>
      </w:r>
      <w:proofErr w:type="spellStart"/>
      <w:r w:rsidRPr="004A0212">
        <w:rPr>
          <w:rFonts w:cs="Arial"/>
        </w:rPr>
        <w:t>te</w:t>
      </w:r>
      <w:proofErr w:type="spellEnd"/>
      <w:r w:rsidRPr="004A0212">
        <w:rPr>
          <w:rFonts w:cs="Arial"/>
        </w:rPr>
        <w:t xml:space="preserve"> Māori ki </w:t>
      </w:r>
      <w:proofErr w:type="spellStart"/>
      <w:r w:rsidRPr="004A0212">
        <w:rPr>
          <w:rFonts w:cs="Arial"/>
        </w:rPr>
        <w:t>te</w:t>
      </w:r>
      <w:proofErr w:type="spellEnd"/>
      <w:r w:rsidRPr="004A0212">
        <w:rPr>
          <w:rFonts w:cs="Arial"/>
        </w:rPr>
        <w:t xml:space="preserve"> </w:t>
      </w:r>
      <w:proofErr w:type="spellStart"/>
      <w:r w:rsidRPr="004A0212">
        <w:rPr>
          <w:rFonts w:cs="Arial"/>
        </w:rPr>
        <w:t>iatanga</w:t>
      </w:r>
      <w:proofErr w:type="spellEnd"/>
      <w:r w:rsidRPr="004A0212">
        <w:rPr>
          <w:rFonts w:cs="Arial"/>
        </w:rPr>
        <w:t xml:space="preserve"> me </w:t>
      </w:r>
      <w:proofErr w:type="spellStart"/>
      <w:r w:rsidRPr="004A0212">
        <w:rPr>
          <w:rFonts w:cs="Arial"/>
        </w:rPr>
        <w:t>te</w:t>
      </w:r>
      <w:proofErr w:type="spellEnd"/>
      <w:r w:rsidRPr="004A0212">
        <w:rPr>
          <w:rFonts w:cs="Arial"/>
        </w:rPr>
        <w:t xml:space="preserve"> </w:t>
      </w:r>
      <w:proofErr w:type="spellStart"/>
      <w:r w:rsidRPr="004A0212">
        <w:rPr>
          <w:rFonts w:cs="Arial"/>
        </w:rPr>
        <w:t>hemahematanga</w:t>
      </w:r>
      <w:bookmarkEnd w:id="41"/>
      <w:bookmarkEnd w:id="42"/>
      <w:proofErr w:type="spellEnd"/>
      <w:r w:rsidR="33235140" w:rsidRPr="004A0212">
        <w:rPr>
          <w:rFonts w:cs="Arial"/>
        </w:rPr>
        <w:t xml:space="preserve"> </w:t>
      </w:r>
    </w:p>
    <w:p w14:paraId="1AFA7C0A" w14:textId="3B33863B" w:rsidR="00275C3E" w:rsidRPr="004A0212" w:rsidRDefault="466A3634" w:rsidP="00275C3E">
      <w:pPr>
        <w:pStyle w:val="Heading3"/>
        <w:rPr>
          <w:rFonts w:cs="Arial"/>
        </w:rPr>
      </w:pPr>
      <w:bookmarkStart w:id="45" w:name="_Toc973359718"/>
      <w:bookmarkStart w:id="46" w:name="_Toc168638881"/>
      <w:r w:rsidRPr="004A0212">
        <w:rPr>
          <w:rFonts w:cs="Arial"/>
        </w:rPr>
        <w:t>Māori attitudes towards g</w:t>
      </w:r>
      <w:r w:rsidR="569242DA" w:rsidRPr="004A0212">
        <w:rPr>
          <w:rFonts w:cs="Arial"/>
        </w:rPr>
        <w:t>ender and sexuality</w:t>
      </w:r>
      <w:bookmarkEnd w:id="43"/>
      <w:bookmarkEnd w:id="44"/>
      <w:bookmarkEnd w:id="45"/>
      <w:bookmarkEnd w:id="46"/>
    </w:p>
    <w:p w14:paraId="167545C8" w14:textId="10A55DB6" w:rsidR="00275C3E" w:rsidRPr="004A0212" w:rsidRDefault="001933EB" w:rsidP="007D73A6">
      <w:pPr>
        <w:pStyle w:val="AllNumbparas"/>
      </w:pPr>
      <w:r w:rsidRPr="004A0212">
        <w:t xml:space="preserve">Before </w:t>
      </w:r>
      <w:r w:rsidR="00275C3E" w:rsidRPr="004A0212">
        <w:t>colonisation, both Māori men and women were regarded as essential parts of the collective whole, with evidence of fluid conceptions of gender and sexuality in pre-colonial Māori society.</w:t>
      </w:r>
      <w:r w:rsidR="00275C3E" w:rsidRPr="004A0212">
        <w:rPr>
          <w:rStyle w:val="StyleFootnoteReferenceFagoFunotenzeichenFagoFunotenzeichen"/>
        </w:rPr>
        <w:footnoteReference w:id="17"/>
      </w:r>
      <w:r w:rsidR="00672049" w:rsidRPr="004A0212">
        <w:t xml:space="preserve"> </w:t>
      </w:r>
    </w:p>
    <w:p w14:paraId="04D7F086" w14:textId="062B6159" w:rsidR="00C73B37" w:rsidRPr="004A0212" w:rsidRDefault="00577119" w:rsidP="00577119">
      <w:pPr>
        <w:pStyle w:val="AllNumbparas"/>
      </w:pPr>
      <w:r w:rsidRPr="004A0212">
        <w:t>Ancestral names could be gender neutral, emphasising the importance of whakapapa rather than gender. Sex</w:t>
      </w:r>
      <w:r w:rsidR="00E374B9" w:rsidRPr="004A0212">
        <w:t xml:space="preserve">ual </w:t>
      </w:r>
      <w:r w:rsidR="00605D7D" w:rsidRPr="004A0212">
        <w:t>expression</w:t>
      </w:r>
      <w:r w:rsidRPr="004A0212">
        <w:t xml:space="preserve"> was integrated into various aspects of life, both spiritual and social, and was regularly discussed and depicted in carvings.  Additionally, </w:t>
      </w:r>
      <w:r w:rsidR="00FF1279" w:rsidRPr="004A0212">
        <w:t>relationships</w:t>
      </w:r>
      <w:r w:rsidR="00447E3F" w:rsidRPr="004A0212">
        <w:t xml:space="preserve"> of a sexual nature </w:t>
      </w:r>
      <w:r w:rsidRPr="004A0212">
        <w:t xml:space="preserve">served </w:t>
      </w:r>
      <w:proofErr w:type="gramStart"/>
      <w:r w:rsidRPr="004A0212">
        <w:t>as a means to</w:t>
      </w:r>
      <w:proofErr w:type="gramEnd"/>
      <w:r w:rsidRPr="004A0212">
        <w:t xml:space="preserve"> strengthen and forge alliances and relationships.</w:t>
      </w:r>
      <w:r w:rsidR="00FE5E82" w:rsidRPr="004A0212">
        <w:rPr>
          <w:rStyle w:val="StyleFootnoteReferenceFagoFunotenzeichenFagoFunotenzeichen"/>
        </w:rPr>
        <w:footnoteReference w:id="18"/>
      </w:r>
    </w:p>
    <w:p w14:paraId="1115EA9D" w14:textId="77777777" w:rsidR="005A0B70" w:rsidRPr="004A0212" w:rsidRDefault="7E1F38AB" w:rsidP="00314268">
      <w:pPr>
        <w:pStyle w:val="Heading2"/>
        <w:rPr>
          <w:rFonts w:cs="Arial"/>
        </w:rPr>
      </w:pPr>
      <w:bookmarkStart w:id="47" w:name="_Toc702224245"/>
      <w:bookmarkStart w:id="48" w:name="_Toc168638882"/>
      <w:bookmarkStart w:id="49" w:name="_Toc150933076"/>
      <w:bookmarkStart w:id="50" w:name="_Toc150953393"/>
      <w:proofErr w:type="spellStart"/>
      <w:r w:rsidRPr="004A0212">
        <w:rPr>
          <w:rFonts w:cs="Arial"/>
        </w:rPr>
        <w:t>Ngā</w:t>
      </w:r>
      <w:proofErr w:type="spellEnd"/>
      <w:r w:rsidRPr="004A0212">
        <w:rPr>
          <w:rFonts w:cs="Arial"/>
        </w:rPr>
        <w:t xml:space="preserve"> </w:t>
      </w:r>
      <w:proofErr w:type="spellStart"/>
      <w:r w:rsidRPr="004A0212">
        <w:rPr>
          <w:rFonts w:cs="Arial"/>
        </w:rPr>
        <w:t>waiaro</w:t>
      </w:r>
      <w:proofErr w:type="spellEnd"/>
      <w:r w:rsidRPr="004A0212">
        <w:rPr>
          <w:rFonts w:cs="Arial"/>
        </w:rPr>
        <w:t xml:space="preserve"> o </w:t>
      </w:r>
      <w:proofErr w:type="spellStart"/>
      <w:r w:rsidRPr="004A0212">
        <w:rPr>
          <w:rFonts w:cs="Arial"/>
        </w:rPr>
        <w:t>ngā</w:t>
      </w:r>
      <w:proofErr w:type="spellEnd"/>
      <w:r w:rsidRPr="004A0212">
        <w:rPr>
          <w:rFonts w:cs="Arial"/>
        </w:rPr>
        <w:t xml:space="preserve"> iwi Pasifika ki </w:t>
      </w:r>
      <w:proofErr w:type="spellStart"/>
      <w:r w:rsidRPr="004A0212">
        <w:rPr>
          <w:rFonts w:cs="Arial"/>
        </w:rPr>
        <w:t>te</w:t>
      </w:r>
      <w:proofErr w:type="spellEnd"/>
      <w:r w:rsidRPr="004A0212">
        <w:rPr>
          <w:rFonts w:cs="Arial"/>
        </w:rPr>
        <w:t xml:space="preserve"> </w:t>
      </w:r>
      <w:proofErr w:type="spellStart"/>
      <w:r w:rsidRPr="004A0212">
        <w:rPr>
          <w:rFonts w:cs="Arial"/>
        </w:rPr>
        <w:t>taurimatanga</w:t>
      </w:r>
      <w:bookmarkEnd w:id="47"/>
      <w:bookmarkEnd w:id="48"/>
      <w:proofErr w:type="spellEnd"/>
      <w:r w:rsidRPr="004A0212">
        <w:rPr>
          <w:rFonts w:cs="Arial"/>
        </w:rPr>
        <w:t xml:space="preserve"> </w:t>
      </w:r>
    </w:p>
    <w:p w14:paraId="250E1C20" w14:textId="0AE86922" w:rsidR="00314268" w:rsidRPr="004A0212" w:rsidRDefault="2F258F3E" w:rsidP="00314268">
      <w:pPr>
        <w:pStyle w:val="Heading2"/>
        <w:rPr>
          <w:rFonts w:cs="Arial"/>
        </w:rPr>
      </w:pPr>
      <w:bookmarkStart w:id="51" w:name="_Toc1061099671"/>
      <w:bookmarkStart w:id="52" w:name="_Toc168638883"/>
      <w:r w:rsidRPr="004A0212">
        <w:rPr>
          <w:rFonts w:cs="Arial"/>
        </w:rPr>
        <w:t xml:space="preserve">Pacific </w:t>
      </w:r>
      <w:r w:rsidR="20D63951" w:rsidRPr="004A0212">
        <w:rPr>
          <w:rFonts w:cs="Arial"/>
        </w:rPr>
        <w:t>P</w:t>
      </w:r>
      <w:r w:rsidR="52B73637" w:rsidRPr="004A0212">
        <w:rPr>
          <w:rFonts w:cs="Arial"/>
        </w:rPr>
        <w:t>eoples</w:t>
      </w:r>
      <w:r w:rsidR="0E77A80E" w:rsidRPr="004A0212">
        <w:rPr>
          <w:rFonts w:cs="Arial"/>
        </w:rPr>
        <w:t xml:space="preserve">’ </w:t>
      </w:r>
      <w:r w:rsidRPr="004A0212">
        <w:rPr>
          <w:rFonts w:cs="Arial"/>
        </w:rPr>
        <w:t>attitudes</w:t>
      </w:r>
      <w:r w:rsidR="0E77A80E" w:rsidRPr="004A0212">
        <w:rPr>
          <w:rFonts w:cs="Arial"/>
        </w:rPr>
        <w:t xml:space="preserve"> to care</w:t>
      </w:r>
      <w:bookmarkEnd w:id="49"/>
      <w:bookmarkEnd w:id="50"/>
      <w:bookmarkEnd w:id="51"/>
      <w:bookmarkEnd w:id="52"/>
    </w:p>
    <w:p w14:paraId="69D6EE7A" w14:textId="17E4C2FD" w:rsidR="006B2D9B" w:rsidRPr="004A0212" w:rsidRDefault="1430FA5B" w:rsidP="00314268">
      <w:pPr>
        <w:pStyle w:val="Heading3"/>
      </w:pPr>
      <w:bookmarkStart w:id="53" w:name="_Toc168638884"/>
      <w:bookmarkStart w:id="54" w:name="_Toc118315230"/>
      <w:bookmarkStart w:id="55" w:name="_Toc120716288"/>
      <w:bookmarkStart w:id="56" w:name="_Toc147935395"/>
      <w:bookmarkStart w:id="57" w:name="_Toc148443576"/>
      <w:bookmarkStart w:id="58" w:name="_Toc150933078"/>
      <w:bookmarkStart w:id="59" w:name="_Toc150953395"/>
      <w:bookmarkStart w:id="60" w:name="_Toc164252021"/>
      <w:bookmarkStart w:id="61" w:name="_Toc117001328"/>
      <w:proofErr w:type="spellStart"/>
      <w:r w:rsidRPr="004A0212">
        <w:t>Ngā</w:t>
      </w:r>
      <w:proofErr w:type="spellEnd"/>
      <w:r w:rsidRPr="004A0212">
        <w:t xml:space="preserve"> tikanga</w:t>
      </w:r>
      <w:r w:rsidR="0050111E" w:rsidRPr="004A0212">
        <w:t xml:space="preserve"> </w:t>
      </w:r>
      <w:r w:rsidR="0050111E" w:rsidRPr="000C0692">
        <w:t xml:space="preserve">o </w:t>
      </w:r>
      <w:proofErr w:type="spellStart"/>
      <w:r w:rsidR="0050111E" w:rsidRPr="000C0692">
        <w:t>ngā</w:t>
      </w:r>
      <w:proofErr w:type="spellEnd"/>
      <w:r w:rsidR="00976E84" w:rsidRPr="000C0692">
        <w:t xml:space="preserve"> iwi </w:t>
      </w:r>
      <w:proofErr w:type="spellStart"/>
      <w:r w:rsidR="00976E84" w:rsidRPr="000C0692">
        <w:t>Paskifika</w:t>
      </w:r>
      <w:proofErr w:type="spellEnd"/>
      <w:r w:rsidR="00976E84" w:rsidRPr="000C0692">
        <w:t xml:space="preserve"> ki </w:t>
      </w:r>
      <w:proofErr w:type="spellStart"/>
      <w:r w:rsidR="00976E84" w:rsidRPr="000C0692">
        <w:t>te</w:t>
      </w:r>
      <w:proofErr w:type="spellEnd"/>
      <w:r w:rsidRPr="004A0212">
        <w:t xml:space="preserve"> </w:t>
      </w:r>
      <w:proofErr w:type="spellStart"/>
      <w:r w:rsidRPr="004A0212">
        <w:t>whakatipu</w:t>
      </w:r>
      <w:proofErr w:type="spellEnd"/>
      <w:r w:rsidRPr="004A0212">
        <w:t xml:space="preserve"> tamariki</w:t>
      </w:r>
      <w:bookmarkEnd w:id="53"/>
      <w:r w:rsidRPr="004A0212">
        <w:t xml:space="preserve"> </w:t>
      </w:r>
      <w:r w:rsidR="29986A30" w:rsidRPr="004A0212">
        <w:t xml:space="preserve"> </w:t>
      </w:r>
    </w:p>
    <w:p w14:paraId="173B923D" w14:textId="28769FA3" w:rsidR="00314268" w:rsidRPr="004A0212" w:rsidRDefault="17E717F5" w:rsidP="00314268">
      <w:pPr>
        <w:pStyle w:val="Heading3"/>
        <w:rPr>
          <w:rFonts w:cs="Arial"/>
        </w:rPr>
      </w:pPr>
      <w:bookmarkStart w:id="62" w:name="_Toc168638885"/>
      <w:r w:rsidRPr="004A0212">
        <w:rPr>
          <w:rFonts w:cs="Arial"/>
        </w:rPr>
        <w:t>Pacific</w:t>
      </w:r>
      <w:bookmarkEnd w:id="54"/>
      <w:bookmarkEnd w:id="55"/>
      <w:bookmarkEnd w:id="56"/>
      <w:bookmarkEnd w:id="57"/>
      <w:bookmarkEnd w:id="58"/>
      <w:bookmarkEnd w:id="59"/>
      <w:r w:rsidRPr="004A0212">
        <w:rPr>
          <w:rFonts w:cs="Arial"/>
        </w:rPr>
        <w:t xml:space="preserve"> models of parenting</w:t>
      </w:r>
      <w:bookmarkEnd w:id="60"/>
      <w:bookmarkEnd w:id="62"/>
    </w:p>
    <w:p w14:paraId="6365ECF3" w14:textId="2FB7286A" w:rsidR="00314268" w:rsidRPr="004A0212" w:rsidRDefault="002B2CF0" w:rsidP="007D73A6">
      <w:pPr>
        <w:pStyle w:val="AllNumbparas"/>
      </w:pPr>
      <w:r w:rsidRPr="004A0212">
        <w:t>Pacific cultures</w:t>
      </w:r>
      <w:r w:rsidR="00314268" w:rsidRPr="004A0212">
        <w:t xml:space="preserve"> treated infants with attention and understanding. Raising children was a collective effort. “Parents are fairly remote figures to young children, and they are not necessarily the ultimate authority figures; older members of the household may be.”</w:t>
      </w:r>
      <w:r w:rsidR="00314268" w:rsidRPr="004A0212">
        <w:rPr>
          <w:rStyle w:val="StyleFootnoteReferenceFagoFunotenzeichenFagoFunotenzeichen"/>
        </w:rPr>
        <w:footnoteReference w:id="19"/>
      </w:r>
      <w:r w:rsidR="00314268" w:rsidRPr="004A0212">
        <w:t xml:space="preserve"> This included older siblings who could play a significant role in raising children.</w:t>
      </w:r>
      <w:r w:rsidR="00314268" w:rsidRPr="004A0212">
        <w:rPr>
          <w:rStyle w:val="StyleFootnoteReferenceFagoFunotenzeichenFagoFunotenzeichen"/>
        </w:rPr>
        <w:footnoteReference w:id="20"/>
      </w:r>
      <w:r w:rsidR="00314268" w:rsidRPr="004A0212">
        <w:t xml:space="preserve"> </w:t>
      </w:r>
    </w:p>
    <w:p w14:paraId="5840085B" w14:textId="200CC048" w:rsidR="00314268" w:rsidRPr="004A0212" w:rsidRDefault="00314268" w:rsidP="007D73A6">
      <w:pPr>
        <w:pStyle w:val="AllNumbparas"/>
      </w:pPr>
      <w:r w:rsidRPr="004A0212">
        <w:t xml:space="preserve">Children were expected to learn their place in the family and in the community. They </w:t>
      </w:r>
      <w:r w:rsidR="00F44E35" w:rsidRPr="004A0212">
        <w:t>learned</w:t>
      </w:r>
      <w:r w:rsidRPr="004A0212">
        <w:t xml:space="preserve"> through observing and listening to others. Through this learning, children would mature to “assume responsibility” and to be contributors to the collective.</w:t>
      </w:r>
      <w:r w:rsidRPr="004A0212">
        <w:rPr>
          <w:rStyle w:val="StyleFootnoteReferenceFagoFunotenzeichenFagoFunotenzeichen"/>
        </w:rPr>
        <w:footnoteReference w:id="21"/>
      </w:r>
      <w:r w:rsidRPr="004A0212">
        <w:rPr>
          <w:vertAlign w:val="superscript"/>
        </w:rPr>
        <w:t xml:space="preserve"> </w:t>
      </w:r>
      <w:r w:rsidRPr="004A0212">
        <w:t>Part of this responsibility was learning the importance of service</w:t>
      </w:r>
      <w:r w:rsidR="001933EB" w:rsidRPr="004A0212">
        <w:t>, and it was “</w:t>
      </w:r>
      <w:r w:rsidRPr="004A0212">
        <w:t>widely understood that one’s existence is to honour, serve and protect their family.”</w:t>
      </w:r>
      <w:r w:rsidRPr="004A0212">
        <w:rPr>
          <w:rStyle w:val="StyleFootnoteReferenceFagoFunotenzeichenFagoFunotenzeichen"/>
        </w:rPr>
        <w:footnoteReference w:id="22"/>
      </w:r>
      <w:r w:rsidRPr="004A0212">
        <w:rPr>
          <w:vertAlign w:val="superscript"/>
        </w:rPr>
        <w:t xml:space="preserve"> </w:t>
      </w:r>
    </w:p>
    <w:p w14:paraId="188180E5" w14:textId="77777777" w:rsidR="0064688A" w:rsidRDefault="0064688A">
      <w:pPr>
        <w:keepLines w:val="0"/>
        <w:rPr>
          <w:rFonts w:ascii="Arial" w:hAnsi="Arial" w:cs="Arial"/>
          <w:color w:val="3B5D1E" w:themeColor="accent4" w:themeShade="BF"/>
          <w:szCs w:val="26"/>
          <w:lang w:eastAsia="en-NZ"/>
        </w:rPr>
      </w:pPr>
      <w:bookmarkStart w:id="64" w:name="_Toc479155240"/>
      <w:bookmarkStart w:id="65" w:name="_Toc118315231"/>
      <w:bookmarkStart w:id="66" w:name="_Toc120716289"/>
      <w:bookmarkStart w:id="67" w:name="_Toc147935418"/>
      <w:bookmarkStart w:id="68" w:name="_Toc148443602"/>
      <w:bookmarkStart w:id="69" w:name="_Toc150933079"/>
      <w:bookmarkStart w:id="70" w:name="_Toc150953396"/>
      <w:bookmarkEnd w:id="61"/>
      <w:r>
        <w:rPr>
          <w:rFonts w:cs="Arial"/>
        </w:rPr>
        <w:br w:type="page"/>
      </w:r>
    </w:p>
    <w:p w14:paraId="257D6427" w14:textId="4DE9AC3D" w:rsidR="005A0B70" w:rsidRPr="004A0212" w:rsidRDefault="5E0491D2" w:rsidP="00EC3886">
      <w:pPr>
        <w:pStyle w:val="Heading3"/>
        <w:rPr>
          <w:rFonts w:cs="Arial"/>
        </w:rPr>
      </w:pPr>
      <w:bookmarkStart w:id="71" w:name="_Toc168638886"/>
      <w:proofErr w:type="spellStart"/>
      <w:r w:rsidRPr="004A0212">
        <w:rPr>
          <w:rFonts w:cs="Arial"/>
        </w:rPr>
        <w:t>Ngā</w:t>
      </w:r>
      <w:proofErr w:type="spellEnd"/>
      <w:r w:rsidRPr="004A0212">
        <w:rPr>
          <w:rFonts w:cs="Arial"/>
        </w:rPr>
        <w:t xml:space="preserve"> </w:t>
      </w:r>
      <w:proofErr w:type="spellStart"/>
      <w:r w:rsidR="00476D70" w:rsidRPr="000C0692">
        <w:rPr>
          <w:rFonts w:cs="Arial"/>
        </w:rPr>
        <w:t>waiaor</w:t>
      </w:r>
      <w:proofErr w:type="spellEnd"/>
      <w:r w:rsidR="00476D70" w:rsidRPr="000C0692">
        <w:rPr>
          <w:rFonts w:cs="Arial"/>
        </w:rPr>
        <w:t xml:space="preserve"> me </w:t>
      </w:r>
      <w:proofErr w:type="spellStart"/>
      <w:r w:rsidR="00476D70" w:rsidRPr="000C0692">
        <w:rPr>
          <w:rFonts w:cs="Arial"/>
        </w:rPr>
        <w:t>ngā</w:t>
      </w:r>
      <w:proofErr w:type="spellEnd"/>
      <w:r w:rsidR="00476D70" w:rsidRPr="004A0212">
        <w:rPr>
          <w:rFonts w:cs="Arial"/>
        </w:rPr>
        <w:t xml:space="preserve"> </w:t>
      </w:r>
      <w:proofErr w:type="spellStart"/>
      <w:r w:rsidRPr="004A0212">
        <w:rPr>
          <w:rFonts w:cs="Arial"/>
        </w:rPr>
        <w:t>rautaki</w:t>
      </w:r>
      <w:proofErr w:type="spellEnd"/>
      <w:r w:rsidRPr="004A0212">
        <w:rPr>
          <w:rFonts w:cs="Arial"/>
        </w:rPr>
        <w:t xml:space="preserve"> o </w:t>
      </w:r>
      <w:proofErr w:type="spellStart"/>
      <w:r w:rsidRPr="004A0212">
        <w:rPr>
          <w:rFonts w:cs="Arial"/>
        </w:rPr>
        <w:t>ngā</w:t>
      </w:r>
      <w:proofErr w:type="spellEnd"/>
      <w:r w:rsidRPr="004A0212">
        <w:rPr>
          <w:rFonts w:cs="Arial"/>
        </w:rPr>
        <w:t xml:space="preserve"> iwi Pasifika ki </w:t>
      </w:r>
      <w:proofErr w:type="spellStart"/>
      <w:r w:rsidRPr="004A0212">
        <w:rPr>
          <w:rFonts w:cs="Arial"/>
        </w:rPr>
        <w:t>te</w:t>
      </w:r>
      <w:proofErr w:type="spellEnd"/>
      <w:r w:rsidRPr="004A0212">
        <w:rPr>
          <w:rFonts w:cs="Arial"/>
        </w:rPr>
        <w:t xml:space="preserve"> </w:t>
      </w:r>
      <w:proofErr w:type="spellStart"/>
      <w:r w:rsidRPr="004A0212">
        <w:rPr>
          <w:rFonts w:cs="Arial"/>
        </w:rPr>
        <w:t>hauora</w:t>
      </w:r>
      <w:proofErr w:type="spellEnd"/>
      <w:r w:rsidRPr="004A0212">
        <w:rPr>
          <w:rFonts w:cs="Arial"/>
        </w:rPr>
        <w:t xml:space="preserve"> me </w:t>
      </w:r>
      <w:proofErr w:type="spellStart"/>
      <w:r w:rsidRPr="004A0212">
        <w:rPr>
          <w:rFonts w:cs="Arial"/>
        </w:rPr>
        <w:t>te</w:t>
      </w:r>
      <w:proofErr w:type="spellEnd"/>
      <w:r w:rsidRPr="004A0212">
        <w:rPr>
          <w:rFonts w:cs="Arial"/>
        </w:rPr>
        <w:t xml:space="preserve"> whaikaha</w:t>
      </w:r>
      <w:bookmarkEnd w:id="64"/>
      <w:bookmarkEnd w:id="71"/>
      <w:r w:rsidR="7EEEC65C" w:rsidRPr="004A0212">
        <w:rPr>
          <w:rFonts w:cs="Arial"/>
        </w:rPr>
        <w:t xml:space="preserve"> </w:t>
      </w:r>
    </w:p>
    <w:p w14:paraId="77E091EA" w14:textId="2CBE8EEA" w:rsidR="0071560A" w:rsidRPr="004A0212" w:rsidRDefault="18885F86" w:rsidP="00EC3886">
      <w:pPr>
        <w:pStyle w:val="Heading3"/>
        <w:rPr>
          <w:rFonts w:cs="Arial"/>
        </w:rPr>
      </w:pPr>
      <w:bookmarkStart w:id="72" w:name="_Toc336456940"/>
      <w:bookmarkStart w:id="73" w:name="_Toc168638887"/>
      <w:r w:rsidRPr="004A0212">
        <w:rPr>
          <w:rFonts w:cs="Arial"/>
        </w:rPr>
        <w:t xml:space="preserve">Pacific </w:t>
      </w:r>
      <w:r w:rsidR="5C9EB37E" w:rsidRPr="004A0212">
        <w:rPr>
          <w:rFonts w:cs="Arial"/>
        </w:rPr>
        <w:t>P</w:t>
      </w:r>
      <w:r w:rsidR="52B73637" w:rsidRPr="004A0212">
        <w:rPr>
          <w:rFonts w:cs="Arial"/>
        </w:rPr>
        <w:t>eoples</w:t>
      </w:r>
      <w:r w:rsidRPr="004A0212">
        <w:rPr>
          <w:rFonts w:cs="Arial"/>
        </w:rPr>
        <w:t>’ approaches to health and disability</w:t>
      </w:r>
      <w:bookmarkEnd w:id="65"/>
      <w:bookmarkEnd w:id="66"/>
      <w:bookmarkEnd w:id="67"/>
      <w:bookmarkEnd w:id="68"/>
      <w:bookmarkEnd w:id="69"/>
      <w:bookmarkEnd w:id="70"/>
      <w:bookmarkEnd w:id="72"/>
      <w:bookmarkEnd w:id="73"/>
    </w:p>
    <w:p w14:paraId="7D4AAAF3" w14:textId="649606B4" w:rsidR="0071560A" w:rsidRPr="004A0212" w:rsidRDefault="001933EB" w:rsidP="007D73A6">
      <w:pPr>
        <w:pStyle w:val="AllNumbparas"/>
      </w:pPr>
      <w:r w:rsidRPr="004A0212">
        <w:t>Before</w:t>
      </w:r>
      <w:r w:rsidR="00B24A67" w:rsidRPr="004A0212">
        <w:t xml:space="preserve"> colonisation, </w:t>
      </w:r>
      <w:r w:rsidR="0071560A" w:rsidRPr="004A0212">
        <w:t xml:space="preserve">Pacific cultures did not consider mental illness to come </w:t>
      </w:r>
      <w:r w:rsidR="004800B5" w:rsidRPr="004A0212">
        <w:t>only</w:t>
      </w:r>
      <w:r w:rsidR="0071560A" w:rsidRPr="004A0212">
        <w:t xml:space="preserve"> from within a person. They viewed mental distress as </w:t>
      </w:r>
      <w:r w:rsidR="002A2B2A" w:rsidRPr="004A0212">
        <w:t>‘</w:t>
      </w:r>
      <w:r w:rsidR="0071560A" w:rsidRPr="004A0212">
        <w:t>spiritual possession</w:t>
      </w:r>
      <w:r w:rsidR="002A2B2A" w:rsidRPr="004A0212">
        <w:t>’</w:t>
      </w:r>
      <w:r w:rsidR="0071560A" w:rsidRPr="004A0212">
        <w:t xml:space="preserve"> caused by the breach of a sacred covenant between people and their gods.</w:t>
      </w:r>
      <w:r w:rsidR="0071560A" w:rsidRPr="004A0212">
        <w:rPr>
          <w:rStyle w:val="StyleFootnoteReferenceFagoFunotenzeichenFagoFunotenzeichen"/>
        </w:rPr>
        <w:footnoteReference w:id="23"/>
      </w:r>
      <w:r w:rsidR="0071560A" w:rsidRPr="004A0212">
        <w:t xml:space="preserve"> </w:t>
      </w:r>
    </w:p>
    <w:p w14:paraId="348D30AD" w14:textId="1569A6E9" w:rsidR="0071560A" w:rsidRPr="004A0212" w:rsidRDefault="0071560A" w:rsidP="007D73A6">
      <w:pPr>
        <w:pStyle w:val="AllNumbparas"/>
        <w:rPr>
          <w:rStyle w:val="normaltextrun"/>
        </w:rPr>
      </w:pPr>
      <w:r w:rsidRPr="004A0212">
        <w:t xml:space="preserve">Since colonisation and Christianity, some Pacific attitudes towards disability and mental distress have changed. Christian perspectives tended to see disability as a punishment for sin and this may have influenced Pacific </w:t>
      </w:r>
      <w:r w:rsidR="00F03452" w:rsidRPr="004A0212">
        <w:t>P</w:t>
      </w:r>
      <w:r w:rsidR="002823C7" w:rsidRPr="004A0212">
        <w:t>eoples</w:t>
      </w:r>
      <w:r w:rsidRPr="004A0212">
        <w:t>’ views towards disabled people.</w:t>
      </w:r>
      <w:r w:rsidR="003D4C43" w:rsidRPr="004A0212">
        <w:rPr>
          <w:rStyle w:val="StyleFootnoteReferenceFagoFunotenzeichenFagoFunotenzeichen"/>
        </w:rPr>
        <w:footnoteReference w:id="24"/>
      </w:r>
      <w:r w:rsidRPr="004A0212">
        <w:t xml:space="preserve"> </w:t>
      </w:r>
      <w:r w:rsidRPr="004A0212">
        <w:rPr>
          <w:rStyle w:val="normaltextrun"/>
          <w:rFonts w:eastAsia="Times New Roman"/>
        </w:rPr>
        <w:t xml:space="preserve">Pacific disabled people can face discriminatory attitudes from people within their own communities, attitudes that are based on beliefs in divine punishment, and breaches of </w:t>
      </w:r>
      <w:proofErr w:type="spellStart"/>
      <w:r w:rsidRPr="004A0212">
        <w:rPr>
          <w:rStyle w:val="normaltextrun"/>
          <w:rFonts w:eastAsia="Times New Roman"/>
        </w:rPr>
        <w:t>tapu</w:t>
      </w:r>
      <w:proofErr w:type="spellEnd"/>
      <w:r w:rsidRPr="004A0212">
        <w:rPr>
          <w:rStyle w:val="normaltextrun"/>
          <w:rFonts w:eastAsia="Times New Roman"/>
        </w:rPr>
        <w:t>.</w:t>
      </w:r>
      <w:r w:rsidRPr="004A0212">
        <w:rPr>
          <w:rStyle w:val="StyleFootnoteReferenceFagoFunotenzeichenFagoFunotenzeichen"/>
        </w:rPr>
        <w:footnoteReference w:id="25"/>
      </w:r>
      <w:r w:rsidRPr="004A0212">
        <w:rPr>
          <w:rStyle w:val="normaltextrun"/>
          <w:rFonts w:eastAsia="Times New Roman"/>
        </w:rPr>
        <w:t xml:space="preserve"> These beliefs express themselves in attitudes of cultural stigma and shame.</w:t>
      </w:r>
      <w:r w:rsidR="00AA4AB4" w:rsidRPr="004A0212">
        <w:rPr>
          <w:rStyle w:val="StyleFootnoteReferenceFagoFunotenzeichenFagoFunotenzeichen"/>
        </w:rPr>
        <w:footnoteReference w:id="26"/>
      </w:r>
    </w:p>
    <w:p w14:paraId="27913531" w14:textId="451AA936" w:rsidR="0071560A" w:rsidRPr="004A0212" w:rsidRDefault="0071560A" w:rsidP="007D73A6">
      <w:pPr>
        <w:pStyle w:val="AllNumbparas"/>
      </w:pPr>
      <w:r w:rsidRPr="004A0212">
        <w:t xml:space="preserve">Pacific </w:t>
      </w:r>
      <w:r w:rsidR="00F03452" w:rsidRPr="004A0212">
        <w:t>P</w:t>
      </w:r>
      <w:r w:rsidR="002823C7" w:rsidRPr="004A0212">
        <w:t>eoples</w:t>
      </w:r>
      <w:r w:rsidRPr="004A0212">
        <w:t xml:space="preserve"> still see mental distress and disability as not just a medical issue with a physical cause but as an inseparable part of overall </w:t>
      </w:r>
      <w:r w:rsidR="00F44E35" w:rsidRPr="004A0212">
        <w:t>well</w:t>
      </w:r>
      <w:r w:rsidRPr="004A0212">
        <w:t>being involving “body, soul and spirit”</w:t>
      </w:r>
      <w:r w:rsidR="00D92602" w:rsidRPr="004A0212">
        <w:t>.</w:t>
      </w:r>
      <w:r w:rsidRPr="004A0212">
        <w:rPr>
          <w:rStyle w:val="StyleFootnoteReferenceFagoFunotenzeichenFagoFunotenzeichen"/>
        </w:rPr>
        <w:footnoteReference w:id="27"/>
      </w:r>
      <w:r w:rsidRPr="004A0212">
        <w:t xml:space="preserve"> </w:t>
      </w:r>
    </w:p>
    <w:p w14:paraId="2F9F9889" w14:textId="77777777" w:rsidR="005A0B70" w:rsidRPr="004A0212" w:rsidRDefault="7E1F38AB" w:rsidP="00E356BC">
      <w:pPr>
        <w:pStyle w:val="Heading2"/>
        <w:rPr>
          <w:rFonts w:cs="Arial"/>
        </w:rPr>
      </w:pPr>
      <w:bookmarkStart w:id="74" w:name="_Toc1329880185"/>
      <w:bookmarkStart w:id="75" w:name="_Toc168638888"/>
      <w:bookmarkStart w:id="76" w:name="_Toc150933080"/>
      <w:bookmarkStart w:id="77" w:name="_Toc150953397"/>
      <w:proofErr w:type="spellStart"/>
      <w:r w:rsidRPr="004A0212">
        <w:rPr>
          <w:rFonts w:cs="Arial"/>
        </w:rPr>
        <w:t>Ngā</w:t>
      </w:r>
      <w:proofErr w:type="spellEnd"/>
      <w:r w:rsidRPr="004A0212">
        <w:rPr>
          <w:rFonts w:cs="Arial"/>
        </w:rPr>
        <w:t xml:space="preserve"> </w:t>
      </w:r>
      <w:proofErr w:type="spellStart"/>
      <w:r w:rsidRPr="004A0212">
        <w:rPr>
          <w:rFonts w:cs="Arial"/>
        </w:rPr>
        <w:t>waiaro</w:t>
      </w:r>
      <w:proofErr w:type="spellEnd"/>
      <w:r w:rsidRPr="004A0212">
        <w:rPr>
          <w:rFonts w:cs="Arial"/>
        </w:rPr>
        <w:t xml:space="preserve"> o </w:t>
      </w:r>
      <w:proofErr w:type="spellStart"/>
      <w:r w:rsidRPr="004A0212">
        <w:rPr>
          <w:rFonts w:cs="Arial"/>
        </w:rPr>
        <w:t>ngā</w:t>
      </w:r>
      <w:proofErr w:type="spellEnd"/>
      <w:r w:rsidRPr="004A0212">
        <w:rPr>
          <w:rFonts w:cs="Arial"/>
        </w:rPr>
        <w:t xml:space="preserve"> iwi </w:t>
      </w:r>
      <w:proofErr w:type="spellStart"/>
      <w:r w:rsidRPr="004A0212">
        <w:rPr>
          <w:rFonts w:cs="Arial"/>
        </w:rPr>
        <w:t>manene</w:t>
      </w:r>
      <w:proofErr w:type="spellEnd"/>
      <w:r w:rsidRPr="004A0212">
        <w:rPr>
          <w:rFonts w:cs="Arial"/>
        </w:rPr>
        <w:t xml:space="preserve"> ki </w:t>
      </w:r>
      <w:proofErr w:type="spellStart"/>
      <w:r w:rsidRPr="004A0212">
        <w:rPr>
          <w:rFonts w:cs="Arial"/>
        </w:rPr>
        <w:t>te</w:t>
      </w:r>
      <w:proofErr w:type="spellEnd"/>
      <w:r w:rsidRPr="004A0212">
        <w:rPr>
          <w:rFonts w:cs="Arial"/>
        </w:rPr>
        <w:t xml:space="preserve"> </w:t>
      </w:r>
      <w:proofErr w:type="spellStart"/>
      <w:r w:rsidRPr="004A0212">
        <w:rPr>
          <w:rFonts w:cs="Arial"/>
        </w:rPr>
        <w:t>taurimatanga</w:t>
      </w:r>
      <w:bookmarkEnd w:id="74"/>
      <w:bookmarkEnd w:id="75"/>
      <w:proofErr w:type="spellEnd"/>
      <w:r w:rsidRPr="004A0212">
        <w:rPr>
          <w:rFonts w:cs="Arial"/>
        </w:rPr>
        <w:t xml:space="preserve"> </w:t>
      </w:r>
    </w:p>
    <w:p w14:paraId="03CA3006" w14:textId="0DF94A2F" w:rsidR="00E356BC" w:rsidRPr="004A0212" w:rsidRDefault="2008EE31" w:rsidP="00E356BC">
      <w:pPr>
        <w:pStyle w:val="Heading2"/>
        <w:rPr>
          <w:rFonts w:cs="Arial"/>
        </w:rPr>
      </w:pPr>
      <w:bookmarkStart w:id="78" w:name="_Toc609527417"/>
      <w:bookmarkStart w:id="79" w:name="_Toc168638889"/>
      <w:r w:rsidRPr="004A0212">
        <w:rPr>
          <w:rFonts w:cs="Arial"/>
        </w:rPr>
        <w:t>Settlers</w:t>
      </w:r>
      <w:r w:rsidR="4F4409E3" w:rsidRPr="004A0212">
        <w:rPr>
          <w:rFonts w:cs="Arial"/>
        </w:rPr>
        <w:t>’</w:t>
      </w:r>
      <w:r w:rsidRPr="004A0212">
        <w:rPr>
          <w:rFonts w:cs="Arial"/>
        </w:rPr>
        <w:t xml:space="preserve"> attitudes towards care</w:t>
      </w:r>
      <w:bookmarkEnd w:id="76"/>
      <w:bookmarkEnd w:id="77"/>
      <w:bookmarkEnd w:id="78"/>
      <w:bookmarkEnd w:id="79"/>
    </w:p>
    <w:p w14:paraId="085915BD" w14:textId="772DC9E3" w:rsidR="007F684E" w:rsidRPr="004A0212" w:rsidRDefault="0099049E" w:rsidP="00057490">
      <w:pPr>
        <w:pStyle w:val="AllNumbparas"/>
      </w:pPr>
      <w:r w:rsidRPr="004A0212">
        <w:t xml:space="preserve">Europeans came to </w:t>
      </w:r>
      <w:r w:rsidR="00FF450F" w:rsidRPr="004A0212">
        <w:t xml:space="preserve">Aotearoa </w:t>
      </w:r>
      <w:r w:rsidRPr="004A0212">
        <w:t xml:space="preserve">New Zealand in four main waves in the </w:t>
      </w:r>
      <w:r w:rsidR="00FF1625" w:rsidRPr="004A0212">
        <w:t>19</w:t>
      </w:r>
      <w:r w:rsidR="00FF1625" w:rsidRPr="004A0212">
        <w:rPr>
          <w:vertAlign w:val="superscript"/>
        </w:rPr>
        <w:t>th</w:t>
      </w:r>
      <w:r w:rsidR="00FF1625" w:rsidRPr="004A0212">
        <w:t xml:space="preserve"> </w:t>
      </w:r>
      <w:r w:rsidR="00F03452" w:rsidRPr="004A0212">
        <w:t>century</w:t>
      </w:r>
      <w:r w:rsidR="00C441E2" w:rsidRPr="004A0212">
        <w:t>. Before 1840</w:t>
      </w:r>
      <w:r w:rsidR="00FF1625" w:rsidRPr="004A0212">
        <w:t>,</w:t>
      </w:r>
      <w:r w:rsidR="00C441E2" w:rsidRPr="004A0212">
        <w:t xml:space="preserve"> European settlement had consisted of small numbers of </w:t>
      </w:r>
      <w:r w:rsidR="00350545" w:rsidRPr="004A0212">
        <w:t>missionaries, whalers, traders</w:t>
      </w:r>
      <w:r w:rsidR="00C441E2" w:rsidRPr="004A0212">
        <w:t xml:space="preserve"> and some government officials.</w:t>
      </w:r>
      <w:r w:rsidR="00242492" w:rsidRPr="004A0212">
        <w:t xml:space="preserve"> </w:t>
      </w:r>
      <w:r w:rsidR="00213890" w:rsidRPr="004A0212">
        <w:t>After 1840</w:t>
      </w:r>
      <w:r w:rsidR="00B07BE1" w:rsidRPr="004A0212">
        <w:t xml:space="preserve"> there were</w:t>
      </w:r>
      <w:r w:rsidR="00213890" w:rsidRPr="004A0212">
        <w:t xml:space="preserve"> large waves of officials</w:t>
      </w:r>
      <w:r w:rsidR="007074B9" w:rsidRPr="004A0212">
        <w:t xml:space="preserve"> and colonists (land purchasers)</w:t>
      </w:r>
      <w:r w:rsidR="00213890" w:rsidRPr="004A0212">
        <w:t xml:space="preserve">, </w:t>
      </w:r>
      <w:r w:rsidR="00B4402E" w:rsidRPr="004A0212">
        <w:t>people assisted to emigrate by the New Zealand Company and its affiliates</w:t>
      </w:r>
      <w:r w:rsidR="00213890" w:rsidRPr="004A0212">
        <w:t xml:space="preserve">, imperial </w:t>
      </w:r>
      <w:r w:rsidR="007A190A" w:rsidRPr="004A0212">
        <w:t>soldiers</w:t>
      </w:r>
      <w:r w:rsidR="00213890" w:rsidRPr="004A0212">
        <w:t xml:space="preserve">, and people who came for opportunities </w:t>
      </w:r>
      <w:r w:rsidR="002E686C" w:rsidRPr="004A0212">
        <w:t>such as</w:t>
      </w:r>
      <w:r w:rsidR="00213890" w:rsidRPr="004A0212">
        <w:t xml:space="preserve"> the goldrush.</w:t>
      </w:r>
      <w:r w:rsidR="00CC3178" w:rsidRPr="004A0212">
        <w:t xml:space="preserve"> </w:t>
      </w:r>
      <w:r w:rsidR="0013661D" w:rsidRPr="004A0212">
        <w:t>In the 19</w:t>
      </w:r>
      <w:r w:rsidR="0013661D" w:rsidRPr="004A0212">
        <w:rPr>
          <w:vertAlign w:val="superscript"/>
        </w:rPr>
        <w:t>th</w:t>
      </w:r>
      <w:r w:rsidR="0013661D" w:rsidRPr="004A0212">
        <w:t xml:space="preserve"> century many people left Britain and Ireland to escape worsening economic conditions and social upheaval. </w:t>
      </w:r>
      <w:r w:rsidR="00810DB5" w:rsidRPr="004A0212">
        <w:t>Ninety percent</w:t>
      </w:r>
      <w:r w:rsidR="00CC3178" w:rsidRPr="004A0212">
        <w:t xml:space="preserve"> of the </w:t>
      </w:r>
      <w:r w:rsidR="000E694B" w:rsidRPr="004A0212">
        <w:t xml:space="preserve">500,000 or so </w:t>
      </w:r>
      <w:r w:rsidR="00CC3178" w:rsidRPr="004A0212">
        <w:t xml:space="preserve">people who came to </w:t>
      </w:r>
      <w:r w:rsidR="002823C7" w:rsidRPr="004A0212">
        <w:t xml:space="preserve">Aotearoa </w:t>
      </w:r>
      <w:r w:rsidR="00CC3178" w:rsidRPr="004A0212">
        <w:t xml:space="preserve">New Zealand </w:t>
      </w:r>
      <w:r w:rsidR="002E686C" w:rsidRPr="004A0212">
        <w:t xml:space="preserve">from </w:t>
      </w:r>
      <w:r w:rsidR="000E694B" w:rsidRPr="004A0212">
        <w:t xml:space="preserve">1840 </w:t>
      </w:r>
      <w:r w:rsidR="002E686C" w:rsidRPr="004A0212">
        <w:t xml:space="preserve">to </w:t>
      </w:r>
      <w:r w:rsidR="000E694B" w:rsidRPr="004A0212">
        <w:t xml:space="preserve">1945 were </w:t>
      </w:r>
      <w:r w:rsidR="00BE429D" w:rsidRPr="004A0212">
        <w:t>from Britain and Ireland.</w:t>
      </w:r>
      <w:r w:rsidR="00FF5715" w:rsidRPr="004A0212">
        <w:rPr>
          <w:rStyle w:val="StyleFootnoteReferenceFagoFunotenzeichenFagoFunotenzeichen"/>
        </w:rPr>
        <w:footnoteReference w:id="28"/>
      </w:r>
      <w:r w:rsidR="00C82388" w:rsidRPr="004A0212">
        <w:t xml:space="preserve"> </w:t>
      </w:r>
      <w:r w:rsidR="00057490" w:rsidRPr="004A0212">
        <w:t>They b</w:t>
      </w:r>
      <w:r w:rsidR="00F03452" w:rsidRPr="004A0212">
        <w:t>r</w:t>
      </w:r>
      <w:r w:rsidR="00057490" w:rsidRPr="004A0212">
        <w:t xml:space="preserve">ought </w:t>
      </w:r>
      <w:r w:rsidR="00F03452" w:rsidRPr="004A0212">
        <w:t>beliefs and ways of doing things</w:t>
      </w:r>
      <w:r w:rsidR="00057490" w:rsidRPr="004A0212">
        <w:t xml:space="preserve"> with them</w:t>
      </w:r>
      <w:r w:rsidR="001857A3" w:rsidRPr="004A0212">
        <w:t>, some of which influenced how care settings developed</w:t>
      </w:r>
      <w:r w:rsidR="00F03452" w:rsidRPr="004A0212">
        <w:t xml:space="preserve"> in Aotearoa New Zealand</w:t>
      </w:r>
      <w:r w:rsidR="001857A3" w:rsidRPr="004A0212">
        <w:t>.</w:t>
      </w:r>
    </w:p>
    <w:p w14:paraId="06251855" w14:textId="0CF41846" w:rsidR="005A0B70" w:rsidRPr="004A0212" w:rsidRDefault="66E8F828" w:rsidP="00057490">
      <w:pPr>
        <w:pStyle w:val="Heading3"/>
      </w:pPr>
      <w:bookmarkStart w:id="80" w:name="_Toc478312630"/>
      <w:bookmarkStart w:id="81" w:name="_Toc168638890"/>
      <w:bookmarkStart w:id="82" w:name="_Toc150953398"/>
      <w:proofErr w:type="spellStart"/>
      <w:r w:rsidRPr="004A0212">
        <w:t>Te</w:t>
      </w:r>
      <w:proofErr w:type="spellEnd"/>
      <w:r w:rsidRPr="004A0212">
        <w:t xml:space="preserve"> </w:t>
      </w:r>
      <w:proofErr w:type="spellStart"/>
      <w:r w:rsidRPr="004A0212">
        <w:t>taurima</w:t>
      </w:r>
      <w:proofErr w:type="spellEnd"/>
      <w:r w:rsidRPr="004A0212">
        <w:t xml:space="preserve"> </w:t>
      </w:r>
      <w:proofErr w:type="spellStart"/>
      <w:r w:rsidRPr="004A0212">
        <w:t>i</w:t>
      </w:r>
      <w:proofErr w:type="spellEnd"/>
      <w:r w:rsidRPr="004A0212">
        <w:t xml:space="preserve"> </w:t>
      </w:r>
      <w:proofErr w:type="spellStart"/>
      <w:r w:rsidRPr="004A0212">
        <w:t>te</w:t>
      </w:r>
      <w:proofErr w:type="spellEnd"/>
      <w:r w:rsidRPr="004A0212">
        <w:t xml:space="preserve"> </w:t>
      </w:r>
      <w:proofErr w:type="spellStart"/>
      <w:r w:rsidRPr="004A0212">
        <w:t>hunga</w:t>
      </w:r>
      <w:proofErr w:type="spellEnd"/>
      <w:r w:rsidRPr="004A0212">
        <w:t xml:space="preserve"> e </w:t>
      </w:r>
      <w:proofErr w:type="spellStart"/>
      <w:r w:rsidRPr="004A0212">
        <w:t>rongo</w:t>
      </w:r>
      <w:proofErr w:type="spellEnd"/>
      <w:r w:rsidRPr="004A0212">
        <w:t xml:space="preserve"> ana </w:t>
      </w:r>
      <w:proofErr w:type="spellStart"/>
      <w:r w:rsidRPr="004A0212">
        <w:t>i</w:t>
      </w:r>
      <w:proofErr w:type="spellEnd"/>
      <w:r w:rsidRPr="004A0212">
        <w:t xml:space="preserve"> </w:t>
      </w:r>
      <w:proofErr w:type="spellStart"/>
      <w:r w:rsidRPr="004A0212">
        <w:t>te</w:t>
      </w:r>
      <w:proofErr w:type="spellEnd"/>
      <w:r w:rsidRPr="004A0212">
        <w:t xml:space="preserve"> </w:t>
      </w:r>
      <w:proofErr w:type="spellStart"/>
      <w:r w:rsidRPr="004A0212">
        <w:t>wairangi</w:t>
      </w:r>
      <w:r w:rsidR="10CC59E5" w:rsidRPr="004A0212">
        <w:t>tanga</w:t>
      </w:r>
      <w:bookmarkEnd w:id="80"/>
      <w:bookmarkEnd w:id="81"/>
      <w:proofErr w:type="spellEnd"/>
    </w:p>
    <w:p w14:paraId="5241E0BB" w14:textId="090B00A9" w:rsidR="000F6F18" w:rsidRPr="004A0212" w:rsidRDefault="66E8F828" w:rsidP="00057490">
      <w:pPr>
        <w:pStyle w:val="Heading3"/>
        <w:rPr>
          <w:shd w:val="clear" w:color="auto" w:fill="FFFFFF"/>
        </w:rPr>
      </w:pPr>
      <w:bookmarkStart w:id="83" w:name="_Toc554565786"/>
      <w:bookmarkStart w:id="84" w:name="_Toc168638891"/>
      <w:r w:rsidRPr="004A0212">
        <w:t>Caring for people experiencing mental distress</w:t>
      </w:r>
      <w:bookmarkEnd w:id="82"/>
      <w:bookmarkEnd w:id="83"/>
      <w:bookmarkEnd w:id="84"/>
    </w:p>
    <w:p w14:paraId="5ACFFA99" w14:textId="2DB0573B" w:rsidR="001857A3" w:rsidRPr="004A0212" w:rsidRDefault="00D94010" w:rsidP="007D73A6">
      <w:pPr>
        <w:pStyle w:val="AllNumbparas"/>
      </w:pPr>
      <w:r w:rsidRPr="004A0212">
        <w:t>Before the</w:t>
      </w:r>
      <w:r w:rsidR="008C4A61" w:rsidRPr="004A0212">
        <w:t xml:space="preserve"> mid-18</w:t>
      </w:r>
      <w:r w:rsidR="008C4A61" w:rsidRPr="004A0212">
        <w:rPr>
          <w:vertAlign w:val="superscript"/>
        </w:rPr>
        <w:t>th</w:t>
      </w:r>
      <w:r w:rsidR="008C4A61" w:rsidRPr="004A0212">
        <w:t xml:space="preserve"> </w:t>
      </w:r>
      <w:r w:rsidR="00F03452" w:rsidRPr="004A0212">
        <w:t xml:space="preserve">century </w:t>
      </w:r>
      <w:r w:rsidR="00FF450F" w:rsidRPr="004A0212">
        <w:t>in Britain</w:t>
      </w:r>
      <w:r w:rsidR="00957357" w:rsidRPr="004A0212">
        <w:t>,</w:t>
      </w:r>
      <w:r w:rsidR="008C4A61" w:rsidRPr="004A0212">
        <w:t xml:space="preserve"> </w:t>
      </w:r>
      <w:r w:rsidR="00ED7C19" w:rsidRPr="004A0212">
        <w:t>Deaf</w:t>
      </w:r>
      <w:r w:rsidR="00EA4FD9" w:rsidRPr="004A0212">
        <w:t>,</w:t>
      </w:r>
      <w:r w:rsidR="00ED7C19" w:rsidRPr="004A0212">
        <w:t xml:space="preserve"> disabled people and </w:t>
      </w:r>
      <w:r w:rsidR="008C4A61" w:rsidRPr="004A0212">
        <w:t>people experiencing mental distress were part of the community</w:t>
      </w:r>
      <w:r w:rsidR="006B2E2A" w:rsidRPr="004A0212">
        <w:t xml:space="preserve">, cared for by a patchwork of family and </w:t>
      </w:r>
      <w:r w:rsidR="008C0561" w:rsidRPr="004A0212">
        <w:t>Christian</w:t>
      </w:r>
      <w:r w:rsidR="006B2E2A" w:rsidRPr="004A0212">
        <w:t xml:space="preserve"> charity</w:t>
      </w:r>
      <w:r w:rsidR="008C0561" w:rsidRPr="004A0212">
        <w:t>.</w:t>
      </w:r>
      <w:r w:rsidR="00DA70FF" w:rsidRPr="004A0212">
        <w:rPr>
          <w:rStyle w:val="StyleFootnoteReferenceFagoFunotenzeichenFagoFunotenzeichen"/>
        </w:rPr>
        <w:footnoteReference w:id="29"/>
      </w:r>
      <w:r w:rsidR="008C0561" w:rsidRPr="004A0212">
        <w:t xml:space="preserve"> </w:t>
      </w:r>
      <w:r w:rsidR="006E43BA" w:rsidRPr="004A0212">
        <w:t>If they were thought to be a risk to themselves or others they might be cared for in a hospital</w:t>
      </w:r>
      <w:r w:rsidR="00804349" w:rsidRPr="004A0212">
        <w:t>,</w:t>
      </w:r>
      <w:r w:rsidR="00DA70FF" w:rsidRPr="004A0212">
        <w:t xml:space="preserve"> or jailed</w:t>
      </w:r>
      <w:r w:rsidR="006E43BA" w:rsidRPr="004A0212">
        <w:t xml:space="preserve">. The </w:t>
      </w:r>
      <w:r w:rsidR="00957357" w:rsidRPr="004A0212">
        <w:t>S</w:t>
      </w:r>
      <w:r w:rsidR="006E43BA" w:rsidRPr="004A0212">
        <w:t xml:space="preserve">tate </w:t>
      </w:r>
      <w:r w:rsidR="00DA70FF" w:rsidRPr="004A0212">
        <w:t>intervened sometimes in the case of l</w:t>
      </w:r>
      <w:r w:rsidR="006E43BA" w:rsidRPr="004A0212">
        <w:t xml:space="preserve">andowners experiencing mental distress </w:t>
      </w:r>
      <w:r w:rsidR="00DA70FF" w:rsidRPr="004A0212">
        <w:t>to</w:t>
      </w:r>
      <w:r w:rsidR="006E43BA" w:rsidRPr="004A0212">
        <w:t xml:space="preserve"> protect </w:t>
      </w:r>
      <w:r w:rsidR="00DA70FF" w:rsidRPr="004A0212">
        <w:t>the land title.</w:t>
      </w:r>
      <w:r w:rsidRPr="004A0212">
        <w:rPr>
          <w:rStyle w:val="StyleFootnoteReferenceFagoFunotenzeichenFagoFunotenzeichen"/>
        </w:rPr>
        <w:footnoteReference w:id="30"/>
      </w:r>
      <w:r w:rsidR="006E43BA" w:rsidRPr="004A0212">
        <w:t xml:space="preserve"> </w:t>
      </w:r>
    </w:p>
    <w:p w14:paraId="6D11AAF2" w14:textId="62505C2B" w:rsidR="0030681E" w:rsidRPr="004A0212" w:rsidRDefault="00731A41" w:rsidP="007D73A6">
      <w:pPr>
        <w:pStyle w:val="AllNumbparas"/>
      </w:pPr>
      <w:r w:rsidRPr="004A0212">
        <w:t xml:space="preserve">After the dissolution of the monasteries and abbeys </w:t>
      </w:r>
      <w:r w:rsidR="000B34D2" w:rsidRPr="004A0212">
        <w:t>that</w:t>
      </w:r>
      <w:r w:rsidR="00A326A9" w:rsidRPr="004A0212">
        <w:t xml:space="preserve"> had traditionally provided care, and </w:t>
      </w:r>
      <w:r w:rsidR="00804349" w:rsidRPr="004A0212">
        <w:t xml:space="preserve">the enclosures and </w:t>
      </w:r>
      <w:r w:rsidR="00BC78A1" w:rsidRPr="004A0212">
        <w:t xml:space="preserve">advances in agricultural technology </w:t>
      </w:r>
      <w:r w:rsidR="00A839AA" w:rsidRPr="004A0212">
        <w:t xml:space="preserve">that led </w:t>
      </w:r>
      <w:r w:rsidR="00804349" w:rsidRPr="004A0212">
        <w:t>to the loss of</w:t>
      </w:r>
      <w:r w:rsidR="00BC78A1" w:rsidRPr="004A0212">
        <w:t xml:space="preserve"> labouring jobs,</w:t>
      </w:r>
      <w:r w:rsidR="000B34D2" w:rsidRPr="004A0212">
        <w:t xml:space="preserve"> </w:t>
      </w:r>
      <w:r w:rsidR="00BC78A1" w:rsidRPr="004A0212">
        <w:t>more and more people became dependent on parish relief</w:t>
      </w:r>
      <w:r w:rsidR="00804349" w:rsidRPr="004A0212">
        <w:t>, moved to towns</w:t>
      </w:r>
      <w:r w:rsidR="00A326A9" w:rsidRPr="004A0212">
        <w:t xml:space="preserve"> or </w:t>
      </w:r>
      <w:r w:rsidR="00500004" w:rsidRPr="004A0212">
        <w:t>formed dispos</w:t>
      </w:r>
      <w:r w:rsidR="00804349" w:rsidRPr="004A0212">
        <w:t>s</w:t>
      </w:r>
      <w:r w:rsidR="00500004" w:rsidRPr="004A0212">
        <w:t>e</w:t>
      </w:r>
      <w:r w:rsidR="00804349" w:rsidRPr="004A0212">
        <w:t>sse</w:t>
      </w:r>
      <w:r w:rsidR="00500004" w:rsidRPr="004A0212">
        <w:t xml:space="preserve">d, homeless groups who </w:t>
      </w:r>
      <w:r w:rsidR="0030681E" w:rsidRPr="004A0212">
        <w:t xml:space="preserve">were seen as a threat to social order. </w:t>
      </w:r>
      <w:r w:rsidR="007654F8" w:rsidRPr="004A0212">
        <w:t>The State responded with more</w:t>
      </w:r>
      <w:r w:rsidR="0030681E" w:rsidRPr="004A0212">
        <w:t xml:space="preserve"> </w:t>
      </w:r>
      <w:r w:rsidR="003F0933" w:rsidRPr="004A0212">
        <w:t>institutional</w:t>
      </w:r>
      <w:r w:rsidR="0030681E" w:rsidRPr="004A0212">
        <w:t xml:space="preserve"> forms of social control</w:t>
      </w:r>
      <w:r w:rsidR="00BB1CB9" w:rsidRPr="004A0212">
        <w:t xml:space="preserve"> </w:t>
      </w:r>
      <w:r w:rsidR="004472A5" w:rsidRPr="004A0212">
        <w:t xml:space="preserve">such as </w:t>
      </w:r>
      <w:r w:rsidR="00BB1CB9" w:rsidRPr="004A0212">
        <w:t>workhouses and asy</w:t>
      </w:r>
      <w:r w:rsidR="002D4059" w:rsidRPr="004A0212">
        <w:t>lums</w:t>
      </w:r>
      <w:r w:rsidR="00250CC3" w:rsidRPr="004A0212">
        <w:t>.</w:t>
      </w:r>
      <w:r w:rsidR="00642FF1" w:rsidRPr="004A0212">
        <w:rPr>
          <w:rStyle w:val="StyleFootnoteReferenceFagoFunotenzeichenFagoFunotenzeichen"/>
        </w:rPr>
        <w:footnoteReference w:id="31"/>
      </w:r>
      <w:r w:rsidR="00BC78A1" w:rsidRPr="004A0212">
        <w:t xml:space="preserve"> </w:t>
      </w:r>
      <w:r w:rsidR="00A11AAA" w:rsidRPr="004A0212">
        <w:t xml:space="preserve">Outdoor relief </w:t>
      </w:r>
      <w:r w:rsidR="008C4D4D" w:rsidRPr="004A0212">
        <w:t>(</w:t>
      </w:r>
      <w:r w:rsidR="00A11AAA" w:rsidRPr="004A0212">
        <w:t>aid delivered to people in their homes</w:t>
      </w:r>
      <w:r w:rsidR="003826F7" w:rsidRPr="004A0212">
        <w:t>)</w:t>
      </w:r>
      <w:r w:rsidR="00A11AAA" w:rsidRPr="004A0212">
        <w:t xml:space="preserve"> was used until the 19</w:t>
      </w:r>
      <w:r w:rsidR="00A11AAA" w:rsidRPr="004A0212">
        <w:rPr>
          <w:vertAlign w:val="superscript"/>
        </w:rPr>
        <w:t>th</w:t>
      </w:r>
      <w:r w:rsidR="00A11AAA" w:rsidRPr="004A0212">
        <w:t xml:space="preserve"> century, when the new Poor Laws focused more on provision of aid through the workhouse.</w:t>
      </w:r>
      <w:r w:rsidR="00A11AAA" w:rsidRPr="004A0212">
        <w:rPr>
          <w:rStyle w:val="FootnoteReference"/>
        </w:rPr>
        <w:footnoteReference w:id="32"/>
      </w:r>
    </w:p>
    <w:p w14:paraId="634B66B2" w14:textId="4E3EC564" w:rsidR="003E2493" w:rsidRPr="004A0212" w:rsidRDefault="00C539D9" w:rsidP="007D73A6">
      <w:pPr>
        <w:pStyle w:val="AllNumbparas"/>
      </w:pPr>
      <w:r w:rsidRPr="004A0212">
        <w:t>Disruption to</w:t>
      </w:r>
      <w:r w:rsidR="002D4059" w:rsidRPr="004A0212">
        <w:t xml:space="preserve"> social structures from population growth and urbanisation meant that </w:t>
      </w:r>
      <w:r w:rsidR="00FF450F" w:rsidRPr="004A0212">
        <w:t>“</w:t>
      </w:r>
      <w:r w:rsidR="00671FC1" w:rsidRPr="004A0212">
        <w:t xml:space="preserve">consequently, while a </w:t>
      </w:r>
      <w:r w:rsidR="003E2493" w:rsidRPr="004A0212">
        <w:t>family-based</w:t>
      </w:r>
      <w:r w:rsidR="00671FC1" w:rsidRPr="004A0212">
        <w:t xml:space="preserve"> system of caring for the mad may never have worked especially well, one suspects that by the turn of the [</w:t>
      </w:r>
      <w:r w:rsidR="005F046E" w:rsidRPr="004A0212">
        <w:t>19</w:t>
      </w:r>
      <w:r w:rsidR="005F046E" w:rsidRPr="004A0212">
        <w:rPr>
          <w:vertAlign w:val="superscript"/>
        </w:rPr>
        <w:t>th</w:t>
      </w:r>
      <w:r w:rsidR="00671FC1" w:rsidRPr="004A0212">
        <w:t>] century it was likely to have been functioning particularly badly</w:t>
      </w:r>
      <w:r w:rsidR="00FF450F" w:rsidRPr="004A0212">
        <w:t>”</w:t>
      </w:r>
      <w:r w:rsidR="00671FC1" w:rsidRPr="004A0212">
        <w:t>.</w:t>
      </w:r>
      <w:r w:rsidR="00F25AA7" w:rsidRPr="004A0212">
        <w:rPr>
          <w:rStyle w:val="StyleFootnoteReferenceFagoFunotenzeichenFagoFunotenzeichen"/>
        </w:rPr>
        <w:footnoteReference w:id="33"/>
      </w:r>
      <w:r w:rsidR="002F2DD6" w:rsidRPr="004A0212">
        <w:t xml:space="preserve"> </w:t>
      </w:r>
    </w:p>
    <w:p w14:paraId="4C794A4E" w14:textId="0B18BA17" w:rsidR="00671FC1" w:rsidRPr="004A0212" w:rsidRDefault="003E2493" w:rsidP="007D73A6">
      <w:pPr>
        <w:pStyle w:val="AllNumbparas"/>
        <w:rPr>
          <w:rStyle w:val="normaltextrun"/>
        </w:rPr>
      </w:pPr>
      <w:r w:rsidRPr="004A0212">
        <w:t>T</w:t>
      </w:r>
      <w:r w:rsidR="002F2DD6" w:rsidRPr="004A0212">
        <w:t xml:space="preserve">his carried over into </w:t>
      </w:r>
      <w:r w:rsidR="00FF450F" w:rsidRPr="004A0212">
        <w:t xml:space="preserve">Aotearoa </w:t>
      </w:r>
      <w:r w:rsidR="002F2DD6" w:rsidRPr="004A0212">
        <w:t>New Zealand</w:t>
      </w:r>
      <w:r w:rsidR="001407B2" w:rsidRPr="004A0212">
        <w:t>. By</w:t>
      </w:r>
      <w:r w:rsidR="002F2DD6" w:rsidRPr="004A0212">
        <w:t xml:space="preserve"> the end of the </w:t>
      </w:r>
      <w:r w:rsidR="00FF450F" w:rsidRPr="004A0212">
        <w:t>19</w:t>
      </w:r>
      <w:r w:rsidR="00FF450F" w:rsidRPr="004A0212">
        <w:rPr>
          <w:vertAlign w:val="superscript"/>
        </w:rPr>
        <w:t>th</w:t>
      </w:r>
      <w:r w:rsidR="00FF450F" w:rsidRPr="004A0212">
        <w:t xml:space="preserve"> </w:t>
      </w:r>
      <w:r w:rsidR="005F046E" w:rsidRPr="004A0212">
        <w:t>century</w:t>
      </w:r>
      <w:r w:rsidR="00FF450F" w:rsidRPr="004A0212">
        <w:t>,</w:t>
      </w:r>
      <w:r w:rsidR="006D338D" w:rsidRPr="004A0212">
        <w:t xml:space="preserve"> </w:t>
      </w:r>
      <w:r w:rsidR="00FF450F" w:rsidRPr="004A0212">
        <w:t xml:space="preserve">there were </w:t>
      </w:r>
      <w:r w:rsidR="006D338D" w:rsidRPr="004A0212">
        <w:t xml:space="preserve">gaps in </w:t>
      </w:r>
      <w:r w:rsidR="00FF450F" w:rsidRPr="004A0212">
        <w:t>Pākehā</w:t>
      </w:r>
      <w:r w:rsidR="006D338D" w:rsidRPr="004A0212">
        <w:t xml:space="preserve"> </w:t>
      </w:r>
      <w:r w:rsidR="00EF0F23" w:rsidRPr="004A0212">
        <w:t>extended family</w:t>
      </w:r>
      <w:r w:rsidR="006D338D" w:rsidRPr="004A0212">
        <w:t xml:space="preserve"> networks </w:t>
      </w:r>
      <w:r w:rsidR="00FF450F" w:rsidRPr="004A0212">
        <w:t>due to</w:t>
      </w:r>
      <w:r w:rsidR="006D338D" w:rsidRPr="004A0212">
        <w:t xml:space="preserve"> people having fewer extended family members </w:t>
      </w:r>
      <w:r w:rsidR="00A419E8" w:rsidRPr="004A0212">
        <w:t>living nearby. This</w:t>
      </w:r>
      <w:r w:rsidR="006444A3" w:rsidRPr="004A0212">
        <w:t xml:space="preserve"> led the Inspector </w:t>
      </w:r>
      <w:r w:rsidR="00333854" w:rsidRPr="004A0212">
        <w:t xml:space="preserve">of </w:t>
      </w:r>
      <w:r w:rsidR="006F4E61" w:rsidRPr="004A0212">
        <w:t>Lunatic A</w:t>
      </w:r>
      <w:r w:rsidR="00333854" w:rsidRPr="004A0212">
        <w:t xml:space="preserve">sylums to complain that </w:t>
      </w:r>
      <w:r w:rsidR="00F25AA7" w:rsidRPr="004A0212">
        <w:t xml:space="preserve">many patients </w:t>
      </w:r>
      <w:r w:rsidR="00F25AA7" w:rsidRPr="004A0212">
        <w:rPr>
          <w:color w:val="000000" w:themeColor="text1"/>
        </w:rPr>
        <w:t xml:space="preserve">were in the asylums only because they had no one </w:t>
      </w:r>
      <w:r w:rsidR="006F4E61" w:rsidRPr="004A0212">
        <w:rPr>
          <w:color w:val="000000" w:themeColor="text1"/>
        </w:rPr>
        <w:t xml:space="preserve">else </w:t>
      </w:r>
      <w:r w:rsidR="00F25AA7" w:rsidRPr="004A0212">
        <w:rPr>
          <w:color w:val="000000" w:themeColor="text1"/>
        </w:rPr>
        <w:t>to look after them</w:t>
      </w:r>
      <w:r w:rsidR="00717983" w:rsidRPr="004A0212">
        <w:rPr>
          <w:color w:val="000000" w:themeColor="text1"/>
        </w:rPr>
        <w:t>.</w:t>
      </w:r>
      <w:r w:rsidR="00717983" w:rsidRPr="004A0212">
        <w:rPr>
          <w:rStyle w:val="StyleFootnoteReferenceFagoFunotenzeichenFagoFunotenzeichen"/>
        </w:rPr>
        <w:footnoteReference w:id="34"/>
      </w:r>
      <w:r w:rsidR="00EA29EF" w:rsidRPr="004A0212">
        <w:rPr>
          <w:color w:val="000000" w:themeColor="text1"/>
        </w:rPr>
        <w:t xml:space="preserve"> Th</w:t>
      </w:r>
      <w:r w:rsidR="00EA29EF" w:rsidRPr="004A0212">
        <w:rPr>
          <w:rStyle w:val="normaltextrun"/>
          <w:color w:val="000000" w:themeColor="text1"/>
        </w:rPr>
        <w:t>e 19</w:t>
      </w:r>
      <w:r w:rsidR="00EA29EF" w:rsidRPr="004A0212">
        <w:rPr>
          <w:rStyle w:val="normaltextrun"/>
          <w:color w:val="000000" w:themeColor="text1"/>
          <w:vertAlign w:val="superscript"/>
        </w:rPr>
        <w:t>th</w:t>
      </w:r>
      <w:r w:rsidR="00EA29EF" w:rsidRPr="004A0212">
        <w:rPr>
          <w:rStyle w:val="normaltextrun"/>
          <w:color w:val="000000" w:themeColor="text1"/>
        </w:rPr>
        <w:t xml:space="preserve"> century was also when mental distress began to define a person as an identity.</w:t>
      </w:r>
      <w:r w:rsidR="00E23FCC" w:rsidRPr="004A0212">
        <w:rPr>
          <w:rStyle w:val="StyleFootnoteReferenceFagoFunotenzeichenFagoFunotenzeichen"/>
        </w:rPr>
        <w:footnoteReference w:id="35"/>
      </w:r>
    </w:p>
    <w:p w14:paraId="2195E20E" w14:textId="4C368B4B" w:rsidR="00754D5A" w:rsidRPr="004A0212" w:rsidRDefault="00754D5A" w:rsidP="007D73A6">
      <w:pPr>
        <w:pStyle w:val="AllNumbparas"/>
      </w:pPr>
      <w:r w:rsidRPr="004A0212">
        <w:t>Aware</w:t>
      </w:r>
      <w:r w:rsidR="002A77B6" w:rsidRPr="004A0212">
        <w:t>ness</w:t>
      </w:r>
      <w:r w:rsidRPr="004A0212">
        <w:t xml:space="preserve"> of conditions inside early asylums in Aotearoa New Zealand prompted the establishment of some private hospitals for people experiencing mental distress</w:t>
      </w:r>
      <w:r w:rsidR="002A77B6" w:rsidRPr="004A0212">
        <w:t>.</w:t>
      </w:r>
      <w:r w:rsidRPr="004A0212">
        <w:t xml:space="preserve"> Ashburn Hall (now Ashburn Cli</w:t>
      </w:r>
      <w:r w:rsidR="00992F7A" w:rsidRPr="004A0212">
        <w:t>n</w:t>
      </w:r>
      <w:r w:rsidRPr="004A0212">
        <w:t>ic)</w:t>
      </w:r>
      <w:r w:rsidR="00040A3D" w:rsidRPr="004A0212">
        <w:t xml:space="preserve">, for example, </w:t>
      </w:r>
      <w:r w:rsidRPr="004A0212">
        <w:t xml:space="preserve">was founded in 1882 </w:t>
      </w:r>
      <w:r w:rsidR="002A77B6" w:rsidRPr="004A0212">
        <w:t>“</w:t>
      </w:r>
      <w:r w:rsidRPr="004A0212">
        <w:t>as a humanitarian alternative to state hospital care of the day</w:t>
      </w:r>
      <w:r w:rsidR="002A77B6" w:rsidRPr="004A0212">
        <w:t>”</w:t>
      </w:r>
      <w:r w:rsidRPr="004A0212">
        <w:t>.</w:t>
      </w:r>
      <w:r w:rsidR="000372FA" w:rsidRPr="004A0212">
        <w:rPr>
          <w:rStyle w:val="FootnoteReference"/>
        </w:rPr>
        <w:footnoteReference w:id="36"/>
      </w:r>
    </w:p>
    <w:p w14:paraId="37B54A40" w14:textId="14C18F3D" w:rsidR="006F4E61" w:rsidRPr="004A0212" w:rsidRDefault="5E0491D2" w:rsidP="00C9608A">
      <w:pPr>
        <w:pStyle w:val="Heading3"/>
        <w:rPr>
          <w:rFonts w:cs="Arial"/>
        </w:rPr>
      </w:pPr>
      <w:bookmarkStart w:id="85" w:name="_Toc1544764796"/>
      <w:bookmarkStart w:id="86" w:name="_Toc168638892"/>
      <w:proofErr w:type="spellStart"/>
      <w:r w:rsidRPr="004A0212">
        <w:rPr>
          <w:rFonts w:cs="Arial"/>
        </w:rPr>
        <w:t>Te</w:t>
      </w:r>
      <w:proofErr w:type="spellEnd"/>
      <w:r w:rsidRPr="004A0212">
        <w:rPr>
          <w:rFonts w:cs="Arial"/>
        </w:rPr>
        <w:t xml:space="preserve"> </w:t>
      </w:r>
      <w:proofErr w:type="spellStart"/>
      <w:r w:rsidRPr="004A0212">
        <w:rPr>
          <w:rFonts w:cs="Arial"/>
        </w:rPr>
        <w:t>taurima</w:t>
      </w:r>
      <w:proofErr w:type="spellEnd"/>
      <w:r w:rsidRPr="004A0212">
        <w:rPr>
          <w:rFonts w:cs="Arial"/>
        </w:rPr>
        <w:t xml:space="preserve"> </w:t>
      </w:r>
      <w:proofErr w:type="spellStart"/>
      <w:r w:rsidRPr="004A0212">
        <w:rPr>
          <w:rFonts w:cs="Arial"/>
        </w:rPr>
        <w:t>tamariki</w:t>
      </w:r>
      <w:proofErr w:type="spellEnd"/>
      <w:r w:rsidRPr="004A0212">
        <w:rPr>
          <w:rFonts w:cs="Arial"/>
        </w:rPr>
        <w:t xml:space="preserve"> | </w:t>
      </w:r>
      <w:r w:rsidR="0420B6D2" w:rsidRPr="004A0212">
        <w:rPr>
          <w:rFonts w:cs="Arial"/>
        </w:rPr>
        <w:t xml:space="preserve">Caring for </w:t>
      </w:r>
      <w:r w:rsidR="588691AA" w:rsidRPr="004A0212">
        <w:rPr>
          <w:rFonts w:cs="Arial"/>
        </w:rPr>
        <w:t>children</w:t>
      </w:r>
      <w:bookmarkEnd w:id="85"/>
      <w:bookmarkEnd w:id="86"/>
    </w:p>
    <w:p w14:paraId="4ACD8C48" w14:textId="4EA7B309" w:rsidR="001363CF" w:rsidRPr="004A0212" w:rsidRDefault="00C9608A" w:rsidP="007D73A6">
      <w:pPr>
        <w:pStyle w:val="AllNumbparas"/>
      </w:pPr>
      <w:r w:rsidRPr="004A0212">
        <w:t>The way people cared for children in Britain and Ireland, and the ideas about this the</w:t>
      </w:r>
      <w:r w:rsidR="005019A0" w:rsidRPr="004A0212">
        <w:t>y</w:t>
      </w:r>
      <w:r w:rsidRPr="004A0212">
        <w:t xml:space="preserve"> b</w:t>
      </w:r>
      <w:r w:rsidR="00647BE0" w:rsidRPr="004A0212">
        <w:t>r</w:t>
      </w:r>
      <w:r w:rsidRPr="004A0212">
        <w:t xml:space="preserve">ought with them to </w:t>
      </w:r>
      <w:r w:rsidR="00E248B0" w:rsidRPr="004A0212">
        <w:t xml:space="preserve">Aotearoa </w:t>
      </w:r>
      <w:r w:rsidRPr="004A0212">
        <w:t>New Zealand, w</w:t>
      </w:r>
      <w:r w:rsidR="00B840E4" w:rsidRPr="004A0212">
        <w:t>ere</w:t>
      </w:r>
      <w:r w:rsidRPr="004A0212">
        <w:t xml:space="preserve"> influenced by circumstances </w:t>
      </w:r>
      <w:r w:rsidR="004472A5" w:rsidRPr="004A0212">
        <w:t xml:space="preserve">such as </w:t>
      </w:r>
      <w:r w:rsidRPr="004A0212">
        <w:t xml:space="preserve">wealth, class and poverty. </w:t>
      </w:r>
      <w:r w:rsidR="00B8475D" w:rsidRPr="004A0212">
        <w:t>P</w:t>
      </w:r>
      <w:r w:rsidRPr="004A0212">
        <w:t>arents loved their children and did what they could to protect them</w:t>
      </w:r>
      <w:r w:rsidR="00B8475D" w:rsidRPr="004A0212">
        <w:t xml:space="preserve"> </w:t>
      </w:r>
      <w:r w:rsidR="00D83575" w:rsidRPr="004A0212">
        <w:t>but were sometimes limited in what they could do by wider social and economic conditions.</w:t>
      </w:r>
      <w:r w:rsidR="00D83575" w:rsidRPr="004A0212">
        <w:rPr>
          <w:rStyle w:val="StyleFootnoteReferenceFagoFunotenzeichenFagoFunotenzeichen"/>
        </w:rPr>
        <w:footnoteReference w:id="37"/>
      </w:r>
      <w:r w:rsidR="00D83575" w:rsidRPr="004A0212">
        <w:t xml:space="preserve"> </w:t>
      </w:r>
    </w:p>
    <w:p w14:paraId="3ED5E273" w14:textId="47D6D72F" w:rsidR="003620BF" w:rsidRPr="004A0212" w:rsidRDefault="00D20E15" w:rsidP="000D2F1B">
      <w:pPr>
        <w:pStyle w:val="AllNumbparas"/>
      </w:pPr>
      <w:r w:rsidRPr="004A0212">
        <w:t>Children</w:t>
      </w:r>
      <w:r w:rsidR="00D83575" w:rsidRPr="004A0212">
        <w:t xml:space="preserve"> made a</w:t>
      </w:r>
      <w:r w:rsidR="00E37F63" w:rsidRPr="004A0212">
        <w:t>n important</w:t>
      </w:r>
      <w:r w:rsidR="00D83575" w:rsidRPr="004A0212">
        <w:t xml:space="preserve"> contribution to the household economy</w:t>
      </w:r>
      <w:r w:rsidR="004B2687" w:rsidRPr="004A0212">
        <w:t xml:space="preserve"> f</w:t>
      </w:r>
      <w:r w:rsidR="00D83575" w:rsidRPr="004A0212">
        <w:t>or many working families</w:t>
      </w:r>
      <w:r w:rsidR="00265C2E" w:rsidRPr="004A0212">
        <w:t>. Un</w:t>
      </w:r>
      <w:r w:rsidR="00D83575" w:rsidRPr="004A0212">
        <w:t xml:space="preserve">til the middle of the </w:t>
      </w:r>
      <w:r w:rsidR="00265C2E" w:rsidRPr="004A0212">
        <w:t>19</w:t>
      </w:r>
      <w:r w:rsidR="00265C2E" w:rsidRPr="004A0212">
        <w:rPr>
          <w:vertAlign w:val="superscript"/>
        </w:rPr>
        <w:t>th</w:t>
      </w:r>
      <w:r w:rsidR="00265C2E" w:rsidRPr="004A0212">
        <w:t xml:space="preserve"> </w:t>
      </w:r>
      <w:r w:rsidR="005F046E" w:rsidRPr="004A0212">
        <w:t>century</w:t>
      </w:r>
      <w:r w:rsidR="00265C2E" w:rsidRPr="004A0212">
        <w:t>, “</w:t>
      </w:r>
      <w:r w:rsidR="00D83575" w:rsidRPr="004A0212">
        <w:t>children’s lives were dominated not by school</w:t>
      </w:r>
      <w:r w:rsidR="00146BDD" w:rsidRPr="004A0212">
        <w:t>ing</w:t>
      </w:r>
      <w:r w:rsidR="00D83575" w:rsidRPr="004A0212">
        <w:t xml:space="preserve"> but by labour</w:t>
      </w:r>
      <w:r w:rsidR="00265C2E" w:rsidRPr="004A0212">
        <w:t>”</w:t>
      </w:r>
      <w:r w:rsidR="00D83575" w:rsidRPr="004A0212">
        <w:t>.</w:t>
      </w:r>
      <w:r w:rsidR="00D83575" w:rsidRPr="004A0212">
        <w:rPr>
          <w:rStyle w:val="StyleFootnoteReferenceFagoFunotenzeichenFagoFunotenzeichen"/>
        </w:rPr>
        <w:footnoteReference w:id="38"/>
      </w:r>
      <w:r w:rsidR="00D83575" w:rsidRPr="004A0212">
        <w:t xml:space="preserve"> </w:t>
      </w:r>
    </w:p>
    <w:p w14:paraId="19722A66" w14:textId="38789EB7" w:rsidR="00AC7B66" w:rsidRPr="004A0212" w:rsidRDefault="00AC7B66" w:rsidP="007D73A6">
      <w:pPr>
        <w:pStyle w:val="AllNumbparas"/>
      </w:pPr>
      <w:r w:rsidRPr="004A0212">
        <w:t xml:space="preserve">The decline in disease had a big impact on childhood and on </w:t>
      </w:r>
      <w:r w:rsidR="004472A5" w:rsidRPr="004A0212">
        <w:t xml:space="preserve">the child’s </w:t>
      </w:r>
      <w:r w:rsidRPr="004A0212">
        <w:t>place in the family. In 18</w:t>
      </w:r>
      <w:r w:rsidRPr="004A0212">
        <w:rPr>
          <w:vertAlign w:val="superscript"/>
        </w:rPr>
        <w:t>th</w:t>
      </w:r>
      <w:r w:rsidRPr="004A0212">
        <w:t xml:space="preserve"> </w:t>
      </w:r>
      <w:r w:rsidR="005F046E" w:rsidRPr="004A0212">
        <w:t>c</w:t>
      </w:r>
      <w:r w:rsidRPr="004A0212">
        <w:t>entury</w:t>
      </w:r>
      <w:r w:rsidR="000C3945" w:rsidRPr="004A0212">
        <w:t xml:space="preserve"> Europe</w:t>
      </w:r>
      <w:r w:rsidR="005F0461" w:rsidRPr="004A0212">
        <w:t>,</w:t>
      </w:r>
      <w:r w:rsidRPr="004A0212">
        <w:t xml:space="preserve"> mortality rates before reaching puberty were </w:t>
      </w:r>
      <w:r w:rsidR="00F85993" w:rsidRPr="004A0212">
        <w:t xml:space="preserve">sometimes </w:t>
      </w:r>
      <w:r w:rsidRPr="004A0212">
        <w:t>as high as 45</w:t>
      </w:r>
      <w:r w:rsidR="005F0461" w:rsidRPr="004A0212">
        <w:t xml:space="preserve"> percent</w:t>
      </w:r>
      <w:r w:rsidRPr="004A0212">
        <w:t>. As medicine, hygiene and nutrition progressed, parents could afford to focus on emotional and psychological as well as physical wellbeing.</w:t>
      </w:r>
      <w:r w:rsidRPr="004A0212">
        <w:rPr>
          <w:rStyle w:val="StyleFootnoteReferenceFagoFunotenzeichenFagoFunotenzeichen"/>
        </w:rPr>
        <w:footnoteReference w:id="39"/>
      </w:r>
      <w:r w:rsidRPr="004A0212">
        <w:t xml:space="preserve"> </w:t>
      </w:r>
    </w:p>
    <w:p w14:paraId="27C43C5B" w14:textId="73697959" w:rsidR="00D83575" w:rsidRPr="004A0212" w:rsidRDefault="00AC7B66" w:rsidP="007D73A6">
      <w:pPr>
        <w:pStyle w:val="AllNumbparas"/>
      </w:pPr>
      <w:r w:rsidRPr="004A0212">
        <w:t>A belief in the possibility of childhood for all children emerged in the 18</w:t>
      </w:r>
      <w:r w:rsidRPr="004A0212">
        <w:rPr>
          <w:vertAlign w:val="superscript"/>
        </w:rPr>
        <w:t>th</w:t>
      </w:r>
      <w:r w:rsidRPr="004A0212">
        <w:t xml:space="preserve"> </w:t>
      </w:r>
      <w:r w:rsidR="005F046E" w:rsidRPr="004A0212">
        <w:t xml:space="preserve">century </w:t>
      </w:r>
      <w:r w:rsidRPr="004A0212">
        <w:t xml:space="preserve">and was developed in the </w:t>
      </w:r>
      <w:r w:rsidR="00CB1A30" w:rsidRPr="004A0212">
        <w:t>19</w:t>
      </w:r>
      <w:r w:rsidR="00CB1A30" w:rsidRPr="004A0212">
        <w:rPr>
          <w:vertAlign w:val="superscript"/>
        </w:rPr>
        <w:t>th</w:t>
      </w:r>
      <w:r w:rsidR="00CB1A30" w:rsidRPr="004A0212">
        <w:t xml:space="preserve"> </w:t>
      </w:r>
      <w:r w:rsidR="005F046E" w:rsidRPr="004A0212">
        <w:t>century</w:t>
      </w:r>
      <w:r w:rsidRPr="004A0212">
        <w:t xml:space="preserve">. </w:t>
      </w:r>
      <w:r w:rsidR="006468BC" w:rsidRPr="004A0212">
        <w:t>Through this period</w:t>
      </w:r>
      <w:r w:rsidRPr="004A0212">
        <w:t xml:space="preserve"> reformers were horrified by child labour in factories and worried about children as future citizens. They lobbied for legislation to protect them. Childhood became a public concern and institutions </w:t>
      </w:r>
      <w:r w:rsidR="00AA5ED2" w:rsidRPr="004A0212">
        <w:t xml:space="preserve">and laws </w:t>
      </w:r>
      <w:r w:rsidRPr="004A0212">
        <w:t>associated with it grew.</w:t>
      </w:r>
      <w:r w:rsidRPr="004A0212">
        <w:rPr>
          <w:rStyle w:val="StyleFootnoteReferenceFagoFunotenzeichenFagoFunotenzeichen"/>
        </w:rPr>
        <w:footnoteReference w:id="40"/>
      </w:r>
      <w:r w:rsidRPr="004A0212">
        <w:t xml:space="preserve"> </w:t>
      </w:r>
    </w:p>
    <w:p w14:paraId="4616A8BB" w14:textId="77777777" w:rsidR="005A0B70" w:rsidRPr="004A0212" w:rsidRDefault="5E0491D2" w:rsidP="00C9608A">
      <w:pPr>
        <w:pStyle w:val="Heading3"/>
        <w:rPr>
          <w:rFonts w:cs="Arial"/>
        </w:rPr>
      </w:pPr>
      <w:bookmarkStart w:id="87" w:name="_Toc1578022304"/>
      <w:bookmarkStart w:id="88" w:name="_Toc168638893"/>
      <w:proofErr w:type="spellStart"/>
      <w:r w:rsidRPr="004A0212">
        <w:rPr>
          <w:rFonts w:cs="Arial"/>
        </w:rPr>
        <w:t>Te</w:t>
      </w:r>
      <w:proofErr w:type="spellEnd"/>
      <w:r w:rsidRPr="004A0212">
        <w:rPr>
          <w:rFonts w:cs="Arial"/>
        </w:rPr>
        <w:t xml:space="preserve"> </w:t>
      </w:r>
      <w:proofErr w:type="spellStart"/>
      <w:r w:rsidRPr="004A0212">
        <w:rPr>
          <w:rFonts w:cs="Arial"/>
        </w:rPr>
        <w:t>orokohanga</w:t>
      </w:r>
      <w:proofErr w:type="spellEnd"/>
      <w:r w:rsidRPr="004A0212">
        <w:rPr>
          <w:rFonts w:cs="Arial"/>
        </w:rPr>
        <w:t xml:space="preserve"> o </w:t>
      </w:r>
      <w:proofErr w:type="spellStart"/>
      <w:r w:rsidRPr="004A0212">
        <w:rPr>
          <w:rFonts w:cs="Arial"/>
        </w:rPr>
        <w:t>ngā</w:t>
      </w:r>
      <w:proofErr w:type="spellEnd"/>
      <w:r w:rsidRPr="004A0212">
        <w:rPr>
          <w:rFonts w:cs="Arial"/>
        </w:rPr>
        <w:t xml:space="preserve"> </w:t>
      </w:r>
      <w:proofErr w:type="spellStart"/>
      <w:r w:rsidRPr="004A0212">
        <w:rPr>
          <w:rFonts w:cs="Arial"/>
        </w:rPr>
        <w:t>whakaritenga</w:t>
      </w:r>
      <w:proofErr w:type="spellEnd"/>
      <w:r w:rsidRPr="004A0212">
        <w:rPr>
          <w:rFonts w:cs="Arial"/>
        </w:rPr>
        <w:t xml:space="preserve"> </w:t>
      </w:r>
      <w:proofErr w:type="spellStart"/>
      <w:r w:rsidRPr="004A0212">
        <w:rPr>
          <w:rFonts w:cs="Arial"/>
        </w:rPr>
        <w:t>taurima</w:t>
      </w:r>
      <w:proofErr w:type="spellEnd"/>
      <w:r w:rsidRPr="004A0212">
        <w:rPr>
          <w:rFonts w:cs="Arial"/>
        </w:rPr>
        <w:t xml:space="preserve"> i Aotearoa</w:t>
      </w:r>
      <w:bookmarkEnd w:id="87"/>
      <w:bookmarkEnd w:id="88"/>
      <w:r w:rsidRPr="004A0212">
        <w:rPr>
          <w:rFonts w:cs="Arial"/>
        </w:rPr>
        <w:t xml:space="preserve"> </w:t>
      </w:r>
    </w:p>
    <w:p w14:paraId="00CFDEE6" w14:textId="00869534" w:rsidR="00BA1DE9" w:rsidRPr="004A0212" w:rsidRDefault="109EDBC8" w:rsidP="00C9608A">
      <w:pPr>
        <w:pStyle w:val="Heading3"/>
        <w:rPr>
          <w:rFonts w:cs="Arial"/>
        </w:rPr>
      </w:pPr>
      <w:bookmarkStart w:id="89" w:name="_Toc813875882"/>
      <w:bookmarkStart w:id="90" w:name="_Toc168638894"/>
      <w:r w:rsidRPr="004A0212">
        <w:rPr>
          <w:rFonts w:cs="Arial"/>
        </w:rPr>
        <w:t>Origins of care settings in Aotearoa New Zealand</w:t>
      </w:r>
      <w:bookmarkEnd w:id="89"/>
      <w:bookmarkEnd w:id="90"/>
    </w:p>
    <w:p w14:paraId="369AB5F7" w14:textId="5CD4CF9B" w:rsidR="00BA1DE9" w:rsidRPr="004A0212" w:rsidRDefault="00455830" w:rsidP="007D73A6">
      <w:pPr>
        <w:pStyle w:val="AllNumbparas"/>
      </w:pPr>
      <w:r w:rsidRPr="004A0212">
        <w:t>S</w:t>
      </w:r>
      <w:r w:rsidR="00BA1DE9" w:rsidRPr="004A0212">
        <w:t xml:space="preserve">ocial policy in </w:t>
      </w:r>
      <w:r w:rsidR="00901D5F" w:rsidRPr="004A0212">
        <w:t xml:space="preserve">Aotearoa </w:t>
      </w:r>
      <w:r w:rsidR="00BA1DE9" w:rsidRPr="004A0212">
        <w:t>New Zealand, including those in care settings, originate</w:t>
      </w:r>
      <w:r w:rsidRPr="004A0212">
        <w:t>d</w:t>
      </w:r>
      <w:r w:rsidR="00BA1DE9" w:rsidRPr="004A0212">
        <w:t xml:space="preserve"> from the 1837 House of Commons Select Committee on Aborigines.</w:t>
      </w:r>
      <w:r w:rsidR="00BA1DE9" w:rsidRPr="004A0212">
        <w:rPr>
          <w:rStyle w:val="StyleFootnoteReferenceFagoFunotenzeichenFagoFunotenzeichen"/>
        </w:rPr>
        <w:footnoteReference w:id="41"/>
      </w:r>
      <w:r w:rsidR="00BA1DE9" w:rsidRPr="004A0212">
        <w:t xml:space="preserve"> </w:t>
      </w:r>
      <w:r w:rsidR="00546D2F" w:rsidRPr="004A0212">
        <w:t>The Committee was e</w:t>
      </w:r>
      <w:r w:rsidR="00BA1DE9" w:rsidRPr="004A0212">
        <w:t xml:space="preserve">stablished to investigate the living conditions, treatment and welfare of indigenous populations in Britain’s colonies, </w:t>
      </w:r>
      <w:r w:rsidR="00546D2F" w:rsidRPr="004A0212">
        <w:t>and</w:t>
      </w:r>
      <w:r w:rsidR="00BA1DE9" w:rsidRPr="004A0212">
        <w:t xml:space="preserve"> had a major influence on assimilation policy, including in </w:t>
      </w:r>
      <w:r w:rsidR="00C71BFF" w:rsidRPr="004A0212">
        <w:t xml:space="preserve">Aotearoa </w:t>
      </w:r>
      <w:r w:rsidR="00BA1DE9" w:rsidRPr="004A0212">
        <w:t>New Zealand</w:t>
      </w:r>
      <w:r w:rsidR="00361FD7" w:rsidRPr="004A0212">
        <w:t>.</w:t>
      </w:r>
      <w:r w:rsidR="0063451B" w:rsidRPr="004A0212">
        <w:t>”</w:t>
      </w:r>
      <w:r w:rsidR="00BA1DE9" w:rsidRPr="004A0212">
        <w:rPr>
          <w:rStyle w:val="StyleFootnoteReferenceFagoFunotenzeichenFagoFunotenzeichen"/>
        </w:rPr>
        <w:footnoteReference w:id="42"/>
      </w:r>
      <w:r w:rsidR="00BA1DE9" w:rsidRPr="004A0212">
        <w:t xml:space="preserve"> </w:t>
      </w:r>
    </w:p>
    <w:p w14:paraId="684384A4" w14:textId="3750743C" w:rsidR="00BA1DE9" w:rsidRPr="004A0212" w:rsidRDefault="00BA1DE9" w:rsidP="007D73A6">
      <w:pPr>
        <w:pStyle w:val="AllNumbparas"/>
      </w:pPr>
      <w:r w:rsidRPr="004A0212">
        <w:t xml:space="preserve">The Committee </w:t>
      </w:r>
      <w:r w:rsidR="00736D5A" w:rsidRPr="004A0212">
        <w:t xml:space="preserve">saw </w:t>
      </w:r>
      <w:r w:rsidRPr="004A0212">
        <w:t>Britain</w:t>
      </w:r>
      <w:r w:rsidRPr="004A0212" w:rsidDel="00736D5A">
        <w:t xml:space="preserve"> </w:t>
      </w:r>
      <w:r w:rsidR="00736D5A" w:rsidRPr="004A0212">
        <w:t>as having</w:t>
      </w:r>
      <w:r w:rsidRPr="004A0212">
        <w:t xml:space="preserve"> a responsibility to spread European </w:t>
      </w:r>
      <w:r w:rsidR="00B04FC7" w:rsidRPr="004A0212">
        <w:t xml:space="preserve">civilisation </w:t>
      </w:r>
      <w:r w:rsidRPr="004A0212">
        <w:t xml:space="preserve">and </w:t>
      </w:r>
      <w:r w:rsidR="00B7323E" w:rsidRPr="004A0212">
        <w:t>C</w:t>
      </w:r>
      <w:r w:rsidRPr="004A0212">
        <w:t>hristianity to other peoples and believed that influencing aboriginal children was the best way to do this.</w:t>
      </w:r>
      <w:r w:rsidRPr="004A0212">
        <w:rPr>
          <w:rStyle w:val="StyleFootnoteReferenceFagoFunotenzeichenFagoFunotenzeichen"/>
        </w:rPr>
        <w:footnoteReference w:id="43"/>
      </w:r>
      <w:r w:rsidRPr="004A0212">
        <w:t xml:space="preserve"> The </w:t>
      </w:r>
      <w:r w:rsidR="00040A3D" w:rsidRPr="004A0212">
        <w:t xml:space="preserve">House of </w:t>
      </w:r>
      <w:r w:rsidR="00CA5FCF" w:rsidRPr="004A0212">
        <w:t xml:space="preserve">Commons </w:t>
      </w:r>
      <w:r w:rsidRPr="004A0212">
        <w:t>Committee was also influenced by the 1834 Royal Commission</w:t>
      </w:r>
      <w:r w:rsidR="00CA5FCF" w:rsidRPr="004A0212">
        <w:t xml:space="preserve"> (Poor </w:t>
      </w:r>
      <w:r w:rsidR="00865B98" w:rsidRPr="004A0212">
        <w:t>Law</w:t>
      </w:r>
      <w:r w:rsidRPr="004A0212">
        <w:t xml:space="preserve"> </w:t>
      </w:r>
      <w:r w:rsidR="00865B98" w:rsidRPr="004A0212">
        <w:t>R</w:t>
      </w:r>
      <w:r w:rsidRPr="004A0212">
        <w:t>eport</w:t>
      </w:r>
      <w:r w:rsidR="000627DC" w:rsidRPr="004A0212">
        <w:t>)</w:t>
      </w:r>
      <w:r w:rsidRPr="004A0212">
        <w:t xml:space="preserve"> in Britain. This report recommended ending in-home charitable aid in Britain in favour of institutionalising the poor in workhouses. </w:t>
      </w:r>
    </w:p>
    <w:p w14:paraId="080C0F5B" w14:textId="5DDAABD1" w:rsidR="00A37FBE" w:rsidRPr="004A0212" w:rsidRDefault="028FB702" w:rsidP="02397200">
      <w:pPr>
        <w:pStyle w:val="Hed4"/>
      </w:pPr>
      <w:bookmarkStart w:id="91" w:name="_Toc1444574752"/>
      <w:bookmarkStart w:id="92" w:name="_Toc168638895"/>
      <w:proofErr w:type="spellStart"/>
      <w:r w:rsidRPr="28960EE1">
        <w:rPr>
          <w:lang w:val="en-US"/>
        </w:rPr>
        <w:t>Te</w:t>
      </w:r>
      <w:proofErr w:type="spellEnd"/>
      <w:r w:rsidRPr="28960EE1">
        <w:rPr>
          <w:lang w:val="en-US"/>
        </w:rPr>
        <w:t xml:space="preserve"> </w:t>
      </w:r>
      <w:proofErr w:type="spellStart"/>
      <w:r w:rsidRPr="28960EE1">
        <w:rPr>
          <w:lang w:val="en-US"/>
        </w:rPr>
        <w:t>mākohakoha</w:t>
      </w:r>
      <w:proofErr w:type="spellEnd"/>
      <w:r w:rsidRPr="28960EE1">
        <w:rPr>
          <w:lang w:val="en-US"/>
        </w:rPr>
        <w:t xml:space="preserve"> me </w:t>
      </w:r>
      <w:proofErr w:type="spellStart"/>
      <w:r w:rsidRPr="28960EE1">
        <w:rPr>
          <w:lang w:val="en-US"/>
        </w:rPr>
        <w:t>te</w:t>
      </w:r>
      <w:proofErr w:type="spellEnd"/>
      <w:r w:rsidRPr="28960EE1">
        <w:rPr>
          <w:lang w:val="en-US"/>
        </w:rPr>
        <w:t xml:space="preserve"> </w:t>
      </w:r>
      <w:proofErr w:type="spellStart"/>
      <w:r w:rsidRPr="28960EE1">
        <w:rPr>
          <w:lang w:val="en-US"/>
        </w:rPr>
        <w:t>taurima</w:t>
      </w:r>
      <w:proofErr w:type="spellEnd"/>
      <w:r w:rsidRPr="28960EE1">
        <w:rPr>
          <w:lang w:val="en-US"/>
        </w:rPr>
        <w:t xml:space="preserve"> </w:t>
      </w:r>
      <w:proofErr w:type="spellStart"/>
      <w:r w:rsidR="7DFD53EA" w:rsidRPr="28960EE1">
        <w:rPr>
          <w:lang w:val="en-US"/>
        </w:rPr>
        <w:t>i</w:t>
      </w:r>
      <w:proofErr w:type="spellEnd"/>
      <w:r w:rsidRPr="28960EE1">
        <w:rPr>
          <w:lang w:val="en-US"/>
        </w:rPr>
        <w:t xml:space="preserve"> </w:t>
      </w:r>
      <w:proofErr w:type="spellStart"/>
      <w:r w:rsidRPr="28960EE1">
        <w:rPr>
          <w:lang w:val="en-US"/>
        </w:rPr>
        <w:t>te</w:t>
      </w:r>
      <w:proofErr w:type="spellEnd"/>
      <w:r w:rsidRPr="28960EE1">
        <w:rPr>
          <w:lang w:val="en-US"/>
        </w:rPr>
        <w:t xml:space="preserve"> </w:t>
      </w:r>
      <w:proofErr w:type="spellStart"/>
      <w:r w:rsidRPr="28960EE1">
        <w:rPr>
          <w:lang w:val="en-US"/>
        </w:rPr>
        <w:t>hunga</w:t>
      </w:r>
      <w:proofErr w:type="spellEnd"/>
      <w:r w:rsidRPr="28960EE1">
        <w:rPr>
          <w:lang w:val="en-US"/>
        </w:rPr>
        <w:t xml:space="preserve"> </w:t>
      </w:r>
      <w:proofErr w:type="spellStart"/>
      <w:r w:rsidRPr="28960EE1">
        <w:rPr>
          <w:lang w:val="en-US"/>
        </w:rPr>
        <w:t>rawakore</w:t>
      </w:r>
      <w:proofErr w:type="spellEnd"/>
      <w:r w:rsidRPr="28960EE1">
        <w:rPr>
          <w:lang w:val="en-US"/>
        </w:rPr>
        <w:t xml:space="preserve"> </w:t>
      </w:r>
      <w:proofErr w:type="spellStart"/>
      <w:r w:rsidRPr="28960EE1">
        <w:rPr>
          <w:lang w:val="en-US"/>
        </w:rPr>
        <w:t>i</w:t>
      </w:r>
      <w:proofErr w:type="spellEnd"/>
      <w:r w:rsidRPr="28960EE1">
        <w:rPr>
          <w:lang w:val="en-US"/>
        </w:rPr>
        <w:t xml:space="preserve"> </w:t>
      </w:r>
      <w:proofErr w:type="spellStart"/>
      <w:r w:rsidRPr="28960EE1">
        <w:rPr>
          <w:lang w:val="en-US"/>
        </w:rPr>
        <w:t>te</w:t>
      </w:r>
      <w:proofErr w:type="spellEnd"/>
      <w:r w:rsidRPr="28960EE1">
        <w:rPr>
          <w:lang w:val="en-US"/>
        </w:rPr>
        <w:t xml:space="preserve"> </w:t>
      </w:r>
      <w:proofErr w:type="spellStart"/>
      <w:r w:rsidRPr="28960EE1">
        <w:rPr>
          <w:lang w:val="en-US"/>
        </w:rPr>
        <w:t>rautau</w:t>
      </w:r>
      <w:proofErr w:type="spellEnd"/>
      <w:r w:rsidRPr="28960EE1">
        <w:rPr>
          <w:lang w:val="en-US"/>
        </w:rPr>
        <w:t xml:space="preserve"> 19 </w:t>
      </w:r>
      <w:proofErr w:type="spellStart"/>
      <w:r w:rsidRPr="28960EE1">
        <w:rPr>
          <w:lang w:val="en-US"/>
        </w:rPr>
        <w:t>i</w:t>
      </w:r>
      <w:proofErr w:type="spellEnd"/>
      <w:r w:rsidRPr="28960EE1">
        <w:rPr>
          <w:lang w:val="en-US"/>
        </w:rPr>
        <w:t xml:space="preserve"> </w:t>
      </w:r>
      <w:proofErr w:type="spellStart"/>
      <w:r w:rsidRPr="28960EE1">
        <w:rPr>
          <w:lang w:val="en-US"/>
        </w:rPr>
        <w:t>Piritana</w:t>
      </w:r>
      <w:bookmarkEnd w:id="91"/>
      <w:bookmarkEnd w:id="92"/>
      <w:proofErr w:type="spellEnd"/>
      <w:r w:rsidRPr="28960EE1">
        <w:rPr>
          <w:lang w:val="en-US"/>
        </w:rPr>
        <w:t xml:space="preserve"> </w:t>
      </w:r>
      <w:bookmarkStart w:id="93" w:name="_Toc150933082"/>
      <w:bookmarkStart w:id="94" w:name="_Toc150953400"/>
    </w:p>
    <w:p w14:paraId="0ED6E744" w14:textId="6D3E3F37" w:rsidR="002875CE" w:rsidRPr="004A0212" w:rsidRDefault="438531F9" w:rsidP="02397200">
      <w:pPr>
        <w:pStyle w:val="Hed4"/>
      </w:pPr>
      <w:bookmarkStart w:id="95" w:name="_Toc901347841"/>
      <w:bookmarkStart w:id="96" w:name="_Toc168638896"/>
      <w:r w:rsidRPr="004A0212">
        <w:t>Charity and care for the poor</w:t>
      </w:r>
      <w:r w:rsidR="7A3239FA" w:rsidRPr="004A0212">
        <w:t xml:space="preserve"> in 19</w:t>
      </w:r>
      <w:r w:rsidR="7A3239FA" w:rsidRPr="00CA42B5">
        <w:rPr>
          <w:vertAlign w:val="superscript"/>
        </w:rPr>
        <w:t>th</w:t>
      </w:r>
      <w:r w:rsidR="7A3239FA" w:rsidRPr="004A0212">
        <w:t xml:space="preserve"> </w:t>
      </w:r>
      <w:r w:rsidR="0F172926" w:rsidRPr="004A0212">
        <w:t xml:space="preserve">century </w:t>
      </w:r>
      <w:r w:rsidR="7A3239FA" w:rsidRPr="004A0212">
        <w:t>Britain</w:t>
      </w:r>
      <w:bookmarkEnd w:id="93"/>
      <w:bookmarkEnd w:id="94"/>
      <w:bookmarkEnd w:id="95"/>
      <w:bookmarkEnd w:id="96"/>
    </w:p>
    <w:p w14:paraId="2C44C71C" w14:textId="2084B8F4" w:rsidR="00C933C4" w:rsidRPr="004A0212" w:rsidRDefault="002875CE" w:rsidP="00761BED">
      <w:pPr>
        <w:pStyle w:val="AllNumbparas"/>
      </w:pPr>
      <w:r w:rsidRPr="004A0212">
        <w:t xml:space="preserve">The </w:t>
      </w:r>
      <w:r w:rsidR="00B00F42" w:rsidRPr="004A0212">
        <w:t xml:space="preserve">1834 </w:t>
      </w:r>
      <w:r w:rsidRPr="004A0212">
        <w:t xml:space="preserve">Poor Law </w:t>
      </w:r>
      <w:r w:rsidR="00C30D65" w:rsidRPr="004A0212">
        <w:t>changed how welfare was provided to people in poverty</w:t>
      </w:r>
      <w:r w:rsidR="00AD39DD" w:rsidRPr="004A0212">
        <w:t xml:space="preserve"> </w:t>
      </w:r>
      <w:r w:rsidRPr="004A0212">
        <w:t>in Britain</w:t>
      </w:r>
      <w:r w:rsidR="00A67C4A" w:rsidRPr="004A0212">
        <w:t>. I</w:t>
      </w:r>
      <w:r w:rsidRPr="004A0212">
        <w:t xml:space="preserve">nstead of providing </w:t>
      </w:r>
      <w:r w:rsidR="00C30D65" w:rsidRPr="004A0212">
        <w:t>support</w:t>
      </w:r>
      <w:r w:rsidRPr="004A0212">
        <w:t xml:space="preserve"> to the poor in their own homes (outdoor relief), a new chain of workhouses was built across the country.</w:t>
      </w:r>
      <w:r w:rsidRPr="004A0212">
        <w:rPr>
          <w:rStyle w:val="StyleFootnoteReferenceFagoFunotenzeichenFagoFunotenzeichen"/>
        </w:rPr>
        <w:footnoteReference w:id="44"/>
      </w:r>
      <w:r w:rsidRPr="004A0212">
        <w:t xml:space="preserve"> Workhouses had already existed for more than a century alongside outdoor relief, but from 1834 workhouses </w:t>
      </w:r>
      <w:r w:rsidR="00F147CE" w:rsidRPr="004A0212">
        <w:t>would</w:t>
      </w:r>
      <w:r w:rsidRPr="004A0212">
        <w:t xml:space="preserve"> be the </w:t>
      </w:r>
      <w:r w:rsidR="00FB2C55" w:rsidRPr="004A0212">
        <w:t xml:space="preserve">main </w:t>
      </w:r>
      <w:r w:rsidRPr="004A0212">
        <w:t>form of support available to the poor and were built using architectural models based on prisons.</w:t>
      </w:r>
      <w:r w:rsidRPr="004A0212">
        <w:rPr>
          <w:rStyle w:val="StyleFootnoteReferenceFagoFunotenzeichenFagoFunotenzeichen"/>
        </w:rPr>
        <w:footnoteReference w:id="45"/>
      </w:r>
      <w:r w:rsidRPr="004A0212">
        <w:t xml:space="preserve"> </w:t>
      </w:r>
    </w:p>
    <w:p w14:paraId="0354746D" w14:textId="1E6F3B5B" w:rsidR="002875CE" w:rsidRPr="004A0212" w:rsidRDefault="002875CE" w:rsidP="007D73A6">
      <w:pPr>
        <w:pStyle w:val="AllNumbparas"/>
      </w:pPr>
      <w:r w:rsidRPr="004A0212">
        <w:t xml:space="preserve">Conditions in workhouses were designed to be worse than those outside to </w:t>
      </w:r>
      <w:r w:rsidR="00C30D65" w:rsidRPr="004A0212">
        <w:t>discourage</w:t>
      </w:r>
      <w:r w:rsidRPr="004A0212">
        <w:t xml:space="preserve"> people from claiming poor relief. There were strict rules and minimal food or comfort. Families were separated</w:t>
      </w:r>
      <w:r w:rsidR="00EC08A7" w:rsidRPr="004A0212">
        <w:t>,</w:t>
      </w:r>
      <w:r w:rsidRPr="004A0212">
        <w:t xml:space="preserve"> with husbands, wives and children housed in separate sections.</w:t>
      </w:r>
      <w:r w:rsidRPr="004A0212">
        <w:rPr>
          <w:rStyle w:val="StyleFootnoteReferenceFagoFunotenzeichenFagoFunotenzeichen"/>
        </w:rPr>
        <w:footnoteReference w:id="46"/>
      </w:r>
      <w:r w:rsidRPr="004A0212">
        <w:t xml:space="preserve"> </w:t>
      </w:r>
    </w:p>
    <w:p w14:paraId="493DC88C" w14:textId="40501E50" w:rsidR="002875CE" w:rsidRPr="004A0212" w:rsidRDefault="002875CE" w:rsidP="007D73A6">
      <w:pPr>
        <w:pStyle w:val="AllNumbparas"/>
      </w:pPr>
      <w:r w:rsidRPr="004A0212">
        <w:t xml:space="preserve">Both the Poor Law </w:t>
      </w:r>
      <w:r w:rsidR="005C7099" w:rsidRPr="004A0212">
        <w:t>R</w:t>
      </w:r>
      <w:r w:rsidRPr="004A0212">
        <w:t>eport and the</w:t>
      </w:r>
      <w:r w:rsidR="002257A7" w:rsidRPr="004A0212">
        <w:t xml:space="preserve"> House of Commons </w:t>
      </w:r>
      <w:r w:rsidRPr="004A0212">
        <w:t>Committee were concerned about how to deal with people that were considered unproductive and potentially a source of disorder. The preferred solutions included:</w:t>
      </w:r>
    </w:p>
    <w:p w14:paraId="624381F1" w14:textId="77777777" w:rsidR="002875CE" w:rsidRPr="004A0212" w:rsidRDefault="002875CE" w:rsidP="007D73A6">
      <w:pPr>
        <w:pStyle w:val="Bulletpoints"/>
      </w:pPr>
      <w:r w:rsidRPr="004A0212">
        <w:t>asserting control</w:t>
      </w:r>
    </w:p>
    <w:p w14:paraId="52DCE7A5" w14:textId="6C4EBDFD" w:rsidR="002875CE" w:rsidRPr="004A0212" w:rsidRDefault="002875CE" w:rsidP="007D73A6">
      <w:pPr>
        <w:pStyle w:val="Bulletpoints"/>
      </w:pPr>
      <w:r w:rsidRPr="004A0212">
        <w:t>integrating outsiders into British society and economy (including institutions)</w:t>
      </w:r>
    </w:p>
    <w:p w14:paraId="7FAF90C2" w14:textId="69B64CB4" w:rsidR="002875CE" w:rsidRPr="004A0212" w:rsidRDefault="002875CE" w:rsidP="007D73A6">
      <w:pPr>
        <w:pStyle w:val="Bulletpoints"/>
      </w:pPr>
      <w:r w:rsidRPr="004A0212">
        <w:t xml:space="preserve">appointing protectors and overseers </w:t>
      </w:r>
    </w:p>
    <w:p w14:paraId="68593EB2" w14:textId="4BE2DC14" w:rsidR="0095655D" w:rsidRPr="004A0212" w:rsidRDefault="002875CE" w:rsidP="00A7675A">
      <w:pPr>
        <w:pStyle w:val="Bulletpoints"/>
      </w:pPr>
      <w:r w:rsidRPr="004A0212">
        <w:t>removing children from their parents (as children were considered particularly open to education and salvation).</w:t>
      </w:r>
      <w:r w:rsidRPr="004A0212">
        <w:rPr>
          <w:rStyle w:val="StyleFootnoteReferenceFagoFunotenzeichenFagoFunotenzeichen"/>
        </w:rPr>
        <w:footnoteReference w:id="47"/>
      </w:r>
      <w:r w:rsidRPr="004A0212">
        <w:rPr>
          <w:vertAlign w:val="superscript"/>
        </w:rPr>
        <w:t xml:space="preserve"> </w:t>
      </w:r>
    </w:p>
    <w:p w14:paraId="330EC7DB" w14:textId="297FA1AB" w:rsidR="003A1058" w:rsidRPr="004A0212" w:rsidRDefault="001C138B" w:rsidP="00582F90">
      <w:pPr>
        <w:pStyle w:val="AllNumbparas"/>
      </w:pPr>
      <w:r w:rsidRPr="004A0212">
        <w:t>These views would come to influence care settings in Aotearoa New Zealand</w:t>
      </w:r>
      <w:r w:rsidR="005E247F" w:rsidRPr="004A0212">
        <w:t>. Due to the settlers</w:t>
      </w:r>
      <w:r w:rsidR="00FC7965" w:rsidRPr="004A0212">
        <w:t>’</w:t>
      </w:r>
      <w:r w:rsidR="005E247F" w:rsidRPr="004A0212">
        <w:t xml:space="preserve"> dislike of workhouse</w:t>
      </w:r>
      <w:r w:rsidR="00FC7965" w:rsidRPr="004A0212">
        <w:t>s</w:t>
      </w:r>
      <w:r w:rsidR="005E247F" w:rsidRPr="004A0212">
        <w:t xml:space="preserve"> and their desire to build a </w:t>
      </w:r>
      <w:r w:rsidR="007B6B34" w:rsidRPr="004A0212">
        <w:t>‘</w:t>
      </w:r>
      <w:r w:rsidR="005E247F" w:rsidRPr="004A0212">
        <w:t>Brighter Britain</w:t>
      </w:r>
      <w:r w:rsidR="007B6B34" w:rsidRPr="004A0212">
        <w:t>’</w:t>
      </w:r>
      <w:r w:rsidR="005E247F" w:rsidRPr="004A0212">
        <w:t>, workhouses were not established here</w:t>
      </w:r>
      <w:r w:rsidR="00FB2C55" w:rsidRPr="004A0212">
        <w:t xml:space="preserve"> for </w:t>
      </w:r>
      <w:r w:rsidR="00536276" w:rsidRPr="004A0212">
        <w:t>providing aid to the poor</w:t>
      </w:r>
      <w:r w:rsidR="00FC7965" w:rsidRPr="004A0212">
        <w:t>.</w:t>
      </w:r>
      <w:r w:rsidR="009C257B" w:rsidRPr="004A0212">
        <w:rPr>
          <w:rStyle w:val="FootnoteReference"/>
        </w:rPr>
        <w:footnoteReference w:id="48"/>
      </w:r>
      <w:r w:rsidR="00536276" w:rsidRPr="004A0212">
        <w:t xml:space="preserve"> </w:t>
      </w:r>
      <w:r w:rsidR="005E247F" w:rsidRPr="004A0212">
        <w:t>However</w:t>
      </w:r>
      <w:r w:rsidR="00FC7965" w:rsidRPr="004A0212">
        <w:t>,</w:t>
      </w:r>
      <w:r w:rsidR="005E247F" w:rsidRPr="004A0212">
        <w:t xml:space="preserve"> </w:t>
      </w:r>
      <w:r w:rsidR="00FC7965" w:rsidRPr="004A0212">
        <w:t>their</w:t>
      </w:r>
      <w:r w:rsidR="005E247F" w:rsidRPr="004A0212">
        <w:t xml:space="preserve"> influence could be seen in </w:t>
      </w:r>
      <w:r w:rsidR="00EA790C" w:rsidRPr="004A0212">
        <w:t xml:space="preserve">the industrial schools established for </w:t>
      </w:r>
      <w:r w:rsidR="009C257B" w:rsidRPr="004A0212">
        <w:t>children in Aotearoa New Zealand in the 19</w:t>
      </w:r>
      <w:r w:rsidR="009C257B" w:rsidRPr="004A0212">
        <w:rPr>
          <w:vertAlign w:val="superscript"/>
        </w:rPr>
        <w:t>th</w:t>
      </w:r>
      <w:r w:rsidR="009C257B" w:rsidRPr="004A0212">
        <w:t xml:space="preserve"> century</w:t>
      </w:r>
      <w:r w:rsidRPr="004A0212">
        <w:t>.</w:t>
      </w:r>
      <w:r w:rsidR="000B06C9" w:rsidRPr="004A0212">
        <w:rPr>
          <w:rStyle w:val="FootnoteReference"/>
        </w:rPr>
        <w:footnoteReference w:id="49"/>
      </w:r>
    </w:p>
    <w:p w14:paraId="14C06BEC" w14:textId="2069F863" w:rsidR="007F684E" w:rsidRPr="004A0212" w:rsidRDefault="41AF049F" w:rsidP="02397200">
      <w:pPr>
        <w:pStyle w:val="Hed4"/>
      </w:pPr>
      <w:bookmarkStart w:id="97" w:name="_Toc1548783355"/>
      <w:bookmarkStart w:id="98" w:name="_Toc168638897"/>
      <w:proofErr w:type="spellStart"/>
      <w:r w:rsidRPr="28960EE1">
        <w:rPr>
          <w:lang w:val="en-US"/>
        </w:rPr>
        <w:t>Te</w:t>
      </w:r>
      <w:proofErr w:type="spellEnd"/>
      <w:r w:rsidRPr="28960EE1">
        <w:rPr>
          <w:lang w:val="en-US"/>
        </w:rPr>
        <w:t xml:space="preserve"> </w:t>
      </w:r>
      <w:proofErr w:type="spellStart"/>
      <w:r w:rsidRPr="28960EE1">
        <w:rPr>
          <w:lang w:val="en-US"/>
        </w:rPr>
        <w:t>taurimatanga</w:t>
      </w:r>
      <w:proofErr w:type="spellEnd"/>
      <w:r w:rsidRPr="28960EE1">
        <w:rPr>
          <w:lang w:val="en-US"/>
        </w:rPr>
        <w:t xml:space="preserve"> me </w:t>
      </w:r>
      <w:proofErr w:type="spellStart"/>
      <w:r w:rsidRPr="28960EE1">
        <w:rPr>
          <w:lang w:val="en-US"/>
        </w:rPr>
        <w:t>te</w:t>
      </w:r>
      <w:proofErr w:type="spellEnd"/>
      <w:r w:rsidRPr="28960EE1">
        <w:rPr>
          <w:lang w:val="en-US"/>
        </w:rPr>
        <w:t xml:space="preserve"> </w:t>
      </w:r>
      <w:proofErr w:type="spellStart"/>
      <w:r w:rsidRPr="28960EE1">
        <w:rPr>
          <w:lang w:val="en-US"/>
        </w:rPr>
        <w:t>tokoora</w:t>
      </w:r>
      <w:proofErr w:type="spellEnd"/>
      <w:r w:rsidRPr="28960EE1">
        <w:rPr>
          <w:lang w:val="en-US"/>
        </w:rPr>
        <w:t xml:space="preserve"> </w:t>
      </w:r>
      <w:proofErr w:type="spellStart"/>
      <w:r w:rsidR="046F427C" w:rsidRPr="28960EE1">
        <w:rPr>
          <w:lang w:val="en-US"/>
        </w:rPr>
        <w:t>i</w:t>
      </w:r>
      <w:proofErr w:type="spellEnd"/>
      <w:r w:rsidR="046F427C" w:rsidRPr="28960EE1">
        <w:rPr>
          <w:lang w:val="en-US"/>
        </w:rPr>
        <w:t xml:space="preserve"> </w:t>
      </w:r>
      <w:proofErr w:type="spellStart"/>
      <w:r w:rsidR="046F427C" w:rsidRPr="28960EE1">
        <w:rPr>
          <w:lang w:val="en-US"/>
        </w:rPr>
        <w:t>te</w:t>
      </w:r>
      <w:proofErr w:type="spellEnd"/>
      <w:r w:rsidR="046F427C" w:rsidRPr="28960EE1">
        <w:rPr>
          <w:lang w:val="en-US"/>
        </w:rPr>
        <w:t xml:space="preserve"> </w:t>
      </w:r>
      <w:proofErr w:type="spellStart"/>
      <w:r w:rsidR="046F427C" w:rsidRPr="28960EE1">
        <w:rPr>
          <w:lang w:val="en-US"/>
        </w:rPr>
        <w:t>rautau</w:t>
      </w:r>
      <w:proofErr w:type="spellEnd"/>
      <w:r w:rsidR="046F427C" w:rsidRPr="28960EE1">
        <w:rPr>
          <w:lang w:val="en-US"/>
        </w:rPr>
        <w:t xml:space="preserve"> 19 </w:t>
      </w:r>
      <w:r w:rsidRPr="28960EE1">
        <w:rPr>
          <w:lang w:val="en-US"/>
        </w:rPr>
        <w:t>Aotearoa</w:t>
      </w:r>
      <w:bookmarkStart w:id="99" w:name="_Toc150933083"/>
      <w:bookmarkStart w:id="100" w:name="_Toc150953401"/>
      <w:bookmarkEnd w:id="97"/>
      <w:bookmarkEnd w:id="98"/>
    </w:p>
    <w:p w14:paraId="087405D1" w14:textId="107933AF" w:rsidR="002875CE" w:rsidRPr="004A0212" w:rsidRDefault="62427446" w:rsidP="02397200">
      <w:pPr>
        <w:pStyle w:val="Hed4"/>
      </w:pPr>
      <w:bookmarkStart w:id="101" w:name="_Toc1116519523"/>
      <w:bookmarkStart w:id="102" w:name="_Toc168638898"/>
      <w:r w:rsidRPr="004A0212">
        <w:t>C</w:t>
      </w:r>
      <w:r w:rsidR="2E6F95C9" w:rsidRPr="004A0212">
        <w:t>are and welfare</w:t>
      </w:r>
      <w:r w:rsidR="56C0594A" w:rsidRPr="004A0212">
        <w:t xml:space="preserve"> in </w:t>
      </w:r>
      <w:r w:rsidR="5F2BDC55" w:rsidRPr="004A0212">
        <w:t>19</w:t>
      </w:r>
      <w:r w:rsidR="5F2BDC55" w:rsidRPr="004A0212">
        <w:rPr>
          <w:vertAlign w:val="superscript"/>
        </w:rPr>
        <w:t>th</w:t>
      </w:r>
      <w:r w:rsidR="5F2BDC55" w:rsidRPr="004A0212">
        <w:t xml:space="preserve"> century </w:t>
      </w:r>
      <w:r w:rsidR="56C0594A" w:rsidRPr="004A0212">
        <w:t>Aotearoa</w:t>
      </w:r>
      <w:bookmarkEnd w:id="99"/>
      <w:bookmarkEnd w:id="100"/>
      <w:r w:rsidR="0D9449DD" w:rsidRPr="004A0212">
        <w:t xml:space="preserve"> New Zealand</w:t>
      </w:r>
      <w:bookmarkEnd w:id="101"/>
      <w:bookmarkEnd w:id="102"/>
    </w:p>
    <w:p w14:paraId="660FE5E9" w14:textId="149B3243" w:rsidR="002875CE" w:rsidRPr="004A0212" w:rsidRDefault="002875CE" w:rsidP="007D73A6">
      <w:pPr>
        <w:pStyle w:val="AllNumbparas"/>
        <w:rPr>
          <w:rStyle w:val="normaltextrun"/>
        </w:rPr>
      </w:pPr>
      <w:r w:rsidRPr="004A0212">
        <w:rPr>
          <w:rStyle w:val="normaltextrun"/>
        </w:rPr>
        <w:t>In the 19</w:t>
      </w:r>
      <w:r w:rsidRPr="004A0212">
        <w:rPr>
          <w:rStyle w:val="normaltextrun"/>
          <w:vertAlign w:val="superscript"/>
        </w:rPr>
        <w:t>th</w:t>
      </w:r>
      <w:r w:rsidRPr="004A0212">
        <w:rPr>
          <w:rStyle w:val="normaltextrun"/>
        </w:rPr>
        <w:t xml:space="preserve"> </w:t>
      </w:r>
      <w:r w:rsidR="00D9675D" w:rsidRPr="004A0212">
        <w:rPr>
          <w:rStyle w:val="normaltextrun"/>
        </w:rPr>
        <w:t>century</w:t>
      </w:r>
      <w:r w:rsidRPr="004A0212">
        <w:rPr>
          <w:rStyle w:val="normaltextrun"/>
        </w:rPr>
        <w:t>, faith-based care was often the only available option for care outside of the family unit</w:t>
      </w:r>
      <w:r w:rsidR="00EF0F23" w:rsidRPr="004A0212">
        <w:rPr>
          <w:rStyle w:val="normaltextrun"/>
        </w:rPr>
        <w:t xml:space="preserve">, particularly for </w:t>
      </w:r>
      <w:r w:rsidR="00EF0F23" w:rsidRPr="004A0212">
        <w:t>Pākehā</w:t>
      </w:r>
      <w:r w:rsidR="00EF0F23" w:rsidRPr="004A0212">
        <w:rPr>
          <w:rStyle w:val="normaltextrun"/>
        </w:rPr>
        <w:t xml:space="preserve"> with few or no family networks</w:t>
      </w:r>
      <w:r w:rsidRPr="004A0212">
        <w:rPr>
          <w:rStyle w:val="normaltextrun"/>
        </w:rPr>
        <w:t>. For most of the 19</w:t>
      </w:r>
      <w:r w:rsidRPr="004A0212">
        <w:rPr>
          <w:rStyle w:val="normaltextrun"/>
          <w:vertAlign w:val="superscript"/>
        </w:rPr>
        <w:t>th</w:t>
      </w:r>
      <w:r w:rsidRPr="004A0212">
        <w:rPr>
          <w:rStyle w:val="normaltextrun"/>
        </w:rPr>
        <w:t xml:space="preserve"> </w:t>
      </w:r>
      <w:r w:rsidR="00D9675D" w:rsidRPr="004A0212">
        <w:rPr>
          <w:rStyle w:val="normaltextrun"/>
        </w:rPr>
        <w:t>century</w:t>
      </w:r>
      <w:r w:rsidRPr="004A0212">
        <w:rPr>
          <w:rStyle w:val="normaltextrun"/>
        </w:rPr>
        <w:t>, the State did not see itself as responsible for the care of those in need, preferring to leave that to the individual’s family or church community.</w:t>
      </w:r>
      <w:r w:rsidRPr="004A0212">
        <w:rPr>
          <w:rStyle w:val="StyleFootnoteReferenceFagoFunotenzeichenFagoFunotenzeichen"/>
        </w:rPr>
        <w:footnoteReference w:id="50"/>
      </w:r>
      <w:r w:rsidRPr="004A0212">
        <w:rPr>
          <w:rStyle w:val="normaltextrun"/>
        </w:rPr>
        <w:t xml:space="preserve"> </w:t>
      </w:r>
      <w:r w:rsidR="005623BD" w:rsidRPr="004A0212">
        <w:t>Provincial governments also provided financial relief, subsidised existing institutions, or set up their own institutions</w:t>
      </w:r>
      <w:r w:rsidR="00B6235C" w:rsidRPr="004A0212">
        <w:t xml:space="preserve"> such as the Otago Benevolent Institution</w:t>
      </w:r>
      <w:r w:rsidR="005623BD" w:rsidRPr="004A0212">
        <w:t>.</w:t>
      </w:r>
      <w:r w:rsidR="001A1D37" w:rsidRPr="004A0212">
        <w:rPr>
          <w:rStyle w:val="FootnoteReference"/>
        </w:rPr>
        <w:footnoteReference w:id="51"/>
      </w:r>
    </w:p>
    <w:p w14:paraId="0AF40453" w14:textId="71A9A25B" w:rsidR="002875CE" w:rsidRPr="004A0212" w:rsidRDefault="002875CE" w:rsidP="007D73A6">
      <w:pPr>
        <w:pStyle w:val="AllNumbparas"/>
      </w:pPr>
      <w:r w:rsidRPr="004A0212">
        <w:rPr>
          <w:rStyle w:val="normaltextrun"/>
        </w:rPr>
        <w:t xml:space="preserve">Churches were also trusted institutions, seen as safe </w:t>
      </w:r>
      <w:r w:rsidRPr="004A0212">
        <w:t>places</w:t>
      </w:r>
      <w:r w:rsidRPr="004A0212">
        <w:rPr>
          <w:rStyle w:val="normaltextrun"/>
        </w:rPr>
        <w:t xml:space="preserve"> that could provide good care for </w:t>
      </w:r>
      <w:r w:rsidR="00D9675D" w:rsidRPr="004A0212">
        <w:rPr>
          <w:rStyle w:val="normaltextrun"/>
        </w:rPr>
        <w:t>children, young people</w:t>
      </w:r>
      <w:r w:rsidRPr="004A0212">
        <w:rPr>
          <w:rStyle w:val="normaltextrun"/>
        </w:rPr>
        <w:t xml:space="preserve"> and </w:t>
      </w:r>
      <w:r w:rsidR="0055301A" w:rsidRPr="004A0212">
        <w:rPr>
          <w:rStyle w:val="normaltextrun"/>
        </w:rPr>
        <w:t>adults in care</w:t>
      </w:r>
      <w:r w:rsidRPr="004A0212">
        <w:rPr>
          <w:rStyle w:val="normaltextrun"/>
        </w:rPr>
        <w:t xml:space="preserve">. </w:t>
      </w:r>
      <w:r w:rsidR="006355C0" w:rsidRPr="004A0212">
        <w:rPr>
          <w:rStyle w:val="normaltextrun"/>
        </w:rPr>
        <w:t xml:space="preserve">The </w:t>
      </w:r>
      <w:r w:rsidR="009F1DDB" w:rsidRPr="004A0212">
        <w:rPr>
          <w:rStyle w:val="normaltextrun"/>
        </w:rPr>
        <w:t>f</w:t>
      </w:r>
      <w:r w:rsidR="006355C0" w:rsidRPr="004A0212">
        <w:rPr>
          <w:rStyle w:val="normaltextrun"/>
        </w:rPr>
        <w:t>aiths have a long history of providing car</w:t>
      </w:r>
      <w:r w:rsidR="00025979" w:rsidRPr="004A0212">
        <w:rPr>
          <w:rStyle w:val="normaltextrun"/>
        </w:rPr>
        <w:t>e.</w:t>
      </w:r>
      <w:r w:rsidR="00296DCB" w:rsidRPr="004A0212">
        <w:rPr>
          <w:rStyle w:val="StyleFootnoteReferenceFagoFunotenzeichenFagoFunotenzeichen"/>
        </w:rPr>
        <w:footnoteReference w:id="52"/>
      </w:r>
      <w:r w:rsidR="00296DCB" w:rsidRPr="004A0212">
        <w:rPr>
          <w:rStyle w:val="normaltextrun"/>
        </w:rPr>
        <w:t xml:space="preserve"> </w:t>
      </w:r>
      <w:r w:rsidRPr="004A0212">
        <w:t>Faith-based care was motivated by a sense of charity for the destitute as well as a desire to spread Christian values and beliefs.</w:t>
      </w:r>
    </w:p>
    <w:p w14:paraId="34B37109" w14:textId="2F4663EE" w:rsidR="00DD353B" w:rsidRPr="004A0212" w:rsidRDefault="00AC4BA2" w:rsidP="00AC4BA2">
      <w:pPr>
        <w:pStyle w:val="AllNumbparas"/>
      </w:pPr>
      <w:r w:rsidRPr="004A0212">
        <w:t>The 1877 Destitute Persons Act reinforced the existing principle of family responsibility for the care of the poor, making both ‘near relatives’ and more distant relations of a destitute person responsible for supporting them.</w:t>
      </w:r>
      <w:r w:rsidR="00CC0F3C" w:rsidRPr="004A0212">
        <w:rPr>
          <w:rStyle w:val="StyleFootnoteReferenceFagoFunotenzeichenFagoFunotenzeichen"/>
        </w:rPr>
        <w:footnoteReference w:id="53"/>
      </w:r>
    </w:p>
    <w:p w14:paraId="74C7BBF6" w14:textId="6C340018" w:rsidR="00243A8B" w:rsidRPr="004A0212" w:rsidRDefault="00243A8B" w:rsidP="00243A8B">
      <w:pPr>
        <w:pStyle w:val="Numbparas"/>
        <w:rPr>
          <w:color w:val="000000" w:themeColor="text1"/>
        </w:rPr>
      </w:pPr>
      <w:r w:rsidRPr="004A0212">
        <w:t>From 1867, children and young people charged in the Courts with being ‘neglected’, ‘uncontrollable’ or ‘criminal’ could be sent to one of a series of industrial schools.</w:t>
      </w:r>
      <w:r w:rsidRPr="004A0212">
        <w:rPr>
          <w:rStyle w:val="StyleFootnoteReferenceFagoFunotenzeichenFagoFunotenzeichen"/>
        </w:rPr>
        <w:footnoteReference w:id="54"/>
      </w:r>
      <w:r w:rsidRPr="004A0212">
        <w:t xml:space="preserve"> The list of ‘offences’ that could lead to a child’s committal to industrial school included ‘begging’, ‘wandering about or frequenting any street or public place’, being homeless, and ‘associating with </w:t>
      </w:r>
      <w:r w:rsidR="000F5CA7" w:rsidRPr="004A0212">
        <w:t>prostitutes, drunkards, thieves or vagrants</w:t>
      </w:r>
      <w:r w:rsidR="007D7C61" w:rsidRPr="004A0212">
        <w:t>’</w:t>
      </w:r>
      <w:r w:rsidRPr="004A0212">
        <w:t>.</w:t>
      </w:r>
      <w:r w:rsidRPr="004A0212">
        <w:rPr>
          <w:rStyle w:val="StyleFootnoteReferenceFagoFunotenzeichenFagoFunotenzeichen"/>
        </w:rPr>
        <w:footnoteReference w:id="55"/>
      </w:r>
      <w:r w:rsidRPr="004A0212">
        <w:t xml:space="preserve"> In 1880, the newly-established Department of Education took </w:t>
      </w:r>
      <w:r w:rsidRPr="004A0212">
        <w:rPr>
          <w:color w:val="000000" w:themeColor="text1"/>
        </w:rPr>
        <w:t>over control of the industrial schools.</w:t>
      </w:r>
      <w:r w:rsidRPr="004A0212">
        <w:rPr>
          <w:rStyle w:val="StyleFootnoteReferenceFagoFunotenzeichenFagoFunotenzeichen"/>
        </w:rPr>
        <w:footnoteReference w:id="56"/>
      </w:r>
      <w:r w:rsidRPr="004A0212">
        <w:rPr>
          <w:color w:val="000000" w:themeColor="text1"/>
        </w:rPr>
        <w:t xml:space="preserve"> </w:t>
      </w:r>
    </w:p>
    <w:p w14:paraId="4A5BC9E1" w14:textId="30562E46" w:rsidR="004D14C2" w:rsidRPr="004A0212" w:rsidRDefault="000167BC" w:rsidP="0042463B">
      <w:pPr>
        <w:pStyle w:val="AllNumbparas"/>
        <w:rPr>
          <w:rStyle w:val="normaltextrun"/>
          <w:color w:val="000000" w:themeColor="text1"/>
        </w:rPr>
      </w:pPr>
      <w:r w:rsidRPr="004A0212">
        <w:rPr>
          <w:rStyle w:val="normaltextrun"/>
          <w:color w:val="000000" w:themeColor="text1"/>
        </w:rPr>
        <w:t>In 1885, the government established a system of district Charitable Aid Boards. The boards’ powers included control of charitable institutions in their districts, and the guardianship of children in the care of industrial schools.</w:t>
      </w:r>
      <w:r w:rsidR="002466F2" w:rsidRPr="004A0212">
        <w:rPr>
          <w:rStyle w:val="StyleFootnoteReferenceFagoFunotenzeichenFagoFunotenzeichen"/>
        </w:rPr>
        <w:footnoteReference w:id="57"/>
      </w:r>
    </w:p>
    <w:p w14:paraId="7D2AD3B6" w14:textId="3672E1A2" w:rsidR="000B3986" w:rsidRPr="004A0212" w:rsidRDefault="00436B0B" w:rsidP="00436B0B">
      <w:pPr>
        <w:pStyle w:val="AllNumbparas"/>
      </w:pPr>
      <w:r w:rsidRPr="004A0212">
        <w:rPr>
          <w:color w:val="000000" w:themeColor="text1"/>
        </w:rPr>
        <w:t xml:space="preserve">Institutionalisation was not the only option for children who committed offences or were charged with being a neglected child in the </w:t>
      </w:r>
      <w:r w:rsidRPr="004A0212">
        <w:t xml:space="preserve">late </w:t>
      </w:r>
      <w:r w:rsidR="00C44483" w:rsidRPr="004A0212">
        <w:t>19</w:t>
      </w:r>
      <w:r w:rsidR="00C44483" w:rsidRPr="004A0212">
        <w:rPr>
          <w:vertAlign w:val="superscript"/>
        </w:rPr>
        <w:t>th</w:t>
      </w:r>
      <w:r w:rsidR="00C44483" w:rsidRPr="004A0212">
        <w:t xml:space="preserve"> </w:t>
      </w:r>
      <w:r w:rsidRPr="004A0212">
        <w:t>century. From 1882, children sentenced to industrial schools could be boarded out to foster homes or placed into service, which meant farm labour for boys and domestic service for girls.</w:t>
      </w:r>
      <w:r w:rsidR="00B61550" w:rsidRPr="004A0212">
        <w:rPr>
          <w:rStyle w:val="StyleFootnoteReferenceFagoFunotenzeichenFagoFunotenzeichen"/>
        </w:rPr>
        <w:footnoteReference w:id="58"/>
      </w:r>
    </w:p>
    <w:p w14:paraId="3C1544D4" w14:textId="6A845E97" w:rsidR="00150CF3" w:rsidRPr="004A0212" w:rsidRDefault="00FA0053" w:rsidP="00FA0053">
      <w:pPr>
        <w:pStyle w:val="AllNumbparas"/>
      </w:pPr>
      <w:r w:rsidRPr="004A0212">
        <w:t>Fostering or ‘boarding out’ came to be governments’ favoured option for such young people, as it created both a ‘family environment’ for the child, and a cheaper alternative to institutional care.</w:t>
      </w:r>
      <w:r w:rsidR="001E78B8" w:rsidRPr="004A0212">
        <w:rPr>
          <w:rStyle w:val="StyleFootnoteReferenceFagoFunotenzeichenFagoFunotenzeichen"/>
        </w:rPr>
        <w:footnoteReference w:id="59"/>
      </w:r>
    </w:p>
    <w:p w14:paraId="0FB8C57F" w14:textId="20E3E38C" w:rsidR="00117706" w:rsidRPr="004A0212" w:rsidRDefault="00117706" w:rsidP="00FA0053">
      <w:pPr>
        <w:pStyle w:val="AllNumbparas"/>
      </w:pPr>
      <w:r w:rsidRPr="004A0212">
        <w:t xml:space="preserve">There were issues with abuse in these early care settings. For example, </w:t>
      </w:r>
      <w:r w:rsidR="0006374B" w:rsidRPr="004A0212">
        <w:t xml:space="preserve">a 1908 inquiry into the Te Oranga </w:t>
      </w:r>
      <w:r w:rsidR="006B3EA5" w:rsidRPr="004A0212">
        <w:t>G</w:t>
      </w:r>
      <w:r w:rsidR="0006374B" w:rsidRPr="004A0212">
        <w:t>irls</w:t>
      </w:r>
      <w:r w:rsidR="006B3EA5" w:rsidRPr="004A0212">
        <w:t>’</w:t>
      </w:r>
      <w:r w:rsidR="0006374B" w:rsidRPr="004A0212">
        <w:t xml:space="preserve"> </w:t>
      </w:r>
      <w:r w:rsidR="006B3EA5" w:rsidRPr="004A0212">
        <w:t>H</w:t>
      </w:r>
      <w:r w:rsidR="0006374B" w:rsidRPr="004A0212">
        <w:t xml:space="preserve">ome </w:t>
      </w:r>
      <w:r w:rsidR="00D911EF" w:rsidRPr="004A0212">
        <w:t>(</w:t>
      </w:r>
      <w:r w:rsidR="00E95BA0" w:rsidRPr="004A0212">
        <w:t xml:space="preserve">called </w:t>
      </w:r>
      <w:r w:rsidR="00D911EF" w:rsidRPr="004A0212">
        <w:t>Kingslea</w:t>
      </w:r>
      <w:r w:rsidR="00DE703E" w:rsidRPr="004A0212">
        <w:t xml:space="preserve"> Girls</w:t>
      </w:r>
      <w:r w:rsidR="009B255E" w:rsidRPr="004A0212">
        <w:t>’</w:t>
      </w:r>
      <w:r w:rsidR="00DE703E" w:rsidRPr="004A0212">
        <w:t xml:space="preserve"> </w:t>
      </w:r>
      <w:r w:rsidR="004C6F4F" w:rsidRPr="004A0212">
        <w:t>Tra</w:t>
      </w:r>
      <w:r w:rsidR="005158B2" w:rsidRPr="004A0212">
        <w:t>ining Centre</w:t>
      </w:r>
      <w:r w:rsidR="00D911EF" w:rsidRPr="004A0212">
        <w:t xml:space="preserve"> from 1965</w:t>
      </w:r>
      <w:r w:rsidR="00906A1C" w:rsidRPr="004A0212">
        <w:t xml:space="preserve">) </w:t>
      </w:r>
      <w:r w:rsidR="0006374B" w:rsidRPr="004A0212">
        <w:t xml:space="preserve">in </w:t>
      </w:r>
      <w:proofErr w:type="spellStart"/>
      <w:r w:rsidR="004D3F7C" w:rsidRPr="004A0212">
        <w:t>Ō</w:t>
      </w:r>
      <w:r w:rsidR="0006374B" w:rsidRPr="004A0212">
        <w:t>ta</w:t>
      </w:r>
      <w:r w:rsidR="00906A1C" w:rsidRPr="004A0212">
        <w:t>uta</w:t>
      </w:r>
      <w:r w:rsidR="0006374B" w:rsidRPr="004A0212">
        <w:t>hi</w:t>
      </w:r>
      <w:proofErr w:type="spellEnd"/>
      <w:r w:rsidR="0006374B" w:rsidRPr="004A0212">
        <w:t xml:space="preserve"> Christchurch </w:t>
      </w:r>
      <w:r w:rsidR="0076303D" w:rsidRPr="004A0212">
        <w:t>heard evidence of physical abuse</w:t>
      </w:r>
      <w:r w:rsidR="00CF654E" w:rsidRPr="004A0212">
        <w:t>,</w:t>
      </w:r>
      <w:r w:rsidR="0071610E" w:rsidRPr="004A0212">
        <w:rPr>
          <w:rStyle w:val="FootnoteReference"/>
        </w:rPr>
        <w:footnoteReference w:id="60"/>
      </w:r>
      <w:r w:rsidR="0076303D" w:rsidRPr="004A0212">
        <w:t xml:space="preserve"> </w:t>
      </w:r>
      <w:r w:rsidR="009226BA" w:rsidRPr="004A0212">
        <w:t xml:space="preserve">while </w:t>
      </w:r>
      <w:r w:rsidR="00F839C1" w:rsidRPr="004A0212">
        <w:t xml:space="preserve">the </w:t>
      </w:r>
      <w:r w:rsidR="00D53AB1" w:rsidRPr="004A0212">
        <w:t xml:space="preserve">Catholic </w:t>
      </w:r>
      <w:r w:rsidR="009226BA" w:rsidRPr="004A0212">
        <w:t>Sunnybank Boys</w:t>
      </w:r>
      <w:r w:rsidR="00D85A9D" w:rsidRPr="004A0212">
        <w:t>’</w:t>
      </w:r>
      <w:r w:rsidR="009226BA" w:rsidRPr="004A0212">
        <w:t xml:space="preserve"> </w:t>
      </w:r>
      <w:r w:rsidR="00906A1C" w:rsidRPr="004A0212">
        <w:t>Home</w:t>
      </w:r>
      <w:r w:rsidR="00D53AB1" w:rsidRPr="004A0212">
        <w:t xml:space="preserve"> (</w:t>
      </w:r>
      <w:r w:rsidR="00E95BA0" w:rsidRPr="004A0212">
        <w:t xml:space="preserve">called </w:t>
      </w:r>
      <w:proofErr w:type="spellStart"/>
      <w:r w:rsidR="00D53AB1" w:rsidRPr="004A0212">
        <w:t>Garindale</w:t>
      </w:r>
      <w:proofErr w:type="spellEnd"/>
      <w:r w:rsidR="00D53AB1" w:rsidRPr="004A0212">
        <w:t xml:space="preserve"> from </w:t>
      </w:r>
      <w:r w:rsidR="000525A7" w:rsidRPr="004A0212">
        <w:t>1975)</w:t>
      </w:r>
      <w:r w:rsidR="00886BE9" w:rsidRPr="004A0212">
        <w:t xml:space="preserve"> </w:t>
      </w:r>
      <w:r w:rsidR="00E95BA0" w:rsidRPr="004A0212">
        <w:t>in Nelson</w:t>
      </w:r>
      <w:r w:rsidR="00886BE9" w:rsidRPr="004A0212">
        <w:t xml:space="preserve"> had reports of physical and sexual abuse in the 1940s.</w:t>
      </w:r>
      <w:r w:rsidR="00C540FC" w:rsidRPr="004A0212">
        <w:rPr>
          <w:rStyle w:val="FootnoteReference"/>
        </w:rPr>
        <w:footnoteReference w:id="61"/>
      </w:r>
    </w:p>
    <w:p w14:paraId="75AC3FE8" w14:textId="77777777" w:rsidR="00B36222" w:rsidRDefault="00B36222">
      <w:pPr>
        <w:keepLines w:val="0"/>
        <w:rPr>
          <w:rFonts w:ascii="Arial" w:hAnsi="Arial" w:cs="Arial"/>
          <w:b/>
          <w:bCs/>
          <w:i/>
          <w:iCs/>
        </w:rPr>
      </w:pPr>
      <w:r>
        <w:rPr>
          <w:rFonts w:ascii="Arial" w:hAnsi="Arial" w:cs="Arial"/>
          <w:b/>
          <w:bCs/>
          <w:i/>
          <w:iCs/>
        </w:rPr>
        <w:br w:type="page"/>
      </w:r>
    </w:p>
    <w:p w14:paraId="6A7A9989" w14:textId="2016A6F3" w:rsidR="00B36222" w:rsidRDefault="00B36222" w:rsidP="00B36222">
      <w:pPr>
        <w:pStyle w:val="BodyText"/>
        <w:rPr>
          <w:rFonts w:ascii="Arial" w:hAnsi="Arial" w:cs="Arial"/>
          <w:sz w:val="22"/>
        </w:rPr>
      </w:pPr>
      <w:r>
        <w:rPr>
          <w:rFonts w:ascii="Arial" w:hAnsi="Arial" w:cs="Arial"/>
          <w:sz w:val="22"/>
        </w:rPr>
        <w:t>[</w:t>
      </w:r>
      <w:r w:rsidR="00BD7646">
        <w:rPr>
          <w:rFonts w:ascii="Arial" w:hAnsi="Arial" w:cs="Arial"/>
          <w:sz w:val="22"/>
        </w:rPr>
        <w:t>Q</w:t>
      </w:r>
      <w:r>
        <w:rPr>
          <w:rFonts w:ascii="Arial" w:hAnsi="Arial" w:cs="Arial"/>
          <w:sz w:val="22"/>
        </w:rPr>
        <w:t>uote]</w:t>
      </w:r>
    </w:p>
    <w:p w14:paraId="2C9BF2E7" w14:textId="39BEDEEA" w:rsidR="00FB1245" w:rsidRPr="005219D0" w:rsidRDefault="003B75FA" w:rsidP="00CA42B5">
      <w:pPr>
        <w:pStyle w:val="AllQuotes"/>
        <w:rPr>
          <w:b/>
        </w:rPr>
      </w:pPr>
      <w:r w:rsidRPr="005219D0">
        <w:rPr>
          <w:b/>
        </w:rPr>
        <w:t>“a crushing conformity, enforced by intense levels of formal and informal social control and fear of appearing different, fear of not belonging to and fear of being rejected by this tightly drawn homogenous community”.</w:t>
      </w:r>
    </w:p>
    <w:p w14:paraId="6231D5F7" w14:textId="77777777" w:rsidR="00796312" w:rsidRDefault="00CE1AFE" w:rsidP="00CA42B5">
      <w:pPr>
        <w:pStyle w:val="AllQuotes"/>
        <w:rPr>
          <w:b/>
        </w:rPr>
      </w:pPr>
      <w:r w:rsidRPr="000D24E0">
        <w:rPr>
          <w:b/>
        </w:rPr>
        <w:t>John Pratt</w:t>
      </w:r>
    </w:p>
    <w:p w14:paraId="00582E49" w14:textId="04664355" w:rsidR="007E36E5" w:rsidRPr="005219D0" w:rsidRDefault="003B75FA" w:rsidP="00CA42B5">
      <w:pPr>
        <w:pStyle w:val="AllQuotes"/>
        <w:rPr>
          <w:b/>
        </w:rPr>
      </w:pPr>
      <w:r w:rsidRPr="005219D0">
        <w:rPr>
          <w:b/>
        </w:rPr>
        <w:t xml:space="preserve">Criminologist </w:t>
      </w:r>
    </w:p>
    <w:p w14:paraId="631DB317" w14:textId="77777777" w:rsidR="00080782" w:rsidRPr="004A0212" w:rsidRDefault="00080782" w:rsidP="003B75FA">
      <w:pPr>
        <w:keepLines w:val="0"/>
        <w:rPr>
          <w:rFonts w:ascii="Arial" w:hAnsi="Arial" w:cs="Arial"/>
        </w:rPr>
      </w:pPr>
    </w:p>
    <w:p w14:paraId="2440DF05" w14:textId="77777777" w:rsidR="00686259" w:rsidRDefault="00686259">
      <w:pPr>
        <w:keepLines w:val="0"/>
      </w:pPr>
      <w:r>
        <w:br w:type="page"/>
      </w:r>
    </w:p>
    <w:p w14:paraId="77F6F57C" w14:textId="6347B9D7" w:rsidR="00C57358" w:rsidRPr="00C15C8B" w:rsidRDefault="00C57358" w:rsidP="00C57358">
      <w:pPr>
        <w:pStyle w:val="BodyText"/>
        <w:rPr>
          <w:rFonts w:ascii="Arial" w:hAnsi="Arial" w:cs="Arial"/>
          <w:sz w:val="22"/>
          <w:szCs w:val="22"/>
        </w:rPr>
      </w:pPr>
      <w:r w:rsidRPr="00CA42B5">
        <w:rPr>
          <w:rFonts w:ascii="Arial" w:hAnsi="Arial" w:cs="Arial"/>
          <w:sz w:val="22"/>
          <w:szCs w:val="22"/>
        </w:rPr>
        <w:t>[</w:t>
      </w:r>
      <w:r w:rsidR="00C84E18">
        <w:rPr>
          <w:rFonts w:ascii="Arial" w:hAnsi="Arial" w:cs="Arial"/>
          <w:sz w:val="22"/>
          <w:szCs w:val="22"/>
        </w:rPr>
        <w:t>S</w:t>
      </w:r>
      <w:r w:rsidRPr="00C15C8B">
        <w:rPr>
          <w:rFonts w:ascii="Arial" w:hAnsi="Arial" w:cs="Arial"/>
          <w:sz w:val="22"/>
          <w:szCs w:val="22"/>
        </w:rPr>
        <w:t xml:space="preserve">urvivor quote preceding </w:t>
      </w:r>
      <w:r w:rsidR="00C84E18">
        <w:rPr>
          <w:rFonts w:ascii="Arial" w:hAnsi="Arial" w:cs="Arial"/>
          <w:sz w:val="22"/>
          <w:szCs w:val="22"/>
        </w:rPr>
        <w:t>the s</w:t>
      </w:r>
      <w:r w:rsidRPr="00C15C8B">
        <w:rPr>
          <w:rFonts w:ascii="Arial" w:hAnsi="Arial" w:cs="Arial"/>
          <w:sz w:val="22"/>
          <w:szCs w:val="22"/>
        </w:rPr>
        <w:t>urvivor profile]</w:t>
      </w:r>
    </w:p>
    <w:p w14:paraId="17BB648B" w14:textId="5D21E264" w:rsidR="007E36E5" w:rsidRPr="00C84E18" w:rsidRDefault="007E36E5" w:rsidP="00CA42B5">
      <w:pPr>
        <w:pStyle w:val="AllQuotes"/>
        <w:rPr>
          <w:b/>
        </w:rPr>
      </w:pPr>
      <w:r w:rsidRPr="00C84E18">
        <w:rPr>
          <w:b/>
        </w:rPr>
        <w:t>“M</w:t>
      </w:r>
      <w:r w:rsidRPr="00C84E18">
        <w:rPr>
          <w:rFonts w:hint="eastAsia"/>
          <w:b/>
        </w:rPr>
        <w:t>ā</w:t>
      </w:r>
      <w:r w:rsidRPr="00C84E18">
        <w:rPr>
          <w:b/>
        </w:rPr>
        <w:t>ori Deaf children are still not treated the same as P</w:t>
      </w:r>
      <w:r w:rsidRPr="00C84E18">
        <w:rPr>
          <w:rFonts w:hint="eastAsia"/>
          <w:b/>
        </w:rPr>
        <w:t>ā</w:t>
      </w:r>
      <w:r w:rsidRPr="00C84E18">
        <w:rPr>
          <w:b/>
        </w:rPr>
        <w:t>keh</w:t>
      </w:r>
      <w:r w:rsidRPr="00C84E18">
        <w:rPr>
          <w:rFonts w:hint="eastAsia"/>
          <w:b/>
        </w:rPr>
        <w:t>ā</w:t>
      </w:r>
      <w:r w:rsidRPr="00C84E18">
        <w:rPr>
          <w:b/>
        </w:rPr>
        <w:t xml:space="preserve"> children</w:t>
      </w:r>
      <w:r w:rsidR="00411BC9" w:rsidRPr="00C84E18">
        <w:rPr>
          <w:b/>
        </w:rPr>
        <w:t>.</w:t>
      </w:r>
      <w:r w:rsidRPr="00C84E18">
        <w:rPr>
          <w:b/>
        </w:rPr>
        <w:t xml:space="preserve">”  </w:t>
      </w:r>
    </w:p>
    <w:p w14:paraId="7DDC87FF" w14:textId="77777777" w:rsidR="0016101C" w:rsidRDefault="007E36E5" w:rsidP="00C84E18">
      <w:pPr>
        <w:pStyle w:val="AllQuotes"/>
        <w:rPr>
          <w:b/>
        </w:rPr>
      </w:pPr>
      <w:r w:rsidRPr="000D24E0">
        <w:rPr>
          <w:b/>
        </w:rPr>
        <w:t>W</w:t>
      </w:r>
      <w:r w:rsidR="00C57358" w:rsidRPr="000D24E0">
        <w:rPr>
          <w:b/>
        </w:rPr>
        <w:t>hiti</w:t>
      </w:r>
      <w:r w:rsidR="00EA21E7" w:rsidRPr="000D24E0">
        <w:rPr>
          <w:b/>
        </w:rPr>
        <w:t xml:space="preserve"> </w:t>
      </w:r>
      <w:proofErr w:type="spellStart"/>
      <w:r w:rsidR="00EA21E7" w:rsidRPr="000D24E0">
        <w:rPr>
          <w:b/>
        </w:rPr>
        <w:t>Ronaki</w:t>
      </w:r>
      <w:proofErr w:type="spellEnd"/>
    </w:p>
    <w:p w14:paraId="482EF0C9" w14:textId="5D32B87D" w:rsidR="00C84E18" w:rsidRDefault="00DE09DA" w:rsidP="00C84E18">
      <w:pPr>
        <w:pStyle w:val="AllQuotes"/>
        <w:rPr>
          <w:b/>
        </w:rPr>
      </w:pPr>
      <w:r w:rsidRPr="00C84E18">
        <w:rPr>
          <w:b/>
        </w:rPr>
        <w:t>Māori</w:t>
      </w:r>
      <w:r w:rsidR="00080782" w:rsidRPr="00C84E18">
        <w:rPr>
          <w:b/>
        </w:rPr>
        <w:t xml:space="preserve"> (Te Arawa)</w:t>
      </w:r>
    </w:p>
    <w:p w14:paraId="4194BE12" w14:textId="77777777" w:rsidR="005A0B70" w:rsidRPr="004A0212" w:rsidRDefault="3758B58B" w:rsidP="00120E85">
      <w:pPr>
        <w:pStyle w:val="Heading1"/>
        <w:rPr>
          <w:lang w:val="pt-BR"/>
        </w:rPr>
      </w:pPr>
      <w:bookmarkStart w:id="103" w:name="_Toc65885503"/>
      <w:bookmarkStart w:id="104" w:name="_Toc168638899"/>
      <w:bookmarkStart w:id="105" w:name="_Toc150933112"/>
      <w:bookmarkStart w:id="106" w:name="_Toc150953430"/>
      <w:bookmarkStart w:id="107" w:name="_Toc150933084"/>
      <w:bookmarkStart w:id="108" w:name="_Toc150953402"/>
      <w:r w:rsidRPr="004A0212">
        <w:rPr>
          <w:lang w:val="pt-BR"/>
        </w:rPr>
        <w:t>Ngā wheako</w:t>
      </w:r>
      <w:r w:rsidR="2FFAA73A" w:rsidRPr="004A0212">
        <w:rPr>
          <w:lang w:val="pt-BR"/>
        </w:rPr>
        <w:t xml:space="preserve"> o te purapura ora</w:t>
      </w:r>
      <w:bookmarkEnd w:id="103"/>
      <w:bookmarkEnd w:id="104"/>
      <w:r w:rsidR="428B99D5" w:rsidRPr="004A0212">
        <w:rPr>
          <w:lang w:val="pt-BR"/>
        </w:rPr>
        <w:t xml:space="preserve"> </w:t>
      </w:r>
    </w:p>
    <w:p w14:paraId="07511C3C" w14:textId="024C8EB6" w:rsidR="3E9489BD" w:rsidRPr="004A0212" w:rsidRDefault="428B99D5" w:rsidP="00120E85">
      <w:pPr>
        <w:pStyle w:val="Heading1"/>
        <w:rPr>
          <w:lang w:val="pt-BR"/>
        </w:rPr>
      </w:pPr>
      <w:bookmarkStart w:id="109" w:name="_Toc2134321130"/>
      <w:bookmarkStart w:id="110" w:name="_Toc168638900"/>
      <w:r w:rsidRPr="004A0212">
        <w:rPr>
          <w:lang w:val="pt-BR"/>
        </w:rPr>
        <w:t>Survivor experience</w:t>
      </w:r>
      <w:r w:rsidR="2A1E52C2" w:rsidRPr="004A0212">
        <w:rPr>
          <w:lang w:val="pt-BR"/>
        </w:rPr>
        <w:t>:</w:t>
      </w:r>
      <w:r w:rsidRPr="004A0212">
        <w:rPr>
          <w:lang w:val="pt-BR"/>
        </w:rPr>
        <w:t xml:space="preserve"> Whiti Ronaki</w:t>
      </w:r>
      <w:bookmarkEnd w:id="109"/>
      <w:bookmarkEnd w:id="110"/>
    </w:p>
    <w:p w14:paraId="10E50A3B" w14:textId="77777777" w:rsidR="00992F48" w:rsidRPr="004A0212" w:rsidRDefault="00992F48" w:rsidP="00CA42B5">
      <w:pPr>
        <w:pStyle w:val="BodyText"/>
        <w:rPr>
          <w:rFonts w:ascii="Segoe UI" w:hAnsi="Segoe UI" w:cs="Segoe UI"/>
          <w:color w:val="404040"/>
          <w:sz w:val="18"/>
          <w:szCs w:val="18"/>
        </w:rPr>
      </w:pPr>
      <w:r w:rsidRPr="004A0212">
        <w:rPr>
          <w:rStyle w:val="normaltextrun"/>
          <w:rFonts w:ascii="Arial" w:hAnsi="Arial" w:cs="Arial"/>
          <w:b/>
          <w:bCs/>
          <w:sz w:val="22"/>
          <w:szCs w:val="22"/>
        </w:rPr>
        <w:t>Name</w:t>
      </w:r>
      <w:r w:rsidRPr="004A0212">
        <w:rPr>
          <w:rStyle w:val="normaltextrun"/>
          <w:rFonts w:ascii="Arial" w:hAnsi="Arial" w:cs="Arial"/>
          <w:sz w:val="22"/>
          <w:szCs w:val="22"/>
        </w:rPr>
        <w:t xml:space="preserve"> Whiti </w:t>
      </w:r>
      <w:proofErr w:type="spellStart"/>
      <w:r w:rsidRPr="004A0212">
        <w:rPr>
          <w:rStyle w:val="normaltextrun"/>
          <w:rFonts w:ascii="Arial" w:hAnsi="Arial" w:cs="Arial"/>
          <w:sz w:val="22"/>
          <w:szCs w:val="22"/>
        </w:rPr>
        <w:t>Ronaki</w:t>
      </w:r>
      <w:proofErr w:type="spellEnd"/>
      <w:r w:rsidRPr="004A0212">
        <w:rPr>
          <w:rStyle w:val="normaltextrun"/>
          <w:rFonts w:ascii="Arial" w:hAnsi="Arial" w:cs="Arial"/>
          <w:sz w:val="22"/>
          <w:szCs w:val="22"/>
        </w:rPr>
        <w:t> </w:t>
      </w:r>
      <w:r w:rsidRPr="004A0212">
        <w:rPr>
          <w:rStyle w:val="eop"/>
          <w:rFonts w:ascii="Arial" w:hAnsi="Arial" w:cs="Arial"/>
          <w:sz w:val="22"/>
          <w:szCs w:val="22"/>
        </w:rPr>
        <w:t> </w:t>
      </w:r>
    </w:p>
    <w:p w14:paraId="68A0D628" w14:textId="0DC99EA2" w:rsidR="0081058F" w:rsidRPr="004A0212" w:rsidRDefault="0081058F" w:rsidP="00CA42B5">
      <w:pPr>
        <w:pStyle w:val="BodyText"/>
        <w:rPr>
          <w:rFonts w:ascii="Segoe UI" w:hAnsi="Segoe UI" w:cs="Segoe UI"/>
          <w:color w:val="404040"/>
          <w:sz w:val="18"/>
          <w:szCs w:val="18"/>
        </w:rPr>
      </w:pPr>
      <w:r w:rsidRPr="0050016F">
        <w:rPr>
          <w:rStyle w:val="normaltextrun"/>
          <w:rFonts w:ascii="Arial" w:hAnsi="Arial" w:cs="Arial"/>
          <w:b/>
          <w:sz w:val="22"/>
          <w:szCs w:val="22"/>
        </w:rPr>
        <w:t>Hometown</w:t>
      </w:r>
      <w:r w:rsidRPr="0050016F">
        <w:rPr>
          <w:rStyle w:val="normaltextrun"/>
          <w:rFonts w:ascii="Arial" w:hAnsi="Arial" w:cs="Arial"/>
          <w:sz w:val="22"/>
          <w:szCs w:val="22"/>
        </w:rPr>
        <w:t xml:space="preserve"> </w:t>
      </w:r>
      <w:r w:rsidR="000A0C1E" w:rsidRPr="0050016F">
        <w:rPr>
          <w:rStyle w:val="normaltextrun"/>
          <w:rFonts w:ascii="Arial" w:hAnsi="Arial" w:cs="Arial"/>
          <w:sz w:val="22"/>
          <w:szCs w:val="22"/>
        </w:rPr>
        <w:t>Tāmaki</w:t>
      </w:r>
      <w:r w:rsidR="00E66B74" w:rsidRPr="0050016F">
        <w:rPr>
          <w:rStyle w:val="normaltextrun"/>
          <w:rFonts w:ascii="Arial" w:hAnsi="Arial" w:cs="Arial"/>
          <w:sz w:val="22"/>
          <w:szCs w:val="22"/>
        </w:rPr>
        <w:t xml:space="preserve"> </w:t>
      </w:r>
      <w:r w:rsidR="00E95936" w:rsidRPr="0050016F">
        <w:rPr>
          <w:rStyle w:val="normaltextrun"/>
          <w:rFonts w:ascii="Arial" w:hAnsi="Arial" w:cs="Arial"/>
          <w:sz w:val="22"/>
          <w:szCs w:val="22"/>
        </w:rPr>
        <w:t>M</w:t>
      </w:r>
      <w:r w:rsidR="000A0C1E" w:rsidRPr="0050016F">
        <w:rPr>
          <w:rStyle w:val="normaltextrun"/>
          <w:rFonts w:ascii="Arial" w:hAnsi="Arial" w:cs="Arial"/>
          <w:sz w:val="22"/>
          <w:szCs w:val="22"/>
        </w:rPr>
        <w:t xml:space="preserve">akaurau </w:t>
      </w:r>
      <w:r w:rsidRPr="0050016F">
        <w:rPr>
          <w:rStyle w:val="normaltextrun"/>
          <w:rFonts w:ascii="Arial" w:hAnsi="Arial" w:cs="Arial"/>
          <w:sz w:val="22"/>
          <w:szCs w:val="22"/>
        </w:rPr>
        <w:t>Auckland </w:t>
      </w:r>
      <w:r w:rsidRPr="004A0212">
        <w:rPr>
          <w:rStyle w:val="eop"/>
          <w:rFonts w:ascii="Arial" w:hAnsi="Arial" w:cs="Arial"/>
          <w:sz w:val="22"/>
          <w:szCs w:val="22"/>
        </w:rPr>
        <w:t> </w:t>
      </w:r>
    </w:p>
    <w:p w14:paraId="3DC640EA" w14:textId="77777777" w:rsidR="00992F48" w:rsidRPr="004A0212" w:rsidRDefault="00992F48" w:rsidP="00CA42B5">
      <w:pPr>
        <w:pStyle w:val="BodyText"/>
        <w:rPr>
          <w:rStyle w:val="eop"/>
          <w:rFonts w:ascii="Arial" w:hAnsi="Arial" w:cs="Arial"/>
          <w:sz w:val="22"/>
          <w:szCs w:val="22"/>
        </w:rPr>
      </w:pPr>
      <w:r w:rsidRPr="004A0212">
        <w:rPr>
          <w:rStyle w:val="normaltextrun"/>
          <w:rFonts w:ascii="Arial" w:hAnsi="Arial" w:cs="Arial"/>
          <w:b/>
          <w:bCs/>
          <w:sz w:val="22"/>
          <w:szCs w:val="22"/>
        </w:rPr>
        <w:t>Age when entered care</w:t>
      </w:r>
      <w:r w:rsidRPr="004A0212">
        <w:rPr>
          <w:rStyle w:val="normaltextrun"/>
          <w:rFonts w:ascii="Arial" w:hAnsi="Arial" w:cs="Arial"/>
          <w:sz w:val="22"/>
          <w:szCs w:val="22"/>
        </w:rPr>
        <w:t xml:space="preserve"> 6 years old </w:t>
      </w:r>
      <w:r w:rsidRPr="004A0212">
        <w:rPr>
          <w:rStyle w:val="eop"/>
          <w:rFonts w:ascii="Arial" w:hAnsi="Arial" w:cs="Arial"/>
          <w:sz w:val="22"/>
          <w:szCs w:val="22"/>
        </w:rPr>
        <w:t> </w:t>
      </w:r>
    </w:p>
    <w:p w14:paraId="18D01935" w14:textId="77777777" w:rsidR="000A0C1E" w:rsidRPr="004A0212" w:rsidRDefault="000A0C1E" w:rsidP="00CA42B5">
      <w:pPr>
        <w:pStyle w:val="BodyText"/>
        <w:rPr>
          <w:rStyle w:val="eop"/>
          <w:rFonts w:ascii="Arial" w:hAnsi="Arial" w:cs="Arial"/>
          <w:bCs/>
          <w:sz w:val="22"/>
          <w:szCs w:val="22"/>
        </w:rPr>
      </w:pPr>
      <w:r w:rsidRPr="004A0212">
        <w:rPr>
          <w:rStyle w:val="eop"/>
          <w:rFonts w:ascii="Arial" w:hAnsi="Arial" w:cs="Arial"/>
          <w:b/>
          <w:bCs/>
          <w:sz w:val="22"/>
          <w:szCs w:val="22"/>
        </w:rPr>
        <w:t xml:space="preserve">Year of birth </w:t>
      </w:r>
      <w:r w:rsidRPr="004A0212">
        <w:rPr>
          <w:rStyle w:val="eop"/>
          <w:rFonts w:ascii="Arial" w:hAnsi="Arial" w:cs="Arial"/>
          <w:bCs/>
          <w:sz w:val="22"/>
          <w:szCs w:val="22"/>
        </w:rPr>
        <w:t>1954</w:t>
      </w:r>
    </w:p>
    <w:p w14:paraId="3EC4CA4A" w14:textId="77777777" w:rsidR="00992F48" w:rsidRPr="004A0212" w:rsidRDefault="00992F48" w:rsidP="00CA42B5">
      <w:pPr>
        <w:pStyle w:val="BodyText"/>
        <w:rPr>
          <w:rFonts w:ascii="Segoe UI" w:hAnsi="Segoe UI" w:cs="Segoe UI"/>
          <w:color w:val="404040"/>
          <w:sz w:val="18"/>
          <w:szCs w:val="18"/>
        </w:rPr>
      </w:pPr>
      <w:r w:rsidRPr="004A0212">
        <w:rPr>
          <w:rStyle w:val="normaltextrun"/>
          <w:rFonts w:ascii="Arial" w:hAnsi="Arial" w:cs="Arial"/>
          <w:b/>
          <w:bCs/>
          <w:sz w:val="22"/>
          <w:szCs w:val="22"/>
        </w:rPr>
        <w:t>Time in care</w:t>
      </w:r>
      <w:r w:rsidRPr="004A0212">
        <w:rPr>
          <w:rStyle w:val="normaltextrun"/>
          <w:rFonts w:ascii="Arial" w:hAnsi="Arial" w:cs="Arial"/>
          <w:sz w:val="22"/>
          <w:szCs w:val="22"/>
        </w:rPr>
        <w:t xml:space="preserve"> 1959–1969 </w:t>
      </w:r>
      <w:r w:rsidRPr="004A0212">
        <w:rPr>
          <w:rStyle w:val="eop"/>
          <w:rFonts w:ascii="Arial" w:hAnsi="Arial" w:cs="Arial"/>
          <w:sz w:val="22"/>
          <w:szCs w:val="22"/>
        </w:rPr>
        <w:t> </w:t>
      </w:r>
    </w:p>
    <w:p w14:paraId="1E915772" w14:textId="10050634" w:rsidR="00992F48" w:rsidRPr="004A0212" w:rsidRDefault="00BC0F95" w:rsidP="00CA42B5">
      <w:pPr>
        <w:pStyle w:val="BodyText"/>
        <w:rPr>
          <w:rFonts w:ascii="Segoe UI" w:hAnsi="Segoe UI" w:cs="Segoe UI"/>
          <w:color w:val="404040"/>
          <w:sz w:val="18"/>
          <w:szCs w:val="18"/>
        </w:rPr>
      </w:pPr>
      <w:r w:rsidRPr="004A0212">
        <w:rPr>
          <w:rStyle w:val="normaltextrun"/>
          <w:rFonts w:ascii="Arial" w:hAnsi="Arial" w:cs="Arial"/>
          <w:b/>
          <w:bCs/>
          <w:sz w:val="22"/>
          <w:szCs w:val="22"/>
        </w:rPr>
        <w:t>Care</w:t>
      </w:r>
      <w:r w:rsidR="00992F48" w:rsidRPr="004A0212">
        <w:rPr>
          <w:rStyle w:val="normaltextrun"/>
          <w:rFonts w:ascii="Arial" w:hAnsi="Arial" w:cs="Arial"/>
          <w:b/>
          <w:bCs/>
          <w:sz w:val="22"/>
          <w:szCs w:val="22"/>
        </w:rPr>
        <w:t xml:space="preserve"> facility</w:t>
      </w:r>
      <w:r w:rsidR="00992F48" w:rsidRPr="004A0212">
        <w:rPr>
          <w:rStyle w:val="normaltextrun"/>
          <w:rFonts w:ascii="Arial" w:hAnsi="Arial" w:cs="Arial"/>
          <w:sz w:val="22"/>
          <w:szCs w:val="22"/>
        </w:rPr>
        <w:t xml:space="preserve"> Kelston School for the Deaf  </w:t>
      </w:r>
      <w:r w:rsidR="00992F48" w:rsidRPr="004A0212">
        <w:rPr>
          <w:rStyle w:val="eop"/>
          <w:rFonts w:ascii="Arial" w:hAnsi="Arial" w:cs="Arial"/>
          <w:sz w:val="22"/>
          <w:szCs w:val="22"/>
        </w:rPr>
        <w:t> </w:t>
      </w:r>
    </w:p>
    <w:p w14:paraId="48D46CBB" w14:textId="77777777" w:rsidR="00992F48" w:rsidRPr="004A0212" w:rsidRDefault="00992F48" w:rsidP="00CA42B5">
      <w:pPr>
        <w:pStyle w:val="BodyText"/>
        <w:rPr>
          <w:rFonts w:ascii="Segoe UI" w:hAnsi="Segoe UI" w:cs="Segoe UI"/>
          <w:color w:val="404040"/>
          <w:sz w:val="18"/>
          <w:szCs w:val="18"/>
        </w:rPr>
      </w:pPr>
      <w:r w:rsidRPr="004A0212">
        <w:rPr>
          <w:rStyle w:val="normaltextrun"/>
          <w:rFonts w:ascii="Arial" w:hAnsi="Arial" w:cs="Arial"/>
          <w:b/>
          <w:bCs/>
          <w:sz w:val="22"/>
          <w:szCs w:val="22"/>
        </w:rPr>
        <w:t>Ethnicity</w:t>
      </w:r>
      <w:r w:rsidRPr="004A0212">
        <w:rPr>
          <w:rStyle w:val="normaltextrun"/>
          <w:rFonts w:ascii="Arial" w:hAnsi="Arial" w:cs="Arial"/>
          <w:sz w:val="22"/>
          <w:szCs w:val="22"/>
        </w:rPr>
        <w:t xml:space="preserve"> Te Arawa descent</w:t>
      </w:r>
      <w:r w:rsidRPr="004A0212">
        <w:rPr>
          <w:rStyle w:val="normaltextrun"/>
          <w:rFonts w:ascii="Arial" w:hAnsi="Arial" w:cs="Arial"/>
          <w:sz w:val="22"/>
          <w:szCs w:val="22"/>
          <w:shd w:val="clear" w:color="auto" w:fill="FFFFFF"/>
        </w:rPr>
        <w:t> </w:t>
      </w:r>
      <w:r w:rsidRPr="004A0212">
        <w:rPr>
          <w:rStyle w:val="normaltextrun"/>
          <w:rFonts w:ascii="Arial" w:hAnsi="Arial" w:cs="Arial"/>
          <w:sz w:val="22"/>
          <w:szCs w:val="22"/>
        </w:rPr>
        <w:t> </w:t>
      </w:r>
      <w:r w:rsidRPr="004A0212">
        <w:rPr>
          <w:rStyle w:val="eop"/>
          <w:rFonts w:ascii="Arial" w:hAnsi="Arial" w:cs="Arial"/>
          <w:sz w:val="22"/>
          <w:szCs w:val="22"/>
        </w:rPr>
        <w:t> </w:t>
      </w:r>
    </w:p>
    <w:p w14:paraId="55E0E67D" w14:textId="77777777" w:rsidR="001107F0" w:rsidRDefault="00992F48" w:rsidP="001107F0">
      <w:pPr>
        <w:pStyle w:val="BodyText"/>
        <w:rPr>
          <w:rStyle w:val="scxw67291607"/>
          <w:rFonts w:ascii="Arial" w:hAnsi="Arial" w:cs="Arial"/>
          <w:sz w:val="22"/>
          <w:szCs w:val="22"/>
        </w:rPr>
      </w:pPr>
      <w:r w:rsidRPr="004A0212">
        <w:rPr>
          <w:rStyle w:val="normaltextrun"/>
          <w:rFonts w:ascii="Arial" w:hAnsi="Arial" w:cs="Arial"/>
          <w:b/>
          <w:bCs/>
          <w:sz w:val="22"/>
          <w:szCs w:val="22"/>
        </w:rPr>
        <w:t>Whānau background</w:t>
      </w:r>
      <w:r w:rsidRPr="004A0212">
        <w:rPr>
          <w:rStyle w:val="normaltextrun"/>
          <w:rFonts w:ascii="Arial" w:hAnsi="Arial" w:cs="Arial"/>
          <w:sz w:val="22"/>
          <w:szCs w:val="22"/>
        </w:rPr>
        <w:t xml:space="preserve"> Whiti was an only child. He was raised by his birth mother’s cousin and his adoptive father. He has eight sisters and nine brothers to the same parents in his birth family. </w:t>
      </w:r>
      <w:r w:rsidRPr="004A0212">
        <w:rPr>
          <w:rStyle w:val="scxw67291607"/>
          <w:rFonts w:ascii="Arial" w:hAnsi="Arial" w:cs="Arial"/>
          <w:sz w:val="22"/>
          <w:szCs w:val="22"/>
        </w:rPr>
        <w:t> </w:t>
      </w:r>
    </w:p>
    <w:p w14:paraId="21E71DFD" w14:textId="3E56AE72" w:rsidR="00992F48" w:rsidRPr="004A0212" w:rsidRDefault="00992F48" w:rsidP="00CA42B5">
      <w:pPr>
        <w:pStyle w:val="BodyText"/>
        <w:rPr>
          <w:rFonts w:ascii="Segoe UI" w:hAnsi="Segoe UI" w:cs="Segoe UI"/>
          <w:color w:val="404040"/>
          <w:sz w:val="18"/>
          <w:szCs w:val="18"/>
        </w:rPr>
      </w:pPr>
      <w:r w:rsidRPr="004A0212">
        <w:rPr>
          <w:rStyle w:val="normaltextrun"/>
          <w:rFonts w:ascii="Arial" w:hAnsi="Arial" w:cs="Arial"/>
          <w:b/>
          <w:bCs/>
          <w:sz w:val="22"/>
          <w:szCs w:val="22"/>
        </w:rPr>
        <w:t>Current</w:t>
      </w:r>
      <w:r w:rsidR="006D745D" w:rsidRPr="004A0212">
        <w:rPr>
          <w:rStyle w:val="normaltextrun"/>
          <w:rFonts w:ascii="Arial" w:hAnsi="Arial" w:cs="Arial"/>
          <w:b/>
          <w:bCs/>
          <w:sz w:val="22"/>
          <w:szCs w:val="22"/>
        </w:rPr>
        <w:t>ly</w:t>
      </w:r>
      <w:r w:rsidR="006576E4">
        <w:rPr>
          <w:rStyle w:val="normaltextrun"/>
          <w:rFonts w:ascii="Arial" w:hAnsi="Arial" w:cs="Arial"/>
          <w:b/>
          <w:bCs/>
          <w:sz w:val="22"/>
          <w:szCs w:val="22"/>
        </w:rPr>
        <w:t xml:space="preserve">  </w:t>
      </w:r>
      <w:r w:rsidRPr="004A0212">
        <w:rPr>
          <w:rStyle w:val="normaltextrun"/>
          <w:rFonts w:ascii="Arial" w:hAnsi="Arial" w:cs="Arial"/>
          <w:b/>
          <w:bCs/>
          <w:sz w:val="22"/>
          <w:szCs w:val="22"/>
        </w:rPr>
        <w:t xml:space="preserve"> </w:t>
      </w:r>
      <w:r w:rsidRPr="004A0212">
        <w:rPr>
          <w:rStyle w:val="normaltextrun"/>
          <w:rFonts w:ascii="Arial" w:hAnsi="Arial" w:cs="Arial"/>
          <w:sz w:val="22"/>
          <w:szCs w:val="22"/>
        </w:rPr>
        <w:t xml:space="preserve">Whiti </w:t>
      </w:r>
      <w:r w:rsidRPr="0050016F">
        <w:rPr>
          <w:rStyle w:val="normaltextrun"/>
          <w:rFonts w:ascii="Arial" w:hAnsi="Arial" w:cs="Arial"/>
          <w:sz w:val="22"/>
          <w:szCs w:val="22"/>
        </w:rPr>
        <w:t xml:space="preserve">lives in </w:t>
      </w:r>
      <w:r w:rsidR="000A0C1E" w:rsidRPr="0050016F">
        <w:rPr>
          <w:rStyle w:val="normaltextrun"/>
          <w:rFonts w:ascii="Arial" w:hAnsi="Arial" w:cs="Arial"/>
          <w:color w:val="000000"/>
          <w:sz w:val="22"/>
          <w:szCs w:val="22"/>
          <w:bdr w:val="none" w:sz="0" w:space="0" w:color="auto" w:frame="1"/>
        </w:rPr>
        <w:t>Tāmaki</w:t>
      </w:r>
      <w:r w:rsidR="00E95936" w:rsidRPr="0050016F">
        <w:rPr>
          <w:rStyle w:val="normaltextrun"/>
          <w:rFonts w:ascii="Arial" w:hAnsi="Arial" w:cs="Arial"/>
          <w:color w:val="000000"/>
          <w:sz w:val="22"/>
          <w:szCs w:val="22"/>
          <w:bdr w:val="none" w:sz="0" w:space="0" w:color="auto" w:frame="1"/>
        </w:rPr>
        <w:t xml:space="preserve"> M</w:t>
      </w:r>
      <w:r w:rsidR="000A0C1E" w:rsidRPr="0050016F">
        <w:rPr>
          <w:rStyle w:val="normaltextrun"/>
          <w:rFonts w:ascii="Arial" w:hAnsi="Arial" w:cs="Arial"/>
          <w:color w:val="000000"/>
          <w:sz w:val="22"/>
          <w:szCs w:val="22"/>
          <w:bdr w:val="none" w:sz="0" w:space="0" w:color="auto" w:frame="1"/>
        </w:rPr>
        <w:t>akaurau</w:t>
      </w:r>
      <w:r w:rsidR="000A0C1E" w:rsidRPr="004A0212">
        <w:rPr>
          <w:rStyle w:val="normaltextrun"/>
          <w:rFonts w:ascii="Arial" w:hAnsi="Arial" w:cs="Arial"/>
          <w:sz w:val="22"/>
          <w:szCs w:val="22"/>
        </w:rPr>
        <w:t xml:space="preserve"> </w:t>
      </w:r>
      <w:r w:rsidRPr="004A0212">
        <w:rPr>
          <w:rStyle w:val="normaltextrun"/>
          <w:rFonts w:ascii="Arial" w:hAnsi="Arial" w:cs="Arial"/>
          <w:sz w:val="22"/>
          <w:szCs w:val="22"/>
        </w:rPr>
        <w:t>Auckland and does a lot of volunteer work with the Māori Deaf community. He is close to his children and grandchildren. </w:t>
      </w:r>
      <w:r w:rsidRPr="004A0212">
        <w:rPr>
          <w:rStyle w:val="eop"/>
          <w:rFonts w:ascii="Arial" w:hAnsi="Arial" w:cs="Arial"/>
          <w:sz w:val="22"/>
          <w:szCs w:val="22"/>
        </w:rPr>
        <w:t> </w:t>
      </w:r>
    </w:p>
    <w:p w14:paraId="7CCB2767" w14:textId="77777777" w:rsidR="00FD639D" w:rsidRPr="004A0212" w:rsidRDefault="00FD639D" w:rsidP="00992F48">
      <w:pPr>
        <w:pStyle w:val="paragraph"/>
        <w:spacing w:before="0" w:beforeAutospacing="0" w:after="0" w:afterAutospacing="0"/>
        <w:textAlignment w:val="baseline"/>
        <w:rPr>
          <w:rStyle w:val="normaltextrun"/>
          <w:rFonts w:ascii="Arial" w:hAnsi="Arial" w:cs="Arial"/>
          <w:sz w:val="22"/>
          <w:szCs w:val="22"/>
        </w:rPr>
      </w:pPr>
    </w:p>
    <w:p w14:paraId="3F9ED29C" w14:textId="4AA4E598"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When I was 3 years old, I got the measles and lost my hearing.  </w:t>
      </w:r>
    </w:p>
    <w:p w14:paraId="3ABC4619" w14:textId="5B24DCAE"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Growing up, they called me mischief. I had difficulty understanding whānau – I didn’t understand how they were communicating with me. It was a problem. They thought I was being </w:t>
      </w:r>
      <w:proofErr w:type="gramStart"/>
      <w:r w:rsidRPr="004A0212">
        <w:rPr>
          <w:rStyle w:val="normaltextrun"/>
          <w:rFonts w:ascii="Arial" w:hAnsi="Arial" w:cs="Arial"/>
          <w:sz w:val="22"/>
          <w:szCs w:val="22"/>
        </w:rPr>
        <w:t>cheeky</w:t>
      </w:r>
      <w:proofErr w:type="gramEnd"/>
      <w:r w:rsidRPr="004A0212">
        <w:rPr>
          <w:rStyle w:val="normaltextrun"/>
          <w:rFonts w:ascii="Arial" w:hAnsi="Arial" w:cs="Arial"/>
          <w:sz w:val="22"/>
          <w:szCs w:val="22"/>
        </w:rPr>
        <w:t xml:space="preserve"> and I used to get hit and yelled at, but I was Deaf. My father would physically attack me, which made me so scared. He used weapons, anything he could get his hands on.  </w:t>
      </w:r>
    </w:p>
    <w:p w14:paraId="3E67FBFC" w14:textId="131ADA63"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 doctor said I was Deaf, not Deaf and dumb. Because I couldn’t hear, I had to learn everything with my eyes. </w:t>
      </w:r>
    </w:p>
    <w:p w14:paraId="07A33072" w14:textId="6D845D5C"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 arrived at Kelston in 1959, then aged 6 years old. I was a boarder, and I was scared at the beginning. There were heaps of Deaf kids, and they were all signing. I didn’t know how to, so I sat in the corner watching and learning. Most of them were Pākehā. I was stiff, I couldn’t relax. </w:t>
      </w:r>
    </w:p>
    <w:p w14:paraId="28168D76" w14:textId="34912CE9"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At dinner, I didn’t know how to use a knife and fork and a teacher hit the back of my hand with the blade of a knife. That night before bed, I learnt about toothbrushes – I had never used one before.  </w:t>
      </w:r>
    </w:p>
    <w:p w14:paraId="4EA200EB" w14:textId="2C90349E"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When I went to Kelston, sign language was banned. If you tried to sign you were strapped. You had to be oral and talk. We had to wear hearing aids. I didn’t like it. In the break, we would hide in the playground to sign, and if we saw a teacher we would stop. We learned to sign by watching each other. We made up our own way of communicating.  </w:t>
      </w:r>
    </w:p>
    <w:p w14:paraId="380A1EA0" w14:textId="77777777"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Even the Government banned sign language. It wasn’t fair. This made learning in the classroom hard. I didn’t know what the teacher was saying, and I wasn’t allowed to sign and ask for help. I couldn’t understand, I couldn’t see what she was saying. The teacher would growl at me – she said we had to listen. The whole class had to learn how to lip read, but the teachers didn’t know how to lip read. </w:t>
      </w:r>
    </w:p>
    <w:p w14:paraId="51AFD5F3" w14:textId="201CAEEF"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It took me a long time to learn how to say hello – they said my tongue was lazy, but I was trying my best and it wasn’t fair. I had to put a feather in front of my mouth and spit on it to make it move and make the right sounds. It was very difficult.  </w:t>
      </w:r>
    </w:p>
    <w:p w14:paraId="2B865440" w14:textId="0B13C8CC"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There was no Māori culture or </w:t>
      </w:r>
      <w:proofErr w:type="spellStart"/>
      <w:r w:rsidRPr="004A0212">
        <w:rPr>
          <w:rStyle w:val="normaltextrun"/>
          <w:rFonts w:ascii="Arial" w:hAnsi="Arial" w:cs="Arial"/>
          <w:sz w:val="22"/>
          <w:szCs w:val="22"/>
        </w:rPr>
        <w:t>te</w:t>
      </w:r>
      <w:proofErr w:type="spellEnd"/>
      <w:r w:rsidRPr="004A0212">
        <w:rPr>
          <w:rStyle w:val="normaltextrun"/>
          <w:rFonts w:ascii="Arial" w:hAnsi="Arial" w:cs="Arial"/>
          <w:sz w:val="22"/>
          <w:szCs w:val="22"/>
        </w:rPr>
        <w:t xml:space="preserve"> </w:t>
      </w:r>
      <w:proofErr w:type="spellStart"/>
      <w:r w:rsidRPr="004A0212">
        <w:rPr>
          <w:rStyle w:val="normaltextrun"/>
          <w:rFonts w:ascii="Arial" w:hAnsi="Arial" w:cs="Arial"/>
          <w:sz w:val="22"/>
          <w:szCs w:val="22"/>
        </w:rPr>
        <w:t>reo</w:t>
      </w:r>
      <w:proofErr w:type="spellEnd"/>
      <w:r w:rsidRPr="004A0212">
        <w:rPr>
          <w:rStyle w:val="normaltextrun"/>
          <w:rFonts w:ascii="Arial" w:hAnsi="Arial" w:cs="Arial"/>
          <w:sz w:val="22"/>
          <w:szCs w:val="22"/>
        </w:rPr>
        <w:t xml:space="preserve"> Māori taught at school. It was the 1960s, so we didn’t have to be taught our language and culture. I was confused about my identity – I didn’t know I was Māori and Mum and Dad didn’t explain anything to me.  </w:t>
      </w:r>
    </w:p>
    <w:p w14:paraId="4B092A12" w14:textId="6D223775"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 staff were Pākehā. The cook was Māori. She used to take us in the kitchen and give us big bowls of ice cream. We would give her big hugs. It was just what we needed. One staff member knew she was feeding us. They would ask, “Where have you been?” It was like being in a prison cell for all us Māori. </w:t>
      </w:r>
    </w:p>
    <w:p w14:paraId="43C2C524" w14:textId="29D4772D"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Some staff didn’t like Māori children and didn’t treat us the same as the Pākehā children – the Pākehā kids got toothpaste, but the Māori kids got soap. They would smell your mouth to make sure you brushed with soap. I was frightened. I complained to the principal, but he didn’t believe me. The complaint failed even though I told the truth, and it was abuse. </w:t>
      </w:r>
    </w:p>
    <w:p w14:paraId="219B8DF3" w14:textId="45D44547"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There was a staff member that I hated, and another man too. At bath time they would use the soap and wash you for a long time then put their hands up your bum. The boys in the bath would play with each other, too. I felt yuck. The other kids would tell their parents what was going on, and they’d go to the principal, but he didn’t believe it. I think there were other kinds of abuse. We were all too scared to do anything about it. </w:t>
      </w:r>
    </w:p>
    <w:p w14:paraId="3525094B" w14:textId="4FFA6FE5"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Growing up with the abuse, I would fight with gangs, fight with whānau. It was wrong, no one taught me — not my parents, whānau, friends. I had to teach myself, and I was trouble.   </w:t>
      </w:r>
    </w:p>
    <w:p w14:paraId="4CCE825D" w14:textId="7ADC2DE5"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 found out about my biological family when I was 18 years old. One day I asked my real dad why he gave me away. He told me to get out and </w:t>
      </w:r>
      <w:proofErr w:type="gramStart"/>
      <w:r w:rsidRPr="004A0212">
        <w:rPr>
          <w:rStyle w:val="normaltextrun"/>
          <w:rFonts w:ascii="Arial" w:hAnsi="Arial" w:cs="Arial"/>
          <w:sz w:val="22"/>
          <w:szCs w:val="22"/>
        </w:rPr>
        <w:t>closed down</w:t>
      </w:r>
      <w:proofErr w:type="gramEnd"/>
      <w:r w:rsidRPr="004A0212">
        <w:rPr>
          <w:rStyle w:val="normaltextrun"/>
          <w:rFonts w:ascii="Arial" w:hAnsi="Arial" w:cs="Arial"/>
          <w:sz w:val="22"/>
          <w:szCs w:val="22"/>
        </w:rPr>
        <w:t xml:space="preserve">. He was so angry. His words hurt me, but I had the right to ask. That’s why I got into the gangs and fighting when I was young – I was frustrated with my life. I was attracted to the gangs because it was a place that I had power and mana that I didn’t have before.  </w:t>
      </w:r>
    </w:p>
    <w:p w14:paraId="32BC614D" w14:textId="0038477E"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When I was in the gang, the police were hard on me. I used to go to the pub on payday and I’d be drinking a jug of beer when they came in. I couldn’t communicate with them, so they would grab me and put me in the truck. I’d be confused. They’d get my cards out of my wallet to find out my name. I didn’t understand the way they communicated or the words they used.  They would make up stories, like saying I pissed in the garden. I’d be charged and </w:t>
      </w:r>
      <w:proofErr w:type="gramStart"/>
      <w:r w:rsidRPr="004A0212">
        <w:rPr>
          <w:rStyle w:val="normaltextrun"/>
          <w:rFonts w:ascii="Arial" w:hAnsi="Arial" w:cs="Arial"/>
          <w:sz w:val="22"/>
          <w:szCs w:val="22"/>
        </w:rPr>
        <w:t>have to</w:t>
      </w:r>
      <w:proofErr w:type="gramEnd"/>
      <w:r w:rsidRPr="004A0212">
        <w:rPr>
          <w:rStyle w:val="normaltextrun"/>
          <w:rFonts w:ascii="Arial" w:hAnsi="Arial" w:cs="Arial"/>
          <w:sz w:val="22"/>
          <w:szCs w:val="22"/>
        </w:rPr>
        <w:t xml:space="preserve"> go to court. They would write a report that I didn’t understand, and there were no interpreters to communicate with me. It was all oral, and even though I tried to lip read, I couldn’t follow what was going on.  </w:t>
      </w:r>
    </w:p>
    <w:p w14:paraId="5B33723E" w14:textId="50B536E3"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They were all Pākehā, picking on me because I am Māori. It was so </w:t>
      </w:r>
      <w:proofErr w:type="gramStart"/>
      <w:r w:rsidRPr="004A0212">
        <w:rPr>
          <w:rStyle w:val="normaltextrun"/>
          <w:rFonts w:ascii="Arial" w:hAnsi="Arial" w:cs="Arial"/>
          <w:sz w:val="22"/>
          <w:szCs w:val="22"/>
        </w:rPr>
        <w:t>frustrating</w:t>
      </w:r>
      <w:proofErr w:type="gramEnd"/>
      <w:r w:rsidRPr="004A0212">
        <w:rPr>
          <w:rStyle w:val="normaltextrun"/>
          <w:rFonts w:ascii="Arial" w:hAnsi="Arial" w:cs="Arial"/>
          <w:sz w:val="22"/>
          <w:szCs w:val="22"/>
        </w:rPr>
        <w:t xml:space="preserve"> and I would get angry. I didn’t know why they treated me like that.  </w:t>
      </w:r>
    </w:p>
    <w:p w14:paraId="5F3D60C4" w14:textId="747A36E5"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 met another Deaf </w:t>
      </w:r>
      <w:proofErr w:type="gramStart"/>
      <w:r w:rsidRPr="004A0212">
        <w:rPr>
          <w:rStyle w:val="normaltextrun"/>
          <w:rFonts w:ascii="Arial" w:hAnsi="Arial" w:cs="Arial"/>
          <w:sz w:val="22"/>
          <w:szCs w:val="22"/>
        </w:rPr>
        <w:t>man</w:t>
      </w:r>
      <w:proofErr w:type="gramEnd"/>
      <w:r w:rsidRPr="004A0212">
        <w:rPr>
          <w:rStyle w:val="normaltextrun"/>
          <w:rFonts w:ascii="Arial" w:hAnsi="Arial" w:cs="Arial"/>
          <w:sz w:val="22"/>
          <w:szCs w:val="22"/>
        </w:rPr>
        <w:t xml:space="preserve"> and I told him I was in the gangs. He said, “What are you doing that for? Come to the Deaf club. You can talk, and we do fun things. We play sports, you should come.” I went to Deaf club without my patch, and I met heaps of people I went to school with. It was great talking and seeing them again.  </w:t>
      </w:r>
    </w:p>
    <w:p w14:paraId="79131CD0" w14:textId="4BB63C8B"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When I left the gang life at age 25, the Māori Deaf community pressured me to change. It made me relax from the police always getting at me. I did some self-reflection and realised I wanted to join the Māori Deaf community to help them and the young ones. Now, I take my patch and talk to Māori Deaf youth about my stories and my journey in gangs. I tell them to not get involved, to think and be careful. </w:t>
      </w:r>
    </w:p>
    <w:p w14:paraId="19A93BEB" w14:textId="7A7A8EF6"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 feel that Māori Deaf children are still not treated the same as Pākehā children. You </w:t>
      </w:r>
      <w:proofErr w:type="gramStart"/>
      <w:r w:rsidRPr="004A0212">
        <w:rPr>
          <w:rStyle w:val="normaltextrun"/>
          <w:rFonts w:ascii="Arial" w:hAnsi="Arial" w:cs="Arial"/>
          <w:sz w:val="22"/>
          <w:szCs w:val="22"/>
        </w:rPr>
        <w:t>have to</w:t>
      </w:r>
      <w:proofErr w:type="gramEnd"/>
      <w:r w:rsidRPr="004A0212">
        <w:rPr>
          <w:rStyle w:val="normaltextrun"/>
          <w:rFonts w:ascii="Arial" w:hAnsi="Arial" w:cs="Arial"/>
          <w:sz w:val="22"/>
          <w:szCs w:val="22"/>
        </w:rPr>
        <w:t xml:space="preserve"> be careful when you talk to Māori Deaf children. They read facial expressions, and when some of the staff yell at the children that makes them feel uncomfortable. We need to help, support and train more staff and teach good communication skills that will help the children.  </w:t>
      </w:r>
    </w:p>
    <w:p w14:paraId="32E53555" w14:textId="43855AFF"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My most recent job was at Kelston school as a voluntary kaumatua. I visited a 10-year-old girl at school who was always in trouble. She was shocked, as she had not met a Deaf Māori man before. She told me her teacher was Pākehā and didn’t understand Māori ways. I told the teacher and said if the teacher couldn’t teach the girl, to get a Māori staff member or someone else. They asked me to come back and volunteer one day a week.  </w:t>
      </w:r>
    </w:p>
    <w:p w14:paraId="79AFB56D" w14:textId="4351A4C1"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Before I got the job, the children feared me because I was covered in tattoos. I went to WINZ and asked if I could get them removed. It cost me $20. When I got the job, the children asked where my tattoos had gone. I said they were </w:t>
      </w:r>
      <w:proofErr w:type="gramStart"/>
      <w:r w:rsidRPr="004A0212">
        <w:rPr>
          <w:rStyle w:val="normaltextrun"/>
          <w:rFonts w:ascii="Arial" w:hAnsi="Arial" w:cs="Arial"/>
          <w:sz w:val="22"/>
          <w:szCs w:val="22"/>
        </w:rPr>
        <w:t>butterflies</w:t>
      </w:r>
      <w:proofErr w:type="gramEnd"/>
      <w:r w:rsidRPr="004A0212">
        <w:rPr>
          <w:rStyle w:val="normaltextrun"/>
          <w:rFonts w:ascii="Arial" w:hAnsi="Arial" w:cs="Arial"/>
          <w:sz w:val="22"/>
          <w:szCs w:val="22"/>
        </w:rPr>
        <w:t xml:space="preserve"> and they flew away. I had changed – I became positive. </w:t>
      </w:r>
    </w:p>
    <w:p w14:paraId="1BC8A216" w14:textId="15ACC239"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Some things have changed at Kelston that make it better and safer for the children. But lots of the Māori children are not happy because the staff are all Pākehā. Some of the Pākehā staff are good and some are not. I tell the children that they </w:t>
      </w:r>
      <w:proofErr w:type="gramStart"/>
      <w:r w:rsidRPr="004A0212">
        <w:rPr>
          <w:rStyle w:val="normaltextrun"/>
          <w:rFonts w:ascii="Arial" w:hAnsi="Arial" w:cs="Arial"/>
          <w:sz w:val="22"/>
          <w:szCs w:val="22"/>
        </w:rPr>
        <w:t>have to</w:t>
      </w:r>
      <w:proofErr w:type="gramEnd"/>
      <w:r w:rsidRPr="004A0212">
        <w:rPr>
          <w:rStyle w:val="normaltextrun"/>
          <w:rFonts w:ascii="Arial" w:hAnsi="Arial" w:cs="Arial"/>
          <w:sz w:val="22"/>
          <w:szCs w:val="22"/>
        </w:rPr>
        <w:t xml:space="preserve"> accept it for now.  </w:t>
      </w:r>
    </w:p>
    <w:p w14:paraId="21AC96F2" w14:textId="31B93B78"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Due to how and what I was taught at Kelston, I was alienated from both the Deaf and the Māori communities. I couldn’t understand the Deaf community because I wasn’t allowed to learn in sign language. I was alienated from the Māori community, because I wasn’t taught any language or cultural practices that would help me understand and be able to live as a Māori man. I had to learn later in life. </w:t>
      </w:r>
    </w:p>
    <w:p w14:paraId="05D50EBF" w14:textId="6209D851"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There is a disconnect between Deaf and Hearing people. A long time ago my daughter wanted to be an interpreter, so she signed up for a course. The teacher was Hearing, and I objected – I told him the class should be taught by the Deaf.  </w:t>
      </w:r>
    </w:p>
    <w:p w14:paraId="6BAD46F5" w14:textId="14B1D51F"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 think there is also a disconnection when Māori Deaf attend events on the marae. Māori sign language needs more interpreters, as not many are fluent in </w:t>
      </w:r>
      <w:proofErr w:type="spellStart"/>
      <w:r w:rsidRPr="004A0212">
        <w:rPr>
          <w:rStyle w:val="normaltextrun"/>
          <w:rFonts w:ascii="Arial" w:hAnsi="Arial" w:cs="Arial"/>
          <w:sz w:val="22"/>
          <w:szCs w:val="22"/>
        </w:rPr>
        <w:t>te</w:t>
      </w:r>
      <w:proofErr w:type="spellEnd"/>
      <w:r w:rsidRPr="004A0212">
        <w:rPr>
          <w:rStyle w:val="normaltextrun"/>
          <w:rFonts w:ascii="Arial" w:hAnsi="Arial" w:cs="Arial"/>
          <w:sz w:val="22"/>
          <w:szCs w:val="22"/>
        </w:rPr>
        <w:t xml:space="preserve"> </w:t>
      </w:r>
      <w:proofErr w:type="spellStart"/>
      <w:r w:rsidRPr="004A0212">
        <w:rPr>
          <w:rStyle w:val="normaltextrun"/>
          <w:rFonts w:ascii="Arial" w:hAnsi="Arial" w:cs="Arial"/>
          <w:sz w:val="22"/>
          <w:szCs w:val="22"/>
        </w:rPr>
        <w:t>reo</w:t>
      </w:r>
      <w:proofErr w:type="spellEnd"/>
      <w:r w:rsidRPr="004A0212">
        <w:rPr>
          <w:rStyle w:val="normaltextrun"/>
          <w:rFonts w:ascii="Arial" w:hAnsi="Arial" w:cs="Arial"/>
          <w:sz w:val="22"/>
          <w:szCs w:val="22"/>
        </w:rPr>
        <w:t xml:space="preserve"> Māori and sign language. </w:t>
      </w:r>
    </w:p>
    <w:p w14:paraId="0BDD9879" w14:textId="7D77F53A" w:rsidR="005E13BB" w:rsidRPr="004A0212" w:rsidRDefault="005E13BB"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When I sign in </w:t>
      </w:r>
      <w:proofErr w:type="gramStart"/>
      <w:r w:rsidRPr="004A0212">
        <w:rPr>
          <w:rStyle w:val="normaltextrun"/>
          <w:rFonts w:ascii="Arial" w:hAnsi="Arial" w:cs="Arial"/>
          <w:sz w:val="22"/>
          <w:szCs w:val="22"/>
        </w:rPr>
        <w:t>Māori</w:t>
      </w:r>
      <w:proofErr w:type="gramEnd"/>
      <w:r w:rsidRPr="004A0212">
        <w:rPr>
          <w:rStyle w:val="normaltextrun"/>
          <w:rFonts w:ascii="Arial" w:hAnsi="Arial" w:cs="Arial"/>
          <w:sz w:val="22"/>
          <w:szCs w:val="22"/>
        </w:rPr>
        <w:t xml:space="preserve"> I include Māori concepts, and mix it with English. When I do the </w:t>
      </w:r>
      <w:proofErr w:type="spellStart"/>
      <w:r w:rsidRPr="004A0212">
        <w:rPr>
          <w:rStyle w:val="normaltextrun"/>
          <w:rFonts w:ascii="Arial" w:hAnsi="Arial" w:cs="Arial"/>
          <w:sz w:val="22"/>
          <w:szCs w:val="22"/>
        </w:rPr>
        <w:t>karakia</w:t>
      </w:r>
      <w:proofErr w:type="spellEnd"/>
      <w:r w:rsidRPr="004A0212">
        <w:rPr>
          <w:rStyle w:val="normaltextrun"/>
          <w:rFonts w:ascii="Arial" w:hAnsi="Arial" w:cs="Arial"/>
          <w:sz w:val="22"/>
          <w:szCs w:val="22"/>
        </w:rPr>
        <w:t xml:space="preserve">, on the marae, I sign in </w:t>
      </w:r>
      <w:proofErr w:type="spellStart"/>
      <w:r w:rsidRPr="004A0212">
        <w:rPr>
          <w:rStyle w:val="normaltextrun"/>
          <w:rFonts w:ascii="Arial" w:hAnsi="Arial" w:cs="Arial"/>
          <w:sz w:val="22"/>
          <w:szCs w:val="22"/>
        </w:rPr>
        <w:t>te</w:t>
      </w:r>
      <w:proofErr w:type="spellEnd"/>
      <w:r w:rsidRPr="004A0212">
        <w:rPr>
          <w:rStyle w:val="normaltextrun"/>
          <w:rFonts w:ascii="Arial" w:hAnsi="Arial" w:cs="Arial"/>
          <w:sz w:val="22"/>
          <w:szCs w:val="22"/>
        </w:rPr>
        <w:t xml:space="preserve"> </w:t>
      </w:r>
      <w:proofErr w:type="spellStart"/>
      <w:r w:rsidRPr="004A0212">
        <w:rPr>
          <w:rStyle w:val="normaltextrun"/>
          <w:rFonts w:ascii="Arial" w:hAnsi="Arial" w:cs="Arial"/>
          <w:sz w:val="22"/>
          <w:szCs w:val="22"/>
        </w:rPr>
        <w:t>reo</w:t>
      </w:r>
      <w:proofErr w:type="spellEnd"/>
      <w:r w:rsidRPr="004A0212">
        <w:rPr>
          <w:rStyle w:val="normaltextrun"/>
          <w:rFonts w:ascii="Arial" w:hAnsi="Arial" w:cs="Arial"/>
          <w:sz w:val="22"/>
          <w:szCs w:val="22"/>
        </w:rPr>
        <w:t xml:space="preserve">. It should be voiced in </w:t>
      </w:r>
      <w:proofErr w:type="spellStart"/>
      <w:r w:rsidRPr="004A0212">
        <w:rPr>
          <w:rStyle w:val="normaltextrun"/>
          <w:rFonts w:ascii="Arial" w:hAnsi="Arial" w:cs="Arial"/>
          <w:sz w:val="22"/>
          <w:szCs w:val="22"/>
        </w:rPr>
        <w:t>te</w:t>
      </w:r>
      <w:proofErr w:type="spellEnd"/>
      <w:r w:rsidRPr="004A0212">
        <w:rPr>
          <w:rStyle w:val="normaltextrun"/>
          <w:rFonts w:ascii="Arial" w:hAnsi="Arial" w:cs="Arial"/>
          <w:sz w:val="22"/>
          <w:szCs w:val="22"/>
        </w:rPr>
        <w:t xml:space="preserve"> </w:t>
      </w:r>
      <w:proofErr w:type="spellStart"/>
      <w:r w:rsidRPr="004A0212">
        <w:rPr>
          <w:rStyle w:val="normaltextrun"/>
          <w:rFonts w:ascii="Arial" w:hAnsi="Arial" w:cs="Arial"/>
          <w:sz w:val="22"/>
          <w:szCs w:val="22"/>
        </w:rPr>
        <w:t>reo</w:t>
      </w:r>
      <w:proofErr w:type="spellEnd"/>
      <w:r w:rsidRPr="004A0212">
        <w:rPr>
          <w:rStyle w:val="normaltextrun"/>
          <w:rFonts w:ascii="Arial" w:hAnsi="Arial" w:cs="Arial"/>
          <w:sz w:val="22"/>
          <w:szCs w:val="22"/>
        </w:rPr>
        <w:t xml:space="preserve"> by the interpreter – to me it doesn’t sound right to voice my </w:t>
      </w:r>
      <w:proofErr w:type="spellStart"/>
      <w:r w:rsidRPr="004A0212">
        <w:rPr>
          <w:rStyle w:val="normaltextrun"/>
          <w:rFonts w:ascii="Arial" w:hAnsi="Arial" w:cs="Arial"/>
          <w:sz w:val="22"/>
          <w:szCs w:val="22"/>
        </w:rPr>
        <w:t>karakia</w:t>
      </w:r>
      <w:proofErr w:type="spellEnd"/>
      <w:r w:rsidRPr="004A0212">
        <w:rPr>
          <w:rStyle w:val="normaltextrun"/>
          <w:rFonts w:ascii="Arial" w:hAnsi="Arial" w:cs="Arial"/>
          <w:sz w:val="22"/>
          <w:szCs w:val="22"/>
        </w:rPr>
        <w:t xml:space="preserve"> in English. If you visit my marae, my whare, my pōwhiri, that is my culture. When people understand that switch in thinking, they get it. </w:t>
      </w:r>
    </w:p>
    <w:p w14:paraId="7CD0A21B" w14:textId="2EBC84DA" w:rsidR="00FD639D" w:rsidRPr="004A0212" w:rsidRDefault="005E13BB" w:rsidP="0023687E">
      <w:pPr>
        <w:pStyle w:val="paragraph"/>
        <w:spacing w:before="0" w:beforeAutospacing="0" w:after="200" w:afterAutospacing="0" w:line="276" w:lineRule="auto"/>
        <w:textAlignment w:val="baseline"/>
        <w:rPr>
          <w:rStyle w:val="eop"/>
          <w:rFonts w:ascii="Arial" w:hAnsi="Arial" w:cs="Arial"/>
          <w:sz w:val="22"/>
          <w:szCs w:val="22"/>
        </w:rPr>
      </w:pPr>
      <w:r w:rsidRPr="004A0212">
        <w:rPr>
          <w:rStyle w:val="normaltextrun"/>
          <w:rFonts w:ascii="Arial" w:hAnsi="Arial" w:cs="Arial"/>
          <w:sz w:val="22"/>
          <w:szCs w:val="22"/>
        </w:rPr>
        <w:t>I think sign language should be adapted to represent Māori concepts and this work should be done by Māori Deaf, for Māori Deaf. We need to help each other and get everyone’s different perspectives.</w:t>
      </w:r>
      <w:r w:rsidR="00D817C3" w:rsidRPr="004A0212">
        <w:rPr>
          <w:rStyle w:val="FootnoteReference"/>
          <w:rFonts w:ascii="Arial" w:hAnsi="Arial"/>
          <w:sz w:val="22"/>
          <w:szCs w:val="22"/>
        </w:rPr>
        <w:footnoteReference w:id="62"/>
      </w:r>
      <w:r w:rsidR="2582DA45" w:rsidRPr="004A0212">
        <w:rPr>
          <w:rStyle w:val="eop"/>
          <w:rFonts w:ascii="Arial" w:hAnsi="Arial" w:cs="Arial"/>
          <w:sz w:val="22"/>
          <w:szCs w:val="22"/>
        </w:rPr>
        <w:t> </w:t>
      </w:r>
    </w:p>
    <w:p w14:paraId="78A09470" w14:textId="318DB905" w:rsidR="003E7AB2" w:rsidRPr="004A0212" w:rsidRDefault="003E7AB2">
      <w:pPr>
        <w:keepLines w:val="0"/>
        <w:rPr>
          <w:rFonts w:ascii="Arial" w:eastAsia="Times New Roman" w:hAnsi="Arial" w:cs="Arial"/>
          <w:color w:val="auto"/>
          <w:sz w:val="22"/>
          <w:szCs w:val="22"/>
          <w:lang w:eastAsia="en-NZ"/>
        </w:rPr>
      </w:pPr>
      <w:r w:rsidRPr="004A0212">
        <w:br w:type="page"/>
      </w:r>
    </w:p>
    <w:p w14:paraId="4D2C67D1" w14:textId="1141687A" w:rsidR="3D03F5BE" w:rsidRPr="004A0212" w:rsidRDefault="00467001" w:rsidP="0A27D6D4">
      <w:pPr>
        <w:pStyle w:val="Heading1"/>
      </w:pPr>
      <w:bookmarkStart w:id="111" w:name="_Toc728602691"/>
      <w:bookmarkStart w:id="112" w:name="_Toc168638901"/>
      <w:proofErr w:type="spellStart"/>
      <w:r w:rsidRPr="004A0212">
        <w:t>Ū</w:t>
      </w:r>
      <w:r w:rsidR="1BE3913B" w:rsidRPr="004A0212">
        <w:t>poko</w:t>
      </w:r>
      <w:proofErr w:type="spellEnd"/>
      <w:r w:rsidR="1BE3913B" w:rsidRPr="004A0212">
        <w:t xml:space="preserve"> 3: </w:t>
      </w:r>
      <w:proofErr w:type="spellStart"/>
      <w:r w:rsidR="1BE3913B" w:rsidRPr="004A0212">
        <w:t>Ngā</w:t>
      </w:r>
      <w:proofErr w:type="spellEnd"/>
      <w:r w:rsidR="1BE3913B" w:rsidRPr="004A0212">
        <w:t xml:space="preserve"> </w:t>
      </w:r>
      <w:proofErr w:type="spellStart"/>
      <w:r w:rsidR="27A2EF94" w:rsidRPr="004A0212">
        <w:t>m</w:t>
      </w:r>
      <w:r w:rsidR="1BE3913B" w:rsidRPr="004A0212">
        <w:t>ihinare</w:t>
      </w:r>
      <w:proofErr w:type="spellEnd"/>
      <w:r w:rsidR="1BE3913B" w:rsidRPr="004A0212">
        <w:t xml:space="preserve"> me </w:t>
      </w:r>
      <w:proofErr w:type="spellStart"/>
      <w:r w:rsidR="1BE3913B" w:rsidRPr="004A0212">
        <w:t>te</w:t>
      </w:r>
      <w:proofErr w:type="spellEnd"/>
      <w:r w:rsidR="1BE3913B" w:rsidRPr="004A0212">
        <w:t xml:space="preserve"> </w:t>
      </w:r>
      <w:proofErr w:type="spellStart"/>
      <w:r w:rsidR="1BE3913B" w:rsidRPr="004A0212">
        <w:t>tīmatanga</w:t>
      </w:r>
      <w:proofErr w:type="spellEnd"/>
      <w:r w:rsidR="1BE3913B" w:rsidRPr="004A0212">
        <w:t xml:space="preserve"> o </w:t>
      </w:r>
      <w:proofErr w:type="spellStart"/>
      <w:r w:rsidR="1BE3913B" w:rsidRPr="004A0212">
        <w:t>te</w:t>
      </w:r>
      <w:proofErr w:type="spellEnd"/>
      <w:r w:rsidR="1BE3913B" w:rsidRPr="004A0212">
        <w:t xml:space="preserve"> </w:t>
      </w:r>
      <w:proofErr w:type="spellStart"/>
      <w:r w:rsidR="1BE3913B" w:rsidRPr="004A0212">
        <w:t>tāmitanga</w:t>
      </w:r>
      <w:bookmarkEnd w:id="111"/>
      <w:bookmarkEnd w:id="112"/>
      <w:proofErr w:type="spellEnd"/>
    </w:p>
    <w:p w14:paraId="1B43A72E" w14:textId="73DF506F" w:rsidR="00C87AD9" w:rsidRPr="004A0212" w:rsidRDefault="484FA7A6" w:rsidP="001142DD">
      <w:pPr>
        <w:pStyle w:val="Heading1"/>
      </w:pPr>
      <w:bookmarkStart w:id="113" w:name="_Toc519978441"/>
      <w:bookmarkStart w:id="114" w:name="_Toc168638902"/>
      <w:r w:rsidRPr="004A0212">
        <w:t>Chapter 3: Missionaries and the start of colonisation</w:t>
      </w:r>
      <w:bookmarkEnd w:id="113"/>
      <w:bookmarkEnd w:id="114"/>
      <w:r w:rsidRPr="004A0212">
        <w:t xml:space="preserve"> </w:t>
      </w:r>
    </w:p>
    <w:p w14:paraId="6858A225" w14:textId="7CBC8D33" w:rsidR="00C60323" w:rsidRPr="004A0212" w:rsidRDefault="7E1F38AB" w:rsidP="007A190A">
      <w:pPr>
        <w:pStyle w:val="Heading2"/>
        <w:rPr>
          <w:rFonts w:cs="Arial"/>
        </w:rPr>
      </w:pPr>
      <w:bookmarkStart w:id="115" w:name="_Toc1127595633"/>
      <w:bookmarkStart w:id="116" w:name="_Toc168638903"/>
      <w:bookmarkStart w:id="117" w:name="_Toc147935371"/>
      <w:bookmarkStart w:id="118" w:name="_Toc148443550"/>
      <w:bookmarkStart w:id="119" w:name="_Toc150933113"/>
      <w:bookmarkStart w:id="120" w:name="_Toc150953431"/>
      <w:proofErr w:type="spellStart"/>
      <w:r w:rsidRPr="004A0212">
        <w:rPr>
          <w:rFonts w:cs="Arial"/>
        </w:rPr>
        <w:t>Te</w:t>
      </w:r>
      <w:proofErr w:type="spellEnd"/>
      <w:r w:rsidRPr="004A0212">
        <w:rPr>
          <w:rFonts w:cs="Arial"/>
        </w:rPr>
        <w:t xml:space="preserve"> </w:t>
      </w:r>
      <w:proofErr w:type="spellStart"/>
      <w:r w:rsidRPr="004A0212">
        <w:rPr>
          <w:rFonts w:cs="Arial"/>
        </w:rPr>
        <w:t>taenga</w:t>
      </w:r>
      <w:proofErr w:type="spellEnd"/>
      <w:r w:rsidRPr="004A0212">
        <w:rPr>
          <w:rFonts w:cs="Arial"/>
        </w:rPr>
        <w:t xml:space="preserve"> </w:t>
      </w:r>
      <w:proofErr w:type="spellStart"/>
      <w:r w:rsidRPr="004A0212">
        <w:rPr>
          <w:rFonts w:cs="Arial"/>
        </w:rPr>
        <w:t>mai</w:t>
      </w:r>
      <w:proofErr w:type="spellEnd"/>
      <w:r w:rsidRPr="004A0212">
        <w:rPr>
          <w:rFonts w:cs="Arial"/>
        </w:rPr>
        <w:t xml:space="preserve"> o </w:t>
      </w:r>
      <w:proofErr w:type="spellStart"/>
      <w:r w:rsidRPr="004A0212">
        <w:rPr>
          <w:rFonts w:cs="Arial"/>
        </w:rPr>
        <w:t>ngā</w:t>
      </w:r>
      <w:proofErr w:type="spellEnd"/>
      <w:r w:rsidRPr="004A0212">
        <w:rPr>
          <w:rFonts w:cs="Arial"/>
        </w:rPr>
        <w:t xml:space="preserve"> </w:t>
      </w:r>
      <w:proofErr w:type="spellStart"/>
      <w:r w:rsidRPr="004A0212">
        <w:rPr>
          <w:rFonts w:cs="Arial"/>
        </w:rPr>
        <w:t>mihinare</w:t>
      </w:r>
      <w:proofErr w:type="spellEnd"/>
      <w:r w:rsidRPr="004A0212">
        <w:rPr>
          <w:rFonts w:cs="Arial"/>
        </w:rPr>
        <w:t xml:space="preserve"> ki Aotearoa</w:t>
      </w:r>
      <w:bookmarkEnd w:id="115"/>
      <w:bookmarkEnd w:id="116"/>
      <w:r w:rsidRPr="004A0212">
        <w:rPr>
          <w:rFonts w:cs="Arial"/>
        </w:rPr>
        <w:t xml:space="preserve"> </w:t>
      </w:r>
    </w:p>
    <w:p w14:paraId="12DFB687" w14:textId="27D66E77" w:rsidR="007A190A" w:rsidRPr="004A0212" w:rsidRDefault="1D9F47D2" w:rsidP="007A190A">
      <w:pPr>
        <w:pStyle w:val="Heading2"/>
        <w:rPr>
          <w:rFonts w:cs="Arial"/>
        </w:rPr>
      </w:pPr>
      <w:bookmarkStart w:id="121" w:name="_Toc1735893698"/>
      <w:bookmarkStart w:id="122" w:name="_Toc168638904"/>
      <w:r w:rsidRPr="004A0212">
        <w:rPr>
          <w:rFonts w:cs="Arial"/>
        </w:rPr>
        <w:t>Arrival of missionaries in Aotearoa</w:t>
      </w:r>
      <w:bookmarkEnd w:id="117"/>
      <w:bookmarkEnd w:id="118"/>
      <w:r w:rsidRPr="004A0212">
        <w:rPr>
          <w:rFonts w:cs="Arial"/>
        </w:rPr>
        <w:t xml:space="preserve"> New Zealand</w:t>
      </w:r>
      <w:bookmarkEnd w:id="119"/>
      <w:bookmarkEnd w:id="120"/>
      <w:bookmarkEnd w:id="121"/>
      <w:bookmarkEnd w:id="122"/>
    </w:p>
    <w:p w14:paraId="2B6A2120" w14:textId="19FCA67A" w:rsidR="007A190A" w:rsidRPr="004A0212" w:rsidRDefault="007A190A" w:rsidP="007D73A6">
      <w:pPr>
        <w:pStyle w:val="AllNumbparas"/>
      </w:pPr>
      <w:r w:rsidRPr="004A0212">
        <w:t xml:space="preserve">Part of the </w:t>
      </w:r>
      <w:r w:rsidR="00C61081" w:rsidRPr="004A0212">
        <w:t>history of</w:t>
      </w:r>
      <w:r w:rsidRPr="004A0212">
        <w:t xml:space="preserve"> care settings in Aotearoa New Zealand relates to</w:t>
      </w:r>
      <w:r w:rsidRPr="004A0212" w:rsidDel="00E21DE0">
        <w:t xml:space="preserve"> </w:t>
      </w:r>
      <w:r w:rsidRPr="004A0212">
        <w:t xml:space="preserve">the arrival of </w:t>
      </w:r>
      <w:r w:rsidR="00AD784D" w:rsidRPr="004A0212">
        <w:t>C</w:t>
      </w:r>
      <w:r w:rsidRPr="004A0212">
        <w:t xml:space="preserve">hristian missionaries. </w:t>
      </w:r>
    </w:p>
    <w:p w14:paraId="7CFB1767" w14:textId="28BF8356" w:rsidR="007A190A" w:rsidRPr="004A0212" w:rsidRDefault="007A190A" w:rsidP="007D73A6">
      <w:pPr>
        <w:pStyle w:val="AllNumbparas"/>
        <w:rPr>
          <w:rFonts w:eastAsia="Times New Roman"/>
        </w:rPr>
      </w:pPr>
      <w:r w:rsidRPr="004A0212">
        <w:t xml:space="preserve">Christian missionaries arrived in Aotearoa New Zealand as early as 1814. </w:t>
      </w:r>
      <w:r w:rsidR="006C70D8" w:rsidRPr="004A0212">
        <w:t xml:space="preserve">From </w:t>
      </w:r>
      <w:r w:rsidRPr="004A0212">
        <w:t xml:space="preserve">1815 </w:t>
      </w:r>
      <w:r w:rsidR="006C70D8" w:rsidRPr="004A0212">
        <w:t xml:space="preserve">to </w:t>
      </w:r>
      <w:r w:rsidRPr="004A0212">
        <w:t xml:space="preserve">1840, the Anglicans, Methodists and Roman Catholics established several missions across the </w:t>
      </w:r>
      <w:r w:rsidR="006C70D8" w:rsidRPr="004A0212">
        <w:t>Far North</w:t>
      </w:r>
      <w:r w:rsidRPr="004A0212">
        <w:t xml:space="preserve">, </w:t>
      </w:r>
      <w:r w:rsidRPr="004A0212">
        <w:rPr>
          <w:rStyle w:val="normaltextrun"/>
        </w:rPr>
        <w:t>close to Māori communities</w:t>
      </w:r>
      <w:r w:rsidRPr="004A0212">
        <w:t>.</w:t>
      </w:r>
      <w:r w:rsidRPr="004A0212">
        <w:rPr>
          <w:rStyle w:val="StyleFootnoteReferenceFagoFunotenzeichenFagoFunotenzeichen"/>
        </w:rPr>
        <w:footnoteReference w:id="63"/>
      </w:r>
      <w:r w:rsidRPr="004A0212">
        <w:rPr>
          <w:rStyle w:val="FootnoteReference"/>
        </w:rPr>
        <w:t xml:space="preserve"> </w:t>
      </w:r>
      <w:r w:rsidR="00594C8A" w:rsidRPr="004A0212">
        <w:t>In the early years</w:t>
      </w:r>
      <w:r w:rsidR="00BF554B" w:rsidRPr="004A0212">
        <w:t>,</w:t>
      </w:r>
      <w:r w:rsidR="00594C8A" w:rsidRPr="004A0212">
        <w:t xml:space="preserve"> m</w:t>
      </w:r>
      <w:r w:rsidRPr="004A0212">
        <w:t xml:space="preserve">issionaries were generally seen </w:t>
      </w:r>
      <w:r w:rsidR="00594C8A" w:rsidRPr="004A0212">
        <w:t xml:space="preserve">by Māori </w:t>
      </w:r>
      <w:r w:rsidRPr="004A0212">
        <w:t xml:space="preserve">as useful members of </w:t>
      </w:r>
      <w:r w:rsidR="00594C8A" w:rsidRPr="004A0212">
        <w:t xml:space="preserve">their </w:t>
      </w:r>
      <w:r w:rsidRPr="004A0212">
        <w:t xml:space="preserve">communities. </w:t>
      </w:r>
      <w:r w:rsidRPr="004A0212">
        <w:rPr>
          <w:rStyle w:val="normaltextrun"/>
        </w:rPr>
        <w:t>Māori engaged with the missionaries to increase their collective status, mana and economic and military advantage (including access to trading and muskets),</w:t>
      </w:r>
      <w:r w:rsidRPr="004A0212">
        <w:rPr>
          <w:rStyle w:val="StyleFootnoteReferenceFagoFunotenzeichenFagoFunotenzeichen"/>
        </w:rPr>
        <w:footnoteReference w:id="64"/>
      </w:r>
      <w:r w:rsidRPr="004A0212">
        <w:t xml:space="preserve"> and chiefs often provided land for missionary residences.</w:t>
      </w:r>
      <w:r w:rsidRPr="004A0212">
        <w:rPr>
          <w:rStyle w:val="StyleFootnoteReferenceFagoFunotenzeichenFagoFunotenzeichen"/>
        </w:rPr>
        <w:footnoteReference w:id="65"/>
      </w:r>
    </w:p>
    <w:p w14:paraId="54D7012B" w14:textId="0085D01C" w:rsidR="007A190A" w:rsidRPr="004A0212" w:rsidRDefault="007A190A" w:rsidP="00814720">
      <w:pPr>
        <w:pStyle w:val="AllNumbparas"/>
      </w:pPr>
      <w:r w:rsidRPr="004A0212">
        <w:t>Missionaries developed a reputation for mediating between rivals, providing a way out from the cycle of utu.</w:t>
      </w:r>
      <w:r w:rsidRPr="004A0212">
        <w:rPr>
          <w:rStyle w:val="StyleFootnoteReferenceFagoFunotenzeichenFagoFunotenzeichen"/>
        </w:rPr>
        <w:footnoteReference w:id="66"/>
      </w:r>
      <w:r w:rsidRPr="004A0212">
        <w:t xml:space="preserve"> This was a reciprocal relationship, with the missionaries often relying on hapū for food, shelter and protection.</w:t>
      </w:r>
      <w:r w:rsidR="00406444" w:rsidRPr="004A0212">
        <w:t xml:space="preserve"> </w:t>
      </w:r>
      <w:r w:rsidR="006509CF" w:rsidRPr="004A0212">
        <w:t>Missionaries</w:t>
      </w:r>
      <w:r w:rsidRPr="004A0212">
        <w:t xml:space="preserve"> also </w:t>
      </w:r>
      <w:r w:rsidR="003E4D1C" w:rsidRPr="004A0212">
        <w:t>taught</w:t>
      </w:r>
      <w:r w:rsidRPr="004A0212">
        <w:t xml:space="preserve"> domestic values based on the model of the nuclear family as part of their wider efforts to </w:t>
      </w:r>
      <w:r w:rsidR="24139906" w:rsidRPr="004A0212">
        <w:t>C</w:t>
      </w:r>
      <w:r w:rsidRPr="004A0212">
        <w:t>hristianise and civilise Māori.</w:t>
      </w:r>
      <w:r w:rsidRPr="004A0212">
        <w:rPr>
          <w:rStyle w:val="StyleFootnoteReferenceFagoFunotenzeichenFagoFunotenzeichen"/>
        </w:rPr>
        <w:footnoteReference w:id="67"/>
      </w:r>
      <w:r w:rsidRPr="004A0212">
        <w:rPr>
          <w:rStyle w:val="StyleFootnoteReferenceFagoFunotenzeichenFagoFunotenzeichen"/>
        </w:rPr>
        <w:t xml:space="preserve"> </w:t>
      </w:r>
      <w:r w:rsidR="008C0038" w:rsidRPr="004A0212">
        <w:t xml:space="preserve">Missionaries </w:t>
      </w:r>
      <w:r w:rsidR="00247950" w:rsidRPr="004A0212">
        <w:t>influenced</w:t>
      </w:r>
      <w:r w:rsidR="008C0038" w:rsidRPr="004A0212">
        <w:t xml:space="preserve"> Māori converts to </w:t>
      </w:r>
      <w:r w:rsidR="16839A6C" w:rsidRPr="004A0212">
        <w:t>C</w:t>
      </w:r>
      <w:r w:rsidR="008C0038" w:rsidRPr="004A0212">
        <w:t>hristianity to abandon polygamy.</w:t>
      </w:r>
      <w:r w:rsidR="008C0038" w:rsidRPr="004A0212">
        <w:rPr>
          <w:rStyle w:val="StyleFootnoteReferenceFagoFunotenzeichenFagoFunotenzeichen"/>
        </w:rPr>
        <w:footnoteReference w:id="68"/>
      </w:r>
    </w:p>
    <w:p w14:paraId="67E9105A" w14:textId="3416C6F5" w:rsidR="007A190A" w:rsidRPr="004A0212" w:rsidRDefault="20B85954" w:rsidP="007A190A">
      <w:pPr>
        <w:pStyle w:val="Heading3"/>
        <w:rPr>
          <w:rFonts w:cs="Arial"/>
        </w:rPr>
      </w:pPr>
      <w:bookmarkStart w:id="123" w:name="_Toc1450918098"/>
      <w:bookmarkStart w:id="124" w:name="_Toc168638905"/>
      <w:proofErr w:type="spellStart"/>
      <w:r w:rsidRPr="004A0212">
        <w:rPr>
          <w:rFonts w:cs="Arial"/>
        </w:rPr>
        <w:t>Ngā</w:t>
      </w:r>
      <w:proofErr w:type="spellEnd"/>
      <w:r w:rsidRPr="004A0212">
        <w:rPr>
          <w:rFonts w:cs="Arial"/>
        </w:rPr>
        <w:t xml:space="preserve"> </w:t>
      </w:r>
      <w:proofErr w:type="spellStart"/>
      <w:r w:rsidRPr="004A0212">
        <w:rPr>
          <w:rFonts w:cs="Arial"/>
        </w:rPr>
        <w:t>whakaaro</w:t>
      </w:r>
      <w:proofErr w:type="spellEnd"/>
      <w:r w:rsidRPr="004A0212">
        <w:rPr>
          <w:rFonts w:cs="Arial"/>
        </w:rPr>
        <w:t xml:space="preserve"> o </w:t>
      </w:r>
      <w:proofErr w:type="spellStart"/>
      <w:r w:rsidRPr="004A0212">
        <w:rPr>
          <w:rFonts w:cs="Arial"/>
        </w:rPr>
        <w:t>te</w:t>
      </w:r>
      <w:proofErr w:type="spellEnd"/>
      <w:r w:rsidRPr="004A0212">
        <w:rPr>
          <w:rFonts w:cs="Arial"/>
        </w:rPr>
        <w:t xml:space="preserve"> Māori ki </w:t>
      </w:r>
      <w:proofErr w:type="spellStart"/>
      <w:r w:rsidRPr="004A0212">
        <w:rPr>
          <w:rFonts w:cs="Arial"/>
        </w:rPr>
        <w:t>te</w:t>
      </w:r>
      <w:proofErr w:type="spellEnd"/>
      <w:r w:rsidRPr="004A0212">
        <w:rPr>
          <w:rFonts w:cs="Arial"/>
        </w:rPr>
        <w:t xml:space="preserve"> </w:t>
      </w:r>
      <w:proofErr w:type="spellStart"/>
      <w:r w:rsidRPr="004A0212">
        <w:rPr>
          <w:rFonts w:cs="Arial"/>
        </w:rPr>
        <w:t>Karaitianatanga</w:t>
      </w:r>
      <w:proofErr w:type="spellEnd"/>
      <w:r w:rsidRPr="004A0212">
        <w:rPr>
          <w:rFonts w:cs="Arial"/>
        </w:rPr>
        <w:t xml:space="preserve"> </w:t>
      </w:r>
      <w:r w:rsidR="0C4D57DC" w:rsidRPr="004A0212">
        <w:rPr>
          <w:rFonts w:cs="Arial"/>
        </w:rPr>
        <w:t xml:space="preserve">| </w:t>
      </w:r>
      <w:r w:rsidR="02E5043B" w:rsidRPr="004A0212">
        <w:rPr>
          <w:rFonts w:cs="Arial"/>
        </w:rPr>
        <w:t>Māori responses to</w:t>
      </w:r>
      <w:r w:rsidR="5C6008DF" w:rsidRPr="004A0212">
        <w:rPr>
          <w:rFonts w:cs="Arial"/>
        </w:rPr>
        <w:t xml:space="preserve"> Christianity</w:t>
      </w:r>
      <w:bookmarkEnd w:id="123"/>
      <w:bookmarkEnd w:id="124"/>
    </w:p>
    <w:p w14:paraId="73254913" w14:textId="60B412D9" w:rsidR="007A190A" w:rsidRPr="004A0212" w:rsidRDefault="007A190A" w:rsidP="007D73A6">
      <w:pPr>
        <w:pStyle w:val="AllNumbparas"/>
        <w:rPr>
          <w:rStyle w:val="normaltextrun"/>
        </w:rPr>
      </w:pPr>
      <w:r w:rsidRPr="004A0212">
        <w:rPr>
          <w:rStyle w:val="normaltextrun"/>
        </w:rPr>
        <w:t>Māori</w:t>
      </w:r>
      <w:r w:rsidRPr="004A0212">
        <w:rPr>
          <w:rStyle w:val="normaltextrun"/>
          <w:color w:val="FF0000"/>
        </w:rPr>
        <w:t xml:space="preserve"> </w:t>
      </w:r>
      <w:r w:rsidRPr="004A0212">
        <w:rPr>
          <w:rStyle w:val="normaltextrun"/>
        </w:rPr>
        <w:t xml:space="preserve">responses to the </w:t>
      </w:r>
      <w:r w:rsidR="00F13298" w:rsidRPr="004A0212">
        <w:rPr>
          <w:rStyle w:val="normaltextrun"/>
        </w:rPr>
        <w:t>C</w:t>
      </w:r>
      <w:r w:rsidRPr="004A0212">
        <w:rPr>
          <w:rStyle w:val="normaltextrun"/>
        </w:rPr>
        <w:t xml:space="preserve">hristian teachings varied but during the 1830s some Māori adapted and absorbed aspects of </w:t>
      </w:r>
      <w:r w:rsidR="005E12D9" w:rsidRPr="004A0212">
        <w:rPr>
          <w:rStyle w:val="normaltextrun"/>
        </w:rPr>
        <w:t>Christianity</w:t>
      </w:r>
      <w:r w:rsidRPr="004A0212">
        <w:rPr>
          <w:rStyle w:val="normaltextrun"/>
        </w:rPr>
        <w:t xml:space="preserve"> into their own spirituality, “incorporating Christianity into their own belief systems at least as much as they were being converted by it”.</w:t>
      </w:r>
      <w:r w:rsidRPr="004A0212">
        <w:rPr>
          <w:rStyle w:val="StyleFootnoteReferenceFagoFunotenzeichenFagoFunotenzeichen"/>
        </w:rPr>
        <w:footnoteReference w:id="69"/>
      </w:r>
      <w:r w:rsidRPr="004A0212">
        <w:rPr>
          <w:rStyle w:val="normaltextrun"/>
        </w:rPr>
        <w:t xml:space="preserve"> Missionaries relied on Māori co-operation, not just to live, but also to spread their message. </w:t>
      </w:r>
    </w:p>
    <w:p w14:paraId="78714BD2" w14:textId="1E2646CB" w:rsidR="007A190A" w:rsidRPr="004A0212" w:rsidRDefault="007A190A" w:rsidP="007D73A6">
      <w:pPr>
        <w:pStyle w:val="AllNumbparas"/>
      </w:pPr>
      <w:r w:rsidRPr="004A0212">
        <w:rPr>
          <w:rStyle w:val="normaltextrun"/>
        </w:rPr>
        <w:t xml:space="preserve">Māori evangelist teachers, or </w:t>
      </w:r>
      <w:proofErr w:type="spellStart"/>
      <w:r w:rsidRPr="004A0212">
        <w:rPr>
          <w:rStyle w:val="normaltextrun"/>
        </w:rPr>
        <w:t>kaiwhakaako</w:t>
      </w:r>
      <w:proofErr w:type="spellEnd"/>
      <w:r w:rsidRPr="004A0212">
        <w:rPr>
          <w:rStyle w:val="normaltextrun"/>
        </w:rPr>
        <w:t xml:space="preserve">, became the intermediaries between the missionaries and iwi. </w:t>
      </w:r>
      <w:r w:rsidRPr="004A0212">
        <w:t xml:space="preserve">Some </w:t>
      </w:r>
      <w:proofErr w:type="spellStart"/>
      <w:r w:rsidRPr="004A0212">
        <w:t>kaiwhakaako</w:t>
      </w:r>
      <w:proofErr w:type="spellEnd"/>
      <w:r w:rsidRPr="004A0212">
        <w:t xml:space="preserve">, </w:t>
      </w:r>
      <w:r w:rsidR="006C70D8" w:rsidRPr="004A0212">
        <w:t xml:space="preserve">such as </w:t>
      </w:r>
      <w:proofErr w:type="spellStart"/>
      <w:r w:rsidRPr="004A0212">
        <w:t>Ta</w:t>
      </w:r>
      <w:r w:rsidR="006C70D8" w:rsidRPr="004A0212">
        <w:t>u</w:t>
      </w:r>
      <w:r w:rsidRPr="004A0212">
        <w:t>mata</w:t>
      </w:r>
      <w:proofErr w:type="spellEnd"/>
      <w:r w:rsidR="006C70D8" w:rsidRPr="004A0212">
        <w:t>-</w:t>
      </w:r>
      <w:r w:rsidRPr="004A0212">
        <w:t>a</w:t>
      </w:r>
      <w:r w:rsidR="006C70D8" w:rsidRPr="004A0212">
        <w:t>-</w:t>
      </w:r>
      <w:proofErr w:type="spellStart"/>
      <w:r w:rsidR="006C70D8" w:rsidRPr="004A0212">
        <w:t>k</w:t>
      </w:r>
      <w:r w:rsidRPr="004A0212">
        <w:t>ura</w:t>
      </w:r>
      <w:proofErr w:type="spellEnd"/>
      <w:r w:rsidRPr="004A0212">
        <w:t xml:space="preserve"> (Ngāti </w:t>
      </w:r>
      <w:proofErr w:type="spellStart"/>
      <w:r w:rsidRPr="004A0212">
        <w:t>Porou</w:t>
      </w:r>
      <w:proofErr w:type="spellEnd"/>
      <w:r w:rsidRPr="004A0212">
        <w:t xml:space="preserve">), had a significant impact in spreading the </w:t>
      </w:r>
      <w:proofErr w:type="spellStart"/>
      <w:r w:rsidR="0047734A" w:rsidRPr="004A0212">
        <w:t>c</w:t>
      </w:r>
      <w:r w:rsidRPr="004A0212">
        <w:t>hristian</w:t>
      </w:r>
      <w:proofErr w:type="spellEnd"/>
      <w:r w:rsidRPr="004A0212">
        <w:t xml:space="preserve"> gospel while working within their own cultural frameworks.</w:t>
      </w:r>
      <w:r w:rsidRPr="004A0212">
        <w:rPr>
          <w:rStyle w:val="StyleFootnoteReferenceFagoFunotenzeichenFagoFunotenzeichen"/>
        </w:rPr>
        <w:footnoteReference w:id="70"/>
      </w:r>
      <w:r w:rsidRPr="004A0212">
        <w:t xml:space="preserve"> Once ordination of M</w:t>
      </w:r>
      <w:r w:rsidRPr="004A0212">
        <w:rPr>
          <w:rStyle w:val="normaltextrun"/>
        </w:rPr>
        <w:t>ā</w:t>
      </w:r>
      <w:r w:rsidRPr="004A0212">
        <w:t>ori ministers (</w:t>
      </w:r>
      <w:proofErr w:type="spellStart"/>
      <w:r w:rsidRPr="004A0212">
        <w:t>minita</w:t>
      </w:r>
      <w:proofErr w:type="spellEnd"/>
      <w:r w:rsidRPr="004A0212">
        <w:t xml:space="preserve">) began, some of the first </w:t>
      </w:r>
      <w:proofErr w:type="spellStart"/>
      <w:r w:rsidRPr="004A0212">
        <w:t>minita</w:t>
      </w:r>
      <w:proofErr w:type="spellEnd"/>
      <w:r w:rsidRPr="004A0212">
        <w:t xml:space="preserve"> were also tohunga who blended indigenous practice with </w:t>
      </w:r>
      <w:r w:rsidR="00BF1FE8" w:rsidRPr="004A0212">
        <w:t>Christianity</w:t>
      </w:r>
      <w:r w:rsidRPr="004A0212">
        <w:t>.</w:t>
      </w:r>
      <w:r w:rsidRPr="004A0212">
        <w:rPr>
          <w:rStyle w:val="StyleFootnoteReferenceFagoFunotenzeichenFagoFunotenzeichen"/>
        </w:rPr>
        <w:footnoteReference w:id="71"/>
      </w:r>
      <w:r w:rsidRPr="004A0212">
        <w:rPr>
          <w:rStyle w:val="FootnoteReference"/>
        </w:rPr>
        <w:t xml:space="preserve"> </w:t>
      </w:r>
    </w:p>
    <w:p w14:paraId="53DC8114" w14:textId="77777777" w:rsidR="00C60323" w:rsidRPr="004A0212" w:rsidRDefault="200E6618" w:rsidP="001142DD">
      <w:pPr>
        <w:pStyle w:val="Heading3"/>
        <w:tabs>
          <w:tab w:val="left" w:pos="7981"/>
        </w:tabs>
        <w:rPr>
          <w:rFonts w:cs="Arial"/>
        </w:rPr>
      </w:pPr>
      <w:bookmarkStart w:id="125" w:name="_Toc782081386"/>
      <w:bookmarkStart w:id="126" w:name="_Toc168638906"/>
      <w:r w:rsidRPr="004A0212">
        <w:rPr>
          <w:rFonts w:cs="Arial"/>
        </w:rPr>
        <w:t xml:space="preserve">Ka </w:t>
      </w:r>
      <w:proofErr w:type="spellStart"/>
      <w:r w:rsidRPr="004A0212">
        <w:rPr>
          <w:rFonts w:cs="Arial"/>
        </w:rPr>
        <w:t>tīmata</w:t>
      </w:r>
      <w:proofErr w:type="spellEnd"/>
      <w:r w:rsidRPr="004A0212">
        <w:rPr>
          <w:rFonts w:cs="Arial"/>
        </w:rPr>
        <w:t xml:space="preserve"> </w:t>
      </w:r>
      <w:proofErr w:type="spellStart"/>
      <w:r w:rsidRPr="004A0212">
        <w:rPr>
          <w:rFonts w:cs="Arial"/>
        </w:rPr>
        <w:t>te</w:t>
      </w:r>
      <w:proofErr w:type="spellEnd"/>
      <w:r w:rsidRPr="004A0212">
        <w:rPr>
          <w:rFonts w:cs="Arial"/>
        </w:rPr>
        <w:t xml:space="preserve"> Kāwanatanga ki </w:t>
      </w:r>
      <w:proofErr w:type="spellStart"/>
      <w:r w:rsidRPr="004A0212">
        <w:rPr>
          <w:rFonts w:cs="Arial"/>
        </w:rPr>
        <w:t>te</w:t>
      </w:r>
      <w:proofErr w:type="spellEnd"/>
      <w:r w:rsidRPr="004A0212">
        <w:rPr>
          <w:rFonts w:cs="Arial"/>
        </w:rPr>
        <w:t xml:space="preserve"> </w:t>
      </w:r>
      <w:proofErr w:type="spellStart"/>
      <w:r w:rsidRPr="004A0212">
        <w:rPr>
          <w:rFonts w:cs="Arial"/>
        </w:rPr>
        <w:t>tuku</w:t>
      </w:r>
      <w:proofErr w:type="spellEnd"/>
      <w:r w:rsidRPr="004A0212">
        <w:rPr>
          <w:rFonts w:cs="Arial"/>
        </w:rPr>
        <w:t xml:space="preserve"> </w:t>
      </w:r>
      <w:proofErr w:type="spellStart"/>
      <w:r w:rsidRPr="004A0212">
        <w:rPr>
          <w:rFonts w:cs="Arial"/>
        </w:rPr>
        <w:t>pūtea</w:t>
      </w:r>
      <w:proofErr w:type="spellEnd"/>
      <w:r w:rsidRPr="004A0212">
        <w:rPr>
          <w:rFonts w:cs="Arial"/>
        </w:rPr>
        <w:t xml:space="preserve"> </w:t>
      </w:r>
      <w:proofErr w:type="spellStart"/>
      <w:r w:rsidRPr="004A0212">
        <w:rPr>
          <w:rFonts w:cs="Arial"/>
        </w:rPr>
        <w:t>tautoko</w:t>
      </w:r>
      <w:proofErr w:type="spellEnd"/>
      <w:r w:rsidRPr="004A0212">
        <w:rPr>
          <w:rFonts w:cs="Arial"/>
        </w:rPr>
        <w:t xml:space="preserve"> </w:t>
      </w:r>
      <w:proofErr w:type="spellStart"/>
      <w:r w:rsidR="11083198" w:rsidRPr="004A0212">
        <w:rPr>
          <w:rFonts w:cs="Arial"/>
        </w:rPr>
        <w:t>mō</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mātauranga</w:t>
      </w:r>
      <w:bookmarkEnd w:id="125"/>
      <w:bookmarkEnd w:id="126"/>
      <w:proofErr w:type="spellEnd"/>
      <w:r w:rsidR="0A086592" w:rsidRPr="004A0212">
        <w:rPr>
          <w:rFonts w:cs="Arial"/>
        </w:rPr>
        <w:t xml:space="preserve"> </w:t>
      </w:r>
    </w:p>
    <w:p w14:paraId="2D76A31D" w14:textId="06144D0C" w:rsidR="007A190A" w:rsidRPr="004A0212" w:rsidRDefault="31EE8614" w:rsidP="001142DD">
      <w:pPr>
        <w:pStyle w:val="Heading3"/>
        <w:tabs>
          <w:tab w:val="left" w:pos="7981"/>
        </w:tabs>
        <w:rPr>
          <w:rFonts w:cs="Arial"/>
        </w:rPr>
      </w:pPr>
      <w:bookmarkStart w:id="127" w:name="_Toc415825560"/>
      <w:bookmarkStart w:id="128" w:name="_Toc168638907"/>
      <w:r w:rsidRPr="004A0212">
        <w:rPr>
          <w:rFonts w:cs="Arial"/>
        </w:rPr>
        <w:t>State begins to fund education</w:t>
      </w:r>
      <w:bookmarkEnd w:id="127"/>
      <w:bookmarkEnd w:id="128"/>
      <w:r w:rsidR="7B28D466" w:rsidRPr="004A0212">
        <w:rPr>
          <w:rFonts w:cs="Arial"/>
        </w:rPr>
        <w:t xml:space="preserve"> </w:t>
      </w:r>
    </w:p>
    <w:p w14:paraId="3B5C51B3" w14:textId="47096652" w:rsidR="007A190A" w:rsidRPr="004A0212" w:rsidRDefault="007A190A" w:rsidP="007D73A6">
      <w:pPr>
        <w:pStyle w:val="AllNumbparas"/>
      </w:pPr>
      <w:r w:rsidRPr="004A0212">
        <w:t xml:space="preserve">Schools were an early tool for converting Māori to </w:t>
      </w:r>
      <w:r w:rsidR="000A4388">
        <w:t>C</w:t>
      </w:r>
      <w:r w:rsidRPr="004A0212">
        <w:t>hristianity, with the first missionary school opening in 1816.</w:t>
      </w:r>
      <w:r w:rsidRPr="004A0212">
        <w:rPr>
          <w:rStyle w:val="StyleFootnoteReferenceFagoFunotenzeichenFagoFunotenzeichen"/>
        </w:rPr>
        <w:footnoteReference w:id="72"/>
      </w:r>
      <w:r w:rsidRPr="004A0212">
        <w:t xml:space="preserve"> </w:t>
      </w:r>
    </w:p>
    <w:p w14:paraId="5FB7026A" w14:textId="0BA1E6E1" w:rsidR="007A190A" w:rsidRPr="004A0212" w:rsidRDefault="007A190A" w:rsidP="007D73A6">
      <w:pPr>
        <w:pStyle w:val="AllNumbparas"/>
      </w:pPr>
      <w:r w:rsidRPr="004A0212">
        <w:t>Under the 1847 Ordinance Act, the State began funding church-run boarding schools.</w:t>
      </w:r>
      <w:r w:rsidRPr="004A0212">
        <w:rPr>
          <w:rStyle w:val="StyleFootnoteReferenceFagoFunotenzeichenFagoFunotenzeichen"/>
        </w:rPr>
        <w:footnoteReference w:id="73"/>
      </w:r>
      <w:r w:rsidRPr="004A0212">
        <w:t xml:space="preserve"> State funding for church-run schools continued under the Native Schools Acts of 1858 and 1867.</w:t>
      </w:r>
      <w:r w:rsidRPr="004A0212">
        <w:rPr>
          <w:rStyle w:val="StyleFootnoteReferenceFagoFunotenzeichenFagoFunotenzeichen"/>
        </w:rPr>
        <w:footnoteReference w:id="74"/>
      </w:r>
      <w:r w:rsidRPr="004A0212">
        <w:rPr>
          <w:vertAlign w:val="superscript"/>
        </w:rPr>
        <w:t xml:space="preserve"> </w:t>
      </w:r>
      <w:r w:rsidR="00A52AC8" w:rsidRPr="004A0212">
        <w:t>Although the 1858 Act “upheld English as the dominant language”, in many areas</w:t>
      </w:r>
      <w:r w:rsidR="009F4DA8" w:rsidRPr="004A0212">
        <w:t xml:space="preserve"> missionaries </w:t>
      </w:r>
      <w:r w:rsidR="00D42717" w:rsidRPr="004A0212">
        <w:t>initially taught</w:t>
      </w:r>
      <w:r w:rsidR="009F4DA8" w:rsidRPr="004A0212">
        <w:t xml:space="preserve"> in</w:t>
      </w:r>
      <w:r w:rsidR="00A52AC8" w:rsidRPr="004A0212">
        <w:t xml:space="preserve"> </w:t>
      </w:r>
      <w:proofErr w:type="spellStart"/>
      <w:r w:rsidR="00A52AC8" w:rsidRPr="004A0212">
        <w:t>te</w:t>
      </w:r>
      <w:proofErr w:type="spellEnd"/>
      <w:r w:rsidR="00A52AC8" w:rsidRPr="004A0212">
        <w:t xml:space="preserve"> </w:t>
      </w:r>
      <w:proofErr w:type="spellStart"/>
      <w:r w:rsidR="00A52AC8" w:rsidRPr="004A0212">
        <w:t>reo</w:t>
      </w:r>
      <w:proofErr w:type="spellEnd"/>
      <w:r w:rsidR="00A52AC8" w:rsidRPr="004A0212">
        <w:t xml:space="preserve"> Māori</w:t>
      </w:r>
      <w:r w:rsidR="00D42717" w:rsidRPr="004A0212">
        <w:t>.</w:t>
      </w:r>
      <w:r w:rsidR="00D42717" w:rsidRPr="004A0212">
        <w:rPr>
          <w:rStyle w:val="FootnoteReference"/>
        </w:rPr>
        <w:footnoteReference w:id="75"/>
      </w:r>
      <w:r w:rsidR="00A52AC8" w:rsidRPr="004A0212">
        <w:t xml:space="preserve"> </w:t>
      </w:r>
      <w:r w:rsidRPr="004A0212">
        <w:t>Both the State and missionaries shared the goal of making their schools “centres for civilisation”.</w:t>
      </w:r>
      <w:r w:rsidRPr="004A0212">
        <w:rPr>
          <w:rStyle w:val="StyleFootnoteReferenceFagoFunotenzeichenFagoFunotenzeichen"/>
        </w:rPr>
        <w:footnoteReference w:id="76"/>
      </w:r>
      <w:r w:rsidR="00D42717" w:rsidRPr="004A0212">
        <w:t xml:space="preserve"> </w:t>
      </w:r>
      <w:r w:rsidR="00F95927" w:rsidRPr="004A0212">
        <w:t>During Parliamentary debates on</w:t>
      </w:r>
      <w:r w:rsidR="0039313A" w:rsidRPr="004A0212">
        <w:t xml:space="preserve"> the</w:t>
      </w:r>
      <w:r w:rsidR="00F95927" w:rsidRPr="004A0212">
        <w:t xml:space="preserve"> </w:t>
      </w:r>
      <w:r w:rsidR="0076686E" w:rsidRPr="004A0212">
        <w:t>Bill that later became</w:t>
      </w:r>
      <w:r w:rsidR="009F3C6B" w:rsidRPr="004A0212">
        <w:t xml:space="preserve"> the </w:t>
      </w:r>
      <w:r w:rsidR="00260EF2" w:rsidRPr="004A0212">
        <w:t xml:space="preserve">Native Schools Amendment Act </w:t>
      </w:r>
      <w:r w:rsidR="0076686E" w:rsidRPr="004A0212">
        <w:t xml:space="preserve">1871, </w:t>
      </w:r>
      <w:r w:rsidR="00A1303C" w:rsidRPr="004A0212">
        <w:t xml:space="preserve">Minister of Native Affairs Donald McLean stated that “the principle of teaching English would be adhered to, because the education of the Māori race in the English language was the factor most likely to </w:t>
      </w:r>
      <w:r w:rsidR="00736954" w:rsidRPr="004A0212">
        <w:t>‘</w:t>
      </w:r>
      <w:r w:rsidR="00A1303C" w:rsidRPr="004A0212">
        <w:t>bridge over</w:t>
      </w:r>
      <w:r w:rsidR="00736954" w:rsidRPr="004A0212">
        <w:t>’</w:t>
      </w:r>
      <w:r w:rsidR="00A1303C" w:rsidRPr="004A0212">
        <w:t xml:space="preserve"> the gap existing between two races”.</w:t>
      </w:r>
      <w:r w:rsidR="00A1303C" w:rsidRPr="004A0212">
        <w:rPr>
          <w:rStyle w:val="FootnoteReference"/>
        </w:rPr>
        <w:footnoteReference w:id="77"/>
      </w:r>
    </w:p>
    <w:p w14:paraId="793B4A66" w14:textId="665D0ED6" w:rsidR="007A190A" w:rsidRPr="004A0212" w:rsidRDefault="007A190A" w:rsidP="007D73A6">
      <w:pPr>
        <w:pStyle w:val="AllNumbparas"/>
      </w:pPr>
      <w:r w:rsidRPr="004A0212">
        <w:t>Māori supported the schools in the hope that their children might gain access to the benefits of settler society</w:t>
      </w:r>
      <w:r w:rsidR="004A258B" w:rsidRPr="004A0212">
        <w:t>.</w:t>
      </w:r>
      <w:r w:rsidRPr="004A0212">
        <w:rPr>
          <w:rStyle w:val="StyleFootnoteReferenceFagoFunotenzeichenFagoFunotenzeichen"/>
        </w:rPr>
        <w:footnoteReference w:id="78"/>
      </w:r>
      <w:r w:rsidRPr="004A0212">
        <w:t xml:space="preserve"> </w:t>
      </w:r>
      <w:r w:rsidR="0046560A" w:rsidRPr="004A0212">
        <w:t>Māori leaders</w:t>
      </w:r>
      <w:r w:rsidRPr="004A0212">
        <w:t xml:space="preserve">, wanting the benefits from the education system, </w:t>
      </w:r>
      <w:r w:rsidR="0046560A" w:rsidRPr="004A0212">
        <w:t>“had to</w:t>
      </w:r>
      <w:r w:rsidRPr="004A0212">
        <w:t xml:space="preserve"> ask the Government to establish a school in their district and provide </w:t>
      </w:r>
      <w:r w:rsidR="004A258B" w:rsidRPr="004A0212">
        <w:t xml:space="preserve">sufficient </w:t>
      </w:r>
      <w:r w:rsidRPr="004A0212">
        <w:t xml:space="preserve">land for that </w:t>
      </w:r>
      <w:r w:rsidR="004A258B" w:rsidRPr="004A0212">
        <w:t>school</w:t>
      </w:r>
      <w:r w:rsidRPr="004A0212">
        <w:t>, but had no say in the curriculum</w:t>
      </w:r>
      <w:r w:rsidR="004A258B" w:rsidRPr="004A0212">
        <w:t>”</w:t>
      </w:r>
      <w:r w:rsidRPr="004A0212">
        <w:t>.</w:t>
      </w:r>
      <w:r w:rsidRPr="004A0212">
        <w:rPr>
          <w:rStyle w:val="StyleFootnoteReferenceFagoFunotenzeichenFagoFunotenzeichen"/>
        </w:rPr>
        <w:footnoteReference w:id="79"/>
      </w:r>
      <w:r w:rsidRPr="004A0212">
        <w:rPr>
          <w:vertAlign w:val="superscript"/>
        </w:rPr>
        <w:t xml:space="preserve"> </w:t>
      </w:r>
    </w:p>
    <w:p w14:paraId="3ACD9A00" w14:textId="77777777" w:rsidR="00C60323" w:rsidRPr="004A0212" w:rsidRDefault="7E1F38AB" w:rsidP="007A190A">
      <w:pPr>
        <w:pStyle w:val="Heading2"/>
        <w:rPr>
          <w:rFonts w:cs="Arial"/>
        </w:rPr>
      </w:pPr>
      <w:bookmarkStart w:id="129" w:name="_Toc762248684"/>
      <w:bookmarkStart w:id="130" w:name="_Toc168638908"/>
      <w:bookmarkStart w:id="131" w:name="_Toc147935419"/>
      <w:bookmarkStart w:id="132" w:name="_Toc148443603"/>
      <w:bookmarkStart w:id="133" w:name="_Toc150933117"/>
      <w:bookmarkStart w:id="134" w:name="_Toc150953435"/>
      <w:proofErr w:type="spellStart"/>
      <w:r w:rsidRPr="004A0212">
        <w:rPr>
          <w:rFonts w:cs="Arial"/>
        </w:rPr>
        <w:t>Te</w:t>
      </w:r>
      <w:proofErr w:type="spellEnd"/>
      <w:r w:rsidRPr="004A0212">
        <w:rPr>
          <w:rFonts w:cs="Arial"/>
        </w:rPr>
        <w:t xml:space="preserve"> </w:t>
      </w:r>
      <w:proofErr w:type="spellStart"/>
      <w:r w:rsidRPr="004A0212">
        <w:rPr>
          <w:rFonts w:cs="Arial"/>
        </w:rPr>
        <w:t>taenga</w:t>
      </w:r>
      <w:proofErr w:type="spellEnd"/>
      <w:r w:rsidRPr="004A0212">
        <w:rPr>
          <w:rFonts w:cs="Arial"/>
        </w:rPr>
        <w:t xml:space="preserve"> o </w:t>
      </w:r>
      <w:proofErr w:type="spellStart"/>
      <w:r w:rsidRPr="004A0212">
        <w:rPr>
          <w:rFonts w:cs="Arial"/>
        </w:rPr>
        <w:t>ngā</w:t>
      </w:r>
      <w:proofErr w:type="spellEnd"/>
      <w:r w:rsidRPr="004A0212">
        <w:rPr>
          <w:rFonts w:cs="Arial"/>
        </w:rPr>
        <w:t xml:space="preserve"> </w:t>
      </w:r>
      <w:proofErr w:type="spellStart"/>
      <w:r w:rsidRPr="004A0212">
        <w:rPr>
          <w:rFonts w:cs="Arial"/>
        </w:rPr>
        <w:t>mihinare</w:t>
      </w:r>
      <w:proofErr w:type="spellEnd"/>
      <w:r w:rsidRPr="004A0212">
        <w:rPr>
          <w:rFonts w:cs="Arial"/>
        </w:rPr>
        <w:t xml:space="preserve"> ki </w:t>
      </w:r>
      <w:proofErr w:type="spellStart"/>
      <w:r w:rsidRPr="004A0212">
        <w:rPr>
          <w:rFonts w:cs="Arial"/>
        </w:rPr>
        <w:t>te</w:t>
      </w:r>
      <w:proofErr w:type="spellEnd"/>
      <w:r w:rsidRPr="004A0212">
        <w:rPr>
          <w:rFonts w:cs="Arial"/>
        </w:rPr>
        <w:t xml:space="preserve"> Moana </w:t>
      </w:r>
      <w:proofErr w:type="spellStart"/>
      <w:r w:rsidRPr="004A0212">
        <w:rPr>
          <w:rFonts w:cs="Arial"/>
        </w:rPr>
        <w:t>nui</w:t>
      </w:r>
      <w:proofErr w:type="spellEnd"/>
      <w:r w:rsidRPr="004A0212">
        <w:rPr>
          <w:rFonts w:cs="Arial"/>
        </w:rPr>
        <w:t xml:space="preserve"> a Kiwa</w:t>
      </w:r>
      <w:bookmarkEnd w:id="129"/>
      <w:bookmarkEnd w:id="130"/>
      <w:r w:rsidRPr="004A0212">
        <w:rPr>
          <w:rFonts w:cs="Arial"/>
        </w:rPr>
        <w:t xml:space="preserve"> </w:t>
      </w:r>
    </w:p>
    <w:p w14:paraId="50516C85" w14:textId="430F3E16" w:rsidR="007A190A" w:rsidRPr="004A0212" w:rsidRDefault="1D9F47D2" w:rsidP="007A190A">
      <w:pPr>
        <w:pStyle w:val="Heading2"/>
        <w:rPr>
          <w:rFonts w:cs="Arial"/>
        </w:rPr>
      </w:pPr>
      <w:bookmarkStart w:id="135" w:name="_Toc1918882384"/>
      <w:bookmarkStart w:id="136" w:name="_Toc168638909"/>
      <w:r w:rsidRPr="004A0212">
        <w:rPr>
          <w:rFonts w:cs="Arial"/>
        </w:rPr>
        <w:t>Arrival of the missionaries in the Pacific</w:t>
      </w:r>
      <w:bookmarkEnd w:id="131"/>
      <w:bookmarkEnd w:id="132"/>
      <w:bookmarkEnd w:id="133"/>
      <w:bookmarkEnd w:id="134"/>
      <w:bookmarkEnd w:id="135"/>
      <w:bookmarkEnd w:id="136"/>
    </w:p>
    <w:p w14:paraId="5EBD01C2" w14:textId="6FB87A12" w:rsidR="007A190A" w:rsidRPr="004A0212" w:rsidRDefault="007A190A" w:rsidP="007D73A6">
      <w:pPr>
        <w:pStyle w:val="AllNumbparas"/>
      </w:pPr>
      <w:r w:rsidRPr="004A0212">
        <w:t>In the late 18</w:t>
      </w:r>
      <w:r w:rsidRPr="004A0212">
        <w:rPr>
          <w:vertAlign w:val="superscript"/>
        </w:rPr>
        <w:t>th</w:t>
      </w:r>
      <w:r w:rsidRPr="004A0212">
        <w:t xml:space="preserve"> and early 19</w:t>
      </w:r>
      <w:r w:rsidRPr="004A0212">
        <w:rPr>
          <w:vertAlign w:val="superscript"/>
        </w:rPr>
        <w:t>th</w:t>
      </w:r>
      <w:r w:rsidRPr="004A0212">
        <w:t xml:space="preserve"> </w:t>
      </w:r>
      <w:r w:rsidR="00406444" w:rsidRPr="004A0212">
        <w:t>centuries</w:t>
      </w:r>
      <w:r w:rsidRPr="004A0212">
        <w:t xml:space="preserve">, missionaries began arriving in the South Pacific region. Although Pacific </w:t>
      </w:r>
      <w:r w:rsidR="00406444" w:rsidRPr="004A0212">
        <w:t xml:space="preserve">Peoples’ </w:t>
      </w:r>
      <w:r w:rsidRPr="004A0212">
        <w:t xml:space="preserve">experiences of colonisation and </w:t>
      </w:r>
      <w:r w:rsidR="00084AC3" w:rsidRPr="004A0212">
        <w:t>Christianity</w:t>
      </w:r>
      <w:r w:rsidRPr="004A0212">
        <w:t xml:space="preserve"> varied, the missionaries’ impact on Pacific societies was far-reaching. </w:t>
      </w:r>
    </w:p>
    <w:p w14:paraId="13F94858" w14:textId="4FA2EF4B" w:rsidR="007A190A" w:rsidRPr="004A0212" w:rsidRDefault="007A190A" w:rsidP="007D73A6">
      <w:pPr>
        <w:pStyle w:val="AllNumbparas"/>
      </w:pPr>
      <w:r w:rsidRPr="004A0212">
        <w:t xml:space="preserve">Many Pacific societies adopted </w:t>
      </w:r>
      <w:r w:rsidR="00084AC3" w:rsidRPr="004A0212">
        <w:t>Christianity</w:t>
      </w:r>
      <w:r w:rsidRPr="004A0212">
        <w:t xml:space="preserve"> and it became a core element of their cultural identities. Like Māori, some Pacific </w:t>
      </w:r>
      <w:r w:rsidR="00406444" w:rsidRPr="004A0212">
        <w:t xml:space="preserve">Peoples </w:t>
      </w:r>
      <w:r w:rsidRPr="004A0212">
        <w:t xml:space="preserve">incorporated </w:t>
      </w:r>
      <w:r w:rsidR="00084AC3" w:rsidRPr="004A0212">
        <w:t>Christianity</w:t>
      </w:r>
      <w:r w:rsidRPr="004A0212">
        <w:t xml:space="preserve"> into their own belief systems.</w:t>
      </w:r>
      <w:r w:rsidRPr="004A0212">
        <w:rPr>
          <w:rStyle w:val="StyleFootnoteReferenceFagoFunotenzeichenFagoFunotenzeichen"/>
        </w:rPr>
        <w:footnoteReference w:id="80"/>
      </w:r>
      <w:r w:rsidRPr="004A0212">
        <w:t xml:space="preserve"> </w:t>
      </w:r>
    </w:p>
    <w:p w14:paraId="7E80A25E" w14:textId="786AE4A5" w:rsidR="00B44CC4" w:rsidRPr="004A0212" w:rsidRDefault="007A190A" w:rsidP="0059070E">
      <w:pPr>
        <w:pStyle w:val="AllNumbparas"/>
      </w:pPr>
      <w:r w:rsidRPr="004A0212">
        <w:t xml:space="preserve">Christianity had a strong influence on Pacific </w:t>
      </w:r>
      <w:r w:rsidR="00406444" w:rsidRPr="004A0212">
        <w:t>Peoples’</w:t>
      </w:r>
      <w:r w:rsidRPr="004A0212">
        <w:t xml:space="preserve"> parenting practices, to the extent that physical punishment to discipline children became seen as normal and justified. Although the well-known phrase </w:t>
      </w:r>
      <w:r w:rsidR="00E766AA" w:rsidRPr="004A0212">
        <w:t>‘</w:t>
      </w:r>
      <w:r w:rsidRPr="004A0212">
        <w:t>spare the rod and spoil the child</w:t>
      </w:r>
      <w:r w:rsidR="00E766AA" w:rsidRPr="004A0212">
        <w:t>’</w:t>
      </w:r>
      <w:r w:rsidRPr="004A0212">
        <w:t xml:space="preserve"> is not actually in the Bible, it is widely attributed to the gospels and shaped the approach some Pacific </w:t>
      </w:r>
      <w:r w:rsidR="00513B82" w:rsidRPr="004A0212">
        <w:t xml:space="preserve">Peoples </w:t>
      </w:r>
      <w:r w:rsidRPr="004A0212">
        <w:t>took to parenting.</w:t>
      </w:r>
      <w:r w:rsidRPr="004A0212">
        <w:rPr>
          <w:rStyle w:val="StyleFootnoteReferenceFagoFunotenzeichenFagoFunotenzeichen"/>
        </w:rPr>
        <w:footnoteReference w:id="81"/>
      </w:r>
      <w:r w:rsidRPr="004A0212">
        <w:t xml:space="preserve"> </w:t>
      </w:r>
      <w:bookmarkStart w:id="137" w:name="_Toc150933121"/>
      <w:bookmarkStart w:id="138" w:name="_Toc150953438"/>
      <w:bookmarkStart w:id="139" w:name="_Toc116469140"/>
      <w:bookmarkStart w:id="140" w:name="_Toc117097333"/>
      <w:bookmarkStart w:id="141" w:name="_Toc117598765"/>
      <w:bookmarkStart w:id="142" w:name="_Toc117607037"/>
      <w:bookmarkStart w:id="143" w:name="_Toc118315225"/>
      <w:bookmarkStart w:id="144" w:name="_Toc120716278"/>
      <w:bookmarkStart w:id="145" w:name="_Toc147498362"/>
    </w:p>
    <w:p w14:paraId="61FB3C9F" w14:textId="37D274AB" w:rsidR="00DC0CDB" w:rsidRPr="004A0212" w:rsidRDefault="7E1F38AB" w:rsidP="007A190A">
      <w:pPr>
        <w:pStyle w:val="Heading2"/>
        <w:keepNext/>
        <w:rPr>
          <w:rFonts w:cs="Arial"/>
        </w:rPr>
      </w:pPr>
      <w:bookmarkStart w:id="146" w:name="_Toc701100831"/>
      <w:bookmarkStart w:id="147" w:name="_Toc168638910"/>
      <w:proofErr w:type="spellStart"/>
      <w:r w:rsidRPr="004A0212">
        <w:rPr>
          <w:rFonts w:cs="Arial"/>
        </w:rPr>
        <w:t>Te</w:t>
      </w:r>
      <w:proofErr w:type="spellEnd"/>
      <w:r w:rsidRPr="004A0212">
        <w:rPr>
          <w:rFonts w:cs="Arial"/>
        </w:rPr>
        <w:t xml:space="preserve"> </w:t>
      </w:r>
      <w:proofErr w:type="spellStart"/>
      <w:r w:rsidRPr="004A0212">
        <w:rPr>
          <w:rFonts w:cs="Arial"/>
        </w:rPr>
        <w:t>Tiriti</w:t>
      </w:r>
      <w:proofErr w:type="spellEnd"/>
      <w:r w:rsidRPr="004A0212">
        <w:rPr>
          <w:rFonts w:cs="Arial"/>
        </w:rPr>
        <w:t xml:space="preserve"> o Waitangi Treaty of Waitangi – </w:t>
      </w:r>
      <w:proofErr w:type="spellStart"/>
      <w:r w:rsidRPr="004A0212">
        <w:rPr>
          <w:rFonts w:cs="Arial"/>
        </w:rPr>
        <w:t>te</w:t>
      </w:r>
      <w:proofErr w:type="spellEnd"/>
      <w:r w:rsidRPr="004A0212">
        <w:rPr>
          <w:rFonts w:cs="Arial"/>
        </w:rPr>
        <w:t xml:space="preserve"> </w:t>
      </w:r>
      <w:proofErr w:type="spellStart"/>
      <w:r w:rsidR="4126BEAA" w:rsidRPr="004A0212">
        <w:rPr>
          <w:rFonts w:cs="Arial"/>
        </w:rPr>
        <w:t>o</w:t>
      </w:r>
      <w:r w:rsidRPr="004A0212">
        <w:rPr>
          <w:rFonts w:cs="Arial"/>
        </w:rPr>
        <w:t>rokohanga</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hainatanga</w:t>
      </w:r>
      <w:proofErr w:type="spellEnd"/>
      <w:r w:rsidRPr="004A0212">
        <w:rPr>
          <w:rFonts w:cs="Arial"/>
        </w:rPr>
        <w:t xml:space="preserve"> me </w:t>
      </w:r>
      <w:proofErr w:type="spellStart"/>
      <w:r w:rsidRPr="004A0212">
        <w:rPr>
          <w:rFonts w:cs="Arial"/>
        </w:rPr>
        <w:t>ngā</w:t>
      </w:r>
      <w:proofErr w:type="spellEnd"/>
      <w:r w:rsidRPr="004A0212">
        <w:rPr>
          <w:rFonts w:cs="Arial"/>
        </w:rPr>
        <w:t xml:space="preserve"> </w:t>
      </w:r>
      <w:bookmarkEnd w:id="146"/>
      <w:proofErr w:type="spellStart"/>
      <w:r w:rsidR="7ED8B57C" w:rsidRPr="004A0212">
        <w:rPr>
          <w:rFonts w:cs="Arial"/>
        </w:rPr>
        <w:t>pāpātanga</w:t>
      </w:r>
      <w:bookmarkEnd w:id="147"/>
      <w:proofErr w:type="spellEnd"/>
    </w:p>
    <w:p w14:paraId="753373DA" w14:textId="1BFD5D91" w:rsidR="007A190A" w:rsidRPr="004A0212" w:rsidRDefault="1D9F47D2" w:rsidP="007A190A">
      <w:pPr>
        <w:pStyle w:val="Heading2"/>
        <w:keepNext/>
        <w:rPr>
          <w:rFonts w:cs="Arial"/>
        </w:rPr>
      </w:pPr>
      <w:bookmarkStart w:id="148" w:name="_Toc1677452595"/>
      <w:bookmarkStart w:id="149" w:name="_Toc168638911"/>
      <w:proofErr w:type="spellStart"/>
      <w:r w:rsidRPr="004A0212">
        <w:rPr>
          <w:rFonts w:cs="Arial"/>
        </w:rPr>
        <w:t>Te</w:t>
      </w:r>
      <w:proofErr w:type="spellEnd"/>
      <w:r w:rsidRPr="004A0212">
        <w:rPr>
          <w:rFonts w:cs="Arial"/>
        </w:rPr>
        <w:t xml:space="preserve"> </w:t>
      </w:r>
      <w:proofErr w:type="spellStart"/>
      <w:r w:rsidRPr="004A0212">
        <w:rPr>
          <w:rFonts w:cs="Arial"/>
        </w:rPr>
        <w:t>Tiriti</w:t>
      </w:r>
      <w:proofErr w:type="spellEnd"/>
      <w:r w:rsidRPr="004A0212">
        <w:rPr>
          <w:rFonts w:cs="Arial"/>
        </w:rPr>
        <w:t xml:space="preserve"> o Waitangi Treaty of Waitangi – origins, signing and impacts</w:t>
      </w:r>
      <w:bookmarkEnd w:id="137"/>
      <w:bookmarkEnd w:id="138"/>
      <w:bookmarkEnd w:id="148"/>
      <w:bookmarkEnd w:id="149"/>
    </w:p>
    <w:p w14:paraId="51F0734C" w14:textId="288D63F7" w:rsidR="007A190A" w:rsidRPr="004A0212" w:rsidRDefault="1D9F47D2" w:rsidP="007A190A">
      <w:pPr>
        <w:pStyle w:val="Heading3"/>
        <w:keepNext/>
        <w:rPr>
          <w:rFonts w:cs="Arial"/>
        </w:rPr>
      </w:pPr>
      <w:bookmarkStart w:id="150" w:name="_Toc150933122"/>
      <w:bookmarkStart w:id="151" w:name="_Toc150953439"/>
      <w:bookmarkStart w:id="152" w:name="_Toc1247175832"/>
      <w:bookmarkStart w:id="153" w:name="_Toc168638912"/>
      <w:r w:rsidRPr="004A0212">
        <w:rPr>
          <w:rFonts w:cs="Arial"/>
        </w:rPr>
        <w:t xml:space="preserve">He </w:t>
      </w:r>
      <w:proofErr w:type="spellStart"/>
      <w:r w:rsidRPr="004A0212">
        <w:rPr>
          <w:rFonts w:cs="Arial"/>
        </w:rPr>
        <w:t>Whakaputanga</w:t>
      </w:r>
      <w:proofErr w:type="spellEnd"/>
      <w:r w:rsidRPr="004A0212">
        <w:rPr>
          <w:rFonts w:cs="Arial"/>
        </w:rPr>
        <w:t xml:space="preserve"> o </w:t>
      </w:r>
      <w:proofErr w:type="spellStart"/>
      <w:r w:rsidRPr="004A0212">
        <w:rPr>
          <w:rFonts w:cs="Arial"/>
        </w:rPr>
        <w:t>te</w:t>
      </w:r>
      <w:proofErr w:type="spellEnd"/>
      <w:r w:rsidRPr="004A0212">
        <w:rPr>
          <w:rFonts w:cs="Arial"/>
        </w:rPr>
        <w:t xml:space="preserve"> Rangatiratanga o N</w:t>
      </w:r>
      <w:r w:rsidR="715A7C7F" w:rsidRPr="004A0212">
        <w:rPr>
          <w:rFonts w:cs="Arial"/>
        </w:rPr>
        <w:t>i</w:t>
      </w:r>
      <w:r w:rsidRPr="004A0212">
        <w:rPr>
          <w:rFonts w:cs="Arial"/>
        </w:rPr>
        <w:t xml:space="preserve">u </w:t>
      </w:r>
      <w:bookmarkEnd w:id="139"/>
      <w:bookmarkEnd w:id="140"/>
      <w:bookmarkEnd w:id="141"/>
      <w:bookmarkEnd w:id="142"/>
      <w:bookmarkEnd w:id="143"/>
      <w:bookmarkEnd w:id="144"/>
      <w:bookmarkEnd w:id="145"/>
      <w:proofErr w:type="spellStart"/>
      <w:r w:rsidRPr="004A0212">
        <w:rPr>
          <w:rFonts w:cs="Arial"/>
        </w:rPr>
        <w:t>T</w:t>
      </w:r>
      <w:r w:rsidR="612FA9FA" w:rsidRPr="004A0212">
        <w:rPr>
          <w:rFonts w:cs="Arial"/>
        </w:rPr>
        <w:t>i</w:t>
      </w:r>
      <w:r w:rsidRPr="004A0212">
        <w:rPr>
          <w:rFonts w:cs="Arial"/>
        </w:rPr>
        <w:t>ren</w:t>
      </w:r>
      <w:r w:rsidR="00B61404" w:rsidRPr="000C0692">
        <w:rPr>
          <w:rFonts w:cs="Arial"/>
        </w:rPr>
        <w:t>i</w:t>
      </w:r>
      <w:proofErr w:type="spellEnd"/>
      <w:r w:rsidRPr="004A0212">
        <w:rPr>
          <w:rFonts w:cs="Arial"/>
        </w:rPr>
        <w:t xml:space="preserve"> – the Declaration of Independence</w:t>
      </w:r>
      <w:bookmarkEnd w:id="150"/>
      <w:bookmarkEnd w:id="151"/>
      <w:bookmarkEnd w:id="152"/>
      <w:bookmarkEnd w:id="153"/>
    </w:p>
    <w:p w14:paraId="10840341" w14:textId="78B1E783" w:rsidR="007A190A" w:rsidRPr="004A0212" w:rsidRDefault="5D7D545B" w:rsidP="007D73A6">
      <w:pPr>
        <w:pStyle w:val="AllNumbparas"/>
      </w:pPr>
      <w:r w:rsidRPr="004A0212">
        <w:t>N</w:t>
      </w:r>
      <w:r w:rsidR="1D9F47D2" w:rsidRPr="004A0212">
        <w:t xml:space="preserve">orthern Māori had </w:t>
      </w:r>
      <w:r w:rsidRPr="004A0212">
        <w:t xml:space="preserve">had the </w:t>
      </w:r>
      <w:r w:rsidR="1D9F47D2" w:rsidRPr="004A0212">
        <w:t>experience of signing an international document</w:t>
      </w:r>
      <w:r w:rsidRPr="004A0212">
        <w:t xml:space="preserve"> before they signed </w:t>
      </w:r>
      <w:proofErr w:type="spellStart"/>
      <w:r w:rsidR="00E05FDC" w:rsidRPr="000C0692">
        <w:t>t</w:t>
      </w:r>
      <w:r w:rsidRPr="004A0212">
        <w:t>e</w:t>
      </w:r>
      <w:proofErr w:type="spellEnd"/>
      <w:r w:rsidRPr="004A0212">
        <w:t xml:space="preserve"> </w:t>
      </w:r>
      <w:proofErr w:type="spellStart"/>
      <w:r w:rsidRPr="004A0212">
        <w:t>Tiriti</w:t>
      </w:r>
      <w:proofErr w:type="spellEnd"/>
      <w:r w:rsidRPr="004A0212">
        <w:t xml:space="preserve"> o Waitangi</w:t>
      </w:r>
      <w:r w:rsidR="1D9F47D2" w:rsidRPr="004A0212">
        <w:t xml:space="preserve">. In 1835, 34 </w:t>
      </w:r>
      <w:proofErr w:type="spellStart"/>
      <w:r w:rsidR="1D9F47D2" w:rsidRPr="004A0212">
        <w:t>rangatira</w:t>
      </w:r>
      <w:proofErr w:type="spellEnd"/>
      <w:r w:rsidR="1D9F47D2" w:rsidRPr="004A0212">
        <w:t xml:space="preserve"> (chiefs), mostly from the Bay of Islands and Hokianga, signed He </w:t>
      </w:r>
      <w:proofErr w:type="spellStart"/>
      <w:r w:rsidR="1D9F47D2" w:rsidRPr="004A0212">
        <w:t>Whakaputanga</w:t>
      </w:r>
      <w:proofErr w:type="spellEnd"/>
      <w:r w:rsidR="1D9F47D2" w:rsidRPr="004A0212">
        <w:t xml:space="preserve"> o </w:t>
      </w:r>
      <w:proofErr w:type="spellStart"/>
      <w:r w:rsidR="1D9F47D2" w:rsidRPr="004A0212">
        <w:t>te</w:t>
      </w:r>
      <w:proofErr w:type="spellEnd"/>
      <w:r w:rsidR="1D9F47D2" w:rsidRPr="004A0212">
        <w:t xml:space="preserve"> Rangatiratanga o N</w:t>
      </w:r>
      <w:r w:rsidR="2525B721" w:rsidRPr="004A0212">
        <w:t>i</w:t>
      </w:r>
      <w:r w:rsidR="1D9F47D2" w:rsidRPr="004A0212">
        <w:t xml:space="preserve">u </w:t>
      </w:r>
      <w:proofErr w:type="spellStart"/>
      <w:r w:rsidR="1D9F47D2" w:rsidRPr="004A0212">
        <w:t>T</w:t>
      </w:r>
      <w:r w:rsidR="612FA9FA" w:rsidRPr="004A0212">
        <w:t>i</w:t>
      </w:r>
      <w:r w:rsidR="1D9F47D2" w:rsidRPr="004A0212">
        <w:t>ren</w:t>
      </w:r>
      <w:r w:rsidR="00E05FDC" w:rsidRPr="000C0692">
        <w:t>i</w:t>
      </w:r>
      <w:proofErr w:type="spellEnd"/>
      <w:r w:rsidR="1D9F47D2" w:rsidRPr="004A0212">
        <w:t xml:space="preserve"> – the Declaration of Independence.</w:t>
      </w:r>
    </w:p>
    <w:p w14:paraId="337D8385" w14:textId="274FC20A" w:rsidR="007A190A" w:rsidRPr="004A0212" w:rsidRDefault="007A190A" w:rsidP="00370D96">
      <w:pPr>
        <w:pStyle w:val="Numbparas"/>
      </w:pPr>
      <w:r w:rsidRPr="004A0212">
        <w:t>The declaration emphasised their rangatiratanga</w:t>
      </w:r>
      <w:r w:rsidR="007E6051" w:rsidRPr="004A0212">
        <w:t xml:space="preserve">, </w:t>
      </w:r>
      <w:r w:rsidR="75EEB89F" w:rsidRPr="004A0212">
        <w:t>Kīngitanga</w:t>
      </w:r>
      <w:r w:rsidR="007E6051" w:rsidRPr="004A0212">
        <w:t xml:space="preserve"> and mana</w:t>
      </w:r>
      <w:r w:rsidRPr="004A0212">
        <w:t xml:space="preserve"> and asserted that no other person or group could make laws within their territories or exercise the functions of government except under their authority and in accordance with tikanga Māori.</w:t>
      </w:r>
      <w:r w:rsidRPr="004A0212">
        <w:rPr>
          <w:rStyle w:val="StyleFootnoteReferenceFagoFunotenzeichenFagoFunotenzeichen"/>
        </w:rPr>
        <w:footnoteReference w:id="82"/>
      </w:r>
      <w:r w:rsidRPr="004A0212">
        <w:t xml:space="preserve"> </w:t>
      </w:r>
    </w:p>
    <w:p w14:paraId="712B53EA" w14:textId="40DA884A" w:rsidR="007A190A" w:rsidRPr="004A0212" w:rsidRDefault="1D9F47D2" w:rsidP="08C22B3F">
      <w:pPr>
        <w:pStyle w:val="AllNumbparas"/>
        <w:rPr>
          <w:vertAlign w:val="superscript"/>
        </w:rPr>
      </w:pPr>
      <w:r w:rsidRPr="004A0212">
        <w:t xml:space="preserve">The declaration and </w:t>
      </w:r>
      <w:proofErr w:type="spellStart"/>
      <w:r w:rsidR="4E083BBA" w:rsidRPr="004A0212">
        <w:t>T</w:t>
      </w:r>
      <w:r w:rsidRPr="004A0212">
        <w:t>e</w:t>
      </w:r>
      <w:proofErr w:type="spellEnd"/>
      <w:r w:rsidRPr="004A0212">
        <w:t xml:space="preserve"> </w:t>
      </w:r>
      <w:proofErr w:type="spellStart"/>
      <w:r w:rsidRPr="004A0212">
        <w:t>Whakaminenga</w:t>
      </w:r>
      <w:proofErr w:type="spellEnd"/>
      <w:r w:rsidRPr="004A0212">
        <w:t xml:space="preserve"> o </w:t>
      </w:r>
      <w:proofErr w:type="spellStart"/>
      <w:r w:rsidRPr="004A0212">
        <w:t>Ngā</w:t>
      </w:r>
      <w:proofErr w:type="spellEnd"/>
      <w:r w:rsidRPr="004A0212">
        <w:t xml:space="preserve"> Hapū o Niu </w:t>
      </w:r>
      <w:proofErr w:type="spellStart"/>
      <w:r w:rsidRPr="004A0212">
        <w:t>T</w:t>
      </w:r>
      <w:r w:rsidR="5AA7823C" w:rsidRPr="004A0212">
        <w:t>i</w:t>
      </w:r>
      <w:r w:rsidRPr="004A0212">
        <w:t>ren</w:t>
      </w:r>
      <w:r w:rsidR="004E2C73" w:rsidRPr="000C0692">
        <w:t>i</w:t>
      </w:r>
      <w:proofErr w:type="spellEnd"/>
      <w:r w:rsidRPr="004A0212">
        <w:t xml:space="preserve"> (the Confederation of United Tribes) were a political response to the changes brought about by contact with Europeans. </w:t>
      </w:r>
      <w:proofErr w:type="spellStart"/>
      <w:r w:rsidRPr="004A0212">
        <w:t>Te</w:t>
      </w:r>
      <w:proofErr w:type="spellEnd"/>
      <w:r w:rsidRPr="004A0212">
        <w:t xml:space="preserve"> </w:t>
      </w:r>
      <w:proofErr w:type="spellStart"/>
      <w:r w:rsidRPr="004A0212">
        <w:t>Whakaminenga</w:t>
      </w:r>
      <w:proofErr w:type="spellEnd"/>
      <w:r w:rsidRPr="004A0212">
        <w:t xml:space="preserve"> o </w:t>
      </w:r>
      <w:proofErr w:type="spellStart"/>
      <w:r w:rsidRPr="004A0212">
        <w:t>Ngā</w:t>
      </w:r>
      <w:proofErr w:type="spellEnd"/>
      <w:r w:rsidRPr="004A0212">
        <w:t xml:space="preserve"> Hapū o N</w:t>
      </w:r>
      <w:r w:rsidR="6F904AFB" w:rsidRPr="004A0212">
        <w:t>i</w:t>
      </w:r>
      <w:r w:rsidRPr="004A0212">
        <w:t xml:space="preserve">u </w:t>
      </w:r>
      <w:proofErr w:type="spellStart"/>
      <w:r w:rsidRPr="004A0212">
        <w:t>T</w:t>
      </w:r>
      <w:r w:rsidR="7D05611F" w:rsidRPr="004A0212">
        <w:t>i</w:t>
      </w:r>
      <w:r w:rsidRPr="004A0212">
        <w:t>ren</w:t>
      </w:r>
      <w:r w:rsidR="003C41D6" w:rsidRPr="000C0692">
        <w:t>i</w:t>
      </w:r>
      <w:proofErr w:type="spellEnd"/>
      <w:r w:rsidRPr="004A0212">
        <w:t xml:space="preserve"> represented a “coming together of the tribes”, in which hapū worked together to protect and reinforce their autonomy. The intent was “for Māori to control their own changes in the new world”.</w:t>
      </w:r>
      <w:r w:rsidR="007A190A" w:rsidRPr="004A0212">
        <w:rPr>
          <w:rStyle w:val="StyleFootnoteReferenceFagoFunotenzeichenFagoFunotenzeichen"/>
        </w:rPr>
        <w:footnoteReference w:id="83"/>
      </w:r>
      <w:r w:rsidRPr="004A0212">
        <w:rPr>
          <w:vertAlign w:val="superscript"/>
        </w:rPr>
        <w:t xml:space="preserve"> </w:t>
      </w:r>
    </w:p>
    <w:p w14:paraId="263F269B" w14:textId="1AAB65D6" w:rsidR="007A190A" w:rsidRPr="004A0212" w:rsidRDefault="1D9F47D2" w:rsidP="007D73A6">
      <w:pPr>
        <w:pStyle w:val="AllNumbparas"/>
      </w:pPr>
      <w:r w:rsidRPr="004A0212">
        <w:t xml:space="preserve">The British Colonial Office (the government department that oversaw the colonies) recognised Aotearoa New Zealand’s independence through several statutes and official acknowledgement of </w:t>
      </w:r>
      <w:proofErr w:type="spellStart"/>
      <w:r w:rsidRPr="004A0212">
        <w:t>He</w:t>
      </w:r>
      <w:proofErr w:type="spellEnd"/>
      <w:r w:rsidRPr="004A0212">
        <w:t xml:space="preserve"> </w:t>
      </w:r>
      <w:proofErr w:type="spellStart"/>
      <w:r w:rsidRPr="004A0212">
        <w:t>Whakaputanga</w:t>
      </w:r>
      <w:proofErr w:type="spellEnd"/>
      <w:r w:rsidRPr="004A0212">
        <w:t xml:space="preserve"> o </w:t>
      </w:r>
      <w:proofErr w:type="spellStart"/>
      <w:r w:rsidRPr="004A0212">
        <w:t>te</w:t>
      </w:r>
      <w:proofErr w:type="spellEnd"/>
      <w:r w:rsidRPr="004A0212">
        <w:t xml:space="preserve"> Rangatiratanga o N</w:t>
      </w:r>
      <w:r w:rsidR="571BABAB" w:rsidRPr="004A0212">
        <w:t>i</w:t>
      </w:r>
      <w:r w:rsidRPr="004A0212">
        <w:t xml:space="preserve">u </w:t>
      </w:r>
      <w:proofErr w:type="spellStart"/>
      <w:r w:rsidRPr="004A0212">
        <w:t>T</w:t>
      </w:r>
      <w:r w:rsidR="556CED2C" w:rsidRPr="004A0212">
        <w:t>i</w:t>
      </w:r>
      <w:r w:rsidRPr="004A0212">
        <w:t>ren</w:t>
      </w:r>
      <w:r w:rsidR="00F821C4" w:rsidRPr="000C0692">
        <w:t>i</w:t>
      </w:r>
      <w:proofErr w:type="spellEnd"/>
      <w:r w:rsidRPr="004A0212">
        <w:t>. This meant that if the British chose to intervene more formally, the independent and sovereign status of the country would have to be nullified, by a treaty if possible.</w:t>
      </w:r>
      <w:r w:rsidR="007A190A" w:rsidRPr="004A0212">
        <w:rPr>
          <w:rStyle w:val="StyleFootnoteReferenceFagoFunotenzeichenFagoFunotenzeichen"/>
        </w:rPr>
        <w:footnoteReference w:id="84"/>
      </w:r>
      <w:r w:rsidRPr="004A0212">
        <w:t xml:space="preserve"> </w:t>
      </w:r>
    </w:p>
    <w:p w14:paraId="5FB8BFAE" w14:textId="0D91B2BA" w:rsidR="007A190A" w:rsidRPr="004A0212" w:rsidRDefault="00A5DA99" w:rsidP="007A190A">
      <w:pPr>
        <w:pStyle w:val="Heading3"/>
        <w:rPr>
          <w:rFonts w:cs="Arial"/>
        </w:rPr>
      </w:pPr>
      <w:bookmarkStart w:id="154" w:name="_Toc147498363"/>
      <w:bookmarkStart w:id="155" w:name="_Toc150933123"/>
      <w:bookmarkStart w:id="156" w:name="_Toc150953440"/>
      <w:bookmarkStart w:id="157" w:name="_Toc1940905491"/>
      <w:bookmarkStart w:id="158" w:name="_Toc168638913"/>
      <w:proofErr w:type="spellStart"/>
      <w:r w:rsidRPr="004A0212">
        <w:rPr>
          <w:rFonts w:cs="Arial"/>
        </w:rPr>
        <w:t>Te</w:t>
      </w:r>
      <w:proofErr w:type="spellEnd"/>
      <w:r w:rsidRPr="004A0212">
        <w:rPr>
          <w:rFonts w:cs="Arial"/>
        </w:rPr>
        <w:t xml:space="preserve"> </w:t>
      </w:r>
      <w:proofErr w:type="spellStart"/>
      <w:r w:rsidR="5449948E" w:rsidRPr="004A0212">
        <w:rPr>
          <w:rFonts w:cs="Arial"/>
        </w:rPr>
        <w:t>o</w:t>
      </w:r>
      <w:r w:rsidRPr="004A0212">
        <w:rPr>
          <w:rFonts w:cs="Arial"/>
        </w:rPr>
        <w:t>rokohanga</w:t>
      </w:r>
      <w:proofErr w:type="spellEnd"/>
      <w:r w:rsidRPr="004A0212">
        <w:rPr>
          <w:rFonts w:cs="Arial"/>
        </w:rPr>
        <w:t xml:space="preserve"> o </w:t>
      </w:r>
      <w:proofErr w:type="spellStart"/>
      <w:r w:rsidR="2DC56C88" w:rsidRPr="004A0212">
        <w:rPr>
          <w:rFonts w:cs="Arial"/>
        </w:rPr>
        <w:t>T</w:t>
      </w:r>
      <w:r w:rsidRPr="004A0212">
        <w:rPr>
          <w:rFonts w:cs="Arial"/>
        </w:rPr>
        <w:t>e</w:t>
      </w:r>
      <w:proofErr w:type="spellEnd"/>
      <w:r w:rsidRPr="004A0212">
        <w:rPr>
          <w:rFonts w:cs="Arial"/>
        </w:rPr>
        <w:t xml:space="preserve"> </w:t>
      </w:r>
      <w:proofErr w:type="spellStart"/>
      <w:r w:rsidRPr="004A0212">
        <w:rPr>
          <w:rFonts w:cs="Arial"/>
        </w:rPr>
        <w:t>Tiriti</w:t>
      </w:r>
      <w:proofErr w:type="spellEnd"/>
      <w:r w:rsidRPr="004A0212">
        <w:rPr>
          <w:rFonts w:cs="Arial"/>
        </w:rPr>
        <w:t xml:space="preserve"> | </w:t>
      </w:r>
      <w:proofErr w:type="spellStart"/>
      <w:r w:rsidR="1D9F47D2" w:rsidRPr="004A0212">
        <w:rPr>
          <w:rFonts w:cs="Arial"/>
        </w:rPr>
        <w:t>Te</w:t>
      </w:r>
      <w:proofErr w:type="spellEnd"/>
      <w:r w:rsidR="1D9F47D2" w:rsidRPr="004A0212">
        <w:rPr>
          <w:rFonts w:cs="Arial"/>
        </w:rPr>
        <w:t xml:space="preserve"> </w:t>
      </w:r>
      <w:proofErr w:type="spellStart"/>
      <w:r w:rsidR="1D9F47D2" w:rsidRPr="004A0212">
        <w:rPr>
          <w:rFonts w:cs="Arial"/>
        </w:rPr>
        <w:t>Tiriti</w:t>
      </w:r>
      <w:bookmarkEnd w:id="154"/>
      <w:proofErr w:type="spellEnd"/>
      <w:r w:rsidR="65CBE5AD" w:rsidRPr="004A0212">
        <w:rPr>
          <w:rFonts w:cs="Arial"/>
        </w:rPr>
        <w:t xml:space="preserve"> o </w:t>
      </w:r>
      <w:r w:rsidR="3ADCC80F" w:rsidRPr="004A0212">
        <w:rPr>
          <w:rFonts w:cs="Arial"/>
        </w:rPr>
        <w:t>Waitangi</w:t>
      </w:r>
      <w:r w:rsidR="1D9F47D2" w:rsidRPr="004A0212">
        <w:rPr>
          <w:rFonts w:cs="Arial"/>
        </w:rPr>
        <w:t xml:space="preserve"> origins</w:t>
      </w:r>
      <w:bookmarkEnd w:id="155"/>
      <w:bookmarkEnd w:id="156"/>
      <w:bookmarkEnd w:id="157"/>
      <w:bookmarkEnd w:id="158"/>
    </w:p>
    <w:p w14:paraId="6E900436" w14:textId="0514E511" w:rsidR="00F93CBC" w:rsidRPr="004A0212" w:rsidRDefault="007A190A" w:rsidP="00814720">
      <w:pPr>
        <w:pStyle w:val="AllNumbparas"/>
      </w:pPr>
      <w:r w:rsidRPr="004A0212">
        <w:t xml:space="preserve">In 1840, </w:t>
      </w:r>
      <w:proofErr w:type="spellStart"/>
      <w:r w:rsidR="00630FE4">
        <w:t>t</w:t>
      </w:r>
      <w:r w:rsidRPr="004A0212">
        <w:t>e</w:t>
      </w:r>
      <w:proofErr w:type="spellEnd"/>
      <w:r w:rsidRPr="004A0212">
        <w:t xml:space="preserve"> </w:t>
      </w:r>
      <w:proofErr w:type="spellStart"/>
      <w:r w:rsidRPr="004A0212">
        <w:t>Tiriti</w:t>
      </w:r>
      <w:proofErr w:type="spellEnd"/>
      <w:r w:rsidR="00B03620" w:rsidRPr="004A0212">
        <w:t xml:space="preserve"> o Waitangi</w:t>
      </w:r>
      <w:r w:rsidRPr="004A0212">
        <w:t xml:space="preserve"> was signed b</w:t>
      </w:r>
      <w:r w:rsidR="008843EB" w:rsidRPr="004A0212">
        <w:t>y</w:t>
      </w:r>
      <w:r w:rsidR="00445A3D" w:rsidRPr="004A0212">
        <w:t xml:space="preserve"> </w:t>
      </w:r>
      <w:r w:rsidR="00870AD7" w:rsidRPr="004A0212">
        <w:t>over 40</w:t>
      </w:r>
      <w:r w:rsidRPr="004A0212">
        <w:t xml:space="preserve"> </w:t>
      </w:r>
      <w:proofErr w:type="spellStart"/>
      <w:r w:rsidR="001B1ECA" w:rsidRPr="004A0212">
        <w:t>rangatira</w:t>
      </w:r>
      <w:proofErr w:type="spellEnd"/>
      <w:r w:rsidR="001B1ECA" w:rsidRPr="004A0212">
        <w:t xml:space="preserve"> </w:t>
      </w:r>
      <w:r w:rsidRPr="004A0212">
        <w:t xml:space="preserve">Māori and </w:t>
      </w:r>
      <w:r w:rsidR="00AA6932" w:rsidRPr="004A0212">
        <w:t xml:space="preserve">Captain William Hobson on behalf of </w:t>
      </w:r>
      <w:r w:rsidRPr="004A0212">
        <w:t xml:space="preserve">the British Crown. </w:t>
      </w:r>
      <w:r w:rsidR="00005235" w:rsidRPr="004A0212">
        <w:t>After</w:t>
      </w:r>
      <w:r w:rsidR="00AA6932" w:rsidRPr="004A0212">
        <w:t xml:space="preserve"> the</w:t>
      </w:r>
      <w:r w:rsidR="00005235" w:rsidRPr="004A0212">
        <w:t xml:space="preserve"> signing at Wai</w:t>
      </w:r>
      <w:r w:rsidR="00F657AD" w:rsidRPr="004A0212">
        <w:t>tangi</w:t>
      </w:r>
      <w:r w:rsidR="00AA6932" w:rsidRPr="004A0212">
        <w:t xml:space="preserve">, </w:t>
      </w:r>
      <w:proofErr w:type="spellStart"/>
      <w:r w:rsidR="0066416F" w:rsidRPr="004A0212">
        <w:t>Tiriti</w:t>
      </w:r>
      <w:proofErr w:type="spellEnd"/>
      <w:r w:rsidR="0066416F" w:rsidRPr="004A0212">
        <w:t xml:space="preserve"> o Waitangi</w:t>
      </w:r>
      <w:r w:rsidR="00E64E01" w:rsidRPr="004A0212">
        <w:t xml:space="preserve"> was taken around </w:t>
      </w:r>
      <w:r w:rsidR="00481428" w:rsidRPr="004A0212">
        <w:t xml:space="preserve">the country and </w:t>
      </w:r>
      <w:r w:rsidR="00236B20" w:rsidRPr="004A0212">
        <w:t>gathered additional signatures</w:t>
      </w:r>
      <w:r w:rsidR="00650EE2" w:rsidRPr="004A0212">
        <w:t xml:space="preserve">.  By the end of 1840 over 500 </w:t>
      </w:r>
      <w:proofErr w:type="spellStart"/>
      <w:r w:rsidR="00650EE2" w:rsidRPr="004A0212">
        <w:t>rangatira</w:t>
      </w:r>
      <w:proofErr w:type="spellEnd"/>
      <w:r w:rsidR="00650EE2" w:rsidRPr="004A0212">
        <w:t xml:space="preserve"> </w:t>
      </w:r>
      <w:r w:rsidR="00CE167C" w:rsidRPr="004A0212">
        <w:t xml:space="preserve">had signed.  Most signed </w:t>
      </w:r>
      <w:proofErr w:type="spellStart"/>
      <w:r w:rsidR="00630FE4">
        <w:t>t</w:t>
      </w:r>
      <w:r w:rsidR="00CE167C" w:rsidRPr="004A0212">
        <w:t>e</w:t>
      </w:r>
      <w:proofErr w:type="spellEnd"/>
      <w:r w:rsidR="00CE167C" w:rsidRPr="004A0212">
        <w:t xml:space="preserve"> </w:t>
      </w:r>
      <w:proofErr w:type="spellStart"/>
      <w:r w:rsidR="00CE167C" w:rsidRPr="004A0212">
        <w:t>Tiriti</w:t>
      </w:r>
      <w:proofErr w:type="spellEnd"/>
      <w:r w:rsidR="00CE167C" w:rsidRPr="004A0212">
        <w:t xml:space="preserve"> o Waitangi, </w:t>
      </w:r>
      <w:r w:rsidR="00CF25D9" w:rsidRPr="004A0212">
        <w:t xml:space="preserve">but at Waikato Heads and Manukau only the English text was available and was signed by 39 </w:t>
      </w:r>
      <w:proofErr w:type="spellStart"/>
      <w:r w:rsidR="00CF25D9" w:rsidRPr="004A0212">
        <w:t>rangatira</w:t>
      </w:r>
      <w:proofErr w:type="spellEnd"/>
      <w:r w:rsidR="00CF25D9" w:rsidRPr="004A0212">
        <w:t>.</w:t>
      </w:r>
    </w:p>
    <w:p w14:paraId="4D9E58F7" w14:textId="4B7DB530" w:rsidR="007A190A" w:rsidRPr="004A0212" w:rsidRDefault="430CD3AB" w:rsidP="001B1ECA">
      <w:pPr>
        <w:pStyle w:val="AllNumbparas"/>
      </w:pPr>
      <w:proofErr w:type="spellStart"/>
      <w:r w:rsidRPr="004A0212">
        <w:t>Te</w:t>
      </w:r>
      <w:proofErr w:type="spellEnd"/>
      <w:r w:rsidRPr="004A0212">
        <w:t xml:space="preserve"> </w:t>
      </w:r>
      <w:proofErr w:type="spellStart"/>
      <w:r w:rsidRPr="004A0212">
        <w:t>Tiriti</w:t>
      </w:r>
      <w:proofErr w:type="spellEnd"/>
      <w:r w:rsidRPr="004A0212">
        <w:t xml:space="preserve"> o Waitangi</w:t>
      </w:r>
      <w:r w:rsidR="3DFD43A8" w:rsidRPr="004A0212">
        <w:t xml:space="preserve"> is </w:t>
      </w:r>
      <w:r w:rsidR="662BDA79" w:rsidRPr="004A0212">
        <w:t>Aotearoa</w:t>
      </w:r>
      <w:r w:rsidR="3DFD43A8" w:rsidRPr="004A0212">
        <w:t xml:space="preserve"> </w:t>
      </w:r>
      <w:r w:rsidR="015F457B" w:rsidRPr="004A0212">
        <w:t xml:space="preserve">New Zealand’s </w:t>
      </w:r>
      <w:r w:rsidR="3DFD43A8" w:rsidRPr="004A0212">
        <w:t xml:space="preserve">founding document </w:t>
      </w:r>
      <w:r w:rsidR="43190D0B" w:rsidRPr="004A0212">
        <w:t xml:space="preserve">and </w:t>
      </w:r>
      <w:r w:rsidR="3DFD43A8" w:rsidRPr="004A0212">
        <w:t xml:space="preserve">sets out the relationship between Māori and the British Crown. </w:t>
      </w:r>
    </w:p>
    <w:p w14:paraId="4EC7E501" w14:textId="1437C73C" w:rsidR="007A190A" w:rsidRPr="004A0212" w:rsidRDefault="3DFD43A8" w:rsidP="007D73A6">
      <w:pPr>
        <w:pStyle w:val="AllNumbparas"/>
      </w:pPr>
      <w:proofErr w:type="spellStart"/>
      <w:r w:rsidRPr="004A0212">
        <w:t>Te</w:t>
      </w:r>
      <w:proofErr w:type="spellEnd"/>
      <w:r w:rsidRPr="004A0212">
        <w:t xml:space="preserve"> </w:t>
      </w:r>
      <w:proofErr w:type="spellStart"/>
      <w:r w:rsidRPr="004A0212">
        <w:t>Tiriti</w:t>
      </w:r>
      <w:proofErr w:type="spellEnd"/>
      <w:r w:rsidR="3EA79592" w:rsidRPr="004A0212">
        <w:t xml:space="preserve"> o Waitangi</w:t>
      </w:r>
      <w:r w:rsidRPr="004A0212">
        <w:t xml:space="preserve"> is an enduring and living document that sets out the Crown’s obligations to</w:t>
      </w:r>
      <w:r w:rsidR="2AE72326" w:rsidRPr="004A0212">
        <w:t xml:space="preserve"> hap</w:t>
      </w:r>
      <w:r w:rsidR="135856A3" w:rsidRPr="004A0212">
        <w:rPr>
          <w:color w:val="4D5156"/>
        </w:rPr>
        <w:t>ū </w:t>
      </w:r>
      <w:r w:rsidR="2AE72326" w:rsidRPr="004A0212">
        <w:t>and</w:t>
      </w:r>
      <w:r w:rsidRPr="004A0212">
        <w:t xml:space="preserve"> Māori and affirms the pre-existing rights of Māori as </w:t>
      </w:r>
      <w:proofErr w:type="spellStart"/>
      <w:r w:rsidRPr="004A0212">
        <w:t>tangata</w:t>
      </w:r>
      <w:proofErr w:type="spellEnd"/>
      <w:r w:rsidRPr="004A0212">
        <w:t xml:space="preserve"> whenua. It is well-established that </w:t>
      </w:r>
      <w:proofErr w:type="spellStart"/>
      <w:r w:rsidR="00D10AD1" w:rsidRPr="000C0692">
        <w:t>t</w:t>
      </w:r>
      <w:r w:rsidRPr="000C0692">
        <w:t>e</w:t>
      </w:r>
      <w:proofErr w:type="spellEnd"/>
      <w:r w:rsidRPr="004A0212">
        <w:t xml:space="preserve"> </w:t>
      </w:r>
      <w:proofErr w:type="spellStart"/>
      <w:r w:rsidRPr="004A0212">
        <w:t>Tiriti</w:t>
      </w:r>
      <w:proofErr w:type="spellEnd"/>
      <w:r w:rsidRPr="004A0212">
        <w:t xml:space="preserve"> has two texts, in </w:t>
      </w:r>
      <w:proofErr w:type="spellStart"/>
      <w:r w:rsidRPr="004A0212">
        <w:t>te</w:t>
      </w:r>
      <w:proofErr w:type="spellEnd"/>
      <w:r w:rsidRPr="004A0212">
        <w:t xml:space="preserve"> </w:t>
      </w:r>
      <w:proofErr w:type="spellStart"/>
      <w:r w:rsidRPr="004A0212">
        <w:t>reo</w:t>
      </w:r>
      <w:proofErr w:type="spellEnd"/>
      <w:r w:rsidRPr="004A0212">
        <w:t xml:space="preserve"> Māori and English</w:t>
      </w:r>
      <w:r w:rsidR="34924F98" w:rsidRPr="004A0212">
        <w:t xml:space="preserve">. Although neither text </w:t>
      </w:r>
      <w:r w:rsidR="549A52F5" w:rsidRPr="004A0212">
        <w:t xml:space="preserve">is </w:t>
      </w:r>
      <w:r w:rsidRPr="004A0212">
        <w:t>a direct translation of the other</w:t>
      </w:r>
      <w:r w:rsidR="3C178967" w:rsidRPr="004A0212">
        <w:t xml:space="preserve"> and there </w:t>
      </w:r>
      <w:r w:rsidR="6501E598" w:rsidRPr="004A0212">
        <w:t xml:space="preserve">is </w:t>
      </w:r>
      <w:r w:rsidR="3C178967" w:rsidRPr="004A0212">
        <w:t>debate over the</w:t>
      </w:r>
      <w:r w:rsidR="28C692C9" w:rsidRPr="004A0212">
        <w:t>ir</w:t>
      </w:r>
      <w:r w:rsidR="3C178967" w:rsidRPr="004A0212">
        <w:t xml:space="preserve"> differences</w:t>
      </w:r>
      <w:r w:rsidR="6141E09F" w:rsidRPr="004A0212">
        <w:t>,</w:t>
      </w:r>
      <w:r w:rsidR="4B71DE2D" w:rsidRPr="004A0212">
        <w:t xml:space="preserve"> </w:t>
      </w:r>
      <w:r w:rsidR="28C692C9" w:rsidRPr="004A0212">
        <w:t>one scholar has recently argued that</w:t>
      </w:r>
      <w:r w:rsidR="3C178967" w:rsidRPr="004A0212">
        <w:t xml:space="preserve"> the texts</w:t>
      </w:r>
      <w:r w:rsidR="28C692C9" w:rsidRPr="004A0212">
        <w:t xml:space="preserve"> are not irreconcilable</w:t>
      </w:r>
      <w:r w:rsidRPr="004A0212">
        <w:t>.</w:t>
      </w:r>
      <w:r w:rsidR="007252C0" w:rsidRPr="004A0212">
        <w:rPr>
          <w:rStyle w:val="FootnoteReference"/>
        </w:rPr>
        <w:footnoteReference w:id="85"/>
      </w:r>
      <w:r w:rsidRPr="004A0212">
        <w:t xml:space="preserve"> </w:t>
      </w:r>
    </w:p>
    <w:p w14:paraId="225E37FA" w14:textId="70A3F20B" w:rsidR="00B44CC4" w:rsidRPr="004A0212" w:rsidRDefault="3DFD43A8" w:rsidP="00AA7C32">
      <w:pPr>
        <w:pStyle w:val="AllNumbparas"/>
      </w:pPr>
      <w:proofErr w:type="spellStart"/>
      <w:r w:rsidRPr="004A0212">
        <w:t>Te</w:t>
      </w:r>
      <w:proofErr w:type="spellEnd"/>
      <w:r w:rsidRPr="004A0212">
        <w:t xml:space="preserve"> </w:t>
      </w:r>
      <w:proofErr w:type="spellStart"/>
      <w:r w:rsidRPr="004A0212">
        <w:t>Tiriti</w:t>
      </w:r>
      <w:proofErr w:type="spellEnd"/>
      <w:r w:rsidRPr="004A0212">
        <w:t xml:space="preserve"> </w:t>
      </w:r>
      <w:r w:rsidR="4D35DCE1" w:rsidRPr="004A0212">
        <w:t xml:space="preserve">o Waitangi </w:t>
      </w:r>
      <w:r w:rsidRPr="004A0212">
        <w:t xml:space="preserve">guaranteed </w:t>
      </w:r>
      <w:r w:rsidR="2AE72326" w:rsidRPr="004A0212">
        <w:t>hap</w:t>
      </w:r>
      <w:r w:rsidR="135856A3" w:rsidRPr="004A0212">
        <w:rPr>
          <w:color w:val="4D5156"/>
        </w:rPr>
        <w:t>ū </w:t>
      </w:r>
      <w:r w:rsidRPr="004A0212">
        <w:t>the right to autonomy and self-government (</w:t>
      </w:r>
      <w:proofErr w:type="spellStart"/>
      <w:r w:rsidRPr="004A0212">
        <w:t>tino</w:t>
      </w:r>
      <w:proofErr w:type="spellEnd"/>
      <w:r w:rsidRPr="004A0212">
        <w:t xml:space="preserve"> rangatiratanga) and the right to manage the full range of their affairs in accordance with their own tikanga.</w:t>
      </w:r>
      <w:r w:rsidR="007A190A" w:rsidRPr="004A0212">
        <w:rPr>
          <w:rStyle w:val="StyleFootnoteReferenceFagoFunotenzeichenFagoFunotenzeichen"/>
        </w:rPr>
        <w:footnoteReference w:id="86"/>
      </w:r>
      <w:r w:rsidRPr="004A0212">
        <w:t xml:space="preserve"> </w:t>
      </w:r>
      <w:proofErr w:type="spellStart"/>
      <w:r w:rsidRPr="004A0212">
        <w:t>Te</w:t>
      </w:r>
      <w:proofErr w:type="spellEnd"/>
      <w:r w:rsidRPr="004A0212">
        <w:t xml:space="preserve"> </w:t>
      </w:r>
      <w:proofErr w:type="spellStart"/>
      <w:r w:rsidRPr="004A0212">
        <w:t>Tiriti</w:t>
      </w:r>
      <w:proofErr w:type="spellEnd"/>
      <w:r w:rsidRPr="004A0212">
        <w:t xml:space="preserve"> gave the Crown, through the new </w:t>
      </w:r>
      <w:proofErr w:type="spellStart"/>
      <w:r w:rsidRPr="004A0212">
        <w:t>kāwana</w:t>
      </w:r>
      <w:proofErr w:type="spellEnd"/>
      <w:r w:rsidRPr="004A0212">
        <w:t xml:space="preserve"> (governor) the right to exercise authority (kāwanatanga) over British subjects and keep the peace and protect Māori interests. </w:t>
      </w:r>
    </w:p>
    <w:p w14:paraId="27FF3BFC" w14:textId="341C96C3" w:rsidR="007A190A" w:rsidRPr="004A0212" w:rsidRDefault="3DFD43A8" w:rsidP="007D73A6">
      <w:pPr>
        <w:pStyle w:val="AllNumbparas"/>
        <w:rPr>
          <w:rStyle w:val="normaltextrun"/>
        </w:rPr>
      </w:pPr>
      <w:r w:rsidRPr="004A0212">
        <w:t xml:space="preserve">The original understanding of </w:t>
      </w:r>
      <w:proofErr w:type="spellStart"/>
      <w:r w:rsidR="00D10AD1" w:rsidRPr="000C0692">
        <w:t>t</w:t>
      </w:r>
      <w:r w:rsidRPr="000C0692">
        <w:t>e</w:t>
      </w:r>
      <w:proofErr w:type="spellEnd"/>
      <w:r w:rsidRPr="004A0212">
        <w:t xml:space="preserve"> </w:t>
      </w:r>
      <w:proofErr w:type="spellStart"/>
      <w:r w:rsidRPr="004A0212">
        <w:t>Tiriti</w:t>
      </w:r>
      <w:proofErr w:type="spellEnd"/>
      <w:r w:rsidR="4D35DCE1" w:rsidRPr="004A0212">
        <w:t xml:space="preserve"> o Waitangi</w:t>
      </w:r>
      <w:r w:rsidRPr="004A0212">
        <w:t xml:space="preserve"> </w:t>
      </w:r>
      <w:r w:rsidR="662BDA79" w:rsidRPr="004A0212">
        <w:t xml:space="preserve">by </w:t>
      </w:r>
      <w:proofErr w:type="spellStart"/>
      <w:r w:rsidR="33274401" w:rsidRPr="004A0212">
        <w:t>rangatira</w:t>
      </w:r>
      <w:proofErr w:type="spellEnd"/>
      <w:r w:rsidR="33274401" w:rsidRPr="004A0212">
        <w:t xml:space="preserve"> </w:t>
      </w:r>
      <w:r w:rsidRPr="004A0212">
        <w:t xml:space="preserve">was that Māori self-government (rangatiratanga) could co-exist with Crown sovereignty (kāwanatanga). </w:t>
      </w:r>
      <w:r w:rsidRPr="004A0212">
        <w:rPr>
          <w:rStyle w:val="normaltextrun"/>
        </w:rPr>
        <w:t xml:space="preserve">Rangatira who signed </w:t>
      </w:r>
      <w:proofErr w:type="spellStart"/>
      <w:r w:rsidR="00D10AD1" w:rsidRPr="000C0692">
        <w:rPr>
          <w:rStyle w:val="normaltextrun"/>
        </w:rPr>
        <w:t>t</w:t>
      </w:r>
      <w:r w:rsidRPr="000C0692">
        <w:rPr>
          <w:rStyle w:val="normaltextrun"/>
        </w:rPr>
        <w:t>e</w:t>
      </w:r>
      <w:proofErr w:type="spellEnd"/>
      <w:r w:rsidRPr="004A0212">
        <w:rPr>
          <w:rStyle w:val="normaltextrun"/>
        </w:rPr>
        <w:t xml:space="preserve"> </w:t>
      </w:r>
      <w:proofErr w:type="spellStart"/>
      <w:r w:rsidRPr="004A0212">
        <w:rPr>
          <w:rStyle w:val="normaltextrun"/>
        </w:rPr>
        <w:t>Tiriti</w:t>
      </w:r>
      <w:proofErr w:type="spellEnd"/>
      <w:r w:rsidRPr="004A0212">
        <w:rPr>
          <w:rStyle w:val="normaltextrun"/>
        </w:rPr>
        <w:t xml:space="preserve"> </w:t>
      </w:r>
      <w:r w:rsidR="4D35DCE1" w:rsidRPr="004A0212">
        <w:t xml:space="preserve">o Waitangi </w:t>
      </w:r>
      <w:r w:rsidRPr="004A0212">
        <w:rPr>
          <w:rStyle w:val="normaltextrun"/>
        </w:rPr>
        <w:t xml:space="preserve">did so on the basis that they and the governor would be equals, and that the two parties would have </w:t>
      </w:r>
      <w:bookmarkStart w:id="159" w:name="_Int_66CiGPLr"/>
      <w:r w:rsidRPr="004A0212">
        <w:rPr>
          <w:rStyle w:val="normaltextrun"/>
        </w:rPr>
        <w:t>distinct roles</w:t>
      </w:r>
      <w:bookmarkEnd w:id="159"/>
      <w:r w:rsidRPr="004A0212">
        <w:rPr>
          <w:rStyle w:val="normaltextrun"/>
        </w:rPr>
        <w:t xml:space="preserve"> and different spheres of influence.</w:t>
      </w:r>
      <w:r w:rsidR="007A190A" w:rsidRPr="004A0212">
        <w:rPr>
          <w:rStyle w:val="StyleFootnoteReferenceFagoFunotenzeichenFagoFunotenzeichen"/>
        </w:rPr>
        <w:footnoteReference w:id="87"/>
      </w:r>
      <w:r w:rsidRPr="004A0212">
        <w:rPr>
          <w:rStyle w:val="normaltextrun"/>
        </w:rPr>
        <w:t xml:space="preserve"> As the Waitangi Tribunal has explained, </w:t>
      </w:r>
      <w:r w:rsidRPr="004A0212">
        <w:t>“the Treaty was an acknowledgement of Māori existence, of their prior occupation of the land and of an intent that the Māori presence would remain and be respected”.</w:t>
      </w:r>
      <w:r w:rsidR="007A190A" w:rsidRPr="004A0212">
        <w:rPr>
          <w:rStyle w:val="StyleFootnoteReferenceFagoFunotenzeichenFagoFunotenzeichen"/>
        </w:rPr>
        <w:footnoteReference w:id="88"/>
      </w:r>
    </w:p>
    <w:p w14:paraId="059A5F50" w14:textId="47D0891C" w:rsidR="007A190A" w:rsidRPr="004A0212" w:rsidRDefault="3DFD43A8" w:rsidP="007D73A6">
      <w:pPr>
        <w:pStyle w:val="AllNumbparas"/>
      </w:pPr>
      <w:r w:rsidRPr="004A0212">
        <w:t xml:space="preserve">See Part 1 for how </w:t>
      </w:r>
      <w:r w:rsidR="549A52F5" w:rsidRPr="004A0212">
        <w:t>the Inquiry</w:t>
      </w:r>
      <w:r w:rsidRPr="004A0212">
        <w:t xml:space="preserve"> applied </w:t>
      </w:r>
      <w:proofErr w:type="spellStart"/>
      <w:r w:rsidR="00D10AD1" w:rsidRPr="000C0692">
        <w:t>t</w:t>
      </w:r>
      <w:r w:rsidRPr="000C0692">
        <w:t>e</w:t>
      </w:r>
      <w:proofErr w:type="spellEnd"/>
      <w:r w:rsidRPr="004A0212">
        <w:t xml:space="preserve"> </w:t>
      </w:r>
      <w:proofErr w:type="spellStart"/>
      <w:r w:rsidRPr="004A0212">
        <w:t>Tiriti</w:t>
      </w:r>
      <w:proofErr w:type="spellEnd"/>
      <w:r w:rsidRPr="004A0212">
        <w:t xml:space="preserve"> and its principles </w:t>
      </w:r>
      <w:r w:rsidR="549A52F5" w:rsidRPr="004A0212">
        <w:t>to its work</w:t>
      </w:r>
      <w:r w:rsidRPr="004A0212">
        <w:t>.</w:t>
      </w:r>
    </w:p>
    <w:p w14:paraId="53AE407D" w14:textId="2628E1F2" w:rsidR="00FE6914" w:rsidRPr="004A0212" w:rsidRDefault="00A5DA99" w:rsidP="007A190A">
      <w:pPr>
        <w:pStyle w:val="Heading3"/>
        <w:rPr>
          <w:rFonts w:cs="Arial"/>
        </w:rPr>
      </w:pPr>
      <w:bookmarkStart w:id="160" w:name="_Toc1064078741"/>
      <w:bookmarkStart w:id="161" w:name="_Toc168638914"/>
      <w:bookmarkStart w:id="162" w:name="_Toc150933124"/>
      <w:bookmarkStart w:id="163" w:name="_Toc150953441"/>
      <w:proofErr w:type="spellStart"/>
      <w:r w:rsidRPr="004A0212">
        <w:rPr>
          <w:rFonts w:cs="Arial"/>
        </w:rPr>
        <w:t>Te</w:t>
      </w:r>
      <w:proofErr w:type="spellEnd"/>
      <w:r w:rsidRPr="004A0212">
        <w:rPr>
          <w:rFonts w:cs="Arial"/>
        </w:rPr>
        <w:t xml:space="preserve"> kore </w:t>
      </w:r>
      <w:proofErr w:type="spellStart"/>
      <w:r w:rsidRPr="004A0212">
        <w:rPr>
          <w:rFonts w:cs="Arial"/>
        </w:rPr>
        <w:t>whakahōnore</w:t>
      </w:r>
      <w:proofErr w:type="spellEnd"/>
      <w:r w:rsidRPr="004A0212">
        <w:rPr>
          <w:rFonts w:cs="Arial"/>
        </w:rPr>
        <w:t xml:space="preserve"> i </w:t>
      </w:r>
      <w:proofErr w:type="spellStart"/>
      <w:r w:rsidR="00D10AD1" w:rsidRPr="000C0692">
        <w:rPr>
          <w:rFonts w:cs="Arial"/>
        </w:rPr>
        <w:t>t</w:t>
      </w:r>
      <w:r w:rsidRPr="000C0692">
        <w:rPr>
          <w:rFonts w:cs="Arial"/>
        </w:rPr>
        <w:t>e</w:t>
      </w:r>
      <w:proofErr w:type="spellEnd"/>
      <w:r w:rsidRPr="004A0212">
        <w:rPr>
          <w:rFonts w:cs="Arial"/>
        </w:rPr>
        <w:t xml:space="preserve"> </w:t>
      </w:r>
      <w:proofErr w:type="spellStart"/>
      <w:r w:rsidRPr="004A0212">
        <w:rPr>
          <w:rFonts w:cs="Arial"/>
        </w:rPr>
        <w:t>Tiriti</w:t>
      </w:r>
      <w:proofErr w:type="spellEnd"/>
      <w:r w:rsidRPr="004A0212">
        <w:rPr>
          <w:rFonts w:cs="Arial"/>
        </w:rPr>
        <w:t xml:space="preserve"> me </w:t>
      </w:r>
      <w:proofErr w:type="spellStart"/>
      <w:r w:rsidRPr="004A0212">
        <w:rPr>
          <w:rFonts w:cs="Arial"/>
        </w:rPr>
        <w:t>te</w:t>
      </w:r>
      <w:proofErr w:type="spellEnd"/>
      <w:r w:rsidRPr="004A0212">
        <w:rPr>
          <w:rFonts w:cs="Arial"/>
        </w:rPr>
        <w:t xml:space="preserve"> </w:t>
      </w:r>
      <w:proofErr w:type="spellStart"/>
      <w:r w:rsidRPr="004A0212">
        <w:rPr>
          <w:rFonts w:cs="Arial"/>
        </w:rPr>
        <w:t>whai</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whenumitanga</w:t>
      </w:r>
      <w:bookmarkEnd w:id="160"/>
      <w:bookmarkEnd w:id="161"/>
      <w:proofErr w:type="spellEnd"/>
    </w:p>
    <w:p w14:paraId="0AB9BBE6" w14:textId="0970D48A" w:rsidR="007A190A" w:rsidRPr="004A0212" w:rsidRDefault="1D9F47D2" w:rsidP="007A190A">
      <w:pPr>
        <w:pStyle w:val="Heading3"/>
        <w:rPr>
          <w:rFonts w:cs="Arial"/>
        </w:rPr>
      </w:pPr>
      <w:bookmarkStart w:id="164" w:name="_Toc2024783370"/>
      <w:bookmarkStart w:id="165" w:name="_Toc168638915"/>
      <w:r w:rsidRPr="004A0212">
        <w:rPr>
          <w:rFonts w:cs="Arial"/>
        </w:rPr>
        <w:t xml:space="preserve">Failure to honour </w:t>
      </w:r>
      <w:proofErr w:type="spellStart"/>
      <w:r w:rsidR="00D10AD1" w:rsidRPr="000C0692">
        <w:rPr>
          <w:rFonts w:cs="Arial"/>
        </w:rPr>
        <w:t>t</w:t>
      </w:r>
      <w:r w:rsidRPr="000C0692">
        <w:rPr>
          <w:rFonts w:cs="Arial"/>
        </w:rPr>
        <w:t>e</w:t>
      </w:r>
      <w:proofErr w:type="spellEnd"/>
      <w:r w:rsidRPr="004A0212">
        <w:rPr>
          <w:rFonts w:cs="Arial"/>
        </w:rPr>
        <w:t xml:space="preserve"> </w:t>
      </w:r>
      <w:proofErr w:type="spellStart"/>
      <w:r w:rsidRPr="004A0212">
        <w:rPr>
          <w:rFonts w:cs="Arial"/>
        </w:rPr>
        <w:t>Tiriti</w:t>
      </w:r>
      <w:proofErr w:type="spellEnd"/>
      <w:r w:rsidRPr="004A0212">
        <w:rPr>
          <w:rFonts w:cs="Arial"/>
        </w:rPr>
        <w:t xml:space="preserve"> </w:t>
      </w:r>
      <w:r w:rsidR="073D9238" w:rsidRPr="004A0212">
        <w:rPr>
          <w:rFonts w:cs="Arial"/>
        </w:rPr>
        <w:t xml:space="preserve">o Waitangi </w:t>
      </w:r>
      <w:r w:rsidRPr="004A0212">
        <w:rPr>
          <w:rFonts w:cs="Arial"/>
        </w:rPr>
        <w:t>and pursuing assimilation</w:t>
      </w:r>
      <w:bookmarkEnd w:id="162"/>
      <w:bookmarkEnd w:id="163"/>
      <w:bookmarkEnd w:id="164"/>
      <w:bookmarkEnd w:id="165"/>
    </w:p>
    <w:p w14:paraId="126A2353" w14:textId="48965A85" w:rsidR="007A190A" w:rsidRPr="004A0212" w:rsidRDefault="0D38F194" w:rsidP="007D73A6">
      <w:pPr>
        <w:pStyle w:val="AllNumbparas"/>
        <w:rPr>
          <w:rStyle w:val="FootnoteReference"/>
          <w:color w:val="545454"/>
          <w:sz w:val="24"/>
          <w:szCs w:val="24"/>
        </w:rPr>
      </w:pPr>
      <w:r w:rsidRPr="004A0212">
        <w:t>For a short period a</w:t>
      </w:r>
      <w:r w:rsidR="3DFD43A8" w:rsidRPr="004A0212">
        <w:t xml:space="preserve">fter </w:t>
      </w:r>
      <w:proofErr w:type="spellStart"/>
      <w:r w:rsidR="00905209" w:rsidRPr="000C0692">
        <w:t>t</w:t>
      </w:r>
      <w:r w:rsidR="3DFD43A8" w:rsidRPr="000C0692">
        <w:t>e</w:t>
      </w:r>
      <w:proofErr w:type="spellEnd"/>
      <w:r w:rsidR="3DFD43A8" w:rsidRPr="004A0212">
        <w:t xml:space="preserve"> </w:t>
      </w:r>
      <w:proofErr w:type="spellStart"/>
      <w:r w:rsidR="3DFD43A8" w:rsidRPr="004A0212">
        <w:t>Tiriti</w:t>
      </w:r>
      <w:proofErr w:type="spellEnd"/>
      <w:r w:rsidR="3DFD43A8" w:rsidRPr="004A0212">
        <w:t xml:space="preserve"> </w:t>
      </w:r>
      <w:r w:rsidR="12DC4CC5" w:rsidRPr="004A0212">
        <w:t xml:space="preserve">o Waitangi </w:t>
      </w:r>
      <w:r w:rsidR="3DFD43A8" w:rsidRPr="004A0212">
        <w:t xml:space="preserve">was signed </w:t>
      </w:r>
      <w:r w:rsidRPr="004A0212">
        <w:t>tikanga</w:t>
      </w:r>
      <w:r w:rsidR="3DFD43A8" w:rsidRPr="004A0212">
        <w:t xml:space="preserve"> </w:t>
      </w:r>
      <w:r w:rsidR="2B510E44" w:rsidRPr="004A0212">
        <w:t>Māori</w:t>
      </w:r>
      <w:r w:rsidR="75DC4764" w:rsidRPr="004A0212">
        <w:t xml:space="preserve"> co-existed with the new</w:t>
      </w:r>
      <w:r w:rsidR="195E6341" w:rsidRPr="004A0212">
        <w:t xml:space="preserve"> colonial </w:t>
      </w:r>
      <w:r w:rsidR="75DC4764" w:rsidRPr="004A0212">
        <w:t>legal system</w:t>
      </w:r>
      <w:r w:rsidR="0991314C" w:rsidRPr="004A0212">
        <w:t xml:space="preserve">. The colonial government made provisions for </w:t>
      </w:r>
      <w:r w:rsidR="2E00F146" w:rsidRPr="004A0212">
        <w:t xml:space="preserve">resolving </w:t>
      </w:r>
      <w:r w:rsidR="7F0EDDB8" w:rsidRPr="004A0212">
        <w:t>issues where the two came into conflict</w:t>
      </w:r>
      <w:r w:rsidR="3DFD43A8" w:rsidRPr="004A0212">
        <w:t>.</w:t>
      </w:r>
      <w:r w:rsidR="007A190A" w:rsidRPr="004A0212">
        <w:rPr>
          <w:rStyle w:val="StyleFootnoteReferenceFagoFunotenzeichenFagoFunotenzeichen"/>
        </w:rPr>
        <w:footnoteReference w:id="89"/>
      </w:r>
      <w:r w:rsidR="3DFD43A8" w:rsidRPr="004A0212">
        <w:rPr>
          <w:rStyle w:val="FootnoteReference"/>
          <w:sz w:val="24"/>
          <w:szCs w:val="24"/>
        </w:rPr>
        <w:t xml:space="preserve"> </w:t>
      </w:r>
    </w:p>
    <w:p w14:paraId="0CD9E68C" w14:textId="353441E6" w:rsidR="007A190A" w:rsidRPr="004A0212" w:rsidRDefault="3DFD43A8" w:rsidP="007D73A6">
      <w:pPr>
        <w:pStyle w:val="AllNumbparas"/>
      </w:pPr>
      <w:r w:rsidRPr="004A0212">
        <w:t xml:space="preserve">This approach changed </w:t>
      </w:r>
      <w:r w:rsidR="62208BC1" w:rsidRPr="004A0212">
        <w:t xml:space="preserve">from the </w:t>
      </w:r>
      <w:r w:rsidR="1B6C1A22" w:rsidRPr="004A0212">
        <w:t>mid-1</w:t>
      </w:r>
      <w:r w:rsidR="6565B0CE" w:rsidRPr="004A0212">
        <w:t>8</w:t>
      </w:r>
      <w:r w:rsidR="1B6C1A22" w:rsidRPr="004A0212">
        <w:t>40s</w:t>
      </w:r>
      <w:r w:rsidR="62208BC1" w:rsidRPr="004A0212">
        <w:t xml:space="preserve">. </w:t>
      </w:r>
      <w:r w:rsidR="2E5C7BB1" w:rsidRPr="004A0212" w:rsidDel="0075207D">
        <w:t>G</w:t>
      </w:r>
      <w:r w:rsidRPr="004A0212" w:rsidDel="0075207D">
        <w:t xml:space="preserve">overnor </w:t>
      </w:r>
      <w:r w:rsidRPr="004A0212">
        <w:t>Grey</w:t>
      </w:r>
      <w:r w:rsidR="35AAF703" w:rsidRPr="004A0212">
        <w:t xml:space="preserve"> </w:t>
      </w:r>
      <w:proofErr w:type="gramStart"/>
      <w:r w:rsidR="5EDA7867" w:rsidRPr="004A0212">
        <w:t>in particular</w:t>
      </w:r>
      <w:r w:rsidRPr="004A0212">
        <w:t xml:space="preserve"> believed</w:t>
      </w:r>
      <w:proofErr w:type="gramEnd"/>
      <w:r w:rsidRPr="004A0212">
        <w:t xml:space="preserve"> that the best way forward for Aotearoa New Zealand was to assimilate Māori as quickly as possible. The 1852 Constitution Act established the first colonial parliament. It largely excluded Māori, as the collective nature of Māori land ownership meant </w:t>
      </w:r>
      <w:r w:rsidR="3A0EE912" w:rsidRPr="004A0212">
        <w:t xml:space="preserve">that </w:t>
      </w:r>
      <w:r w:rsidRPr="004A0212">
        <w:t>most did not individually have the right to vote.</w:t>
      </w:r>
      <w:r w:rsidR="007A190A" w:rsidRPr="004A0212">
        <w:rPr>
          <w:rStyle w:val="StyleFootnoteReferenceFagoFunotenzeichenFagoFunotenzeichen"/>
        </w:rPr>
        <w:footnoteReference w:id="90"/>
      </w:r>
    </w:p>
    <w:p w14:paraId="1E6E2F9A" w14:textId="29B8982B" w:rsidR="007A190A" w:rsidRPr="004A0212" w:rsidRDefault="0FA5912E" w:rsidP="000B1039">
      <w:pPr>
        <w:pStyle w:val="AllNumbparas"/>
      </w:pPr>
      <w:r w:rsidRPr="004A0212">
        <w:t xml:space="preserve">In response to settler pressure </w:t>
      </w:r>
      <w:r w:rsidR="3DFD43A8" w:rsidRPr="004A0212">
        <w:t>Grey chose not to implement a provision in the Constitution</w:t>
      </w:r>
      <w:r w:rsidR="116D397C" w:rsidRPr="004A0212">
        <w:t xml:space="preserve"> Act</w:t>
      </w:r>
      <w:r w:rsidR="3DFD43A8" w:rsidRPr="004A0212">
        <w:t xml:space="preserve"> for self-governing Māori districts</w:t>
      </w:r>
      <w:r w:rsidR="0B4977B9" w:rsidRPr="004A0212">
        <w:t>. A</w:t>
      </w:r>
      <w:r w:rsidR="3DFD43A8" w:rsidRPr="004A0212">
        <w:t>fter 1852</w:t>
      </w:r>
      <w:r w:rsidR="25F3FB52" w:rsidRPr="004A0212">
        <w:t>,</w:t>
      </w:r>
      <w:r w:rsidR="3DFD43A8" w:rsidRPr="004A0212">
        <w:t xml:space="preserve"> </w:t>
      </w:r>
      <w:r w:rsidR="2D4C5251" w:rsidRPr="004A0212">
        <w:t xml:space="preserve">an </w:t>
      </w:r>
      <w:r w:rsidR="3DFD43A8" w:rsidRPr="004A0212">
        <w:t>assimilation</w:t>
      </w:r>
      <w:r w:rsidR="2D4C5251" w:rsidRPr="004A0212">
        <w:t xml:space="preserve"> policy</w:t>
      </w:r>
      <w:r w:rsidR="3DFD43A8" w:rsidRPr="004A0212">
        <w:t xml:space="preserve"> was pursued</w:t>
      </w:r>
      <w:r w:rsidR="4560E90E" w:rsidRPr="004A0212">
        <w:t xml:space="preserve"> together with the acquisition of Māori land under the Crown’s pre-emptive right</w:t>
      </w:r>
      <w:r w:rsidR="3DFD43A8" w:rsidRPr="004A0212">
        <w:t>.</w:t>
      </w:r>
      <w:r w:rsidR="007A190A" w:rsidRPr="004A0212">
        <w:rPr>
          <w:rStyle w:val="StyleFootnoteReferenceFagoFunotenzeichenFagoFunotenzeichen"/>
        </w:rPr>
        <w:footnoteReference w:id="91"/>
      </w:r>
      <w:r w:rsidR="3DFD43A8" w:rsidRPr="004A0212">
        <w:t xml:space="preserve"> Māori resistance to this and land-selling eventually led to the foundation of the K</w:t>
      </w:r>
      <w:r w:rsidR="22CBD4C9" w:rsidRPr="004A0212">
        <w:t>ī</w:t>
      </w:r>
      <w:r w:rsidR="3DFD43A8" w:rsidRPr="004A0212">
        <w:t xml:space="preserve">ngitanga </w:t>
      </w:r>
      <w:r w:rsidR="1F0E5298" w:rsidRPr="004A0212">
        <w:t>(Māori King movement)</w:t>
      </w:r>
      <w:r w:rsidR="3DFD43A8" w:rsidRPr="004A0212">
        <w:t xml:space="preserve"> in 1858.</w:t>
      </w:r>
      <w:r w:rsidR="007A190A" w:rsidRPr="004A0212">
        <w:rPr>
          <w:rStyle w:val="StyleFootnoteReferenceFagoFunotenzeichenFagoFunotenzeichen"/>
        </w:rPr>
        <w:footnoteReference w:id="92"/>
      </w:r>
      <w:r w:rsidR="3DFD43A8" w:rsidRPr="004A0212">
        <w:t xml:space="preserve"> </w:t>
      </w:r>
    </w:p>
    <w:p w14:paraId="0424D6E7" w14:textId="77777777" w:rsidR="007A190A" w:rsidRPr="004A0212" w:rsidRDefault="3DFD43A8" w:rsidP="007D73A6">
      <w:pPr>
        <w:pStyle w:val="AllNumbparas"/>
      </w:pPr>
      <w:r w:rsidRPr="004A0212">
        <w:t>Legislation and policy after 1852 further paved the way for assimilation, including:</w:t>
      </w:r>
    </w:p>
    <w:p w14:paraId="145518FD" w14:textId="49FC5320" w:rsidR="007A190A" w:rsidRPr="004A0212" w:rsidRDefault="006C79A2" w:rsidP="007D73A6">
      <w:pPr>
        <w:pStyle w:val="Bulletpoints"/>
      </w:pPr>
      <w:r w:rsidRPr="004A0212">
        <w:t>t</w:t>
      </w:r>
      <w:r w:rsidR="007A190A" w:rsidRPr="004A0212">
        <w:t>he establishment of the Native Department in 1861. The departmen</w:t>
      </w:r>
      <w:r w:rsidR="007A190A" w:rsidRPr="004A0212" w:rsidDel="000159B7">
        <w:t>t</w:t>
      </w:r>
      <w:r w:rsidR="000159B7" w:rsidRPr="004A0212">
        <w:t>’</w:t>
      </w:r>
      <w:r w:rsidR="007A190A" w:rsidRPr="004A0212">
        <w:t xml:space="preserve">s purpose was to provide a political means of undermining the </w:t>
      </w:r>
      <w:r w:rsidR="00A33D3E" w:rsidRPr="004A0212">
        <w:t>Kiingitanga</w:t>
      </w:r>
      <w:r w:rsidR="000B3478" w:rsidRPr="004A0212">
        <w:t xml:space="preserve"> movement</w:t>
      </w:r>
      <w:r w:rsidR="007A190A" w:rsidRPr="004A0212">
        <w:t>, establish a government presence in Māori communities and undercut the political appeal of Māori chiefs</w:t>
      </w:r>
      <w:r w:rsidR="007A190A" w:rsidRPr="004A0212">
        <w:rPr>
          <w:rStyle w:val="StyleFootnoteReferenceFagoFunotenzeichenFagoFunotenzeichen"/>
        </w:rPr>
        <w:footnoteReference w:id="93"/>
      </w:r>
    </w:p>
    <w:p w14:paraId="135D9A99" w14:textId="700DD89A" w:rsidR="004E26B1" w:rsidRPr="004A0212" w:rsidRDefault="00996ECA" w:rsidP="007D73A6">
      <w:pPr>
        <w:pStyle w:val="Bulletpoints"/>
      </w:pPr>
      <w:r w:rsidRPr="004A0212">
        <w:t>t</w:t>
      </w:r>
      <w:r w:rsidR="0050159E" w:rsidRPr="004A0212">
        <w:t>he Native Land Acts of 1862 and 1865. This led to the establishment of the Native Land Court in 1865 to determine customary ownership and convert Māori land into a freehold title that could be sold on the open market.</w:t>
      </w:r>
      <w:r w:rsidR="004910C6" w:rsidRPr="004A0212">
        <w:t xml:space="preserve"> The Native Land Court was key to assimilation and greatly facilitated the purchase of the bulk of Māori land in the North Island, converting it from collectively owned to individual title</w:t>
      </w:r>
    </w:p>
    <w:p w14:paraId="318B262E" w14:textId="28F5F399" w:rsidR="007A190A" w:rsidRPr="004A0212" w:rsidRDefault="44E56626" w:rsidP="00752D0B">
      <w:pPr>
        <w:pStyle w:val="Bulletpoints"/>
      </w:pPr>
      <w:r w:rsidRPr="004A0212">
        <w:t>t</w:t>
      </w:r>
      <w:r w:rsidR="5F1CFC68" w:rsidRPr="004A0212">
        <w:t>he Native Schools Act</w:t>
      </w:r>
      <w:r w:rsidR="00596B4C" w:rsidRPr="004A0212">
        <w:t>s</w:t>
      </w:r>
      <w:r w:rsidR="5F1CFC68" w:rsidRPr="004A0212">
        <w:t xml:space="preserve"> </w:t>
      </w:r>
      <w:r w:rsidR="00596B4C" w:rsidRPr="004A0212">
        <w:t>of</w:t>
      </w:r>
      <w:r w:rsidR="5F1CFC68" w:rsidRPr="004A0212">
        <w:t xml:space="preserve"> 1867</w:t>
      </w:r>
      <w:r w:rsidR="00596B4C" w:rsidRPr="004A0212">
        <w:t xml:space="preserve"> and 1871</w:t>
      </w:r>
      <w:r w:rsidR="5F1CFC68" w:rsidRPr="004A0212">
        <w:t xml:space="preserve">. This established schools for Māori children to prepare the next generation for </w:t>
      </w:r>
      <w:r w:rsidR="001C5EE3" w:rsidRPr="004A0212">
        <w:t>assimilation</w:t>
      </w:r>
    </w:p>
    <w:p w14:paraId="42448A87" w14:textId="07668E3B" w:rsidR="007A190A" w:rsidRPr="004A0212" w:rsidRDefault="0BC6FEBF" w:rsidP="00752D0B">
      <w:pPr>
        <w:pStyle w:val="Bulletpoints"/>
      </w:pPr>
      <w:r w:rsidRPr="004A0212">
        <w:t>t</w:t>
      </w:r>
      <w:r w:rsidR="5F1CFC68" w:rsidRPr="004A0212">
        <w:t>he Māori Representation Act 1867. This act reserved four seats in the legislature for Māori representatives and established a separate Māori electoral rol</w:t>
      </w:r>
      <w:r w:rsidR="164B4508" w:rsidRPr="004A0212">
        <w:t>l</w:t>
      </w:r>
      <w:r w:rsidR="5F1CFC68" w:rsidRPr="004A0212">
        <w:t>.</w:t>
      </w:r>
      <w:r w:rsidR="007A190A" w:rsidRPr="004A0212">
        <w:rPr>
          <w:rStyle w:val="StyleFootnoteReferenceFagoFunotenzeichenFagoFunotenzeichen"/>
        </w:rPr>
        <w:footnoteReference w:id="94"/>
      </w:r>
    </w:p>
    <w:p w14:paraId="246929A3" w14:textId="77777777" w:rsidR="00E84482" w:rsidRPr="004A0212" w:rsidRDefault="63255707" w:rsidP="00E84482">
      <w:pPr>
        <w:pStyle w:val="AllNumbparas"/>
      </w:pPr>
      <w:r w:rsidRPr="004A0212">
        <w:t>These laws and policies, among other Crown actions or omissions including the New Zealand Land Wars and confiscation of Māori land, undermined hapū and iwi authority and resulted in the mass alienation of Māori land.  This affected Māori models of social organisation. The rapid pace of migration of European settlers especially from the 1850 onwards also made it increasingly difficult for whānau, hapū and iwi to effectively use and retain their remaining lands and way of life.</w:t>
      </w:r>
      <w:r w:rsidR="00E84482" w:rsidRPr="004A0212">
        <w:rPr>
          <w:rStyle w:val="StyleFootnoteReferenceFagoFunotenzeichenFagoFunotenzeichen"/>
        </w:rPr>
        <w:footnoteReference w:id="95"/>
      </w:r>
      <w:r w:rsidRPr="004A0212">
        <w:t xml:space="preserve"> </w:t>
      </w:r>
    </w:p>
    <w:p w14:paraId="7630D588" w14:textId="64890EBD" w:rsidR="007A190A" w:rsidRPr="004A0212" w:rsidRDefault="3DFD43A8" w:rsidP="007D73A6">
      <w:pPr>
        <w:pStyle w:val="AllNumbparas"/>
      </w:pPr>
      <w:r w:rsidRPr="004A0212">
        <w:t xml:space="preserve">Most </w:t>
      </w:r>
      <w:r w:rsidR="7AF32CB1" w:rsidRPr="004A0212">
        <w:t>hapū</w:t>
      </w:r>
      <w:r w:rsidR="040C81D3" w:rsidRPr="004A0212">
        <w:t xml:space="preserve"> and</w:t>
      </w:r>
      <w:r w:rsidRPr="004A0212">
        <w:t xml:space="preserve"> iwi were deprived of their economic base, </w:t>
      </w:r>
      <w:r w:rsidR="76D9EE66" w:rsidRPr="004A0212">
        <w:t>transforming</w:t>
      </w:r>
      <w:r w:rsidRPr="004A0212">
        <w:t xml:space="preserve"> them into a labouring class</w:t>
      </w:r>
      <w:r w:rsidR="3AC8E1E7" w:rsidRPr="004A0212">
        <w:t xml:space="preserve"> </w:t>
      </w:r>
      <w:r w:rsidR="4959ADA7" w:rsidRPr="004A0212">
        <w:t>‘</w:t>
      </w:r>
      <w:r w:rsidR="3AC8E1E7" w:rsidRPr="004A0212">
        <w:t>in half a</w:t>
      </w:r>
      <w:r w:rsidR="3AC8E1E7" w:rsidRPr="004A0212" w:rsidDel="00AD1414">
        <w:t xml:space="preserve"> </w:t>
      </w:r>
      <w:r w:rsidR="3AC8E1E7" w:rsidRPr="004A0212">
        <w:t>generation</w:t>
      </w:r>
      <w:r w:rsidR="4959ADA7" w:rsidRPr="004A0212">
        <w:t>’</w:t>
      </w:r>
      <w:r w:rsidRPr="004A0212">
        <w:t>.</w:t>
      </w:r>
      <w:r w:rsidR="007A190A" w:rsidRPr="004A0212">
        <w:rPr>
          <w:rStyle w:val="StyleFootnoteReferenceFagoFunotenzeichenFagoFunotenzeichen"/>
        </w:rPr>
        <w:footnoteReference w:id="96"/>
      </w:r>
      <w:r w:rsidRPr="004A0212">
        <w:t xml:space="preserve"> By 1920, most Māori </w:t>
      </w:r>
      <w:r w:rsidR="3AC8E1E7" w:rsidRPr="004A0212">
        <w:t xml:space="preserve">were </w:t>
      </w:r>
      <w:r w:rsidRPr="004A0212">
        <w:t>liv</w:t>
      </w:r>
      <w:r w:rsidR="3AC8E1E7" w:rsidRPr="004A0212">
        <w:t>ing</w:t>
      </w:r>
      <w:r w:rsidRPr="004A0212">
        <w:t xml:space="preserve"> in rural poverty </w:t>
      </w:r>
      <w:proofErr w:type="gramStart"/>
      <w:r w:rsidRPr="004A0212">
        <w:t>as a result of</w:t>
      </w:r>
      <w:proofErr w:type="gramEnd"/>
      <w:r w:rsidRPr="004A0212">
        <w:t xml:space="preserve"> 19</w:t>
      </w:r>
      <w:r w:rsidRPr="004A0212">
        <w:rPr>
          <w:vertAlign w:val="superscript"/>
        </w:rPr>
        <w:t>th</w:t>
      </w:r>
      <w:r w:rsidRPr="004A0212">
        <w:t xml:space="preserve"> </w:t>
      </w:r>
      <w:r w:rsidR="2FF7F607" w:rsidRPr="004A0212">
        <w:t xml:space="preserve">century </w:t>
      </w:r>
      <w:r w:rsidRPr="004A0212">
        <w:t>legislation and Crown actions</w:t>
      </w:r>
      <w:r w:rsidR="742653E6" w:rsidRPr="004A0212">
        <w:t xml:space="preserve"> or omissions</w:t>
      </w:r>
      <w:r w:rsidRPr="004A0212">
        <w:t>.</w:t>
      </w:r>
      <w:r w:rsidR="007A190A" w:rsidRPr="004A0212">
        <w:rPr>
          <w:rStyle w:val="StyleFootnoteReferenceFagoFunotenzeichenFagoFunotenzeichen"/>
        </w:rPr>
        <w:footnoteReference w:id="97"/>
      </w:r>
    </w:p>
    <w:p w14:paraId="4A7CACE1" w14:textId="2A746D4C" w:rsidR="007A190A" w:rsidRPr="004A0212" w:rsidRDefault="39556069" w:rsidP="007A190A">
      <w:pPr>
        <w:pStyle w:val="Heading3"/>
        <w:rPr>
          <w:rFonts w:cs="Arial"/>
        </w:rPr>
      </w:pPr>
      <w:bookmarkStart w:id="166" w:name="_Toc150933125"/>
      <w:bookmarkStart w:id="167" w:name="_Toc150953442"/>
      <w:bookmarkStart w:id="168" w:name="_Toc158735270"/>
      <w:r w:rsidRPr="004A0212">
        <w:rPr>
          <w:rFonts w:cs="Arial"/>
        </w:rPr>
        <w:t xml:space="preserve"> </w:t>
      </w:r>
      <w:bookmarkStart w:id="169" w:name="_Toc168638916"/>
      <w:r w:rsidRPr="004A0212">
        <w:rPr>
          <w:rFonts w:cs="Arial"/>
        </w:rPr>
        <w:t xml:space="preserve">Ka </w:t>
      </w:r>
      <w:proofErr w:type="spellStart"/>
      <w:r w:rsidRPr="004A0212">
        <w:rPr>
          <w:rFonts w:cs="Arial"/>
        </w:rPr>
        <w:t>kōkiri</w:t>
      </w:r>
      <w:proofErr w:type="spellEnd"/>
      <w:r w:rsidRPr="004A0212">
        <w:rPr>
          <w:rFonts w:cs="Arial"/>
        </w:rPr>
        <w:t xml:space="preserve"> </w:t>
      </w:r>
      <w:proofErr w:type="spellStart"/>
      <w:r w:rsidRPr="004A0212">
        <w:rPr>
          <w:rFonts w:cs="Arial"/>
        </w:rPr>
        <w:t>te</w:t>
      </w:r>
      <w:proofErr w:type="spellEnd"/>
      <w:r w:rsidRPr="004A0212">
        <w:rPr>
          <w:rFonts w:cs="Arial"/>
        </w:rPr>
        <w:t xml:space="preserve"> Māori </w:t>
      </w:r>
      <w:proofErr w:type="spellStart"/>
      <w:r w:rsidRPr="004A0212">
        <w:rPr>
          <w:rFonts w:cs="Arial"/>
        </w:rPr>
        <w:t>i</w:t>
      </w:r>
      <w:proofErr w:type="spellEnd"/>
      <w:r w:rsidRPr="004A0212">
        <w:rPr>
          <w:rFonts w:cs="Arial"/>
        </w:rPr>
        <w:t xml:space="preserve"> </w:t>
      </w:r>
      <w:proofErr w:type="spellStart"/>
      <w:r w:rsidRPr="004A0212">
        <w:rPr>
          <w:rFonts w:cs="Arial"/>
        </w:rPr>
        <w:t>ngā</w:t>
      </w:r>
      <w:proofErr w:type="spellEnd"/>
      <w:r w:rsidRPr="004A0212">
        <w:rPr>
          <w:rFonts w:cs="Arial"/>
        </w:rPr>
        <w:t xml:space="preserve"> </w:t>
      </w:r>
      <w:proofErr w:type="spellStart"/>
      <w:r w:rsidRPr="004A0212">
        <w:rPr>
          <w:rFonts w:cs="Arial"/>
        </w:rPr>
        <w:t>whanaketanga</w:t>
      </w:r>
      <w:proofErr w:type="spellEnd"/>
      <w:r w:rsidRPr="004A0212">
        <w:rPr>
          <w:rFonts w:cs="Arial"/>
        </w:rPr>
        <w:t xml:space="preserve"> </w:t>
      </w:r>
      <w:r w:rsidR="00A5DA99" w:rsidRPr="004A0212">
        <w:rPr>
          <w:rFonts w:cs="Arial"/>
        </w:rPr>
        <w:t xml:space="preserve">| </w:t>
      </w:r>
      <w:r w:rsidR="1D9F47D2" w:rsidRPr="004A0212">
        <w:rPr>
          <w:rFonts w:cs="Arial"/>
        </w:rPr>
        <w:t>Māori advocate for change</w:t>
      </w:r>
      <w:bookmarkEnd w:id="166"/>
      <w:bookmarkEnd w:id="167"/>
      <w:bookmarkEnd w:id="168"/>
      <w:bookmarkEnd w:id="169"/>
    </w:p>
    <w:p w14:paraId="2C0111ED" w14:textId="6684E84C" w:rsidR="007A190A" w:rsidRPr="004A0212" w:rsidRDefault="3DFD43A8" w:rsidP="007D73A6">
      <w:pPr>
        <w:pStyle w:val="AllNumbparas"/>
        <w:rPr>
          <w:rStyle w:val="ui-provider"/>
        </w:rPr>
      </w:pPr>
      <w:r w:rsidRPr="004A0212">
        <w:t>In the face of these challenges</w:t>
      </w:r>
      <w:r w:rsidR="55275B03" w:rsidRPr="004A0212">
        <w:t xml:space="preserve">, </w:t>
      </w:r>
      <w:r w:rsidRPr="004A0212">
        <w:rPr>
          <w:rStyle w:val="ui-provider"/>
        </w:rPr>
        <w:t xml:space="preserve">Māori found and proposed new solutions for themselves. </w:t>
      </w:r>
    </w:p>
    <w:p w14:paraId="401970F0" w14:textId="4F91CB82" w:rsidR="007A190A" w:rsidRPr="004A0212" w:rsidRDefault="3DFD43A8" w:rsidP="007D73A6">
      <w:pPr>
        <w:pStyle w:val="AllNumbparas"/>
      </w:pPr>
      <w:r w:rsidRPr="004A0212">
        <w:t>A new generation of leaders rose</w:t>
      </w:r>
      <w:r w:rsidR="425CFD5A" w:rsidRPr="004A0212">
        <w:t>,</w:t>
      </w:r>
      <w:r w:rsidRPr="004A0212">
        <w:t xml:space="preserve"> </w:t>
      </w:r>
      <w:r w:rsidR="2BCB48CD" w:rsidRPr="004A0212">
        <w:t>including</w:t>
      </w:r>
      <w:r w:rsidRPr="004A0212">
        <w:t xml:space="preserve"> the prophets Rua </w:t>
      </w:r>
      <w:proofErr w:type="spellStart"/>
      <w:r w:rsidRPr="004A0212">
        <w:t>Kēnana</w:t>
      </w:r>
      <w:proofErr w:type="spellEnd"/>
      <w:r w:rsidRPr="004A0212">
        <w:t xml:space="preserve"> and </w:t>
      </w:r>
      <w:proofErr w:type="spellStart"/>
      <w:r w:rsidRPr="004A0212">
        <w:t>Tahupōtiki</w:t>
      </w:r>
      <w:proofErr w:type="spellEnd"/>
      <w:r w:rsidRPr="004A0212">
        <w:t xml:space="preserve"> </w:t>
      </w:r>
      <w:r w:rsidRPr="004A0212">
        <w:rPr>
          <w:color w:val="000000" w:themeColor="text1"/>
        </w:rPr>
        <w:t xml:space="preserve">Wiremu Rātana, Young Māori Party members </w:t>
      </w:r>
      <w:r w:rsidR="7F9614E1" w:rsidRPr="004A0212">
        <w:rPr>
          <w:color w:val="000000" w:themeColor="text1"/>
        </w:rPr>
        <w:t xml:space="preserve">Sir </w:t>
      </w:r>
      <w:proofErr w:type="spellStart"/>
      <w:r w:rsidR="1D7C0F3E" w:rsidRPr="004A0212">
        <w:rPr>
          <w:color w:val="000000" w:themeColor="text1"/>
        </w:rPr>
        <w:t>Āpirana</w:t>
      </w:r>
      <w:proofErr w:type="spellEnd"/>
      <w:r w:rsidR="1D7C0F3E" w:rsidRPr="004A0212">
        <w:rPr>
          <w:color w:val="000000" w:themeColor="text1"/>
        </w:rPr>
        <w:t xml:space="preserve"> </w:t>
      </w:r>
      <w:r w:rsidRPr="004A0212">
        <w:rPr>
          <w:color w:val="000000" w:themeColor="text1"/>
        </w:rPr>
        <w:t xml:space="preserve">Ngata, </w:t>
      </w:r>
      <w:r w:rsidR="77553E3F" w:rsidRPr="004A0212">
        <w:rPr>
          <w:rStyle w:val="normaltextrun"/>
          <w:color w:val="000000" w:themeColor="text1"/>
        </w:rPr>
        <w:t>Māu</w:t>
      </w:r>
      <w:r w:rsidR="2B011E4C" w:rsidRPr="004A0212">
        <w:rPr>
          <w:rStyle w:val="normaltextrun"/>
          <w:color w:val="000000" w:themeColor="text1"/>
        </w:rPr>
        <w:t xml:space="preserve">i </w:t>
      </w:r>
      <w:proofErr w:type="spellStart"/>
      <w:r w:rsidR="2B011E4C" w:rsidRPr="004A0212">
        <w:rPr>
          <w:rStyle w:val="normaltextrun"/>
          <w:color w:val="000000" w:themeColor="text1"/>
        </w:rPr>
        <w:t>Pōmare</w:t>
      </w:r>
      <w:proofErr w:type="spellEnd"/>
      <w:r w:rsidR="76D9EE66" w:rsidRPr="004A0212">
        <w:rPr>
          <w:rStyle w:val="normaltextrun"/>
          <w:color w:val="000000" w:themeColor="text1"/>
        </w:rPr>
        <w:t>,</w:t>
      </w:r>
      <w:r w:rsidR="2B011E4C" w:rsidRPr="004A0212">
        <w:rPr>
          <w:rStyle w:val="normaltextrun"/>
          <w:color w:val="000000" w:themeColor="text1"/>
        </w:rPr>
        <w:t xml:space="preserve"> </w:t>
      </w:r>
      <w:proofErr w:type="spellStart"/>
      <w:r w:rsidR="2B011E4C" w:rsidRPr="004A0212">
        <w:rPr>
          <w:rStyle w:val="normaltextrun"/>
          <w:color w:val="000000" w:themeColor="text1"/>
        </w:rPr>
        <w:t>Te</w:t>
      </w:r>
      <w:proofErr w:type="spellEnd"/>
      <w:r w:rsidR="2B011E4C" w:rsidRPr="004A0212">
        <w:rPr>
          <w:rStyle w:val="normaltextrun"/>
          <w:color w:val="000000" w:themeColor="text1"/>
        </w:rPr>
        <w:t xml:space="preserve"> Rangi </w:t>
      </w:r>
      <w:proofErr w:type="spellStart"/>
      <w:r w:rsidR="2B011E4C" w:rsidRPr="004A0212">
        <w:rPr>
          <w:rStyle w:val="normaltextrun"/>
          <w:color w:val="000000" w:themeColor="text1"/>
        </w:rPr>
        <w:t>Hīroa</w:t>
      </w:r>
      <w:proofErr w:type="spellEnd"/>
      <w:r w:rsidR="2B011E4C" w:rsidRPr="004A0212">
        <w:rPr>
          <w:rStyle w:val="normaltextrun"/>
          <w:color w:val="000000" w:themeColor="text1"/>
        </w:rPr>
        <w:t xml:space="preserve"> </w:t>
      </w:r>
      <w:r w:rsidR="2B011E4C" w:rsidRPr="004A0212">
        <w:rPr>
          <w:color w:val="000000" w:themeColor="text1"/>
        </w:rPr>
        <w:t>(</w:t>
      </w:r>
      <w:r w:rsidR="269961AF" w:rsidRPr="004A0212">
        <w:rPr>
          <w:color w:val="000000" w:themeColor="text1"/>
        </w:rPr>
        <w:t xml:space="preserve">Sir </w:t>
      </w:r>
      <w:r w:rsidRPr="004A0212">
        <w:t>Peter Buck</w:t>
      </w:r>
      <w:r w:rsidR="2B011E4C" w:rsidRPr="004A0212">
        <w:t>)</w:t>
      </w:r>
      <w:r w:rsidRPr="004A0212">
        <w:t xml:space="preserve">, and </w:t>
      </w:r>
      <w:proofErr w:type="spellStart"/>
      <w:r w:rsidRPr="004A0212">
        <w:t>Te</w:t>
      </w:r>
      <w:proofErr w:type="spellEnd"/>
      <w:r w:rsidRPr="004A0212">
        <w:t xml:space="preserve"> </w:t>
      </w:r>
      <w:proofErr w:type="spellStart"/>
      <w:r w:rsidRPr="004A0212">
        <w:t>Puea</w:t>
      </w:r>
      <w:proofErr w:type="spellEnd"/>
      <w:r w:rsidR="3D08ABAE" w:rsidRPr="004A0212">
        <w:t xml:space="preserve"> </w:t>
      </w:r>
      <w:r w:rsidR="02E159D7" w:rsidRPr="004A0212">
        <w:t>Hērangi</w:t>
      </w:r>
      <w:r w:rsidRPr="004A0212">
        <w:t>.</w:t>
      </w:r>
      <w:r w:rsidR="007A190A" w:rsidRPr="004A0212">
        <w:rPr>
          <w:rStyle w:val="StyleFootnoteReferenceFagoFunotenzeichenFagoFunotenzeichen"/>
        </w:rPr>
        <w:footnoteReference w:id="98"/>
      </w:r>
      <w:r w:rsidRPr="004A0212">
        <w:t xml:space="preserve"> </w:t>
      </w:r>
      <w:r w:rsidR="0D5A78A7" w:rsidRPr="004A0212">
        <w:t>T</w:t>
      </w:r>
      <w:r w:rsidR="7BDC2FD0" w:rsidRPr="004A0212">
        <w:t xml:space="preserve">hese leaders </w:t>
      </w:r>
      <w:r w:rsidR="0D5A78A7" w:rsidRPr="004A0212">
        <w:t xml:space="preserve">took </w:t>
      </w:r>
      <w:r w:rsidR="1D15627C" w:rsidRPr="004A0212">
        <w:t>very different approaches but were each instrumental in advocating for Māori</w:t>
      </w:r>
      <w:r w:rsidR="2E62A692" w:rsidRPr="004A0212">
        <w:t>.</w:t>
      </w:r>
    </w:p>
    <w:p w14:paraId="2B0E77BD" w14:textId="475C5777" w:rsidR="007A190A" w:rsidRPr="004A0212" w:rsidRDefault="3DFD43A8" w:rsidP="007D73A6">
      <w:pPr>
        <w:pStyle w:val="AllNumbparas"/>
        <w:rPr>
          <w:rStyle w:val="ui-provider"/>
        </w:rPr>
      </w:pPr>
      <w:r w:rsidRPr="004A0212">
        <w:t xml:space="preserve">Māori religious movements such as Pai </w:t>
      </w:r>
      <w:proofErr w:type="spellStart"/>
      <w:r w:rsidRPr="004A0212">
        <w:t>Mārire</w:t>
      </w:r>
      <w:proofErr w:type="spellEnd"/>
      <w:r w:rsidRPr="004A0212">
        <w:t xml:space="preserve"> and </w:t>
      </w:r>
      <w:proofErr w:type="spellStart"/>
      <w:r w:rsidRPr="004A0212">
        <w:t>Ringatū</w:t>
      </w:r>
      <w:proofErr w:type="spellEnd"/>
      <w:r w:rsidRPr="004A0212">
        <w:t xml:space="preserve"> in the 19</w:t>
      </w:r>
      <w:r w:rsidRPr="004A0212">
        <w:rPr>
          <w:vertAlign w:val="superscript"/>
        </w:rPr>
        <w:t>th</w:t>
      </w:r>
      <w:r w:rsidRPr="004A0212">
        <w:t xml:space="preserve"> </w:t>
      </w:r>
      <w:r w:rsidR="6E5B6479" w:rsidRPr="004A0212">
        <w:t xml:space="preserve">century </w:t>
      </w:r>
      <w:r w:rsidRPr="004A0212">
        <w:t>and Rātana in the 20</w:t>
      </w:r>
      <w:r w:rsidRPr="004A0212">
        <w:rPr>
          <w:vertAlign w:val="superscript"/>
        </w:rPr>
        <w:t>th</w:t>
      </w:r>
      <w:r w:rsidRPr="004A0212">
        <w:t xml:space="preserve"> </w:t>
      </w:r>
      <w:r w:rsidR="6E5B6479" w:rsidRPr="004A0212">
        <w:t xml:space="preserve">century </w:t>
      </w:r>
      <w:r w:rsidRPr="004A0212">
        <w:t>combined Māori beliefs with Christianity and became important spiritual, social and political movements.</w:t>
      </w:r>
      <w:r w:rsidR="007A190A" w:rsidRPr="004A0212">
        <w:rPr>
          <w:rStyle w:val="StyleFootnoteReferenceFagoFunotenzeichenFagoFunotenzeichen"/>
        </w:rPr>
        <w:footnoteReference w:id="99"/>
      </w:r>
    </w:p>
    <w:p w14:paraId="2F7ECA6A" w14:textId="77777777" w:rsidR="00A21C3C" w:rsidRPr="004A0212" w:rsidRDefault="00A21C3C">
      <w:pPr>
        <w:keepLines w:val="0"/>
        <w:rPr>
          <w:rFonts w:ascii="Arial" w:hAnsi="Arial" w:cs="Arial"/>
          <w:b/>
          <w:bCs/>
          <w:color w:val="4F7D29" w:themeColor="accent4"/>
          <w:sz w:val="36"/>
          <w:szCs w:val="36"/>
          <w:lang w:eastAsia="en-NZ"/>
        </w:rPr>
      </w:pPr>
      <w:r w:rsidRPr="004A0212">
        <w:br w:type="page"/>
      </w:r>
    </w:p>
    <w:p w14:paraId="108756D1" w14:textId="4B1B767C" w:rsidR="00FB1B5C" w:rsidRPr="004A0212" w:rsidRDefault="00467001" w:rsidP="00431524">
      <w:pPr>
        <w:pStyle w:val="Heading1"/>
      </w:pPr>
      <w:bookmarkStart w:id="170" w:name="_Toc1891957839"/>
      <w:bookmarkStart w:id="171" w:name="_Toc168638917"/>
      <w:proofErr w:type="spellStart"/>
      <w:r w:rsidRPr="004A0212">
        <w:t>Ū</w:t>
      </w:r>
      <w:r w:rsidR="7E1F38AB" w:rsidRPr="004A0212">
        <w:t>poko</w:t>
      </w:r>
      <w:proofErr w:type="spellEnd"/>
      <w:r w:rsidR="7E1F38AB" w:rsidRPr="004A0212">
        <w:t xml:space="preserve"> 4: </w:t>
      </w:r>
      <w:proofErr w:type="spellStart"/>
      <w:r w:rsidR="7E1F38AB" w:rsidRPr="004A0212">
        <w:t>Ngā</w:t>
      </w:r>
      <w:proofErr w:type="spellEnd"/>
      <w:r w:rsidR="7E1F38AB" w:rsidRPr="004A0212">
        <w:t xml:space="preserve"> </w:t>
      </w:r>
      <w:proofErr w:type="spellStart"/>
      <w:r w:rsidR="7E1F38AB" w:rsidRPr="004A0212">
        <w:t>waiaro</w:t>
      </w:r>
      <w:proofErr w:type="spellEnd"/>
      <w:r w:rsidR="26410815" w:rsidRPr="004A0212">
        <w:t xml:space="preserve"> </w:t>
      </w:r>
      <w:r w:rsidR="7E1F38AB" w:rsidRPr="004A0212">
        <w:t>ā-</w:t>
      </w:r>
      <w:proofErr w:type="spellStart"/>
      <w:r w:rsidR="7E1F38AB" w:rsidRPr="004A0212">
        <w:t>pāpori</w:t>
      </w:r>
      <w:proofErr w:type="spellEnd"/>
      <w:r w:rsidR="7E1F38AB" w:rsidRPr="004A0212">
        <w:t xml:space="preserve"> </w:t>
      </w:r>
      <w:proofErr w:type="spellStart"/>
      <w:r w:rsidR="7E1F38AB" w:rsidRPr="004A0212">
        <w:t>whai</w:t>
      </w:r>
      <w:proofErr w:type="spellEnd"/>
      <w:r w:rsidR="7E1F38AB" w:rsidRPr="004A0212">
        <w:t xml:space="preserve"> </w:t>
      </w:r>
      <w:proofErr w:type="spellStart"/>
      <w:r w:rsidR="7E1F38AB" w:rsidRPr="004A0212">
        <w:t>pānga</w:t>
      </w:r>
      <w:proofErr w:type="spellEnd"/>
      <w:r w:rsidR="7E1F38AB" w:rsidRPr="004A0212">
        <w:t xml:space="preserve"> ki </w:t>
      </w:r>
      <w:proofErr w:type="spellStart"/>
      <w:r w:rsidR="7E1F38AB" w:rsidRPr="004A0212">
        <w:t>te</w:t>
      </w:r>
      <w:proofErr w:type="spellEnd"/>
      <w:r w:rsidR="7E1F38AB" w:rsidRPr="004A0212">
        <w:t xml:space="preserve"> </w:t>
      </w:r>
      <w:proofErr w:type="spellStart"/>
      <w:r w:rsidR="7E1F38AB" w:rsidRPr="004A0212">
        <w:t>wā</w:t>
      </w:r>
      <w:proofErr w:type="spellEnd"/>
      <w:r w:rsidR="7E1F38AB" w:rsidRPr="004A0212">
        <w:t xml:space="preserve"> </w:t>
      </w:r>
      <w:proofErr w:type="spellStart"/>
      <w:r w:rsidR="7E1F38AB" w:rsidRPr="004A0212">
        <w:t>Pakirehua</w:t>
      </w:r>
      <w:bookmarkEnd w:id="170"/>
      <w:bookmarkEnd w:id="171"/>
      <w:proofErr w:type="spellEnd"/>
      <w:r w:rsidR="7E1F38AB" w:rsidRPr="004A0212">
        <w:t xml:space="preserve"> </w:t>
      </w:r>
    </w:p>
    <w:p w14:paraId="256916D1" w14:textId="04036005" w:rsidR="008927C4" w:rsidRPr="004A0212" w:rsidRDefault="1C91FA1F" w:rsidP="00431524">
      <w:pPr>
        <w:pStyle w:val="Heading1"/>
      </w:pPr>
      <w:bookmarkStart w:id="172" w:name="_Toc1118816282"/>
      <w:bookmarkStart w:id="173" w:name="_Toc168638918"/>
      <w:r w:rsidRPr="004A0212">
        <w:t>Chapt</w:t>
      </w:r>
      <w:r w:rsidR="1D9F47D2" w:rsidRPr="004A0212">
        <w:t>er 4</w:t>
      </w:r>
      <w:r w:rsidRPr="004A0212">
        <w:t>: Societal attitudes relevant to the Inquiry period</w:t>
      </w:r>
      <w:bookmarkEnd w:id="172"/>
      <w:bookmarkEnd w:id="173"/>
    </w:p>
    <w:p w14:paraId="355F8786" w14:textId="643877B8" w:rsidR="00116FF2" w:rsidRPr="004A0212" w:rsidRDefault="2C1654A1" w:rsidP="007D73A6">
      <w:pPr>
        <w:pStyle w:val="AllNumbparas"/>
        <w:rPr>
          <w:color w:val="000000" w:themeColor="text1"/>
        </w:rPr>
      </w:pPr>
      <w:r w:rsidRPr="004A0212">
        <w:rPr>
          <w:rStyle w:val="normaltextrun"/>
          <w:color w:val="000000" w:themeColor="text1"/>
        </w:rPr>
        <w:t xml:space="preserve">Churches contributed to building the new settler society in Aotearoa New Zealand, including upholding a social order based on British laws and influenced by </w:t>
      </w:r>
      <w:r w:rsidR="003D61B4" w:rsidRPr="004A0212">
        <w:rPr>
          <w:rStyle w:val="normaltextrun"/>
          <w:color w:val="000000" w:themeColor="text1"/>
        </w:rPr>
        <w:t>Christian</w:t>
      </w:r>
      <w:r w:rsidRPr="004A0212">
        <w:rPr>
          <w:rStyle w:val="normaltextrun"/>
          <w:color w:val="000000" w:themeColor="text1"/>
        </w:rPr>
        <w:t xml:space="preserve"> values and morals.</w:t>
      </w:r>
      <w:r w:rsidR="005A280B" w:rsidRPr="004A0212">
        <w:rPr>
          <w:rStyle w:val="StyleFootnoteReferenceFagoFunotenzeichenFagoFunotenzeichen"/>
        </w:rPr>
        <w:footnoteReference w:id="100"/>
      </w:r>
      <w:r w:rsidRPr="004A0212">
        <w:rPr>
          <w:rStyle w:val="normaltextrun"/>
          <w:color w:val="000000" w:themeColor="text1"/>
        </w:rPr>
        <w:t xml:space="preserve"> </w:t>
      </w:r>
    </w:p>
    <w:p w14:paraId="2608E8EA" w14:textId="05906C53" w:rsidR="008927C4" w:rsidRPr="004A0212" w:rsidRDefault="103FE920" w:rsidP="007D73A6">
      <w:pPr>
        <w:pStyle w:val="AllNumbparas"/>
      </w:pPr>
      <w:r w:rsidRPr="004A0212">
        <w:rPr>
          <w:rStyle w:val="normaltextrun"/>
          <w:color w:val="000000"/>
          <w:bdr w:val="none" w:sz="0" w:space="0" w:color="auto" w:frame="1"/>
        </w:rPr>
        <w:t>T</w:t>
      </w:r>
      <w:r w:rsidR="5FEC9F42" w:rsidRPr="004A0212">
        <w:rPr>
          <w:rStyle w:val="normaltextrun"/>
          <w:color w:val="000000"/>
          <w:bdr w:val="none" w:sz="0" w:space="0" w:color="auto" w:frame="1"/>
        </w:rPr>
        <w:t>hese societal attitudes meant that</w:t>
      </w:r>
      <w:r w:rsidR="2890C8F9" w:rsidRPr="004A0212">
        <w:rPr>
          <w:rStyle w:val="normaltextrun"/>
          <w:color w:val="000000"/>
          <w:bdr w:val="none" w:sz="0" w:space="0" w:color="auto" w:frame="1"/>
        </w:rPr>
        <w:t xml:space="preserve"> </w:t>
      </w:r>
      <w:r w:rsidR="5FEC9F42" w:rsidRPr="004A0212">
        <w:t>d</w:t>
      </w:r>
      <w:r w:rsidR="6078EE0B" w:rsidRPr="004A0212">
        <w:t>uring much of the 20</w:t>
      </w:r>
      <w:r w:rsidR="6078EE0B" w:rsidRPr="004A0212">
        <w:rPr>
          <w:vertAlign w:val="superscript"/>
        </w:rPr>
        <w:t>th</w:t>
      </w:r>
      <w:r w:rsidR="6078EE0B" w:rsidRPr="004A0212">
        <w:t xml:space="preserve"> century, Aotearoa New Zealand society expected people to fit in and conform to a narrow definition of what was normal.</w:t>
      </w:r>
      <w:r w:rsidR="008927C4" w:rsidRPr="004A0212">
        <w:rPr>
          <w:rStyle w:val="StyleFootnoteReferenceFagoFunotenzeichenFagoFunotenzeichen"/>
        </w:rPr>
        <w:footnoteReference w:id="101"/>
      </w:r>
      <w:r w:rsidR="6078EE0B" w:rsidRPr="004A0212">
        <w:t xml:space="preserve"> This contributed to discrimination </w:t>
      </w:r>
      <w:r w:rsidR="0C42BBAC" w:rsidRPr="004A0212">
        <w:t>against</w:t>
      </w:r>
      <w:r w:rsidR="12B6F05D" w:rsidRPr="004A0212">
        <w:t xml:space="preserve"> indigenous and</w:t>
      </w:r>
      <w:r w:rsidR="0C42BBAC" w:rsidRPr="004A0212">
        <w:t xml:space="preserve"> minority</w:t>
      </w:r>
      <w:r w:rsidR="6078EE0B" w:rsidRPr="004A0212">
        <w:t xml:space="preserve"> groups.</w:t>
      </w:r>
      <w:r w:rsidR="008927C4" w:rsidRPr="004A0212">
        <w:rPr>
          <w:rStyle w:val="StyleFootnoteReferenceFagoFunotenzeichenFagoFunotenzeichen"/>
        </w:rPr>
        <w:footnoteReference w:id="102"/>
      </w:r>
      <w:r w:rsidR="6078EE0B" w:rsidRPr="004A0212">
        <w:t xml:space="preserve"> </w:t>
      </w:r>
    </w:p>
    <w:p w14:paraId="3EDC1DCB" w14:textId="0A26AEB7" w:rsidR="008927C4" w:rsidRPr="004A0212" w:rsidRDefault="6078EE0B" w:rsidP="007D73A6">
      <w:pPr>
        <w:pStyle w:val="AllNumbparas"/>
      </w:pPr>
      <w:r w:rsidRPr="004A0212">
        <w:t xml:space="preserve">Criminologist John Pratt highlights Aotearoa New Zealand’s high rate of imprisonment across the Inquiry period </w:t>
      </w:r>
      <w:r w:rsidR="3C3993E2" w:rsidRPr="004A0212">
        <w:t>compared</w:t>
      </w:r>
      <w:r w:rsidRPr="004A0212">
        <w:t xml:space="preserve"> to other OECD nations. He describes Aotearoa New Zealand as intolerant and overly punitive, resulting from</w:t>
      </w:r>
      <w:r w:rsidR="0E9E049A" w:rsidRPr="004A0212">
        <w:t>:</w:t>
      </w:r>
      <w:r w:rsidRPr="004A0212">
        <w:t xml:space="preserve"> </w:t>
      </w:r>
    </w:p>
    <w:p w14:paraId="1D6FC4D9" w14:textId="77777777" w:rsidR="008927C4" w:rsidRPr="004A0212" w:rsidRDefault="008927C4" w:rsidP="008927C4">
      <w:pPr>
        <w:pStyle w:val="AllQuotes"/>
        <w:rPr>
          <w:rFonts w:cs="Arial"/>
        </w:rPr>
      </w:pPr>
      <w:r w:rsidRPr="004A0212">
        <w:rPr>
          <w:rFonts w:cs="Arial"/>
        </w:rPr>
        <w:t>“a crushing conformity, enforced by intense levels of formal and informal social control and fear of appearing different, fear of not belonging to and fear of being rejected by this tightly drawn homogenous community”.</w:t>
      </w:r>
      <w:r w:rsidRPr="004A0212">
        <w:rPr>
          <w:rStyle w:val="StyleFootnoteReferenceFagoFunotenzeichenFagoFunotenzeichen"/>
        </w:rPr>
        <w:footnoteReference w:id="103"/>
      </w:r>
    </w:p>
    <w:p w14:paraId="63A2BA2B" w14:textId="16D3863F" w:rsidR="008927C4" w:rsidRPr="004A0212" w:rsidRDefault="3C3993E2" w:rsidP="007D73A6">
      <w:pPr>
        <w:pStyle w:val="AllNumbparas"/>
      </w:pPr>
      <w:r w:rsidRPr="004A0212">
        <w:t>K</w:t>
      </w:r>
      <w:r w:rsidR="6078EE0B" w:rsidRPr="004A0212">
        <w:t>ey societal attitudes (power and control, racism, ableism and disablism, rigid gender roles and homophobia)</w:t>
      </w:r>
      <w:r w:rsidR="29F46F73" w:rsidRPr="004A0212">
        <w:t xml:space="preserve"> that</w:t>
      </w:r>
      <w:r w:rsidRPr="004A0212">
        <w:t xml:space="preserve"> </w:t>
      </w:r>
      <w:r w:rsidR="6078EE0B" w:rsidRPr="004A0212">
        <w:t xml:space="preserve">persisted across the Inquiry period are outlined below. </w:t>
      </w:r>
      <w:r w:rsidR="0E9E049A" w:rsidRPr="004A0212">
        <w:t xml:space="preserve">The </w:t>
      </w:r>
      <w:r w:rsidR="0834EF52" w:rsidRPr="004A0212">
        <w:t>Inquiry</w:t>
      </w:r>
      <w:r w:rsidR="0E9E049A" w:rsidRPr="004A0212">
        <w:t xml:space="preserve"> </w:t>
      </w:r>
      <w:r w:rsidR="6078EE0B" w:rsidRPr="004A0212">
        <w:t>return</w:t>
      </w:r>
      <w:r w:rsidR="0834EF52" w:rsidRPr="004A0212">
        <w:t>s</w:t>
      </w:r>
      <w:r w:rsidR="6078EE0B" w:rsidRPr="004A0212">
        <w:t xml:space="preserve"> to these attitudes throughout </w:t>
      </w:r>
      <w:r w:rsidR="0834EF52" w:rsidRPr="004A0212">
        <w:t>this</w:t>
      </w:r>
      <w:r w:rsidR="6078EE0B" w:rsidRPr="004A0212">
        <w:t xml:space="preserve"> report, demonstrating how they influenced who went into care and </w:t>
      </w:r>
      <w:r w:rsidRPr="004A0212">
        <w:t xml:space="preserve">the experiences of </w:t>
      </w:r>
      <w:r w:rsidR="0834EF52" w:rsidRPr="004A0212">
        <w:t>children, young people and</w:t>
      </w:r>
      <w:r w:rsidR="6078EE0B" w:rsidRPr="004A0212">
        <w:t xml:space="preserve"> adults within the care system.</w:t>
      </w:r>
    </w:p>
    <w:p w14:paraId="046C1E8E" w14:textId="77777777" w:rsidR="00FE6914" w:rsidRPr="004A0212" w:rsidRDefault="7E1F38AB" w:rsidP="008927C4">
      <w:pPr>
        <w:pStyle w:val="Heading2"/>
        <w:rPr>
          <w:rFonts w:cs="Arial"/>
        </w:rPr>
      </w:pPr>
      <w:bookmarkStart w:id="174" w:name="_Toc728179029"/>
      <w:bookmarkStart w:id="175" w:name="_Toc168638919"/>
      <w:proofErr w:type="spellStart"/>
      <w:r w:rsidRPr="004A0212">
        <w:rPr>
          <w:rFonts w:cs="Arial"/>
        </w:rPr>
        <w:t>Te</w:t>
      </w:r>
      <w:proofErr w:type="spellEnd"/>
      <w:r w:rsidRPr="004A0212">
        <w:rPr>
          <w:rFonts w:cs="Arial"/>
        </w:rPr>
        <w:t xml:space="preserve"> mana me </w:t>
      </w:r>
      <w:proofErr w:type="spellStart"/>
      <w:r w:rsidRPr="004A0212">
        <w:rPr>
          <w:rFonts w:cs="Arial"/>
        </w:rPr>
        <w:t>te</w:t>
      </w:r>
      <w:proofErr w:type="spellEnd"/>
      <w:r w:rsidRPr="004A0212">
        <w:rPr>
          <w:rFonts w:cs="Arial"/>
        </w:rPr>
        <w:t xml:space="preserve"> </w:t>
      </w:r>
      <w:proofErr w:type="spellStart"/>
      <w:r w:rsidRPr="004A0212">
        <w:rPr>
          <w:rFonts w:cs="Arial"/>
        </w:rPr>
        <w:t>aupēhitanga</w:t>
      </w:r>
      <w:proofErr w:type="spellEnd"/>
      <w:r w:rsidRPr="004A0212">
        <w:rPr>
          <w:rFonts w:cs="Arial"/>
        </w:rPr>
        <w:t xml:space="preserve"> </w:t>
      </w:r>
      <w:r w:rsidR="24A80B23" w:rsidRPr="004A0212">
        <w:rPr>
          <w:rFonts w:cs="Arial"/>
        </w:rPr>
        <w:t>o</w:t>
      </w:r>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tokoiti</w:t>
      </w:r>
      <w:proofErr w:type="spellEnd"/>
      <w:r w:rsidRPr="004A0212">
        <w:rPr>
          <w:rFonts w:cs="Arial"/>
        </w:rPr>
        <w:t xml:space="preserve"> o </w:t>
      </w:r>
      <w:proofErr w:type="spellStart"/>
      <w:r w:rsidRPr="004A0212">
        <w:rPr>
          <w:rFonts w:cs="Arial"/>
        </w:rPr>
        <w:t>te</w:t>
      </w:r>
      <w:proofErr w:type="spellEnd"/>
      <w:r w:rsidRPr="004A0212">
        <w:rPr>
          <w:rFonts w:cs="Arial"/>
        </w:rPr>
        <w:t xml:space="preserve"> </w:t>
      </w:r>
      <w:proofErr w:type="spellStart"/>
      <w:r w:rsidRPr="004A0212">
        <w:rPr>
          <w:rFonts w:cs="Arial"/>
        </w:rPr>
        <w:t>pāpori</w:t>
      </w:r>
      <w:bookmarkEnd w:id="174"/>
      <w:bookmarkEnd w:id="175"/>
      <w:proofErr w:type="spellEnd"/>
      <w:r w:rsidRPr="004A0212">
        <w:rPr>
          <w:rFonts w:cs="Arial"/>
        </w:rPr>
        <w:t xml:space="preserve"> </w:t>
      </w:r>
    </w:p>
    <w:p w14:paraId="74CCF330" w14:textId="10115810" w:rsidR="008927C4" w:rsidRPr="004A0212" w:rsidRDefault="1C91FA1F" w:rsidP="008927C4">
      <w:pPr>
        <w:pStyle w:val="Heading2"/>
        <w:rPr>
          <w:rFonts w:cs="Arial"/>
        </w:rPr>
      </w:pPr>
      <w:bookmarkStart w:id="176" w:name="_Toc222300281"/>
      <w:bookmarkStart w:id="177" w:name="_Toc168638920"/>
      <w:r w:rsidRPr="004A0212">
        <w:rPr>
          <w:rFonts w:cs="Arial"/>
        </w:rPr>
        <w:t>Power and control held by certain members of society</w:t>
      </w:r>
      <w:bookmarkEnd w:id="176"/>
      <w:bookmarkEnd w:id="177"/>
    </w:p>
    <w:p w14:paraId="759A6408" w14:textId="32DAB5C0" w:rsidR="008927C4" w:rsidRPr="004A0212" w:rsidRDefault="6078EE0B" w:rsidP="007D73A6">
      <w:pPr>
        <w:pStyle w:val="AllNumbparas"/>
      </w:pPr>
      <w:r w:rsidRPr="004A0212">
        <w:t xml:space="preserve">Power and control </w:t>
      </w:r>
      <w:r w:rsidR="29F46F73" w:rsidRPr="004A0212">
        <w:t>were</w:t>
      </w:r>
      <w:r w:rsidRPr="004A0212">
        <w:t xml:space="preserve"> common themes across the Inquiry period. In relation to care settings, power and control was exercised in different forms:</w:t>
      </w:r>
    </w:p>
    <w:p w14:paraId="3EFC80D1" w14:textId="378D0E77" w:rsidR="008927C4" w:rsidRPr="004A0212" w:rsidRDefault="0D214A15" w:rsidP="00752D0B">
      <w:pPr>
        <w:pStyle w:val="Bulletpoints"/>
      </w:pPr>
      <w:r w:rsidRPr="004A0212">
        <w:t>State control – laws and policies, removing children from the home and disabled people from society</w:t>
      </w:r>
    </w:p>
    <w:p w14:paraId="0D626BAB" w14:textId="6D952D92" w:rsidR="00B44CC4" w:rsidRPr="004A0212" w:rsidRDefault="0D214A15" w:rsidP="00752D0B">
      <w:pPr>
        <w:pStyle w:val="Bulletpoints"/>
      </w:pPr>
      <w:r w:rsidRPr="004A0212">
        <w:t>Faith-based control – moral authority</w:t>
      </w:r>
      <w:r w:rsidR="234BB4DB" w:rsidRPr="004A0212">
        <w:t>,</w:t>
      </w:r>
      <w:r w:rsidRPr="004A0212">
        <w:t xml:space="preserve"> trusted to take care of children and young people</w:t>
      </w:r>
    </w:p>
    <w:p w14:paraId="64A66EE9" w14:textId="17CF7905" w:rsidR="008927C4" w:rsidRPr="004A0212" w:rsidRDefault="3210B85C" w:rsidP="00752D0B">
      <w:pPr>
        <w:pStyle w:val="Bulletpoints"/>
      </w:pPr>
      <w:r w:rsidRPr="004A0212">
        <w:t>i</w:t>
      </w:r>
      <w:r w:rsidR="0D214A15" w:rsidRPr="004A0212">
        <w:t xml:space="preserve">nstitutional control – hierarchical culture, ableist practices, seclusion, restraint and abusive </w:t>
      </w:r>
      <w:r w:rsidR="38FC611E" w:rsidRPr="004A0212">
        <w:t>practices</w:t>
      </w:r>
      <w:r w:rsidR="0D214A15" w:rsidRPr="004A0212">
        <w:t xml:space="preserve"> </w:t>
      </w:r>
    </w:p>
    <w:p w14:paraId="5FF9D827" w14:textId="4859373A" w:rsidR="008927C4" w:rsidRPr="004A0212" w:rsidRDefault="143CCD1E" w:rsidP="00752D0B">
      <w:pPr>
        <w:pStyle w:val="Bulletpoints"/>
      </w:pPr>
      <w:r w:rsidRPr="004A0212">
        <w:t>i</w:t>
      </w:r>
      <w:r w:rsidR="0D214A15" w:rsidRPr="004A0212">
        <w:t xml:space="preserve">ndividual control – moral authority and power imbalance. </w:t>
      </w:r>
    </w:p>
    <w:p w14:paraId="330550F0" w14:textId="69AB280F" w:rsidR="008927C4" w:rsidRPr="004A0212" w:rsidRDefault="6078EE0B" w:rsidP="007D73A6">
      <w:pPr>
        <w:pStyle w:val="AllNumbparas"/>
      </w:pPr>
      <w:r w:rsidRPr="004A0212">
        <w:t>In the 20</w:t>
      </w:r>
      <w:r w:rsidRPr="004A0212">
        <w:rPr>
          <w:vertAlign w:val="superscript"/>
        </w:rPr>
        <w:t>th</w:t>
      </w:r>
      <w:r w:rsidRPr="004A0212">
        <w:t xml:space="preserve"> </w:t>
      </w:r>
      <w:r w:rsidR="52126C7A" w:rsidRPr="004A0212">
        <w:t>century</w:t>
      </w:r>
      <w:r w:rsidRPr="004A0212">
        <w:t>, judges, politicians, police</w:t>
      </w:r>
      <w:r w:rsidR="356DBAC7" w:rsidRPr="004A0212">
        <w:t xml:space="preserve"> officers</w:t>
      </w:r>
      <w:r w:rsidRPr="004A0212">
        <w:t xml:space="preserve">, doctors, clergy and other church leaders </w:t>
      </w:r>
      <w:r w:rsidR="3A3627CA" w:rsidRPr="004A0212">
        <w:t xml:space="preserve">were </w:t>
      </w:r>
      <w:r w:rsidRPr="004A0212">
        <w:t>highly respected</w:t>
      </w:r>
      <w:r w:rsidR="356DBAC7" w:rsidRPr="004A0212">
        <w:t>,</w:t>
      </w:r>
      <w:r w:rsidR="60839BFF" w:rsidRPr="004A0212">
        <w:t xml:space="preserve"> giving </w:t>
      </w:r>
      <w:r w:rsidRPr="004A0212">
        <w:t>them power and influence over people. For example, doctors had the power to influence who went into disability and mental health settings. They were trusted by many in society to know what was best.</w:t>
      </w:r>
      <w:r w:rsidR="008927C4" w:rsidRPr="004A0212">
        <w:rPr>
          <w:rStyle w:val="StyleFootnoteReferenceFagoFunotenzeichenFagoFunotenzeichen"/>
        </w:rPr>
        <w:footnoteReference w:id="104"/>
      </w:r>
      <w:r w:rsidRPr="004A0212">
        <w:t xml:space="preserve"> This included trust in the treatment they provided, as seen in </w:t>
      </w:r>
      <w:r w:rsidR="52126C7A" w:rsidRPr="004A0212">
        <w:t>the</w:t>
      </w:r>
      <w:r w:rsidRPr="004A0212">
        <w:t xml:space="preserve"> Beautiful Children</w:t>
      </w:r>
      <w:r w:rsidR="52126C7A" w:rsidRPr="004A0212">
        <w:t>:</w:t>
      </w:r>
      <w:r w:rsidRPr="004A0212">
        <w:t xml:space="preserve"> Inquiry into the Lake Alice Child and Adolescent Unit report</w:t>
      </w:r>
      <w:r w:rsidR="1C7D7B0D" w:rsidRPr="004A0212">
        <w:t>. The Inquiry found that</w:t>
      </w:r>
      <w:r w:rsidRPr="004A0212">
        <w:t xml:space="preserve"> “</w:t>
      </w:r>
      <w:r w:rsidR="1C7D7B0D" w:rsidRPr="004A0212">
        <w:t>s</w:t>
      </w:r>
      <w:r w:rsidRPr="004A0212">
        <w:t>taff at the unit had largely unchecked power over vulnerable patients</w:t>
      </w:r>
      <w:r w:rsidR="1C7D7B0D" w:rsidRPr="004A0212">
        <w:t>”</w:t>
      </w:r>
      <w:r w:rsidRPr="004A0212">
        <w:t>.</w:t>
      </w:r>
      <w:r w:rsidR="008927C4" w:rsidRPr="004A0212">
        <w:rPr>
          <w:rStyle w:val="StyleFootnoteReferenceFagoFunotenzeichenFagoFunotenzeichen"/>
        </w:rPr>
        <w:footnoteReference w:id="105"/>
      </w:r>
      <w:r w:rsidRPr="004A0212">
        <w:t xml:space="preserve"> Similarly, police</w:t>
      </w:r>
      <w:r w:rsidR="0E43A045" w:rsidRPr="004A0212">
        <w:t xml:space="preserve"> officers</w:t>
      </w:r>
      <w:r w:rsidR="100F7C4C" w:rsidRPr="004A0212">
        <w:t>, social workers</w:t>
      </w:r>
      <w:r w:rsidRPr="004A0212">
        <w:t xml:space="preserve"> and judges in the Children’s Courts held power over who came before the </w:t>
      </w:r>
      <w:r w:rsidR="73F12A3D" w:rsidRPr="004A0212">
        <w:t xml:space="preserve">court </w:t>
      </w:r>
      <w:r w:rsidRPr="004A0212">
        <w:t>and what sentences they received. The churches and those who represented them operate</w:t>
      </w:r>
      <w:r w:rsidR="73F12A3D" w:rsidRPr="004A0212">
        <w:t>d</w:t>
      </w:r>
      <w:r w:rsidRPr="004A0212">
        <w:t xml:space="preserve"> with a high degree of impunity because of their standing in the community.</w:t>
      </w:r>
      <w:r w:rsidR="008927C4" w:rsidRPr="004A0212">
        <w:rPr>
          <w:rStyle w:val="StyleFootnoteReferenceFagoFunotenzeichenFagoFunotenzeichen"/>
        </w:rPr>
        <w:footnoteReference w:id="106"/>
      </w:r>
      <w:r w:rsidRPr="004A0212">
        <w:rPr>
          <w:rFonts w:eastAsiaTheme="minorEastAsia"/>
          <w:vertAlign w:val="superscript"/>
        </w:rPr>
        <w:t xml:space="preserve"> </w:t>
      </w:r>
    </w:p>
    <w:p w14:paraId="6DFED051" w14:textId="37A3A311" w:rsidR="008927C4" w:rsidRPr="004A0212" w:rsidRDefault="7E1F38AB" w:rsidP="008927C4">
      <w:pPr>
        <w:pStyle w:val="Heading2"/>
        <w:rPr>
          <w:rFonts w:cs="Arial"/>
        </w:rPr>
      </w:pPr>
      <w:bookmarkStart w:id="178" w:name="_Toc1601329244"/>
      <w:bookmarkStart w:id="179" w:name="_Toc168638921"/>
      <w:proofErr w:type="spellStart"/>
      <w:r w:rsidRPr="004A0212">
        <w:rPr>
          <w:rFonts w:cs="Arial"/>
        </w:rPr>
        <w:t>Kaikiri</w:t>
      </w:r>
      <w:proofErr w:type="spellEnd"/>
      <w:r w:rsidRPr="004A0212">
        <w:rPr>
          <w:rFonts w:cs="Arial"/>
        </w:rPr>
        <w:t xml:space="preserve"> | </w:t>
      </w:r>
      <w:r w:rsidR="5BCBCB5E" w:rsidRPr="004A0212">
        <w:rPr>
          <w:rFonts w:cs="Arial"/>
        </w:rPr>
        <w:t>R</w:t>
      </w:r>
      <w:r w:rsidR="1C91FA1F" w:rsidRPr="004A0212">
        <w:rPr>
          <w:rFonts w:cs="Arial"/>
        </w:rPr>
        <w:t>acism</w:t>
      </w:r>
      <w:bookmarkEnd w:id="178"/>
      <w:bookmarkEnd w:id="179"/>
    </w:p>
    <w:p w14:paraId="0AF7A8CA" w14:textId="187F2123" w:rsidR="003B017D" w:rsidRPr="004A0212" w:rsidRDefault="7E1F38AB" w:rsidP="44ADDF6E">
      <w:pPr>
        <w:pStyle w:val="Heading3"/>
      </w:pPr>
      <w:bookmarkStart w:id="180" w:name="_Toc2022035316"/>
      <w:proofErr w:type="spellStart"/>
      <w:r w:rsidRPr="004A0212">
        <w:t>Kaikiri</w:t>
      </w:r>
      <w:proofErr w:type="spellEnd"/>
      <w:r w:rsidR="4C0C2964" w:rsidRPr="004A0212">
        <w:t xml:space="preserve"> </w:t>
      </w:r>
      <w:proofErr w:type="spellStart"/>
      <w:r w:rsidR="4E20F822" w:rsidRPr="004A0212">
        <w:t>torow</w:t>
      </w:r>
      <w:r w:rsidR="02397200" w:rsidRPr="004A0212">
        <w:t>h</w:t>
      </w:r>
      <w:r w:rsidR="1C605AAE" w:rsidRPr="004A0212">
        <w:t>a</w:t>
      </w:r>
      <w:r w:rsidR="02397200" w:rsidRPr="004A0212">
        <w:t>re</w:t>
      </w:r>
      <w:proofErr w:type="spellEnd"/>
      <w:r w:rsidR="02397200" w:rsidRPr="004A0212">
        <w:t xml:space="preserve"> | Institutional Racism</w:t>
      </w:r>
      <w:bookmarkEnd w:id="180"/>
      <w:r w:rsidR="02397200" w:rsidRPr="004A0212">
        <w:t xml:space="preserve"> </w:t>
      </w:r>
    </w:p>
    <w:p w14:paraId="672652A9" w14:textId="16FCDA76" w:rsidR="009322A8" w:rsidRPr="004A0212" w:rsidRDefault="13F43979" w:rsidP="00B1154B">
      <w:pPr>
        <w:pStyle w:val="Numbparas"/>
      </w:pPr>
      <w:r w:rsidRPr="004A0212">
        <w:t xml:space="preserve">A 1986 report to the Minister of Social Welfare, titled </w:t>
      </w:r>
      <w:proofErr w:type="spellStart"/>
      <w:r w:rsidR="7AF2DD05" w:rsidRPr="004A0212">
        <w:t>Pūao-te-Āta-tū</w:t>
      </w:r>
      <w:proofErr w:type="spellEnd"/>
      <w:r w:rsidR="7AF2DD05" w:rsidRPr="004A0212">
        <w:t>,</w:t>
      </w:r>
      <w:r w:rsidRPr="004A0212">
        <w:t xml:space="preserve"> found that New Zealand institutions – rooted in Pākehā values, systems, and viewpoints – had alienate</w:t>
      </w:r>
      <w:r w:rsidR="7AF2DD05" w:rsidRPr="004A0212">
        <w:t>d</w:t>
      </w:r>
      <w:r w:rsidRPr="004A0212">
        <w:t xml:space="preserve"> Māori from their own lands and </w:t>
      </w:r>
      <w:proofErr w:type="gramStart"/>
      <w:r w:rsidR="7AF2DD05" w:rsidRPr="004A0212">
        <w:t>broken</w:t>
      </w:r>
      <w:r w:rsidRPr="004A0212">
        <w:t xml:space="preserve"> down</w:t>
      </w:r>
      <w:proofErr w:type="gramEnd"/>
      <w:r w:rsidRPr="004A0212">
        <w:t xml:space="preserve"> traditional Māori society.</w:t>
      </w:r>
      <w:r w:rsidR="009322A8" w:rsidRPr="004A0212">
        <w:footnoteReference w:id="107"/>
      </w:r>
      <w:r w:rsidRPr="004A0212">
        <w:t xml:space="preserve"> </w:t>
      </w:r>
      <w:r w:rsidR="7AF2DD05" w:rsidRPr="004A0212">
        <w:t>The report noted</w:t>
      </w:r>
      <w:r w:rsidRPr="004A0212">
        <w:t xml:space="preserve"> the history of colonisation was a “history of institutional decisions being made for, rather than by, Māori”.</w:t>
      </w:r>
      <w:r w:rsidR="009322A8" w:rsidRPr="004A0212">
        <w:rPr>
          <w:rStyle w:val="StyleFootnoteReferenceFagoFunotenzeichenFagoFunotenzeichen"/>
        </w:rPr>
        <w:footnoteReference w:id="108"/>
      </w:r>
      <w:r w:rsidRPr="004A0212">
        <w:rPr>
          <w:rStyle w:val="StyleFootnoteReferenceFagoFunotenzeichenFagoFunotenzeichen"/>
        </w:rPr>
        <w:t xml:space="preserve"> </w:t>
      </w:r>
    </w:p>
    <w:p w14:paraId="5072386C" w14:textId="3F780471" w:rsidR="00A21C3C" w:rsidRPr="004A0212" w:rsidRDefault="6078EE0B" w:rsidP="00A83810">
      <w:pPr>
        <w:pStyle w:val="AllNumbparas"/>
      </w:pPr>
      <w:r w:rsidRPr="004A0212">
        <w:rPr>
          <w:color w:val="000000" w:themeColor="text1"/>
        </w:rPr>
        <w:t xml:space="preserve">Institutional racism refers to patterns of discrimination and unequal treatment </w:t>
      </w:r>
      <w:r w:rsidR="0C42BBAC" w:rsidRPr="004A0212">
        <w:rPr>
          <w:rStyle w:val="normaltextrun"/>
          <w:color w:val="000000" w:themeColor="text1"/>
        </w:rPr>
        <w:t>of certain groups based on their race, ethnicity, skin colour or national origin,</w:t>
      </w:r>
      <w:r w:rsidR="08583D60" w:rsidRPr="004A0212">
        <w:rPr>
          <w:rStyle w:val="normaltextrun"/>
          <w:color w:val="000000" w:themeColor="text1"/>
        </w:rPr>
        <w:t xml:space="preserve"> </w:t>
      </w:r>
      <w:r w:rsidR="0C42BBAC" w:rsidRPr="004A0212">
        <w:rPr>
          <w:color w:val="000000" w:themeColor="text1"/>
        </w:rPr>
        <w:t>and</w:t>
      </w:r>
      <w:r w:rsidRPr="004A0212">
        <w:rPr>
          <w:color w:val="000000" w:themeColor="text1"/>
        </w:rPr>
        <w:t xml:space="preserve"> </w:t>
      </w:r>
      <w:r w:rsidR="6D915365" w:rsidRPr="004A0212">
        <w:t>results in</w:t>
      </w:r>
      <w:r w:rsidRPr="004A0212">
        <w:t xml:space="preserve"> unequal outcomes for </w:t>
      </w:r>
      <w:r w:rsidR="0C42BBAC" w:rsidRPr="004A0212">
        <w:t>these</w:t>
      </w:r>
      <w:r w:rsidRPr="004A0212">
        <w:t xml:space="preserve"> groups.</w:t>
      </w:r>
      <w:r w:rsidR="008927C4" w:rsidRPr="004A0212">
        <w:rPr>
          <w:rStyle w:val="StyleFootnoteReferenceFagoFunotenzeichenFagoFunotenzeichen"/>
        </w:rPr>
        <w:footnoteReference w:id="109"/>
      </w:r>
      <w:r w:rsidRPr="004A0212">
        <w:t xml:space="preserve"> Researchers have described institutional racism as happening when a powerful group enforces its beliefs on others.</w:t>
      </w:r>
      <w:r w:rsidR="008927C4" w:rsidRPr="004A0212">
        <w:rPr>
          <w:rStyle w:val="StyleFootnoteReferenceFagoFunotenzeichenFagoFunotenzeichen"/>
        </w:rPr>
        <w:footnoteReference w:id="110"/>
      </w:r>
      <w:r w:rsidRPr="004A0212">
        <w:t xml:space="preserve"> These beliefs are then built into </w:t>
      </w:r>
      <w:r w:rsidR="15715C22" w:rsidRPr="004A0212">
        <w:t xml:space="preserve">State </w:t>
      </w:r>
      <w:r w:rsidRPr="004A0212">
        <w:t xml:space="preserve">and institutional policy and practice such as in education, healthcare and law enforcement. </w:t>
      </w:r>
    </w:p>
    <w:p w14:paraId="6E7EA504" w14:textId="7C13B20A" w:rsidR="008927C4" w:rsidRPr="004A0212" w:rsidRDefault="6078EE0B" w:rsidP="00617AE7">
      <w:pPr>
        <w:pStyle w:val="AllNumbparas"/>
      </w:pPr>
      <w:r w:rsidRPr="004A0212">
        <w:t>In Aotearoa New Zealand, the effects of institutional racism are shown in our social statistics, for example, negative statistics in education, crime, child abuse, infant mortality, health and employment.</w:t>
      </w:r>
      <w:r w:rsidR="00B2758C" w:rsidRPr="004A0212">
        <w:t xml:space="preserve"> The</w:t>
      </w:r>
      <w:r w:rsidR="00F517E4" w:rsidRPr="004A0212">
        <w:t xml:space="preserve"> </w:t>
      </w:r>
      <w:proofErr w:type="spellStart"/>
      <w:r w:rsidR="00B220E4" w:rsidRPr="004A0212">
        <w:t>P</w:t>
      </w:r>
      <w:r w:rsidR="00B220E4" w:rsidRPr="004A0212">
        <w:rPr>
          <w:rFonts w:hint="eastAsia"/>
        </w:rPr>
        <w:t>ū</w:t>
      </w:r>
      <w:r w:rsidR="00B220E4" w:rsidRPr="004A0212">
        <w:t>ao-te-</w:t>
      </w:r>
      <w:r w:rsidR="00B220E4" w:rsidRPr="004A0212">
        <w:rPr>
          <w:rFonts w:hint="eastAsia"/>
        </w:rPr>
        <w:t>Ā</w:t>
      </w:r>
      <w:r w:rsidR="00B220E4" w:rsidRPr="004A0212">
        <w:t>ta-t</w:t>
      </w:r>
      <w:r w:rsidR="00B220E4" w:rsidRPr="004A0212">
        <w:rPr>
          <w:rFonts w:hint="eastAsia"/>
        </w:rPr>
        <w:t>ū</w:t>
      </w:r>
      <w:proofErr w:type="spellEnd"/>
      <w:r w:rsidRPr="004A0212">
        <w:t xml:space="preserve"> </w:t>
      </w:r>
      <w:r w:rsidR="00917DB9" w:rsidRPr="004A0212">
        <w:t xml:space="preserve">report </w:t>
      </w:r>
      <w:r w:rsidR="008A6999" w:rsidRPr="004A0212">
        <w:t>of 1988</w:t>
      </w:r>
      <w:r w:rsidR="00A37AE6" w:rsidRPr="004A0212">
        <w:t xml:space="preserve"> de</w:t>
      </w:r>
      <w:r w:rsidR="00793F4A" w:rsidRPr="004A0212">
        <w:t xml:space="preserve">fined </w:t>
      </w:r>
      <w:r w:rsidR="00617AE7" w:rsidRPr="004A0212">
        <w:t>institutional racism</w:t>
      </w:r>
      <w:r w:rsidR="00216157" w:rsidRPr="004A0212">
        <w:t xml:space="preserve"> as:</w:t>
      </w:r>
    </w:p>
    <w:p w14:paraId="0B8D748E" w14:textId="7D0F39F5" w:rsidR="008927C4" w:rsidRPr="004A0212" w:rsidRDefault="008927C4" w:rsidP="008927C4">
      <w:pPr>
        <w:pStyle w:val="AllQuotes"/>
        <w:rPr>
          <w:rFonts w:cs="Arial"/>
        </w:rPr>
      </w:pPr>
      <w:r w:rsidRPr="004A0212">
        <w:rPr>
          <w:rFonts w:cs="Arial"/>
        </w:rPr>
        <w:t>“The most insidious and destructive form of racism</w:t>
      </w:r>
      <w:r w:rsidR="006B6331" w:rsidRPr="004A0212">
        <w:rPr>
          <w:rFonts w:cs="Arial"/>
        </w:rPr>
        <w:t xml:space="preserve"> .</w:t>
      </w:r>
      <w:r w:rsidR="00216157" w:rsidRPr="004A0212">
        <w:rPr>
          <w:rFonts w:cs="Arial"/>
        </w:rPr>
        <w:t>.</w:t>
      </w:r>
      <w:r w:rsidRPr="004A0212">
        <w:rPr>
          <w:rFonts w:cs="Arial"/>
        </w:rPr>
        <w:t>. It is the outcome of monocultural institutions which simply ignore and freeze out the cultures of those who do not belong to the majority.”</w:t>
      </w:r>
      <w:r w:rsidRPr="004A0212">
        <w:rPr>
          <w:rStyle w:val="StyleFootnoteReferenceFagoFunotenzeichenFagoFunotenzeichen"/>
        </w:rPr>
        <w:footnoteReference w:id="111"/>
      </w:r>
    </w:p>
    <w:p w14:paraId="4CBD26DB" w14:textId="4558E72B" w:rsidR="008927C4" w:rsidRPr="004A0212" w:rsidRDefault="6078EE0B" w:rsidP="009574D1">
      <w:pPr>
        <w:pStyle w:val="Numbparas"/>
      </w:pPr>
      <w:r w:rsidRPr="004A0212">
        <w:t>Numerous reports and inquiries have shown that institutional racism in criminal justice</w:t>
      </w:r>
      <w:r w:rsidR="233222C7" w:rsidRPr="004A0212">
        <w:t xml:space="preserve"> (including the courts and </w:t>
      </w:r>
      <w:r w:rsidR="0E43A045" w:rsidRPr="004A0212">
        <w:t>NZ P</w:t>
      </w:r>
      <w:r w:rsidR="460FF48B" w:rsidRPr="004A0212">
        <w:t>olice</w:t>
      </w:r>
      <w:r w:rsidR="2EC228CC" w:rsidRPr="004A0212">
        <w:t>),</w:t>
      </w:r>
      <w:r w:rsidRPr="004A0212">
        <w:t xml:space="preserve"> social welfare and psychiatric systems contributed to the over-representation of young Māori in </w:t>
      </w:r>
      <w:r w:rsidR="0C97C838" w:rsidRPr="004A0212">
        <w:t xml:space="preserve">these </w:t>
      </w:r>
      <w:r w:rsidRPr="004A0212">
        <w:t>settings.</w:t>
      </w:r>
      <w:r w:rsidR="00431AFB" w:rsidRPr="004A0212">
        <w:rPr>
          <w:rStyle w:val="StyleFootnoteReferenceFagoFunotenzeichenFagoFunotenzeichen"/>
        </w:rPr>
        <w:footnoteReference w:id="112"/>
      </w:r>
      <w:r w:rsidR="3A4C9A50" w:rsidRPr="004A0212">
        <w:t xml:space="preserve"> </w:t>
      </w:r>
    </w:p>
    <w:p w14:paraId="79919922" w14:textId="5E3B048F" w:rsidR="008927C4" w:rsidRPr="004A0212" w:rsidRDefault="6078EE0B" w:rsidP="009574D1">
      <w:pPr>
        <w:pStyle w:val="Numbparas"/>
        <w:rPr>
          <w:rStyle w:val="eop"/>
        </w:rPr>
      </w:pPr>
      <w:r w:rsidRPr="004A0212">
        <w:t xml:space="preserve">Pacific </w:t>
      </w:r>
      <w:r w:rsidR="190ED762" w:rsidRPr="004A0212">
        <w:t>P</w:t>
      </w:r>
      <w:r w:rsidRPr="004A0212">
        <w:t xml:space="preserve">eoples also experienced strong institutional racism during the </w:t>
      </w:r>
      <w:r w:rsidR="5FFF8F5F" w:rsidRPr="004A0212">
        <w:t>Inquiry</w:t>
      </w:r>
      <w:r w:rsidRPr="004A0212">
        <w:t xml:space="preserve"> period, particularly for their children and youth population. Racism and European society’s attitudes towards perceived juvenile delinquency led to</w:t>
      </w:r>
      <w:r w:rsidR="1FB80CE7" w:rsidRPr="004A0212">
        <w:t xml:space="preserve"> the</w:t>
      </w:r>
      <w:r w:rsidRPr="004A0212">
        <w:t xml:space="preserve"> over-surveillance of Pacific children and young people, bringing them to the attention of social welfare and youth justice agencies.</w:t>
      </w:r>
    </w:p>
    <w:p w14:paraId="61ACA516" w14:textId="7EA936E8" w:rsidR="008927C4" w:rsidRPr="004A0212" w:rsidRDefault="6078EE0B" w:rsidP="007D73A6">
      <w:pPr>
        <w:pStyle w:val="AllNumbparas"/>
      </w:pPr>
      <w:r w:rsidRPr="004A0212">
        <w:t>Racism was also</w:t>
      </w:r>
      <w:r w:rsidRPr="004A0212">
        <w:rPr>
          <w:color w:val="auto"/>
        </w:rPr>
        <w:t xml:space="preserve"> </w:t>
      </w:r>
      <w:r w:rsidR="1439B4A4" w:rsidRPr="004A0212">
        <w:rPr>
          <w:color w:val="auto"/>
        </w:rPr>
        <w:t xml:space="preserve">present </w:t>
      </w:r>
      <w:r w:rsidRPr="004A0212">
        <w:t>in faith-based care settings. For example,</w:t>
      </w:r>
      <w:r w:rsidR="2C96920A" w:rsidRPr="004A0212">
        <w:t xml:space="preserve"> the</w:t>
      </w:r>
      <w:r w:rsidRPr="004A0212">
        <w:t xml:space="preserve"> </w:t>
      </w:r>
      <w:r w:rsidR="61E40F4E" w:rsidRPr="004A0212">
        <w:t xml:space="preserve">Inquiry’s </w:t>
      </w:r>
      <w:r w:rsidR="3BBAD0D1" w:rsidRPr="004A0212">
        <w:t xml:space="preserve">interim </w:t>
      </w:r>
      <w:r w:rsidR="61E40F4E" w:rsidRPr="004A0212">
        <w:t>report</w:t>
      </w:r>
      <w:r w:rsidRPr="004A0212" w:rsidDel="000F004A">
        <w:t xml:space="preserve"> </w:t>
      </w:r>
      <w:r w:rsidRPr="004A0212">
        <w:t xml:space="preserve">Stolen Lives, Marked Souls refers to evidence of racism within the Order of </w:t>
      </w:r>
      <w:r w:rsidR="73535935" w:rsidRPr="004A0212">
        <w:t xml:space="preserve">the </w:t>
      </w:r>
      <w:proofErr w:type="gramStart"/>
      <w:r w:rsidR="73535935" w:rsidRPr="004A0212">
        <w:t>Brothers</w:t>
      </w:r>
      <w:proofErr w:type="gramEnd"/>
      <w:r w:rsidR="73535935" w:rsidRPr="004A0212">
        <w:t xml:space="preserve"> of </w:t>
      </w:r>
      <w:r w:rsidRPr="004A0212">
        <w:t>St John</w:t>
      </w:r>
      <w:r w:rsidR="0AC51EE1" w:rsidRPr="004A0212">
        <w:t xml:space="preserve"> of God</w:t>
      </w:r>
      <w:r w:rsidRPr="004A0212">
        <w:t>.</w:t>
      </w:r>
      <w:r w:rsidR="008927C4" w:rsidRPr="004A0212">
        <w:rPr>
          <w:rStyle w:val="StyleFootnoteReferenceFagoFunotenzeichenFagoFunotenzeichen"/>
        </w:rPr>
        <w:footnoteReference w:id="113"/>
      </w:r>
      <w:r w:rsidRPr="004A0212">
        <w:t xml:space="preserve"> </w:t>
      </w:r>
    </w:p>
    <w:p w14:paraId="186DA977" w14:textId="26A2ED68" w:rsidR="008927C4" w:rsidRPr="004A0212" w:rsidRDefault="25D4F882" w:rsidP="008927C4">
      <w:pPr>
        <w:pStyle w:val="Heading3"/>
        <w:rPr>
          <w:rFonts w:cs="Arial"/>
        </w:rPr>
      </w:pPr>
      <w:bookmarkStart w:id="181" w:name="_Toc1505895793"/>
      <w:bookmarkStart w:id="182" w:name="_Toc168638922"/>
      <w:proofErr w:type="spellStart"/>
      <w:r w:rsidRPr="004A0212">
        <w:rPr>
          <w:rFonts w:cs="Arial"/>
        </w:rPr>
        <w:t>Kaikiri</w:t>
      </w:r>
      <w:proofErr w:type="spellEnd"/>
      <w:r w:rsidR="190ED7FA" w:rsidRPr="004A0212">
        <w:rPr>
          <w:rFonts w:cs="Arial"/>
        </w:rPr>
        <w:t xml:space="preserve"> ā-</w:t>
      </w:r>
      <w:proofErr w:type="spellStart"/>
      <w:r w:rsidR="190ED7FA" w:rsidRPr="004A0212">
        <w:rPr>
          <w:rFonts w:cs="Arial"/>
        </w:rPr>
        <w:t>ahurea</w:t>
      </w:r>
      <w:proofErr w:type="spellEnd"/>
      <w:r w:rsidR="190ED7FA" w:rsidRPr="004A0212">
        <w:rPr>
          <w:rFonts w:cs="Arial"/>
        </w:rPr>
        <w:t xml:space="preserve"> </w:t>
      </w:r>
      <w:r w:rsidRPr="004A0212">
        <w:rPr>
          <w:rFonts w:cs="Arial"/>
        </w:rPr>
        <w:t xml:space="preserve">| </w:t>
      </w:r>
      <w:r w:rsidR="39317843" w:rsidRPr="004A0212">
        <w:rPr>
          <w:rFonts w:cs="Arial"/>
        </w:rPr>
        <w:t xml:space="preserve">Cultural </w:t>
      </w:r>
      <w:r w:rsidR="084AA675" w:rsidRPr="004A0212">
        <w:rPr>
          <w:rFonts w:cs="Arial"/>
        </w:rPr>
        <w:t>racism</w:t>
      </w:r>
      <w:bookmarkEnd w:id="181"/>
      <w:bookmarkEnd w:id="182"/>
      <w:r w:rsidR="084AA675" w:rsidRPr="004A0212">
        <w:rPr>
          <w:rFonts w:cs="Arial"/>
        </w:rPr>
        <w:t xml:space="preserve"> </w:t>
      </w:r>
    </w:p>
    <w:p w14:paraId="420AFC3E" w14:textId="3C054D1B" w:rsidR="008927C4" w:rsidRPr="004A0212" w:rsidRDefault="6078EE0B" w:rsidP="007D73A6">
      <w:pPr>
        <w:pStyle w:val="AllNumbparas"/>
      </w:pPr>
      <w:r w:rsidRPr="004A0212">
        <w:t>Cultural racism is found in fixed philosophies and beliefs. “Cultural racism is manifested by negative attitudes to the culture and lifestyle of a minority culture</w:t>
      </w:r>
      <w:r w:rsidR="3B1BAA5D" w:rsidRPr="004A0212">
        <w:t>.</w:t>
      </w:r>
      <w:r w:rsidRPr="004A0212">
        <w:t>”</w:t>
      </w:r>
      <w:r w:rsidR="008927C4" w:rsidRPr="004A0212">
        <w:rPr>
          <w:rStyle w:val="StyleFootnoteReferenceFagoFunotenzeichenFagoFunotenzeichen"/>
        </w:rPr>
        <w:footnoteReference w:id="114"/>
      </w:r>
      <w:r w:rsidRPr="004A0212">
        <w:t xml:space="preserve"> </w:t>
      </w:r>
    </w:p>
    <w:p w14:paraId="3A7BB156" w14:textId="16D41427" w:rsidR="008927C4" w:rsidRPr="004A0212" w:rsidRDefault="6078EE0B" w:rsidP="007D73A6">
      <w:pPr>
        <w:pStyle w:val="AllNumbparas"/>
      </w:pPr>
      <w:r w:rsidRPr="004A0212">
        <w:t>In Aotearoa New Zealand</w:t>
      </w:r>
      <w:r w:rsidR="1FB80CE7" w:rsidRPr="004A0212">
        <w:t xml:space="preserve">, cultural </w:t>
      </w:r>
      <w:r w:rsidR="3B1BAA5D" w:rsidRPr="004A0212">
        <w:t>racism</w:t>
      </w:r>
      <w:r w:rsidRPr="004A0212">
        <w:t xml:space="preserve"> appear</w:t>
      </w:r>
      <w:r w:rsidR="1C6319B2" w:rsidRPr="004A0212">
        <w:t>s</w:t>
      </w:r>
      <w:r w:rsidRPr="004A0212">
        <w:t xml:space="preserve"> </w:t>
      </w:r>
      <w:r w:rsidR="7CA4F23B" w:rsidRPr="004A0212">
        <w:t>as</w:t>
      </w:r>
      <w:r w:rsidRPr="004A0212">
        <w:t xml:space="preserve"> a widespread belief that Pākehā culture, lifestyle and values are better than other cultures. It </w:t>
      </w:r>
      <w:r w:rsidR="34D3BC5C" w:rsidRPr="004A0212">
        <w:t>has</w:t>
      </w:r>
      <w:r w:rsidRPr="004A0212">
        <w:t xml:space="preserve"> direct</w:t>
      </w:r>
      <w:r w:rsidR="5B89AFFC" w:rsidRPr="004A0212">
        <w:t>ed</w:t>
      </w:r>
      <w:r w:rsidRPr="004A0212">
        <w:t xml:space="preserve"> </w:t>
      </w:r>
      <w:r w:rsidR="3B480C2C" w:rsidRPr="004A0212">
        <w:t>practices</w:t>
      </w:r>
      <w:r w:rsidR="466E7509" w:rsidRPr="004A0212">
        <w:t xml:space="preserve"> of </w:t>
      </w:r>
      <w:r w:rsidR="3B480C2C" w:rsidRPr="004A0212">
        <w:t>colonisation</w:t>
      </w:r>
      <w:r w:rsidR="466E7509" w:rsidRPr="004A0212">
        <w:t xml:space="preserve"> and assimilation</w:t>
      </w:r>
      <w:r w:rsidRPr="004A0212">
        <w:t xml:space="preserve"> and is passed on to successive generations.</w:t>
      </w:r>
      <w:r w:rsidR="008927C4" w:rsidRPr="004A0212">
        <w:rPr>
          <w:rStyle w:val="StyleFootnoteReferenceFagoFunotenzeichenFagoFunotenzeichen"/>
        </w:rPr>
        <w:footnoteReference w:id="115"/>
      </w:r>
      <w:r w:rsidRPr="004A0212">
        <w:t xml:space="preserve"> </w:t>
      </w:r>
    </w:p>
    <w:p w14:paraId="364F0FC7" w14:textId="60A497EB" w:rsidR="008927C4" w:rsidRPr="004A0212" w:rsidRDefault="25D4F882" w:rsidP="008927C4">
      <w:pPr>
        <w:pStyle w:val="Heading3"/>
        <w:rPr>
          <w:rFonts w:cs="Arial"/>
        </w:rPr>
      </w:pPr>
      <w:bookmarkStart w:id="183" w:name="_Toc2045985538"/>
      <w:bookmarkStart w:id="184" w:name="_Toc168638923"/>
      <w:proofErr w:type="spellStart"/>
      <w:r w:rsidRPr="004A0212">
        <w:rPr>
          <w:rFonts w:cs="Arial"/>
        </w:rPr>
        <w:t>Kaikiri</w:t>
      </w:r>
      <w:proofErr w:type="spellEnd"/>
      <w:r w:rsidRPr="004A0212">
        <w:rPr>
          <w:rFonts w:cs="Arial"/>
        </w:rPr>
        <w:t xml:space="preserve"> (</w:t>
      </w:r>
      <w:proofErr w:type="spellStart"/>
      <w:r w:rsidR="404B6BC9" w:rsidRPr="004A0212">
        <w:rPr>
          <w:rFonts w:cs="Arial"/>
        </w:rPr>
        <w:t>Matawhaiaro</w:t>
      </w:r>
      <w:proofErr w:type="spellEnd"/>
      <w:r w:rsidRPr="004A0212">
        <w:rPr>
          <w:rFonts w:cs="Arial"/>
        </w:rPr>
        <w:t xml:space="preserve">) | </w:t>
      </w:r>
      <w:r w:rsidR="1C91FA1F" w:rsidRPr="004A0212">
        <w:rPr>
          <w:rFonts w:cs="Arial"/>
        </w:rPr>
        <w:t>Racism (personal)</w:t>
      </w:r>
      <w:bookmarkEnd w:id="183"/>
      <w:bookmarkEnd w:id="184"/>
    </w:p>
    <w:p w14:paraId="121D0F7A" w14:textId="77777777" w:rsidR="008927C4" w:rsidRPr="004A0212" w:rsidRDefault="6078EE0B" w:rsidP="007D73A6">
      <w:pPr>
        <w:pStyle w:val="AllNumbparas"/>
      </w:pPr>
      <w:r w:rsidRPr="004A0212">
        <w:t>Personal racism happens when an individual is directly diminished or discriminated against on grounds of race. In Aotearoa New Zealand this could look like:</w:t>
      </w:r>
    </w:p>
    <w:p w14:paraId="0A3F98D6" w14:textId="0ADEC64B" w:rsidR="00A21C3C" w:rsidRPr="004A0212" w:rsidRDefault="0D214A15" w:rsidP="001142DD">
      <w:pPr>
        <w:pStyle w:val="Bulletpoints"/>
      </w:pPr>
      <w:r w:rsidRPr="004A0212">
        <w:t>jokes, disparaging comments and prejudiced attitudes</w:t>
      </w:r>
    </w:p>
    <w:p w14:paraId="6B8FA56B" w14:textId="48EB699D" w:rsidR="008927C4" w:rsidRPr="004A0212" w:rsidRDefault="0D214A15" w:rsidP="001142DD">
      <w:pPr>
        <w:pStyle w:val="Bulletpoints"/>
      </w:pPr>
      <w:r w:rsidRPr="004A0212">
        <w:t xml:space="preserve">being denied access to resources and opportunities in areas of society </w:t>
      </w:r>
      <w:r w:rsidR="055831C8" w:rsidRPr="004A0212">
        <w:t xml:space="preserve">such as </w:t>
      </w:r>
      <w:r w:rsidRPr="004A0212">
        <w:t>rental housing, work, health and education.</w:t>
      </w:r>
    </w:p>
    <w:p w14:paraId="00C9ECE4" w14:textId="1607EF2C" w:rsidR="008927C4" w:rsidRPr="004A0212" w:rsidRDefault="6078EE0B" w:rsidP="007D73A6">
      <w:pPr>
        <w:pStyle w:val="AllNumbparas"/>
      </w:pPr>
      <w:r w:rsidRPr="004A0212">
        <w:t xml:space="preserve">Personal racism attacks </w:t>
      </w:r>
      <w:r w:rsidR="62DF3AB1" w:rsidRPr="004A0212">
        <w:t xml:space="preserve">an individual’s </w:t>
      </w:r>
      <w:r w:rsidRPr="004A0212">
        <w:t xml:space="preserve">identity and wellbeing and destroys </w:t>
      </w:r>
      <w:r w:rsidR="4DDF0A92" w:rsidRPr="004A0212">
        <w:t>their</w:t>
      </w:r>
      <w:r w:rsidRPr="004A0212">
        <w:t xml:space="preserve"> self-worth.</w:t>
      </w:r>
      <w:r w:rsidR="008927C4" w:rsidRPr="004A0212">
        <w:rPr>
          <w:rStyle w:val="StyleFootnoteReferenceFagoFunotenzeichenFagoFunotenzeichen"/>
        </w:rPr>
        <w:footnoteReference w:id="116"/>
      </w:r>
      <w:r w:rsidRPr="004A0212">
        <w:t xml:space="preserve"> </w:t>
      </w:r>
      <w:r w:rsidR="190ED762" w:rsidRPr="004A0212">
        <w:t xml:space="preserve">The Inquiry’s </w:t>
      </w:r>
      <w:r w:rsidRPr="004A0212">
        <w:t>previous reports discussed racism experienced by Māori and Pacific survivors in care settings, reflecting the widespread discrimination and racism in society.</w:t>
      </w:r>
      <w:r w:rsidR="008927C4" w:rsidRPr="004A0212">
        <w:rPr>
          <w:rStyle w:val="StyleFootnoteReferenceFagoFunotenzeichenFagoFunotenzeichen"/>
        </w:rPr>
        <w:footnoteReference w:id="117"/>
      </w:r>
      <w:r w:rsidRPr="004A0212">
        <w:t xml:space="preserve"> </w:t>
      </w:r>
    </w:p>
    <w:p w14:paraId="720FE0E1" w14:textId="7E503ED3" w:rsidR="008A4E4C" w:rsidRPr="004A0212" w:rsidRDefault="05E145D1" w:rsidP="008A4E4C">
      <w:pPr>
        <w:pStyle w:val="Heading2"/>
        <w:rPr>
          <w:rFonts w:cs="Arial"/>
        </w:rPr>
      </w:pPr>
      <w:bookmarkStart w:id="185" w:name="_Toc594044924"/>
      <w:bookmarkStart w:id="186" w:name="_Toc168638924"/>
      <w:proofErr w:type="spellStart"/>
      <w:r w:rsidRPr="004A0212">
        <w:rPr>
          <w:rFonts w:cs="Arial"/>
        </w:rPr>
        <w:t>Te</w:t>
      </w:r>
      <w:proofErr w:type="spellEnd"/>
      <w:r w:rsidR="763504C9" w:rsidRPr="004A0212">
        <w:rPr>
          <w:rFonts w:cs="Arial"/>
        </w:rPr>
        <w:t xml:space="preserve"> </w:t>
      </w:r>
      <w:proofErr w:type="spellStart"/>
      <w:r w:rsidR="763504C9" w:rsidRPr="004A0212">
        <w:rPr>
          <w:rFonts w:cs="Arial"/>
        </w:rPr>
        <w:t>hāpai</w:t>
      </w:r>
      <w:proofErr w:type="spellEnd"/>
      <w:r w:rsidR="763504C9" w:rsidRPr="004A0212">
        <w:rPr>
          <w:rFonts w:cs="Arial"/>
        </w:rPr>
        <w:t xml:space="preserve"> </w:t>
      </w:r>
      <w:proofErr w:type="spellStart"/>
      <w:r w:rsidR="763504C9" w:rsidRPr="004A0212">
        <w:rPr>
          <w:rFonts w:cs="Arial"/>
        </w:rPr>
        <w:t>toiora</w:t>
      </w:r>
      <w:proofErr w:type="spellEnd"/>
      <w:r w:rsidR="763504C9" w:rsidRPr="004A0212">
        <w:rPr>
          <w:rFonts w:cs="Arial"/>
        </w:rPr>
        <w:t xml:space="preserve"> </w:t>
      </w:r>
      <w:r w:rsidRPr="004A0212">
        <w:rPr>
          <w:rFonts w:cs="Arial"/>
        </w:rPr>
        <w:t xml:space="preserve">me </w:t>
      </w:r>
      <w:proofErr w:type="spellStart"/>
      <w:r w:rsidRPr="004A0212">
        <w:rPr>
          <w:rFonts w:cs="Arial"/>
        </w:rPr>
        <w:t>te</w:t>
      </w:r>
      <w:proofErr w:type="spellEnd"/>
      <w:r w:rsidR="2A00EBE5" w:rsidRPr="004A0212">
        <w:rPr>
          <w:rFonts w:cs="Arial"/>
        </w:rPr>
        <w:t xml:space="preserve"> </w:t>
      </w:r>
      <w:proofErr w:type="spellStart"/>
      <w:r w:rsidR="2A00EBE5" w:rsidRPr="004A0212">
        <w:rPr>
          <w:rFonts w:cs="Arial"/>
        </w:rPr>
        <w:t>whakatoihara</w:t>
      </w:r>
      <w:r w:rsidRPr="004A0212">
        <w:rPr>
          <w:rFonts w:cs="Arial"/>
        </w:rPr>
        <w:t>whaikaha</w:t>
      </w:r>
      <w:proofErr w:type="spellEnd"/>
      <w:r w:rsidRPr="004A0212">
        <w:rPr>
          <w:rFonts w:cs="Arial"/>
        </w:rPr>
        <w:t xml:space="preserve"> | Ableism and disablism</w:t>
      </w:r>
      <w:bookmarkEnd w:id="185"/>
      <w:bookmarkEnd w:id="186"/>
    </w:p>
    <w:p w14:paraId="66331D69" w14:textId="2DC31D5B" w:rsidR="008A4E4C" w:rsidRPr="004A0212" w:rsidRDefault="51DDE96C" w:rsidP="008A4E4C">
      <w:pPr>
        <w:pStyle w:val="AllNumbparas"/>
      </w:pPr>
      <w:r w:rsidRPr="004A0212">
        <w:t xml:space="preserve">During the Inquiry period, </w:t>
      </w:r>
      <w:r w:rsidR="1DD2B45C" w:rsidRPr="004A0212">
        <w:t>t</w:t>
      </w:r>
      <w:r w:rsidRPr="004A0212">
        <w:t>he settlers’ and faiths’ focus on creating a better society emphasised the importance of physical and mental fitness. This drew attention to people whose bodies and minds were seen as different.</w:t>
      </w:r>
      <w:r w:rsidR="008A4E4C" w:rsidRPr="004A0212">
        <w:rPr>
          <w:rStyle w:val="StyleFootnoteReferenceFagoFunotenzeichenFagoFunotenzeichen"/>
        </w:rPr>
        <w:footnoteReference w:id="118"/>
      </w:r>
      <w:r w:rsidRPr="004A0212">
        <w:rPr>
          <w:vertAlign w:val="superscript"/>
        </w:rPr>
        <w:t xml:space="preserve"> </w:t>
      </w:r>
      <w:r w:rsidR="2DC8E047" w:rsidRPr="004A0212">
        <w:t>The connected concepts of ableism and disablism describe the way that society’s beliefs had a profound effect on how disabled people were treated. Although the words ableism and disablism are sometimes used interchangeably, some disabled people prefer the definitions set out below.</w:t>
      </w:r>
      <w:r w:rsidR="00DE2789" w:rsidRPr="004A0212">
        <w:rPr>
          <w:rStyle w:val="StyleFootnoteReferenceFagoFunotenzeichenFagoFunotenzeichen"/>
        </w:rPr>
        <w:footnoteReference w:id="119"/>
      </w:r>
    </w:p>
    <w:p w14:paraId="403592A4" w14:textId="0D689419" w:rsidR="00223587" w:rsidRPr="004A0212" w:rsidRDefault="2DC8E047" w:rsidP="00223587">
      <w:pPr>
        <w:pStyle w:val="AllNumbparas"/>
      </w:pPr>
      <w:r w:rsidRPr="004A0212">
        <w:t>A</w:t>
      </w:r>
      <w:r w:rsidR="51DDE96C" w:rsidRPr="004A0212">
        <w:t xml:space="preserve">bleism </w:t>
      </w:r>
      <w:r w:rsidRPr="004A0212">
        <w:t>is a</w:t>
      </w:r>
      <w:r w:rsidR="51DDE96C" w:rsidRPr="004A0212">
        <w:t xml:space="preserve"> belief system that value</w:t>
      </w:r>
      <w:r w:rsidRPr="004A0212">
        <w:t xml:space="preserve">s certain physical and mental characteristics, based on what </w:t>
      </w:r>
      <w:r w:rsidR="51DDE96C" w:rsidRPr="004A0212">
        <w:t>soci</w:t>
      </w:r>
      <w:r w:rsidRPr="004A0212">
        <w:t>ety</w:t>
      </w:r>
      <w:r w:rsidR="51DDE96C" w:rsidRPr="004A0212">
        <w:t xml:space="preserve"> </w:t>
      </w:r>
      <w:r w:rsidRPr="004A0212">
        <w:t xml:space="preserve">views as </w:t>
      </w:r>
      <w:r w:rsidR="51DDE96C" w:rsidRPr="004A0212">
        <w:t>‘normal’</w:t>
      </w:r>
      <w:r w:rsidRPr="004A0212">
        <w:t xml:space="preserve">, </w:t>
      </w:r>
      <w:r w:rsidR="51DDE96C" w:rsidRPr="004A0212">
        <w:t>productive and desirable.</w:t>
      </w:r>
      <w:r w:rsidR="008A4E4C" w:rsidRPr="004A0212">
        <w:rPr>
          <w:rStyle w:val="StyleFootnoteReferenceFagoFunotenzeichenFagoFunotenzeichen"/>
        </w:rPr>
        <w:footnoteReference w:id="120"/>
      </w:r>
      <w:r w:rsidR="51DDE96C" w:rsidRPr="004A0212">
        <w:t xml:space="preserve"> Ableism </w:t>
      </w:r>
      <w:r w:rsidR="154D0C1A" w:rsidRPr="004A0212">
        <w:t xml:space="preserve">values </w:t>
      </w:r>
      <w:r w:rsidR="51DDE96C" w:rsidRPr="004A0212">
        <w:t>non-disabled people</w:t>
      </w:r>
      <w:r w:rsidR="154D0C1A" w:rsidRPr="004A0212">
        <w:t xml:space="preserve"> over disabled people</w:t>
      </w:r>
      <w:r w:rsidR="51DDE96C" w:rsidRPr="004A0212">
        <w:t>.</w:t>
      </w:r>
      <w:r w:rsidR="154D0C1A" w:rsidRPr="004A0212">
        <w:t xml:space="preserve"> The beliefs underpinning the eugenics movement are an example of ableism.</w:t>
      </w:r>
      <w:r w:rsidR="51DDE96C" w:rsidRPr="004A0212">
        <w:t xml:space="preserve"> Ableism </w:t>
      </w:r>
      <w:r w:rsidR="5939AEA0" w:rsidRPr="004A0212">
        <w:t>continues to be widespread and systemic in Aotearoa New Zealand, and directed affects how</w:t>
      </w:r>
      <w:r w:rsidR="51DDE96C" w:rsidRPr="004A0212">
        <w:t xml:space="preserve"> society treat</w:t>
      </w:r>
      <w:r w:rsidR="20388B99" w:rsidRPr="004A0212">
        <w:t>s</w:t>
      </w:r>
      <w:r w:rsidR="51DDE96C" w:rsidRPr="004A0212">
        <w:t xml:space="preserve"> disabled people. </w:t>
      </w:r>
      <w:r w:rsidR="72E79AA5" w:rsidRPr="004A0212">
        <w:rPr>
          <w:rStyle w:val="normaltextrun"/>
          <w:color w:val="000000"/>
        </w:rPr>
        <w:t>These values and attitudes are so ingrained in society’s structures and institutions that many people are not aware they are thinking in an ableist way.</w:t>
      </w:r>
    </w:p>
    <w:p w14:paraId="08DCD1BF" w14:textId="03255110" w:rsidR="008A4E4C" w:rsidRPr="004A0212" w:rsidRDefault="51DDE96C" w:rsidP="008A4E4C">
      <w:pPr>
        <w:pStyle w:val="AllNumbparas"/>
      </w:pPr>
      <w:r w:rsidRPr="004A0212">
        <w:t xml:space="preserve">Disablism </w:t>
      </w:r>
      <w:r w:rsidR="5A9F1BD9" w:rsidRPr="004A0212">
        <w:t>is the</w:t>
      </w:r>
      <w:r w:rsidRPr="004A0212">
        <w:t xml:space="preserve"> acts of discrimination</w:t>
      </w:r>
      <w:r w:rsidR="691098E4" w:rsidRPr="004A0212">
        <w:t xml:space="preserve"> against, and</w:t>
      </w:r>
      <w:r w:rsidR="5A9F1BD9" w:rsidRPr="004A0212">
        <w:t xml:space="preserve"> </w:t>
      </w:r>
      <w:r w:rsidRPr="004A0212">
        <w:t xml:space="preserve">abuse </w:t>
      </w:r>
      <w:r w:rsidR="5A9F1BD9" w:rsidRPr="004A0212">
        <w:t xml:space="preserve">or neglect </w:t>
      </w:r>
      <w:r w:rsidR="691098E4" w:rsidRPr="004A0212">
        <w:t>of,</w:t>
      </w:r>
      <w:r w:rsidRPr="004A0212">
        <w:t xml:space="preserve"> disabled people</w:t>
      </w:r>
      <w:r w:rsidR="4CA6FBD1" w:rsidRPr="004A0212">
        <w:t xml:space="preserve"> that result from the ableist belief that they are less ‘valuable’ than non-disabled people</w:t>
      </w:r>
      <w:r w:rsidRPr="004A0212">
        <w:t xml:space="preserve">. </w:t>
      </w:r>
      <w:r w:rsidR="4CA6FBD1" w:rsidRPr="004A0212">
        <w:t>Examples of disablism include</w:t>
      </w:r>
      <w:r w:rsidRPr="004A0212">
        <w:t>:</w:t>
      </w:r>
    </w:p>
    <w:p w14:paraId="1A6744E3" w14:textId="49A38863" w:rsidR="008A4E4C" w:rsidRPr="004A0212" w:rsidRDefault="00751FB7" w:rsidP="008A4E4C">
      <w:pPr>
        <w:pStyle w:val="Bulletpoints"/>
      </w:pPr>
      <w:r w:rsidRPr="004A0212">
        <w:t xml:space="preserve">using </w:t>
      </w:r>
      <w:r w:rsidR="008A4E4C" w:rsidRPr="004A0212">
        <w:t xml:space="preserve">a slur </w:t>
      </w:r>
      <w:r w:rsidRPr="004A0212">
        <w:t>or derogatory word to describe a disabled person</w:t>
      </w:r>
    </w:p>
    <w:p w14:paraId="68810019" w14:textId="77777777" w:rsidR="00751FB7" w:rsidRPr="004A0212" w:rsidRDefault="00751FB7" w:rsidP="008A4E4C">
      <w:pPr>
        <w:pStyle w:val="Bulletpoints"/>
      </w:pPr>
      <w:r w:rsidRPr="004A0212">
        <w:t>thinking that disabled people are helpless or a burden on society</w:t>
      </w:r>
    </w:p>
    <w:p w14:paraId="68740743" w14:textId="460CDE9F" w:rsidR="008A4E4C" w:rsidRPr="004A0212" w:rsidRDefault="008A4E4C" w:rsidP="008A4E4C">
      <w:pPr>
        <w:pStyle w:val="Bulletpoints"/>
      </w:pPr>
      <w:r w:rsidRPr="004A0212">
        <w:t xml:space="preserve">ignoring someone who is disabled or speaking condescendingly to them </w:t>
      </w:r>
    </w:p>
    <w:p w14:paraId="7BB546AC" w14:textId="3F9DE6BB" w:rsidR="00751FB7" w:rsidRPr="004A0212" w:rsidRDefault="00751FB7" w:rsidP="008A4E4C">
      <w:pPr>
        <w:pStyle w:val="Bulletpoints"/>
      </w:pPr>
      <w:r w:rsidRPr="004A0212">
        <w:t xml:space="preserve">denying a disabled person medical treatment or treating them differently to non-disabled </w:t>
      </w:r>
      <w:r w:rsidRPr="004A0212">
        <w:rPr>
          <w:color w:val="000000" w:themeColor="text1"/>
        </w:rPr>
        <w:t>patients</w:t>
      </w:r>
      <w:r w:rsidRPr="004A0212">
        <w:t xml:space="preserve"> </w:t>
      </w:r>
    </w:p>
    <w:p w14:paraId="77F2A747" w14:textId="2E9B968A" w:rsidR="00DA26FC" w:rsidRPr="004A0212" w:rsidRDefault="008A4E4C" w:rsidP="00DA26FC">
      <w:pPr>
        <w:pStyle w:val="Bulletpoints"/>
      </w:pPr>
      <w:proofErr w:type="gramStart"/>
      <w:r w:rsidRPr="004A0212">
        <w:t>assuming that</w:t>
      </w:r>
      <w:proofErr w:type="gramEnd"/>
      <w:r w:rsidRPr="004A0212">
        <w:t xml:space="preserve"> a disabled person cannot do something.</w:t>
      </w:r>
    </w:p>
    <w:p w14:paraId="6C22F22B" w14:textId="77777777" w:rsidR="00A32F0B" w:rsidRPr="004A0212" w:rsidRDefault="51DDE96C" w:rsidP="00DA26FC">
      <w:pPr>
        <w:pStyle w:val="AllNumbparas"/>
      </w:pPr>
      <w:r w:rsidRPr="004A0212">
        <w:t xml:space="preserve">For Deaf people, disablism can also take the form of audism. </w:t>
      </w:r>
      <w:r w:rsidR="0D776B16" w:rsidRPr="004A0212">
        <w:t>The ableist belief that</w:t>
      </w:r>
      <w:r w:rsidR="02063C62" w:rsidRPr="004A0212">
        <w:t xml:space="preserve"> values oral communication of non-oral communication (such as sign language) results in audism – discrimination against Deaf people and hard of hearing people. Examples of audism include:</w:t>
      </w:r>
    </w:p>
    <w:p w14:paraId="5ABACAAA" w14:textId="58941872" w:rsidR="00A32F0B" w:rsidRPr="004A0212" w:rsidRDefault="001004BC" w:rsidP="00A32F0B">
      <w:pPr>
        <w:pStyle w:val="Bulletpoints"/>
      </w:pPr>
      <w:r w:rsidRPr="004A0212">
        <w:t>f</w:t>
      </w:r>
      <w:r w:rsidR="00A32F0B" w:rsidRPr="004A0212">
        <w:t xml:space="preserve">orcing someone </w:t>
      </w:r>
      <w:r w:rsidRPr="004A0212">
        <w:t xml:space="preserve">to use oral </w:t>
      </w:r>
      <w:r w:rsidR="003D4AA4" w:rsidRPr="004A0212">
        <w:t>communication instead of sign language</w:t>
      </w:r>
    </w:p>
    <w:p w14:paraId="6B360E42" w14:textId="77777777" w:rsidR="00787425" w:rsidRPr="004A0212" w:rsidRDefault="00787425" w:rsidP="00A32F0B">
      <w:pPr>
        <w:pStyle w:val="Bulletpoints"/>
      </w:pPr>
      <w:r w:rsidRPr="004A0212">
        <w:t>assuming someone is not intelligent if they do not use oral communication</w:t>
      </w:r>
    </w:p>
    <w:p w14:paraId="12DE5100" w14:textId="36EDBCEF" w:rsidR="00787425" w:rsidRPr="004A0212" w:rsidRDefault="00787425" w:rsidP="00A32F0B">
      <w:pPr>
        <w:pStyle w:val="Bulletpoints"/>
      </w:pPr>
      <w:r w:rsidRPr="004A0212">
        <w:t>assuming that being Deaf or hard of hearing is a ‘tragedy’.</w:t>
      </w:r>
    </w:p>
    <w:p w14:paraId="771977AC" w14:textId="53DF4852" w:rsidR="00D7126F" w:rsidRPr="004A0212" w:rsidRDefault="25D4F882" w:rsidP="008927C4">
      <w:pPr>
        <w:pStyle w:val="Heading2"/>
        <w:rPr>
          <w:rFonts w:cs="Arial"/>
        </w:rPr>
      </w:pPr>
      <w:bookmarkStart w:id="187" w:name="_Toc1633563961"/>
      <w:bookmarkStart w:id="188" w:name="_Toc168638925"/>
      <w:proofErr w:type="spellStart"/>
      <w:r w:rsidRPr="004A0212">
        <w:rPr>
          <w:rFonts w:cs="Arial"/>
        </w:rPr>
        <w:t>Te</w:t>
      </w:r>
      <w:proofErr w:type="spellEnd"/>
      <w:r w:rsidRPr="004A0212">
        <w:rPr>
          <w:rFonts w:cs="Arial"/>
        </w:rPr>
        <w:t xml:space="preserve"> </w:t>
      </w:r>
      <w:proofErr w:type="spellStart"/>
      <w:r w:rsidRPr="004A0212">
        <w:rPr>
          <w:rFonts w:cs="Arial"/>
        </w:rPr>
        <w:t>kaupapa</w:t>
      </w:r>
      <w:proofErr w:type="spellEnd"/>
      <w:r w:rsidRPr="004A0212">
        <w:rPr>
          <w:rFonts w:cs="Arial"/>
        </w:rPr>
        <w:t xml:space="preserve"> tut</w:t>
      </w:r>
      <w:r w:rsidR="390DE0F3" w:rsidRPr="004A0212">
        <w:rPr>
          <w:rFonts w:cs="Arial"/>
        </w:rPr>
        <w:t>ū</w:t>
      </w:r>
      <w:r w:rsidRPr="004A0212">
        <w:rPr>
          <w:rFonts w:cs="Arial"/>
        </w:rPr>
        <w:t xml:space="preserve"> </w:t>
      </w:r>
      <w:proofErr w:type="spellStart"/>
      <w:r w:rsidRPr="004A0212">
        <w:rPr>
          <w:rFonts w:cs="Arial"/>
        </w:rPr>
        <w:t>ira</w:t>
      </w:r>
      <w:proofErr w:type="spellEnd"/>
      <w:r w:rsidRPr="004A0212">
        <w:rPr>
          <w:rFonts w:cs="Arial"/>
        </w:rPr>
        <w:t xml:space="preserve"> me </w:t>
      </w:r>
      <w:proofErr w:type="spellStart"/>
      <w:r w:rsidRPr="004A0212">
        <w:rPr>
          <w:rFonts w:cs="Arial"/>
        </w:rPr>
        <w:t>te</w:t>
      </w:r>
      <w:proofErr w:type="spellEnd"/>
      <w:r w:rsidRPr="004A0212">
        <w:rPr>
          <w:rFonts w:cs="Arial"/>
        </w:rPr>
        <w:t xml:space="preserve"> </w:t>
      </w:r>
      <w:proofErr w:type="spellStart"/>
      <w:r w:rsidRPr="004A0212">
        <w:rPr>
          <w:rFonts w:cs="Arial"/>
        </w:rPr>
        <w:t>tauira</w:t>
      </w:r>
      <w:proofErr w:type="spellEnd"/>
      <w:r w:rsidRPr="004A0212">
        <w:rPr>
          <w:rFonts w:cs="Arial"/>
        </w:rPr>
        <w:t xml:space="preserve"> </w:t>
      </w:r>
      <w:proofErr w:type="spellStart"/>
      <w:r w:rsidRPr="004A0212">
        <w:rPr>
          <w:rFonts w:cs="Arial"/>
        </w:rPr>
        <w:t>hauora</w:t>
      </w:r>
      <w:proofErr w:type="spellEnd"/>
      <w:r w:rsidRPr="004A0212">
        <w:rPr>
          <w:rFonts w:cs="Arial"/>
        </w:rPr>
        <w:t xml:space="preserve"> </w:t>
      </w:r>
      <w:proofErr w:type="spellStart"/>
      <w:r w:rsidRPr="004A0212">
        <w:rPr>
          <w:rFonts w:cs="Arial"/>
        </w:rPr>
        <w:t>whaikaha</w:t>
      </w:r>
      <w:bookmarkEnd w:id="187"/>
      <w:bookmarkEnd w:id="188"/>
      <w:proofErr w:type="spellEnd"/>
    </w:p>
    <w:p w14:paraId="40FF012A" w14:textId="4075826D" w:rsidR="008927C4" w:rsidRPr="004A0212" w:rsidRDefault="1C91FA1F" w:rsidP="008927C4">
      <w:pPr>
        <w:pStyle w:val="Heading2"/>
        <w:rPr>
          <w:rFonts w:cs="Arial"/>
        </w:rPr>
      </w:pPr>
      <w:bookmarkStart w:id="189" w:name="_Toc385808080"/>
      <w:bookmarkStart w:id="190" w:name="_Toc168638926"/>
      <w:r w:rsidRPr="004A0212">
        <w:rPr>
          <w:rFonts w:cs="Arial"/>
        </w:rPr>
        <w:t>The eugenics movement and medical model of disability</w:t>
      </w:r>
      <w:bookmarkEnd w:id="189"/>
      <w:bookmarkEnd w:id="190"/>
    </w:p>
    <w:p w14:paraId="11DC71FE" w14:textId="5F9989A3" w:rsidR="008927C4" w:rsidRPr="004A0212" w:rsidRDefault="6078EE0B" w:rsidP="007D73A6">
      <w:pPr>
        <w:pStyle w:val="AllNumbparas"/>
      </w:pPr>
      <w:r w:rsidRPr="004A0212">
        <w:t>Eugenics was a social and political 19</w:t>
      </w:r>
      <w:r w:rsidRPr="004A0212">
        <w:rPr>
          <w:vertAlign w:val="superscript"/>
        </w:rPr>
        <w:t>th</w:t>
      </w:r>
      <w:r w:rsidRPr="004A0212">
        <w:t xml:space="preserve"> and 20</w:t>
      </w:r>
      <w:r w:rsidRPr="004A0212">
        <w:rPr>
          <w:vertAlign w:val="superscript"/>
        </w:rPr>
        <w:t>th</w:t>
      </w:r>
      <w:r w:rsidRPr="004A0212">
        <w:t xml:space="preserve"> </w:t>
      </w:r>
      <w:r w:rsidR="51FE4241" w:rsidRPr="004A0212">
        <w:t xml:space="preserve">century </w:t>
      </w:r>
      <w:r w:rsidRPr="004A0212">
        <w:t>movement that believed unwanted genetic characteristics could be bred out of the human population. These characteristics included traits and behaviours considered undesirable, such as committing crimes, being poor, having sex out</w:t>
      </w:r>
      <w:r w:rsidR="51FE4241" w:rsidRPr="004A0212">
        <w:t>side</w:t>
      </w:r>
      <w:r w:rsidRPr="004A0212">
        <w:t xml:space="preserve"> of </w:t>
      </w:r>
      <w:r w:rsidR="51FE4241" w:rsidRPr="004A0212">
        <w:t>marriage</w:t>
      </w:r>
      <w:r w:rsidRPr="004A0212">
        <w:t>, mental distress, learning difficulties and having a small stature.</w:t>
      </w:r>
      <w:r w:rsidR="008927C4" w:rsidRPr="004A0212">
        <w:rPr>
          <w:rStyle w:val="StyleFootnoteReferenceFagoFunotenzeichenFagoFunotenzeichen"/>
        </w:rPr>
        <w:footnoteReference w:id="121"/>
      </w:r>
      <w:r w:rsidRPr="004A0212">
        <w:t xml:space="preserve"> </w:t>
      </w:r>
    </w:p>
    <w:p w14:paraId="510DC68F" w14:textId="26460DF3" w:rsidR="008927C4" w:rsidRPr="004A0212" w:rsidRDefault="6078EE0B" w:rsidP="007D73A6">
      <w:pPr>
        <w:pStyle w:val="AllNumbparas"/>
      </w:pPr>
      <w:r w:rsidRPr="004A0212">
        <w:t>Over the early decades of the 20</w:t>
      </w:r>
      <w:r w:rsidRPr="004A0212">
        <w:rPr>
          <w:vertAlign w:val="superscript"/>
        </w:rPr>
        <w:t>th</w:t>
      </w:r>
      <w:r w:rsidRPr="004A0212">
        <w:t xml:space="preserve"> </w:t>
      </w:r>
      <w:r w:rsidR="51FE4241" w:rsidRPr="004A0212">
        <w:t>century</w:t>
      </w:r>
      <w:r w:rsidRPr="004A0212">
        <w:t xml:space="preserve">, the eugenics movement influenced </w:t>
      </w:r>
      <w:r w:rsidR="4DE85501" w:rsidRPr="004A0212">
        <w:t>State</w:t>
      </w:r>
      <w:r w:rsidRPr="004A0212">
        <w:t xml:space="preserve"> measures to identify, classify, group and segregate disabled people </w:t>
      </w:r>
      <w:r w:rsidR="0E48D278" w:rsidRPr="004A0212">
        <w:t xml:space="preserve">and people </w:t>
      </w:r>
      <w:r w:rsidR="7212DD1A" w:rsidRPr="004A0212">
        <w:t>who experienced</w:t>
      </w:r>
      <w:r w:rsidR="15B5ADE0" w:rsidRPr="004A0212">
        <w:t xml:space="preserve"> </w:t>
      </w:r>
      <w:r w:rsidR="0E48D278" w:rsidRPr="004A0212">
        <w:t>mental distress</w:t>
      </w:r>
      <w:r w:rsidRPr="004A0212">
        <w:t xml:space="preserve"> from the rest of society.</w:t>
      </w:r>
      <w:r w:rsidR="008927C4" w:rsidRPr="004A0212">
        <w:rPr>
          <w:rStyle w:val="StyleFootnoteReferenceFagoFunotenzeichenFagoFunotenzeichen"/>
        </w:rPr>
        <w:footnoteReference w:id="122"/>
      </w:r>
      <w:r w:rsidRPr="004A0212">
        <w:t xml:space="preserve"> </w:t>
      </w:r>
    </w:p>
    <w:p w14:paraId="18873903" w14:textId="08C4699C" w:rsidR="008927C4" w:rsidRPr="004A0212" w:rsidRDefault="6078EE0B" w:rsidP="007D73A6">
      <w:pPr>
        <w:pStyle w:val="AllNumbparas"/>
      </w:pPr>
      <w:r w:rsidRPr="004A0212">
        <w:t xml:space="preserve">Society also held a general fear of mental distress that was perpetuated by the </w:t>
      </w:r>
      <w:r w:rsidR="4DDF0A92" w:rsidRPr="004A0212">
        <w:t>State</w:t>
      </w:r>
      <w:r w:rsidRPr="004A0212">
        <w:t xml:space="preserve">, faiths and widespread acceptance of the medical model of disability. </w:t>
      </w:r>
      <w:r w:rsidR="25FC7326" w:rsidRPr="004A0212">
        <w:t>This refers to</w:t>
      </w:r>
      <w:r w:rsidRPr="004A0212">
        <w:t xml:space="preserve"> disability </w:t>
      </w:r>
      <w:r w:rsidR="25FC7326" w:rsidRPr="004A0212">
        <w:t>being</w:t>
      </w:r>
      <w:r w:rsidR="33ED09F5" w:rsidRPr="004A0212">
        <w:t xml:space="preserve"> </w:t>
      </w:r>
      <w:r w:rsidRPr="004A0212">
        <w:t>seen as “an individual’s problem, something wrong or broken that could be cured or contained</w:t>
      </w:r>
      <w:r w:rsidR="51FE4241" w:rsidRPr="004A0212">
        <w:t>”</w:t>
      </w:r>
      <w:r w:rsidRPr="004A0212">
        <w:t>.</w:t>
      </w:r>
      <w:r w:rsidR="008927C4" w:rsidRPr="004A0212">
        <w:rPr>
          <w:rStyle w:val="StyleFootnoteReferenceFagoFunotenzeichenFagoFunotenzeichen"/>
        </w:rPr>
        <w:footnoteReference w:id="123"/>
      </w:r>
      <w:r w:rsidRPr="004A0212">
        <w:t xml:space="preserve"> </w:t>
      </w:r>
      <w:r w:rsidR="3A996BBE" w:rsidRPr="004A0212">
        <w:t>The model</w:t>
      </w:r>
      <w:r w:rsidR="5288CF73" w:rsidRPr="004A0212">
        <w:t xml:space="preserve"> </w:t>
      </w:r>
      <w:r w:rsidRPr="004A0212">
        <w:t xml:space="preserve">is explored further in </w:t>
      </w:r>
      <w:r w:rsidR="5288CF73" w:rsidRPr="004A0212">
        <w:t xml:space="preserve">the Inquiry’s </w:t>
      </w:r>
      <w:r w:rsidRPr="004A0212">
        <w:t>Beautiful Children</w:t>
      </w:r>
      <w:r w:rsidR="5288CF73" w:rsidRPr="004A0212">
        <w:t>:</w:t>
      </w:r>
      <w:r w:rsidRPr="004A0212">
        <w:t xml:space="preserve"> Inquiry into the Lake Alice Child and Adolescent Unit report.</w:t>
      </w:r>
      <w:r w:rsidR="008927C4" w:rsidRPr="004A0212">
        <w:rPr>
          <w:rStyle w:val="StyleFootnoteReferenceFagoFunotenzeichenFagoFunotenzeichen"/>
        </w:rPr>
        <w:footnoteReference w:id="124"/>
      </w:r>
    </w:p>
    <w:p w14:paraId="389FAB7B" w14:textId="2F12B25F" w:rsidR="008927C4" w:rsidRPr="004A0212" w:rsidRDefault="25D4F882" w:rsidP="008927C4">
      <w:pPr>
        <w:pStyle w:val="Heading2"/>
        <w:rPr>
          <w:rFonts w:cs="Arial"/>
        </w:rPr>
      </w:pPr>
      <w:bookmarkStart w:id="191" w:name="_Toc1651574994"/>
      <w:bookmarkStart w:id="192" w:name="_Toc168638927"/>
      <w:proofErr w:type="spellStart"/>
      <w:r w:rsidRPr="004A0212">
        <w:rPr>
          <w:rFonts w:cs="Arial"/>
        </w:rPr>
        <w:t>Ngā</w:t>
      </w:r>
      <w:proofErr w:type="spellEnd"/>
      <w:r w:rsidRPr="004A0212">
        <w:rPr>
          <w:rFonts w:cs="Arial"/>
        </w:rPr>
        <w:t xml:space="preserve"> </w:t>
      </w:r>
      <w:proofErr w:type="spellStart"/>
      <w:r w:rsidRPr="004A0212">
        <w:rPr>
          <w:rFonts w:cs="Arial"/>
        </w:rPr>
        <w:t>waiaro</w:t>
      </w:r>
      <w:proofErr w:type="spellEnd"/>
      <w:r w:rsidRPr="004A0212">
        <w:rPr>
          <w:rFonts w:cs="Arial"/>
        </w:rPr>
        <w:t xml:space="preserve"> ki </w:t>
      </w:r>
      <w:proofErr w:type="spellStart"/>
      <w:r w:rsidRPr="004A0212">
        <w:rPr>
          <w:rFonts w:cs="Arial"/>
        </w:rPr>
        <w:t>te</w:t>
      </w:r>
      <w:proofErr w:type="spellEnd"/>
      <w:r w:rsidRPr="004A0212">
        <w:rPr>
          <w:rFonts w:cs="Arial"/>
        </w:rPr>
        <w:t xml:space="preserve"> </w:t>
      </w:r>
      <w:proofErr w:type="spellStart"/>
      <w:r w:rsidRPr="004A0212">
        <w:rPr>
          <w:rFonts w:cs="Arial"/>
        </w:rPr>
        <w:t>hunga</w:t>
      </w:r>
      <w:proofErr w:type="spellEnd"/>
      <w:r w:rsidRPr="004A0212">
        <w:rPr>
          <w:rFonts w:cs="Arial"/>
        </w:rPr>
        <w:t xml:space="preserve"> </w:t>
      </w:r>
      <w:r w:rsidR="494AFA5E" w:rsidRPr="004A0212">
        <w:rPr>
          <w:rFonts w:cs="Arial"/>
        </w:rPr>
        <w:t>T</w:t>
      </w:r>
      <w:r w:rsidRPr="004A0212">
        <w:rPr>
          <w:rFonts w:cs="Arial"/>
        </w:rPr>
        <w:t xml:space="preserve">uri | </w:t>
      </w:r>
      <w:r w:rsidR="1C91FA1F" w:rsidRPr="00CF38FB">
        <w:rPr>
          <w:rFonts w:cs="Arial"/>
          <w:color w:val="3B5D1E"/>
        </w:rPr>
        <w:t>Attitudes</w:t>
      </w:r>
      <w:r w:rsidR="1C91FA1F" w:rsidRPr="004A0212">
        <w:rPr>
          <w:rFonts w:cs="Arial"/>
        </w:rPr>
        <w:t xml:space="preserve"> towards Deaf people</w:t>
      </w:r>
      <w:bookmarkEnd w:id="191"/>
      <w:bookmarkEnd w:id="192"/>
    </w:p>
    <w:p w14:paraId="3F57A110" w14:textId="77777777" w:rsidR="008C4F81" w:rsidRPr="004A0212" w:rsidRDefault="1CBC2316" w:rsidP="008C4F81">
      <w:pPr>
        <w:pStyle w:val="AllNumbparas"/>
        <w:rPr>
          <w:rFonts w:eastAsia="Arial"/>
        </w:rPr>
      </w:pPr>
      <w:r w:rsidRPr="004A0212">
        <w:t xml:space="preserve">As discussed in Part 1, many Deaf people do not consider they are disabled, rather they are part of a cultural and linguistic group for whom sign language is a key marker of identity. </w:t>
      </w:r>
    </w:p>
    <w:p w14:paraId="608255FD" w14:textId="1C10B1A3" w:rsidR="008927C4" w:rsidRPr="004A0212" w:rsidRDefault="6078EE0B" w:rsidP="007D73A6">
      <w:pPr>
        <w:pStyle w:val="AllNumbparas"/>
        <w:rPr>
          <w:rFonts w:eastAsia="Arial"/>
        </w:rPr>
      </w:pPr>
      <w:r w:rsidRPr="004A0212">
        <w:t>In the</w:t>
      </w:r>
      <w:r w:rsidRPr="004A0212" w:rsidDel="002344C6">
        <w:t xml:space="preserve"> </w:t>
      </w:r>
      <w:r w:rsidRPr="004A0212">
        <w:t>19</w:t>
      </w:r>
      <w:r w:rsidRPr="004A0212">
        <w:rPr>
          <w:vertAlign w:val="superscript"/>
        </w:rPr>
        <w:t>th</w:t>
      </w:r>
      <w:r w:rsidRPr="004A0212">
        <w:t xml:space="preserve"> century Deaf people were often referred to as “deaf-mutes” or “deaf and dumb” and seen as infirm.</w:t>
      </w:r>
      <w:r w:rsidR="008927C4" w:rsidRPr="004A0212">
        <w:rPr>
          <w:rStyle w:val="StyleFootnoteReferenceFagoFunotenzeichenFagoFunotenzeichen"/>
        </w:rPr>
        <w:footnoteReference w:id="125"/>
      </w:r>
      <w:r w:rsidRPr="004A0212">
        <w:t xml:space="preserve"> In 1880, the </w:t>
      </w:r>
      <w:r w:rsidR="692C0B5C" w:rsidRPr="004A0212">
        <w:t>Milan</w:t>
      </w:r>
      <w:r w:rsidR="58D88F1B" w:rsidRPr="004A0212">
        <w:t xml:space="preserve"> </w:t>
      </w:r>
      <w:r w:rsidR="5E8FC353" w:rsidRPr="004A0212">
        <w:t>C</w:t>
      </w:r>
      <w:r w:rsidR="58D88F1B" w:rsidRPr="004A0212">
        <w:t xml:space="preserve">onference declared that </w:t>
      </w:r>
      <w:r w:rsidR="0A0DFE66" w:rsidRPr="004A0212">
        <w:rPr>
          <w:rFonts w:eastAsia="Arial"/>
        </w:rPr>
        <w:t>s</w:t>
      </w:r>
      <w:r w:rsidR="53848103" w:rsidRPr="004A0212">
        <w:rPr>
          <w:rFonts w:eastAsia="Arial"/>
        </w:rPr>
        <w:t xml:space="preserve">ign Language </w:t>
      </w:r>
      <w:r w:rsidRPr="004A0212">
        <w:rPr>
          <w:rFonts w:eastAsia="Arial"/>
        </w:rPr>
        <w:t>in Deaf education be abolished.</w:t>
      </w:r>
      <w:r w:rsidR="008927C4" w:rsidRPr="004A0212">
        <w:rPr>
          <w:rStyle w:val="StyleFootnoteReferenceFagoFunotenzeichenFagoFunotenzeichen"/>
        </w:rPr>
        <w:footnoteReference w:id="126"/>
      </w:r>
      <w:r w:rsidRPr="004A0212">
        <w:rPr>
          <w:rFonts w:eastAsia="Arial"/>
        </w:rPr>
        <w:t xml:space="preserve"> In its place, it recommended oralism, which focused on lipreading and speaking aloud rather than </w:t>
      </w:r>
      <w:r w:rsidR="0A0DFE66" w:rsidRPr="004A0212">
        <w:rPr>
          <w:rFonts w:eastAsia="Arial"/>
        </w:rPr>
        <w:t>s</w:t>
      </w:r>
      <w:r w:rsidR="53848103" w:rsidRPr="004A0212">
        <w:rPr>
          <w:rFonts w:eastAsia="Arial"/>
        </w:rPr>
        <w:t>ign L</w:t>
      </w:r>
      <w:r w:rsidRPr="004A0212">
        <w:rPr>
          <w:rFonts w:eastAsia="Arial"/>
        </w:rPr>
        <w:t xml:space="preserve">anguage. </w:t>
      </w:r>
    </w:p>
    <w:p w14:paraId="0329AF9E" w14:textId="4AF85A7A" w:rsidR="008927C4" w:rsidRPr="004A0212" w:rsidRDefault="6078EE0B" w:rsidP="007D73A6">
      <w:pPr>
        <w:pStyle w:val="AllNumbparas"/>
        <w:rPr>
          <w:rFonts w:eastAsia="Arial"/>
        </w:rPr>
      </w:pPr>
      <w:r w:rsidRPr="004A0212">
        <w:rPr>
          <w:rFonts w:eastAsia="Arial"/>
        </w:rPr>
        <w:t xml:space="preserve">That same year, the </w:t>
      </w:r>
      <w:r w:rsidRPr="004A0212">
        <w:t xml:space="preserve">Sumner Institution for the Deaf and Dumb opened in </w:t>
      </w:r>
      <w:proofErr w:type="spellStart"/>
      <w:r w:rsidR="1207A369" w:rsidRPr="004A0212">
        <w:rPr>
          <w:rStyle w:val="normaltextrun"/>
        </w:rPr>
        <w:t>Ōtautahi</w:t>
      </w:r>
      <w:proofErr w:type="spellEnd"/>
      <w:r w:rsidR="1207A369" w:rsidRPr="004A0212">
        <w:rPr>
          <w:rStyle w:val="normaltextrun"/>
          <w:u w:val="single"/>
        </w:rPr>
        <w:t xml:space="preserve"> </w:t>
      </w:r>
      <w:r w:rsidRPr="004A0212">
        <w:t xml:space="preserve">Christchurch. It </w:t>
      </w:r>
      <w:r w:rsidR="5A294FF5" w:rsidRPr="004A0212">
        <w:t>changed its name to</w:t>
      </w:r>
      <w:r w:rsidRPr="004A0212">
        <w:t xml:space="preserve"> </w:t>
      </w:r>
      <w:r w:rsidR="5CC3ADBD" w:rsidRPr="004A0212">
        <w:t xml:space="preserve">Van </w:t>
      </w:r>
      <w:r w:rsidRPr="004A0212">
        <w:t xml:space="preserve">Asch </w:t>
      </w:r>
      <w:r w:rsidR="6330B9D9" w:rsidRPr="004A0212">
        <w:t>College in 1980</w:t>
      </w:r>
      <w:r w:rsidR="60E31E39" w:rsidRPr="004A0212">
        <w:t xml:space="preserve">, and to </w:t>
      </w:r>
      <w:r w:rsidR="3AB9DECB" w:rsidRPr="004A0212">
        <w:t>the</w:t>
      </w:r>
      <w:r w:rsidR="60E31E39" w:rsidRPr="004A0212">
        <w:t xml:space="preserve"> </w:t>
      </w:r>
      <w:r w:rsidR="5CC3ADBD" w:rsidRPr="004A0212">
        <w:t xml:space="preserve">Van </w:t>
      </w:r>
      <w:r w:rsidRPr="004A0212">
        <w:t xml:space="preserve">Asch Deaf Education Centre </w:t>
      </w:r>
      <w:r w:rsidR="3A2378D5" w:rsidRPr="004A0212">
        <w:t>in 1995. In 2020</w:t>
      </w:r>
      <w:r w:rsidRPr="004A0212">
        <w:t xml:space="preserve"> </w:t>
      </w:r>
      <w:r w:rsidR="0DCEC286" w:rsidRPr="004A0212">
        <w:t>it</w:t>
      </w:r>
      <w:r w:rsidRPr="004A0212">
        <w:t xml:space="preserve"> </w:t>
      </w:r>
      <w:r w:rsidR="6B45F71A" w:rsidRPr="004A0212">
        <w:rPr>
          <w:color w:val="auto"/>
        </w:rPr>
        <w:t xml:space="preserve">combined with Kelston Deaf Education Centre in </w:t>
      </w:r>
      <w:r w:rsidR="0A99AA91" w:rsidRPr="004A0212">
        <w:rPr>
          <w:color w:val="auto"/>
        </w:rPr>
        <w:t xml:space="preserve">Tamaki Makaurau </w:t>
      </w:r>
      <w:r w:rsidR="6B45F71A" w:rsidRPr="004A0212">
        <w:rPr>
          <w:color w:val="auto"/>
        </w:rPr>
        <w:t xml:space="preserve">Auckland to </w:t>
      </w:r>
      <w:r w:rsidR="6B45F71A" w:rsidRPr="004A0212">
        <w:t xml:space="preserve">become </w:t>
      </w:r>
      <w:r w:rsidRPr="004A0212">
        <w:t xml:space="preserve">Ko Taku Reo: Deaf Education New Zealand. </w:t>
      </w:r>
    </w:p>
    <w:p w14:paraId="7142F8AB" w14:textId="6891F758" w:rsidR="008927C4" w:rsidRPr="004A0212" w:rsidRDefault="6078EE0B" w:rsidP="007D73A6">
      <w:pPr>
        <w:pStyle w:val="AllNumbparas"/>
        <w:rPr>
          <w:rFonts w:eastAsia="Arial"/>
        </w:rPr>
      </w:pPr>
      <w:r w:rsidRPr="004A0212">
        <w:t xml:space="preserve">Aotearoa New Zealand, like many countries, </w:t>
      </w:r>
      <w:r w:rsidR="0A6B00CD" w:rsidRPr="004A0212">
        <w:t>chose</w:t>
      </w:r>
      <w:r w:rsidR="3B000603" w:rsidRPr="004A0212">
        <w:t xml:space="preserve"> to follow</w:t>
      </w:r>
      <w:r w:rsidRPr="004A0212">
        <w:t xml:space="preserve"> the recommendation to stop teaching any form of sign language in schools</w:t>
      </w:r>
      <w:r w:rsidR="00867B0B" w:rsidRPr="004A0212">
        <w:rPr>
          <w:rStyle w:val="StyleFootnoteReferenceFagoFunotenzeichenFagoFunotenzeichen"/>
        </w:rPr>
        <w:footnoteReference w:id="127"/>
      </w:r>
      <w:r w:rsidRPr="004A0212">
        <w:t xml:space="preserve"> and the practice continued </w:t>
      </w:r>
      <w:r w:rsidRPr="004A0212">
        <w:rPr>
          <w:rFonts w:eastAsia="Arial"/>
        </w:rPr>
        <w:t xml:space="preserve">until the mid-1970s. </w:t>
      </w:r>
      <w:r w:rsidR="6EFC74A8" w:rsidRPr="004A0212">
        <w:rPr>
          <w:rFonts w:eastAsia="Arial"/>
        </w:rPr>
        <w:t xml:space="preserve">Up until 1979, the Department of Education (now the Ministry of Education) banned sign language from the classroom. In some schools, it was banned in the playground and </w:t>
      </w:r>
      <w:r w:rsidR="611BB4F7" w:rsidRPr="004A0212">
        <w:rPr>
          <w:rFonts w:eastAsia="Arial"/>
        </w:rPr>
        <w:t>in</w:t>
      </w:r>
      <w:r w:rsidR="6EFC74A8" w:rsidRPr="004A0212">
        <w:rPr>
          <w:rFonts w:eastAsia="Arial"/>
        </w:rPr>
        <w:t xml:space="preserve"> boarding </w:t>
      </w:r>
      <w:r w:rsidR="0A42C051" w:rsidRPr="004A0212">
        <w:rPr>
          <w:rFonts w:eastAsia="Arial"/>
        </w:rPr>
        <w:t>residences</w:t>
      </w:r>
      <w:r w:rsidR="6EFC74A8" w:rsidRPr="004A0212">
        <w:rPr>
          <w:rFonts w:eastAsia="Arial"/>
        </w:rPr>
        <w:t>.</w:t>
      </w:r>
      <w:r w:rsidR="008927C4" w:rsidRPr="004A0212">
        <w:rPr>
          <w:rStyle w:val="StyleFootnoteReferenceFagoFunotenzeichenFagoFunotenzeichen"/>
        </w:rPr>
        <w:footnoteReference w:id="128"/>
      </w:r>
    </w:p>
    <w:p w14:paraId="761DDA79" w14:textId="67F4B9A3" w:rsidR="502F48BE" w:rsidRPr="004A0212" w:rsidRDefault="58DD4F57" w:rsidP="0A27D6D4">
      <w:pPr>
        <w:pStyle w:val="Heading2"/>
        <w:rPr>
          <w:rFonts w:cs="Arial"/>
        </w:rPr>
      </w:pPr>
      <w:bookmarkStart w:id="193" w:name="_Toc1329358253"/>
      <w:bookmarkStart w:id="194" w:name="_Toc168638928"/>
      <w:r w:rsidRPr="004A0212">
        <w:rPr>
          <w:rFonts w:cs="Arial"/>
        </w:rPr>
        <w:t>He</w:t>
      </w:r>
      <w:r w:rsidR="460E73A2" w:rsidRPr="004A0212">
        <w:rPr>
          <w:rFonts w:cs="Arial"/>
        </w:rPr>
        <w:t xml:space="preserve"> </w:t>
      </w:r>
      <w:proofErr w:type="spellStart"/>
      <w:r w:rsidRPr="004A0212">
        <w:rPr>
          <w:rFonts w:cs="Arial"/>
        </w:rPr>
        <w:t>māramatanga</w:t>
      </w:r>
      <w:proofErr w:type="spellEnd"/>
      <w:r w:rsidRPr="004A0212">
        <w:rPr>
          <w:rFonts w:cs="Arial"/>
        </w:rPr>
        <w:t xml:space="preserve"> ki </w:t>
      </w:r>
      <w:proofErr w:type="spellStart"/>
      <w:r w:rsidRPr="004A0212">
        <w:rPr>
          <w:rFonts w:cs="Arial"/>
        </w:rPr>
        <w:t>te</w:t>
      </w:r>
      <w:proofErr w:type="spellEnd"/>
      <w:r w:rsidRPr="004A0212">
        <w:rPr>
          <w:rFonts w:cs="Arial"/>
        </w:rPr>
        <w:t xml:space="preserve"> </w:t>
      </w:r>
      <w:proofErr w:type="spellStart"/>
      <w:r w:rsidRPr="004A0212">
        <w:rPr>
          <w:rFonts w:cs="Arial"/>
        </w:rPr>
        <w:t>kanorautanga</w:t>
      </w:r>
      <w:proofErr w:type="spellEnd"/>
      <w:r w:rsidR="29C89226" w:rsidRPr="004A0212">
        <w:rPr>
          <w:rFonts w:cs="Arial"/>
        </w:rPr>
        <w:t xml:space="preserve"> </w:t>
      </w:r>
      <w:r w:rsidRPr="004A0212">
        <w:rPr>
          <w:rFonts w:cs="Arial"/>
        </w:rPr>
        <w:t>ā-</w:t>
      </w:r>
      <w:proofErr w:type="spellStart"/>
      <w:r w:rsidRPr="004A0212">
        <w:rPr>
          <w:rFonts w:cs="Arial"/>
        </w:rPr>
        <w:t>hinengaro</w:t>
      </w:r>
      <w:proofErr w:type="spellEnd"/>
      <w:r w:rsidRPr="004A0212">
        <w:rPr>
          <w:rFonts w:cs="Arial"/>
        </w:rPr>
        <w:t xml:space="preserve">, </w:t>
      </w:r>
      <w:proofErr w:type="spellStart"/>
      <w:r w:rsidRPr="004A0212">
        <w:rPr>
          <w:rFonts w:cs="Arial"/>
        </w:rPr>
        <w:t>te</w:t>
      </w:r>
      <w:proofErr w:type="spellEnd"/>
      <w:r w:rsidRPr="004A0212">
        <w:rPr>
          <w:rFonts w:cs="Arial"/>
        </w:rPr>
        <w:t xml:space="preserve"> mate </w:t>
      </w:r>
      <w:proofErr w:type="spellStart"/>
      <w:r w:rsidRPr="004A0212">
        <w:rPr>
          <w:rFonts w:cs="Arial"/>
        </w:rPr>
        <w:t>waipiro</w:t>
      </w:r>
      <w:proofErr w:type="spellEnd"/>
      <w:r w:rsidRPr="004A0212">
        <w:rPr>
          <w:rFonts w:cs="Arial"/>
        </w:rPr>
        <w:t xml:space="preserve"> ki </w:t>
      </w:r>
      <w:proofErr w:type="spellStart"/>
      <w:r w:rsidRPr="004A0212">
        <w:rPr>
          <w:rFonts w:cs="Arial"/>
        </w:rPr>
        <w:t>te</w:t>
      </w:r>
      <w:proofErr w:type="spellEnd"/>
      <w:r w:rsidRPr="004A0212">
        <w:rPr>
          <w:rFonts w:cs="Arial"/>
        </w:rPr>
        <w:t xml:space="preserve"> </w:t>
      </w:r>
      <w:proofErr w:type="spellStart"/>
      <w:r w:rsidRPr="004A0212">
        <w:rPr>
          <w:rFonts w:cs="Arial"/>
        </w:rPr>
        <w:t>kōpū</w:t>
      </w:r>
      <w:proofErr w:type="spellEnd"/>
      <w:r w:rsidRPr="004A0212">
        <w:rPr>
          <w:rFonts w:cs="Arial"/>
        </w:rPr>
        <w:t xml:space="preserve"> me </w:t>
      </w:r>
      <w:proofErr w:type="spellStart"/>
      <w:r w:rsidRPr="004A0212">
        <w:rPr>
          <w:rFonts w:cs="Arial"/>
        </w:rPr>
        <w:t>te</w:t>
      </w:r>
      <w:proofErr w:type="spellEnd"/>
      <w:r w:rsidRPr="004A0212">
        <w:rPr>
          <w:rFonts w:cs="Arial"/>
        </w:rPr>
        <w:t xml:space="preserve"> </w:t>
      </w:r>
      <w:proofErr w:type="spellStart"/>
      <w:r w:rsidRPr="004A0212">
        <w:rPr>
          <w:rFonts w:cs="Arial"/>
        </w:rPr>
        <w:t>whara</w:t>
      </w:r>
      <w:r w:rsidR="004D1E03" w:rsidRPr="000C0692">
        <w:rPr>
          <w:rFonts w:cs="Arial"/>
        </w:rPr>
        <w:t>ū</w:t>
      </w:r>
      <w:r w:rsidRPr="004A0212">
        <w:rPr>
          <w:rFonts w:cs="Arial"/>
        </w:rPr>
        <w:t>poko</w:t>
      </w:r>
      <w:bookmarkEnd w:id="193"/>
      <w:bookmarkEnd w:id="194"/>
      <w:proofErr w:type="spellEnd"/>
    </w:p>
    <w:p w14:paraId="4909C683" w14:textId="36D64D6E" w:rsidR="008927C4" w:rsidRPr="004A0212" w:rsidRDefault="796E18B8" w:rsidP="008927C4">
      <w:pPr>
        <w:pStyle w:val="Heading2"/>
        <w:rPr>
          <w:rFonts w:cs="Arial"/>
        </w:rPr>
      </w:pPr>
      <w:bookmarkStart w:id="195" w:name="_Toc219819650"/>
      <w:bookmarkStart w:id="196" w:name="_Toc168638929"/>
      <w:r w:rsidRPr="004A0212">
        <w:rPr>
          <w:rFonts w:cs="Arial"/>
        </w:rPr>
        <w:t>U</w:t>
      </w:r>
      <w:r w:rsidR="32B84133" w:rsidRPr="004A0212">
        <w:rPr>
          <w:rFonts w:cs="Arial"/>
        </w:rPr>
        <w:t xml:space="preserve">nderstanding of neurodiversity, </w:t>
      </w:r>
      <w:r w:rsidRPr="004A0212">
        <w:rPr>
          <w:rFonts w:cs="Arial"/>
        </w:rPr>
        <w:t xml:space="preserve">foetal alcohol spectrum disorder and head </w:t>
      </w:r>
      <w:r w:rsidR="32B84133" w:rsidRPr="004A0212">
        <w:rPr>
          <w:rFonts w:cs="Arial"/>
        </w:rPr>
        <w:t>injury</w:t>
      </w:r>
      <w:bookmarkEnd w:id="195"/>
      <w:bookmarkEnd w:id="196"/>
      <w:r w:rsidR="32B84133" w:rsidRPr="004A0212">
        <w:rPr>
          <w:rFonts w:cs="Arial"/>
        </w:rPr>
        <w:t xml:space="preserve"> </w:t>
      </w:r>
    </w:p>
    <w:p w14:paraId="171173D9" w14:textId="566555FE" w:rsidR="008927C4" w:rsidRPr="004A0212" w:rsidRDefault="6078EE0B" w:rsidP="007D73A6">
      <w:pPr>
        <w:pStyle w:val="AllNumbparas"/>
      </w:pPr>
      <w:r w:rsidRPr="004A0212">
        <w:t>For some survivors, their entry into care may have been due to undiagnosed neurodiver</w:t>
      </w:r>
      <w:r w:rsidR="3E1E230F" w:rsidRPr="004A0212">
        <w:t>gence</w:t>
      </w:r>
      <w:r w:rsidRPr="004A0212">
        <w:t xml:space="preserve">, foetal alcohol </w:t>
      </w:r>
      <w:r w:rsidR="2DA43F47" w:rsidRPr="004A0212">
        <w:t xml:space="preserve">spectrum disorder (FASD) </w:t>
      </w:r>
      <w:r w:rsidRPr="004A0212">
        <w:t xml:space="preserve">or head injuries (traumatic brain injury), which </w:t>
      </w:r>
      <w:r w:rsidR="1A5CDD50" w:rsidRPr="004A0212">
        <w:t>are</w:t>
      </w:r>
      <w:r w:rsidRPr="004A0212">
        <w:t xml:space="preserve"> a common cause of disability for </w:t>
      </w:r>
      <w:r w:rsidR="2AA6AFFA" w:rsidRPr="004A0212">
        <w:rPr>
          <w:rStyle w:val="ui-provider"/>
          <w:rFonts w:eastAsia="Times New Roman"/>
        </w:rPr>
        <w:t>children</w:t>
      </w:r>
      <w:r w:rsidRPr="004A0212">
        <w:rPr>
          <w:rStyle w:val="ui-provider"/>
          <w:rFonts w:eastAsia="Times New Roman"/>
        </w:rPr>
        <w:t xml:space="preserve"> and </w:t>
      </w:r>
      <w:r w:rsidR="2AA6AFFA" w:rsidRPr="004A0212">
        <w:rPr>
          <w:rStyle w:val="ui-provider"/>
          <w:rFonts w:eastAsia="Times New Roman"/>
        </w:rPr>
        <w:t>young people</w:t>
      </w:r>
      <w:r w:rsidRPr="004A0212">
        <w:rPr>
          <w:rStyle w:val="ui-provider"/>
          <w:rFonts w:eastAsia="Times New Roman"/>
        </w:rPr>
        <w:t xml:space="preserve"> </w:t>
      </w:r>
      <w:r w:rsidRPr="004A0212">
        <w:t xml:space="preserve">in </w:t>
      </w:r>
      <w:r w:rsidR="66EB675A" w:rsidRPr="004A0212">
        <w:t xml:space="preserve">Aotearoa </w:t>
      </w:r>
      <w:r w:rsidRPr="004A0212">
        <w:t>New Zealand.</w:t>
      </w:r>
      <w:r w:rsidR="008927C4" w:rsidRPr="004A0212">
        <w:rPr>
          <w:rStyle w:val="StyleFootnoteReferenceFagoFunotenzeichenFagoFunotenzeichen"/>
        </w:rPr>
        <w:footnoteReference w:id="129"/>
      </w:r>
      <w:r w:rsidRPr="004A0212">
        <w:rPr>
          <w:rStyle w:val="FootnoteReference"/>
        </w:rPr>
        <w:t xml:space="preserve"> </w:t>
      </w:r>
    </w:p>
    <w:p w14:paraId="139600A9" w14:textId="0D2CD38B" w:rsidR="008927C4" w:rsidRPr="004A0212" w:rsidRDefault="6078EE0B" w:rsidP="007D73A6">
      <w:pPr>
        <w:pStyle w:val="AllNumbparas"/>
        <w:rPr>
          <w:vertAlign w:val="superscript"/>
        </w:rPr>
      </w:pPr>
      <w:r w:rsidRPr="004A0212">
        <w:t xml:space="preserve">These conditions were poorly understood for much of the Inquiry period and diagnosis and treatment was limited. The </w:t>
      </w:r>
      <w:r w:rsidR="4D40DD84" w:rsidRPr="004A0212">
        <w:t xml:space="preserve">conditions </w:t>
      </w:r>
      <w:r w:rsidRPr="004A0212">
        <w:t xml:space="preserve">were generally </w:t>
      </w:r>
      <w:r w:rsidR="49352F11" w:rsidRPr="004A0212">
        <w:t>considered</w:t>
      </w:r>
      <w:r w:rsidRPr="004A0212">
        <w:t xml:space="preserve"> incurable, so the </w:t>
      </w:r>
      <w:r w:rsidR="30B8C729" w:rsidRPr="004A0212">
        <w:t>people were congregated and separated from society instead</w:t>
      </w:r>
      <w:r w:rsidRPr="004A0212">
        <w:t>.</w:t>
      </w:r>
      <w:r w:rsidR="008927C4" w:rsidRPr="004A0212">
        <w:rPr>
          <w:rStyle w:val="StyleFootnoteReferenceFagoFunotenzeichenFagoFunotenzeichen"/>
        </w:rPr>
        <w:footnoteReference w:id="130"/>
      </w:r>
      <w:r w:rsidRPr="004A0212">
        <w:t xml:space="preserve">  </w:t>
      </w:r>
    </w:p>
    <w:p w14:paraId="440D1C46" w14:textId="0BBC2276" w:rsidR="00A21C3C" w:rsidRPr="004A0212" w:rsidRDefault="6078EE0B" w:rsidP="00A83810">
      <w:pPr>
        <w:pStyle w:val="AllNumbparas"/>
      </w:pPr>
      <w:r w:rsidRPr="004A0212">
        <w:t xml:space="preserve">Before 1980, </w:t>
      </w:r>
      <w:r w:rsidR="3CE2C78B" w:rsidRPr="004A0212">
        <w:t>autistic</w:t>
      </w:r>
      <w:r w:rsidR="19F2009D" w:rsidRPr="004A0212">
        <w:t xml:space="preserve"> children</w:t>
      </w:r>
      <w:r w:rsidRPr="004A0212">
        <w:t xml:space="preserve"> were often misdiagnosed as having childhood schizophrenia. The </w:t>
      </w:r>
      <w:r w:rsidR="17447DAE" w:rsidRPr="004A0212">
        <w:t xml:space="preserve">characteristics </w:t>
      </w:r>
      <w:r w:rsidRPr="004A0212">
        <w:t xml:space="preserve">associated with </w:t>
      </w:r>
      <w:r w:rsidR="4B49E4E8" w:rsidRPr="004A0212">
        <w:t>being autistic</w:t>
      </w:r>
      <w:r w:rsidRPr="004A0212">
        <w:t xml:space="preserve">, such as intense anxiety and escalating behaviours, often resulted in </w:t>
      </w:r>
      <w:r w:rsidR="2AA6AFFA" w:rsidRPr="004A0212">
        <w:rPr>
          <w:rStyle w:val="ui-provider"/>
          <w:rFonts w:eastAsia="Times New Roman"/>
        </w:rPr>
        <w:t>children</w:t>
      </w:r>
      <w:r w:rsidRPr="004A0212">
        <w:rPr>
          <w:rStyle w:val="ui-provider"/>
          <w:rFonts w:eastAsia="Times New Roman"/>
        </w:rPr>
        <w:t xml:space="preserve"> and </w:t>
      </w:r>
      <w:r w:rsidR="2AA6AFFA" w:rsidRPr="004A0212">
        <w:rPr>
          <w:rStyle w:val="ui-provider"/>
          <w:rFonts w:eastAsia="Times New Roman"/>
        </w:rPr>
        <w:t>young people</w:t>
      </w:r>
      <w:r w:rsidRPr="004A0212">
        <w:t xml:space="preserve"> </w:t>
      </w:r>
      <w:r w:rsidR="0FC1B4B4" w:rsidRPr="004A0212">
        <w:t xml:space="preserve">who were </w:t>
      </w:r>
      <w:r w:rsidRPr="004A0212">
        <w:t>in care being sedated, restrained or kept in seclusion.</w:t>
      </w:r>
      <w:r w:rsidR="008927C4" w:rsidRPr="004A0212">
        <w:rPr>
          <w:rStyle w:val="StyleFootnoteReferenceFagoFunotenzeichenFagoFunotenzeichen"/>
        </w:rPr>
        <w:footnoteReference w:id="131"/>
      </w:r>
      <w:r w:rsidRPr="004A0212">
        <w:t xml:space="preserve"> This was also the case for</w:t>
      </w:r>
      <w:r w:rsidR="449CD4EA" w:rsidRPr="004A0212">
        <w:t xml:space="preserve"> </w:t>
      </w:r>
      <w:r w:rsidR="7C8D55B2" w:rsidRPr="004A0212">
        <w:t xml:space="preserve">autistic </w:t>
      </w:r>
      <w:r w:rsidRPr="004A0212">
        <w:t>adults.</w:t>
      </w:r>
      <w:r w:rsidR="00341C79" w:rsidRPr="004A0212">
        <w:rPr>
          <w:rStyle w:val="StyleFootnoteReferenceFagoFunotenzeichenFagoFunotenzeichen"/>
        </w:rPr>
        <w:footnoteReference w:id="132"/>
      </w:r>
    </w:p>
    <w:p w14:paraId="3BFBC6EF" w14:textId="4B82CDBA" w:rsidR="008927C4" w:rsidRPr="004A0212" w:rsidRDefault="6078EE0B" w:rsidP="007D73A6">
      <w:pPr>
        <w:pStyle w:val="AllNumbparas"/>
      </w:pPr>
      <w:r w:rsidRPr="004A0212">
        <w:t xml:space="preserve">For </w:t>
      </w:r>
      <w:r w:rsidR="2AA6AFFA" w:rsidRPr="004A0212">
        <w:t>children</w:t>
      </w:r>
      <w:r w:rsidRPr="004A0212">
        <w:t xml:space="preserve"> with </w:t>
      </w:r>
      <w:r w:rsidR="4DE85501" w:rsidRPr="004A0212">
        <w:t>a</w:t>
      </w:r>
      <w:r w:rsidRPr="004A0212">
        <w:t xml:space="preserve">ttention </w:t>
      </w:r>
      <w:r w:rsidR="4DE85501" w:rsidRPr="004A0212">
        <w:t>d</w:t>
      </w:r>
      <w:r w:rsidRPr="004A0212">
        <w:t xml:space="preserve">eficit </w:t>
      </w:r>
      <w:r w:rsidR="4DE85501" w:rsidRPr="004A0212">
        <w:t>h</w:t>
      </w:r>
      <w:r w:rsidRPr="004A0212">
        <w:t xml:space="preserve">yperactive </w:t>
      </w:r>
      <w:r w:rsidR="4DE85501" w:rsidRPr="004A0212">
        <w:t>d</w:t>
      </w:r>
      <w:r w:rsidRPr="004A0212">
        <w:t xml:space="preserve">isorder, a lack of understanding of the condition meant that </w:t>
      </w:r>
      <w:r w:rsidR="4F2BB03A" w:rsidRPr="004A0212">
        <w:t xml:space="preserve">many </w:t>
      </w:r>
      <w:r w:rsidRPr="004A0212">
        <w:t xml:space="preserve">people did not see them as having additional support needs but rather as difficult </w:t>
      </w:r>
      <w:r w:rsidR="4CB40A95" w:rsidRPr="004A0212">
        <w:t>and needing</w:t>
      </w:r>
      <w:r w:rsidRPr="004A0212">
        <w:t xml:space="preserve"> to be disciplined. They could be seen as too hard to manage and institutionalised in special schools or psychopaedic hospitals. Like</w:t>
      </w:r>
      <w:r w:rsidR="60DFF73C" w:rsidRPr="004A0212">
        <w:t xml:space="preserve"> autistic</w:t>
      </w:r>
      <w:r w:rsidRPr="004A0212">
        <w:t xml:space="preserve"> people, they were often sedated or disciplined for their behaviour.</w:t>
      </w:r>
      <w:r w:rsidR="008927C4" w:rsidRPr="004A0212">
        <w:rPr>
          <w:rStyle w:val="StyleFootnoteReferenceFagoFunotenzeichenFagoFunotenzeichen"/>
        </w:rPr>
        <w:footnoteReference w:id="133"/>
      </w:r>
    </w:p>
    <w:p w14:paraId="450B93DE" w14:textId="139DACAB" w:rsidR="008927C4" w:rsidRPr="004A0212" w:rsidRDefault="0075CBE4" w:rsidP="007D73A6">
      <w:pPr>
        <w:pStyle w:val="AllNumbparas"/>
      </w:pPr>
      <w:r w:rsidRPr="004A0212">
        <w:t>The Inquiry heard</w:t>
      </w:r>
      <w:r w:rsidR="6078EE0B" w:rsidRPr="004A0212">
        <w:t xml:space="preserve"> from expert witnesses that without correct diagnosis, neurodiversity can look like aggression or misbehaviour</w:t>
      </w:r>
      <w:r w:rsidR="0C4CEB27" w:rsidRPr="004A0212">
        <w:t xml:space="preserve">. </w:t>
      </w:r>
      <w:r w:rsidR="697641F7" w:rsidRPr="004A0212">
        <w:t>Today it is understood</w:t>
      </w:r>
      <w:r w:rsidR="6078EE0B" w:rsidRPr="004A0212">
        <w:t xml:space="preserve"> that neurodivergent people in care could be experiencing anxiety and distress due to being in environments </w:t>
      </w:r>
      <w:r w:rsidR="2C944CDC" w:rsidRPr="004A0212">
        <w:t>inappropriate for their needs</w:t>
      </w:r>
      <w:r w:rsidR="6078EE0B" w:rsidRPr="004A0212">
        <w:t>.</w:t>
      </w:r>
      <w:r w:rsidR="008927C4" w:rsidRPr="004A0212">
        <w:rPr>
          <w:rStyle w:val="StyleFootnoteReferenceFagoFunotenzeichenFagoFunotenzeichen"/>
        </w:rPr>
        <w:footnoteReference w:id="134"/>
      </w:r>
      <w:r w:rsidR="6078EE0B" w:rsidRPr="004A0212">
        <w:rPr>
          <w:rStyle w:val="FootnoteReference"/>
        </w:rPr>
        <w:t xml:space="preserve"> </w:t>
      </w:r>
    </w:p>
    <w:p w14:paraId="2DBC9EFB" w14:textId="741B2FA2" w:rsidR="00C22F38" w:rsidRPr="004A0212" w:rsidRDefault="474C5D96" w:rsidP="007D73A6">
      <w:pPr>
        <w:pStyle w:val="AllNumbparas"/>
      </w:pPr>
      <w:r w:rsidRPr="004A0212">
        <w:t xml:space="preserve">It was not until the Diagnostic and Statistical Manual of Mental Disorders (DSM) was revised in 1987 that a </w:t>
      </w:r>
      <w:r w:rsidR="17DAC96C" w:rsidRPr="004A0212">
        <w:t>clinical</w:t>
      </w:r>
      <w:r w:rsidRPr="004A0212">
        <w:t xml:space="preserve"> understanding of autism </w:t>
      </w:r>
      <w:r w:rsidR="4019927B" w:rsidRPr="004A0212">
        <w:t xml:space="preserve">spectrum disorder </w:t>
      </w:r>
      <w:r w:rsidRPr="004A0212">
        <w:t>and neurodiversity was available.</w:t>
      </w:r>
    </w:p>
    <w:p w14:paraId="68348BB4" w14:textId="0774D98E" w:rsidR="008927C4" w:rsidRPr="004A0212" w:rsidRDefault="2302DB5D" w:rsidP="007D73A6">
      <w:pPr>
        <w:pStyle w:val="AllNumbparas"/>
      </w:pPr>
      <w:r w:rsidRPr="004A0212">
        <w:t>T</w:t>
      </w:r>
      <w:r w:rsidR="6078EE0B" w:rsidRPr="004A0212">
        <w:t xml:space="preserve">raumatic brain injury affects the parts of the brain that help with self-regulation and self-control. It also increases the risk of </w:t>
      </w:r>
      <w:r w:rsidR="67793289" w:rsidRPr="004A0212">
        <w:t>behavioural</w:t>
      </w:r>
      <w:r w:rsidR="6078EE0B" w:rsidRPr="004A0212">
        <w:t xml:space="preserve"> issues and mental distress.</w:t>
      </w:r>
      <w:r w:rsidR="008927C4" w:rsidRPr="004A0212">
        <w:rPr>
          <w:rStyle w:val="StyleFootnoteReferenceFagoFunotenzeichenFagoFunotenzeichen"/>
        </w:rPr>
        <w:footnoteReference w:id="135"/>
      </w:r>
      <w:r w:rsidR="6078EE0B" w:rsidRPr="004A0212">
        <w:t xml:space="preserve"> </w:t>
      </w:r>
      <w:r w:rsidR="0B4AAD13" w:rsidRPr="004A0212">
        <w:t xml:space="preserve">It is the leading cause of </w:t>
      </w:r>
      <w:r w:rsidR="6AFC6D22" w:rsidRPr="004A0212">
        <w:t>long-term</w:t>
      </w:r>
      <w:r w:rsidR="0B4AAD13" w:rsidRPr="004A0212">
        <w:t xml:space="preserve"> disability in children</w:t>
      </w:r>
      <w:r w:rsidR="278F0384" w:rsidRPr="004A0212">
        <w:t xml:space="preserve">. In Aotearoa New Zealand, a 2013 study found that </w:t>
      </w:r>
      <w:r w:rsidR="716D1A7B" w:rsidRPr="004A0212">
        <w:t xml:space="preserve">children </w:t>
      </w:r>
      <w:r w:rsidR="278F0384" w:rsidRPr="004A0212">
        <w:t>(</w:t>
      </w:r>
      <w:r w:rsidR="127962C5" w:rsidRPr="004A0212">
        <w:t>aged 0–</w:t>
      </w:r>
      <w:r w:rsidR="278F0384" w:rsidRPr="004A0212">
        <w:t>1</w:t>
      </w:r>
      <w:r w:rsidR="127962C5" w:rsidRPr="004A0212">
        <w:t>4</w:t>
      </w:r>
      <w:r w:rsidR="278F0384" w:rsidRPr="004A0212">
        <w:t>)</w:t>
      </w:r>
      <w:r w:rsidR="127962C5" w:rsidRPr="004A0212">
        <w:t xml:space="preserve">, and </w:t>
      </w:r>
      <w:r w:rsidR="278F0384" w:rsidRPr="004A0212">
        <w:t>young</w:t>
      </w:r>
      <w:r w:rsidR="2B0DE84D" w:rsidRPr="004A0212">
        <w:t xml:space="preserve"> people and young adults (aged 15–34) made up almost 70 percent of all traumatic brain injury cases</w:t>
      </w:r>
      <w:r w:rsidR="127962C5" w:rsidRPr="004A0212">
        <w:t>.</w:t>
      </w:r>
      <w:r w:rsidR="00B712E3" w:rsidRPr="004A0212">
        <w:rPr>
          <w:rStyle w:val="FootnoteReference"/>
        </w:rPr>
        <w:footnoteReference w:id="136"/>
      </w:r>
      <w:r w:rsidR="0B4AAD13" w:rsidRPr="004A0212">
        <w:t xml:space="preserve"> </w:t>
      </w:r>
      <w:r w:rsidR="6078EE0B" w:rsidRPr="004A0212">
        <w:t xml:space="preserve">Some international evidence </w:t>
      </w:r>
      <w:r w:rsidR="4432E603" w:rsidRPr="004A0212">
        <w:t>shows that</w:t>
      </w:r>
      <w:r w:rsidR="6078EE0B" w:rsidRPr="004A0212">
        <w:t xml:space="preserve"> </w:t>
      </w:r>
      <w:r w:rsidR="67793289" w:rsidRPr="004A0212">
        <w:t xml:space="preserve">young people </w:t>
      </w:r>
      <w:r w:rsidR="6078EE0B" w:rsidRPr="004A0212">
        <w:t xml:space="preserve">in custody </w:t>
      </w:r>
      <w:r w:rsidR="4432E603" w:rsidRPr="004A0212">
        <w:t>have a greater in</w:t>
      </w:r>
      <w:r w:rsidR="5F674E6B" w:rsidRPr="004A0212">
        <w:t xml:space="preserve">cidence of traumatic brain injury than is </w:t>
      </w:r>
      <w:r w:rsidR="6C9919A8" w:rsidRPr="004A0212">
        <w:t>found</w:t>
      </w:r>
      <w:r w:rsidR="6078EE0B" w:rsidRPr="004A0212">
        <w:t xml:space="preserve"> in the general population.</w:t>
      </w:r>
      <w:r w:rsidR="008927C4" w:rsidRPr="004A0212">
        <w:rPr>
          <w:rStyle w:val="StyleFootnoteReferenceFagoFunotenzeichenFagoFunotenzeichen"/>
        </w:rPr>
        <w:footnoteReference w:id="137"/>
      </w:r>
    </w:p>
    <w:p w14:paraId="319605C9" w14:textId="4F6610E6" w:rsidR="009D219E" w:rsidRPr="004A0212" w:rsidRDefault="67793289" w:rsidP="007D73A6">
      <w:pPr>
        <w:pStyle w:val="AllNumbparas"/>
      </w:pPr>
      <w:r w:rsidRPr="004A0212">
        <w:t xml:space="preserve">Aotearoa </w:t>
      </w:r>
      <w:r w:rsidR="44C6C5E4" w:rsidRPr="004A0212">
        <w:t xml:space="preserve">New Zealand does not have any specific study on traumatic brain injury in </w:t>
      </w:r>
      <w:r w:rsidR="10F420E4" w:rsidRPr="004A0212">
        <w:t xml:space="preserve">children or young people </w:t>
      </w:r>
      <w:r w:rsidR="44C6C5E4" w:rsidRPr="004A0212">
        <w:t>in foster care or the youth residential system</w:t>
      </w:r>
      <w:r w:rsidR="2C0AE694" w:rsidRPr="004A0212">
        <w:t xml:space="preserve">. </w:t>
      </w:r>
      <w:r w:rsidR="2C0AE694" w:rsidRPr="004A0212">
        <w:rPr>
          <w:color w:val="auto"/>
        </w:rPr>
        <w:t xml:space="preserve">However, </w:t>
      </w:r>
      <w:r w:rsidR="264DF24E" w:rsidRPr="004A0212">
        <w:rPr>
          <w:color w:val="auto"/>
        </w:rPr>
        <w:t xml:space="preserve">traumatic brain injuries have been shown to be more </w:t>
      </w:r>
      <w:r w:rsidR="46F11D9C" w:rsidRPr="004A0212">
        <w:rPr>
          <w:color w:val="auto"/>
        </w:rPr>
        <w:t xml:space="preserve">common in people in the justice system than in the </w:t>
      </w:r>
      <w:r w:rsidRPr="004A0212">
        <w:rPr>
          <w:color w:val="auto"/>
        </w:rPr>
        <w:t>public</w:t>
      </w:r>
      <w:r w:rsidR="46F11D9C" w:rsidRPr="004A0212">
        <w:rPr>
          <w:color w:val="auto"/>
        </w:rPr>
        <w:t xml:space="preserve"> in </w:t>
      </w:r>
      <w:r w:rsidRPr="004A0212">
        <w:rPr>
          <w:color w:val="auto"/>
        </w:rPr>
        <w:t>Aotearoa</w:t>
      </w:r>
      <w:r w:rsidR="46F11D9C" w:rsidRPr="004A0212">
        <w:rPr>
          <w:color w:val="auto"/>
        </w:rPr>
        <w:t xml:space="preserve"> New Zealand. A 2017</w:t>
      </w:r>
      <w:r w:rsidR="2C0AE694" w:rsidRPr="004A0212">
        <w:rPr>
          <w:color w:val="auto"/>
        </w:rPr>
        <w:t xml:space="preserve"> paper prepared </w:t>
      </w:r>
      <w:r w:rsidR="2375611D" w:rsidRPr="004A0212">
        <w:rPr>
          <w:color w:val="auto"/>
        </w:rPr>
        <w:t>by the Justice sector found that</w:t>
      </w:r>
      <w:r w:rsidR="44C6C5E4" w:rsidRPr="004A0212">
        <w:rPr>
          <w:color w:val="auto"/>
        </w:rPr>
        <w:t xml:space="preserve"> </w:t>
      </w:r>
      <w:r w:rsidR="2375611D" w:rsidRPr="004A0212">
        <w:t>p</w:t>
      </w:r>
      <w:r w:rsidR="44C6C5E4" w:rsidRPr="004A0212">
        <w:t>eople with traumatic brain injuries accounted for 34 percent of people facing police proceedings</w:t>
      </w:r>
      <w:r w:rsidR="6ED993EC" w:rsidRPr="004A0212">
        <w:t xml:space="preserve"> and</w:t>
      </w:r>
      <w:r w:rsidR="44C6C5E4" w:rsidRPr="004A0212">
        <w:t xml:space="preserve"> 46 pe</w:t>
      </w:r>
      <w:r w:rsidR="7E0D0DD1" w:rsidRPr="004A0212">
        <w:t>r</w:t>
      </w:r>
      <w:r w:rsidR="44C6C5E4" w:rsidRPr="004A0212">
        <w:t>cent of people imprisoned, compared with 13 percent of the general</w:t>
      </w:r>
      <w:r w:rsidR="26A92230" w:rsidRPr="004A0212">
        <w:t xml:space="preserve"> </w:t>
      </w:r>
      <w:r w:rsidR="0E0C54DE" w:rsidRPr="004A0212">
        <w:t>population.</w:t>
      </w:r>
      <w:r w:rsidR="006922F6" w:rsidRPr="004A0212">
        <w:rPr>
          <w:rStyle w:val="StyleFootnoteReferenceFagoFunotenzeichenFagoFunotenzeichen"/>
        </w:rPr>
        <w:footnoteReference w:id="138"/>
      </w:r>
      <w:r w:rsidR="44C6C5E4" w:rsidRPr="004A0212">
        <w:t> </w:t>
      </w:r>
    </w:p>
    <w:p w14:paraId="42E07359" w14:textId="06BF469C" w:rsidR="008927C4" w:rsidRPr="004A0212" w:rsidRDefault="0E0C54DE" w:rsidP="007D73A6">
      <w:pPr>
        <w:pStyle w:val="AllNumbparas"/>
      </w:pPr>
      <w:r w:rsidRPr="004A0212">
        <w:t>FASD</w:t>
      </w:r>
      <w:r w:rsidR="6078EE0B" w:rsidRPr="004A0212">
        <w:t xml:space="preserve"> is still not well understood or recognised by health professionals today.</w:t>
      </w:r>
      <w:r w:rsidR="008927C4" w:rsidRPr="004A0212">
        <w:rPr>
          <w:rStyle w:val="StyleFootnoteReferenceFagoFunotenzeichenFagoFunotenzeichen"/>
        </w:rPr>
        <w:footnoteReference w:id="139"/>
      </w:r>
      <w:r w:rsidR="6078EE0B" w:rsidRPr="004A0212">
        <w:t xml:space="preserve"> However, there is increasing awareness worldwide that people with </w:t>
      </w:r>
      <w:r w:rsidRPr="004A0212">
        <w:t>FASD</w:t>
      </w:r>
      <w:r w:rsidR="6078EE0B" w:rsidRPr="004A0212">
        <w:t xml:space="preserve"> are over-represented in the criminal justice system.</w:t>
      </w:r>
      <w:r w:rsidR="008927C4" w:rsidRPr="004A0212">
        <w:rPr>
          <w:rStyle w:val="StyleFootnoteReferenceFagoFunotenzeichenFagoFunotenzeichen"/>
        </w:rPr>
        <w:footnoteReference w:id="140"/>
      </w:r>
      <w:r w:rsidR="6078EE0B" w:rsidRPr="004A0212">
        <w:t xml:space="preserve"> </w:t>
      </w:r>
    </w:p>
    <w:p w14:paraId="37B5F9F2" w14:textId="2BD95A95" w:rsidR="008927C4" w:rsidRPr="004A0212" w:rsidRDefault="6BD455C8" w:rsidP="007D73A6">
      <w:pPr>
        <w:pStyle w:val="AllNumbparas"/>
      </w:pPr>
      <w:r w:rsidRPr="004A0212">
        <w:rPr>
          <w:rStyle w:val="ui-provider"/>
          <w:rFonts w:eastAsia="Times New Roman"/>
        </w:rPr>
        <w:t>While interacting</w:t>
      </w:r>
      <w:r w:rsidR="3FA9FBDB" w:rsidRPr="004A0212">
        <w:rPr>
          <w:rStyle w:val="ui-provider"/>
          <w:rFonts w:eastAsia="Times New Roman"/>
        </w:rPr>
        <w:t xml:space="preserve"> with </w:t>
      </w:r>
      <w:r w:rsidR="0E1C7D6C" w:rsidRPr="004A0212">
        <w:rPr>
          <w:rStyle w:val="ui-provider"/>
          <w:rFonts w:eastAsia="Times New Roman"/>
        </w:rPr>
        <w:t>institutional structures and systems and without adequate support, c</w:t>
      </w:r>
      <w:r w:rsidR="60A5E913" w:rsidRPr="004A0212">
        <w:rPr>
          <w:rStyle w:val="ui-provider"/>
          <w:rFonts w:eastAsia="Times New Roman"/>
        </w:rPr>
        <w:t>hildren, young people and adults in care</w:t>
      </w:r>
      <w:r w:rsidR="6078EE0B" w:rsidRPr="004A0212">
        <w:t xml:space="preserve"> with </w:t>
      </w:r>
      <w:r w:rsidR="7DF5D529" w:rsidRPr="004A0212">
        <w:t>FASD</w:t>
      </w:r>
      <w:r w:rsidR="6078EE0B" w:rsidRPr="004A0212">
        <w:t xml:space="preserve"> </w:t>
      </w:r>
      <w:r w:rsidR="0E0C54DE" w:rsidRPr="004A0212">
        <w:t>may find it difficult</w:t>
      </w:r>
      <w:r w:rsidR="6078EE0B" w:rsidRPr="004A0212">
        <w:t xml:space="preserve"> to reason, use judgement, make decisions, match their emotions and behaviour to social situation</w:t>
      </w:r>
      <w:r w:rsidR="0E0C54DE" w:rsidRPr="004A0212">
        <w:t>s</w:t>
      </w:r>
      <w:r w:rsidR="6078EE0B" w:rsidRPr="004A0212">
        <w:t xml:space="preserve"> and think through consequences.</w:t>
      </w:r>
      <w:r w:rsidR="008927C4" w:rsidRPr="004A0212">
        <w:rPr>
          <w:rStyle w:val="StyleFootnoteReferenceFagoFunotenzeichenFagoFunotenzeichen"/>
        </w:rPr>
        <w:footnoteReference w:id="141"/>
      </w:r>
      <w:r w:rsidR="6078EE0B" w:rsidRPr="004A0212">
        <w:t xml:space="preserve"> </w:t>
      </w:r>
    </w:p>
    <w:p w14:paraId="21306861" w14:textId="100698A8" w:rsidR="008927C4" w:rsidRPr="004A0212" w:rsidRDefault="25D4F882" w:rsidP="008927C4">
      <w:pPr>
        <w:pStyle w:val="Heading2"/>
        <w:rPr>
          <w:rFonts w:cs="Arial"/>
        </w:rPr>
      </w:pPr>
      <w:bookmarkStart w:id="197" w:name="_Toc1888455948"/>
      <w:bookmarkStart w:id="198" w:name="_Toc168638930"/>
      <w:proofErr w:type="spellStart"/>
      <w:r w:rsidRPr="004A0212">
        <w:rPr>
          <w:rFonts w:cs="Arial"/>
        </w:rPr>
        <w:t>Te</w:t>
      </w:r>
      <w:proofErr w:type="spellEnd"/>
      <w:r w:rsidRPr="004A0212">
        <w:rPr>
          <w:rFonts w:cs="Arial"/>
        </w:rPr>
        <w:t xml:space="preserve"> </w:t>
      </w:r>
      <w:proofErr w:type="spellStart"/>
      <w:r w:rsidRPr="004A0212">
        <w:rPr>
          <w:rFonts w:cs="Arial"/>
        </w:rPr>
        <w:t>whakahāwea</w:t>
      </w:r>
      <w:proofErr w:type="spellEnd"/>
      <w:r w:rsidRPr="004A0212">
        <w:rPr>
          <w:rFonts w:cs="Arial"/>
        </w:rPr>
        <w:t xml:space="preserve"> </w:t>
      </w:r>
      <w:proofErr w:type="spellStart"/>
      <w:r w:rsidRPr="004A0212">
        <w:rPr>
          <w:rFonts w:cs="Arial"/>
        </w:rPr>
        <w:t>wāhine</w:t>
      </w:r>
      <w:proofErr w:type="spellEnd"/>
      <w:r w:rsidRPr="004A0212">
        <w:rPr>
          <w:rFonts w:cs="Arial"/>
        </w:rPr>
        <w:t xml:space="preserve">, </w:t>
      </w:r>
      <w:proofErr w:type="spellStart"/>
      <w:r w:rsidRPr="004A0212">
        <w:rPr>
          <w:rFonts w:cs="Arial"/>
        </w:rPr>
        <w:t>kōtiro</w:t>
      </w:r>
      <w:proofErr w:type="spellEnd"/>
      <w:r w:rsidRPr="004A0212">
        <w:rPr>
          <w:rFonts w:cs="Arial"/>
        </w:rPr>
        <w:t xml:space="preserve"> </w:t>
      </w:r>
      <w:proofErr w:type="spellStart"/>
      <w:r w:rsidRPr="004A0212">
        <w:rPr>
          <w:rFonts w:cs="Arial"/>
        </w:rPr>
        <w:t>hoki</w:t>
      </w:r>
      <w:proofErr w:type="spellEnd"/>
      <w:r w:rsidRPr="004A0212">
        <w:rPr>
          <w:rFonts w:cs="Arial"/>
        </w:rPr>
        <w:t xml:space="preserve"> | </w:t>
      </w:r>
      <w:r w:rsidR="5BCBCB5E" w:rsidRPr="004A0212">
        <w:rPr>
          <w:rFonts w:cs="Arial"/>
        </w:rPr>
        <w:t>Discrimination</w:t>
      </w:r>
      <w:r w:rsidR="1C91FA1F" w:rsidRPr="004A0212">
        <w:rPr>
          <w:rFonts w:cs="Arial"/>
        </w:rPr>
        <w:t xml:space="preserve"> against women and girls</w:t>
      </w:r>
      <w:bookmarkEnd w:id="197"/>
      <w:bookmarkEnd w:id="198"/>
    </w:p>
    <w:p w14:paraId="75698AE4" w14:textId="077C4AB7" w:rsidR="009713C9" w:rsidRPr="004A0212" w:rsidRDefault="54A7E117" w:rsidP="007D73A6">
      <w:pPr>
        <w:pStyle w:val="AllNumbparas"/>
        <w:rPr>
          <w:rStyle w:val="normaltextrun"/>
        </w:rPr>
      </w:pPr>
      <w:r w:rsidRPr="004A0212">
        <w:rPr>
          <w:rStyle w:val="normaltextrun"/>
        </w:rPr>
        <w:t>Europeans came to Aotearoa New Zealand at a time when the idea of the nuclear family with the husband/father figure as the household leader was emerging.  European women did not have independent legal identities and their bodies and children were considered the property of their husbands.</w:t>
      </w:r>
      <w:r w:rsidR="00A97F96" w:rsidRPr="004A0212">
        <w:rPr>
          <w:rStyle w:val="StyleFootnoteReferenceFagoFunotenzeichenFagoFunotenzeichen"/>
        </w:rPr>
        <w:footnoteReference w:id="142"/>
      </w:r>
      <w:r w:rsidR="53107FB9" w:rsidRPr="004A0212">
        <w:rPr>
          <w:rStyle w:val="normaltextrun"/>
        </w:rPr>
        <w:t xml:space="preserve"> Women carried the main responsibility for childcare and housekeeping and faced legal and social barrier</w:t>
      </w:r>
      <w:r w:rsidR="12CBE68E" w:rsidRPr="004A0212">
        <w:rPr>
          <w:rStyle w:val="normaltextrun"/>
        </w:rPr>
        <w:t>s</w:t>
      </w:r>
      <w:r w:rsidR="53107FB9" w:rsidRPr="004A0212">
        <w:rPr>
          <w:rStyle w:val="normaltextrun"/>
        </w:rPr>
        <w:t xml:space="preserve"> to participation in civil life and employment.</w:t>
      </w:r>
      <w:r w:rsidR="0096327F" w:rsidRPr="004A0212">
        <w:rPr>
          <w:rStyle w:val="FootnoteReference"/>
        </w:rPr>
        <w:footnoteReference w:id="143"/>
      </w:r>
    </w:p>
    <w:p w14:paraId="592106F6" w14:textId="765E08A9" w:rsidR="008927C4" w:rsidRPr="004A0212" w:rsidRDefault="6078EE0B" w:rsidP="007D73A6">
      <w:pPr>
        <w:pStyle w:val="AllNumbparas"/>
      </w:pPr>
      <w:r w:rsidRPr="004A0212">
        <w:t>In the 19</w:t>
      </w:r>
      <w:r w:rsidRPr="004A0212">
        <w:rPr>
          <w:vertAlign w:val="superscript"/>
        </w:rPr>
        <w:t>th</w:t>
      </w:r>
      <w:r w:rsidRPr="004A0212">
        <w:t xml:space="preserve"> century, </w:t>
      </w:r>
      <w:r w:rsidR="2A3E0227" w:rsidRPr="004A0212">
        <w:t xml:space="preserve">churches established women’s homes in response to concerns about prostitution and women’s sexuality, to address what they saw as unhealthy sexual behaviour and a threat to morality. Missionaries </w:t>
      </w:r>
      <w:r w:rsidRPr="004A0212">
        <w:t xml:space="preserve">sought to ‘rescue’ women seen to be at risk. </w:t>
      </w:r>
    </w:p>
    <w:p w14:paraId="6314EE45" w14:textId="75CCC71D" w:rsidR="008927C4" w:rsidRPr="004A0212" w:rsidRDefault="6078EE0B" w:rsidP="007D73A6">
      <w:pPr>
        <w:pStyle w:val="AllNumbparas"/>
      </w:pPr>
      <w:r w:rsidRPr="004A0212">
        <w:t>The rigid gender roles of the 19</w:t>
      </w:r>
      <w:r w:rsidRPr="004A0212">
        <w:rPr>
          <w:vertAlign w:val="superscript"/>
        </w:rPr>
        <w:t>th</w:t>
      </w:r>
      <w:r w:rsidRPr="004A0212">
        <w:t xml:space="preserve"> century continued into the 20</w:t>
      </w:r>
      <w:r w:rsidRPr="004A0212">
        <w:rPr>
          <w:vertAlign w:val="superscript"/>
        </w:rPr>
        <w:t>th</w:t>
      </w:r>
      <w:r w:rsidRPr="004A0212">
        <w:t xml:space="preserve"> century. For a large part of the 20</w:t>
      </w:r>
      <w:r w:rsidRPr="004A0212">
        <w:rPr>
          <w:vertAlign w:val="superscript"/>
        </w:rPr>
        <w:t>th</w:t>
      </w:r>
      <w:r w:rsidRPr="004A0212">
        <w:t xml:space="preserve"> century, unmarried mothers were viewed as a social problem </w:t>
      </w:r>
      <w:r w:rsidR="67793289" w:rsidRPr="004A0212">
        <w:t>and</w:t>
      </w:r>
      <w:r w:rsidRPr="004A0212">
        <w:t xml:space="preserve"> as incapable of providing adequate care for their children. </w:t>
      </w:r>
    </w:p>
    <w:p w14:paraId="3947B142" w14:textId="1CECF7C7" w:rsidR="008927C4" w:rsidRPr="004A0212" w:rsidRDefault="6078EE0B" w:rsidP="007D73A6">
      <w:pPr>
        <w:pStyle w:val="AllNumbparas"/>
        <w:rPr>
          <w:rStyle w:val="eop"/>
        </w:rPr>
      </w:pPr>
      <w:r w:rsidRPr="004A0212">
        <w:t xml:space="preserve">In the 1950s, </w:t>
      </w:r>
      <w:r w:rsidRPr="004A0212">
        <w:rPr>
          <w:rStyle w:val="ui-provider"/>
        </w:rPr>
        <w:t xml:space="preserve">after the disruption of the </w:t>
      </w:r>
      <w:r w:rsidR="67793289" w:rsidRPr="004A0212">
        <w:rPr>
          <w:rStyle w:val="ui-provider"/>
        </w:rPr>
        <w:t xml:space="preserve">Second </w:t>
      </w:r>
      <w:r w:rsidRPr="004A0212">
        <w:rPr>
          <w:rStyle w:val="ui-provider"/>
        </w:rPr>
        <w:t xml:space="preserve">World War, </w:t>
      </w:r>
      <w:r w:rsidR="61BBFC87" w:rsidRPr="004A0212">
        <w:rPr>
          <w:rStyle w:val="ui-provider"/>
        </w:rPr>
        <w:t xml:space="preserve">gender </w:t>
      </w:r>
      <w:r w:rsidR="256E1A16" w:rsidRPr="004A0212">
        <w:rPr>
          <w:rStyle w:val="ui-provider"/>
        </w:rPr>
        <w:t xml:space="preserve">and class </w:t>
      </w:r>
      <w:r w:rsidR="61BBFC87" w:rsidRPr="004A0212">
        <w:rPr>
          <w:rStyle w:val="ui-provider"/>
        </w:rPr>
        <w:t xml:space="preserve">roles </w:t>
      </w:r>
      <w:r w:rsidRPr="004A0212">
        <w:rPr>
          <w:rStyle w:val="ui-provider"/>
        </w:rPr>
        <w:t xml:space="preserve">became </w:t>
      </w:r>
      <w:r w:rsidR="61BBFC87" w:rsidRPr="004A0212">
        <w:rPr>
          <w:rStyle w:val="ui-provider"/>
        </w:rPr>
        <w:t>more tightly enforced</w:t>
      </w:r>
      <w:r w:rsidRPr="004A0212">
        <w:rPr>
          <w:rStyle w:val="ui-provider"/>
        </w:rPr>
        <w:t>.</w:t>
      </w:r>
      <w:r w:rsidRPr="004A0212">
        <w:rPr>
          <w:rStyle w:val="FootnoteReference"/>
          <w:rFonts w:eastAsiaTheme="minorEastAsia"/>
        </w:rPr>
        <w:t xml:space="preserve"> </w:t>
      </w:r>
      <w:r w:rsidRPr="004A0212">
        <w:t>Society often discriminated against working women, unmarried mothers and sexually active young women. There was growing</w:t>
      </w:r>
      <w:r w:rsidRPr="004A0212">
        <w:rPr>
          <w:rStyle w:val="eop"/>
        </w:rPr>
        <w:t xml:space="preserve"> public concern about rising sexual promiscuity among teens</w:t>
      </w:r>
      <w:r w:rsidR="51E65A68" w:rsidRPr="004A0212">
        <w:rPr>
          <w:rStyle w:val="eop"/>
        </w:rPr>
        <w:t xml:space="preserve">, particularly </w:t>
      </w:r>
      <w:r w:rsidR="7262FD18" w:rsidRPr="004A0212">
        <w:rPr>
          <w:rStyle w:val="eop"/>
        </w:rPr>
        <w:t>focus</w:t>
      </w:r>
      <w:r w:rsidR="51E65A68" w:rsidRPr="004A0212">
        <w:rPr>
          <w:rStyle w:val="eop"/>
        </w:rPr>
        <w:t xml:space="preserve">ed on </w:t>
      </w:r>
      <w:r w:rsidR="4BA78698" w:rsidRPr="004A0212">
        <w:rPr>
          <w:rStyle w:val="eop"/>
        </w:rPr>
        <w:t xml:space="preserve">the behaviour of </w:t>
      </w:r>
      <w:r w:rsidR="59DCCA6C" w:rsidRPr="004A0212">
        <w:rPr>
          <w:rStyle w:val="eop"/>
        </w:rPr>
        <w:t>teenage girls</w:t>
      </w:r>
      <w:r w:rsidRPr="004A0212">
        <w:rPr>
          <w:rStyle w:val="eop"/>
        </w:rPr>
        <w:t>.</w:t>
      </w:r>
      <w:r w:rsidR="008927C4" w:rsidRPr="004A0212">
        <w:rPr>
          <w:rStyle w:val="StyleFootnoteReferenceFagoFunotenzeichenFagoFunotenzeichen"/>
        </w:rPr>
        <w:footnoteReference w:id="144"/>
      </w:r>
      <w:r w:rsidRPr="004A0212">
        <w:rPr>
          <w:rStyle w:val="eop"/>
        </w:rPr>
        <w:t xml:space="preserve"> </w:t>
      </w:r>
    </w:p>
    <w:p w14:paraId="746B148E" w14:textId="6115D0EA" w:rsidR="00FD039C" w:rsidRPr="004A0212" w:rsidRDefault="7D4851EE" w:rsidP="00FD039C">
      <w:pPr>
        <w:pStyle w:val="AllNumbparas"/>
        <w:rPr>
          <w:rStyle w:val="eop"/>
        </w:rPr>
      </w:pPr>
      <w:r w:rsidRPr="004A0212">
        <w:rPr>
          <w:rStyle w:val="eop"/>
        </w:rPr>
        <w:t xml:space="preserve">Access to contraception was restricted for the first two decades of the Inquiry period due to a combination of moral concerns and a continuing State focus on social stability through the nuclear family, traditional gender roles and sustaining the </w:t>
      </w:r>
      <w:r w:rsidR="198EEC9D" w:rsidRPr="004A0212">
        <w:rPr>
          <w:rStyle w:val="eop"/>
        </w:rPr>
        <w:t xml:space="preserve">Pākehā </w:t>
      </w:r>
      <w:r w:rsidRPr="004A0212">
        <w:rPr>
          <w:rStyle w:val="eop"/>
        </w:rPr>
        <w:t>birth rate.</w:t>
      </w:r>
      <w:r w:rsidR="00FD039C" w:rsidRPr="004A0212">
        <w:rPr>
          <w:rStyle w:val="StyleFootnoteReferenceFagoFunotenzeichenFagoFunotenzeichen"/>
        </w:rPr>
        <w:footnoteReference w:id="145"/>
      </w:r>
      <w:r w:rsidRPr="004A0212">
        <w:rPr>
          <w:rStyle w:val="eop"/>
        </w:rPr>
        <w:t xml:space="preserve"> Both unmarried and married women could struggle to access birth control, with doctors described as “the guardians of health and to some degree the morals of the community.”</w:t>
      </w:r>
      <w:r w:rsidR="00FD039C" w:rsidRPr="004A0212">
        <w:rPr>
          <w:rStyle w:val="StyleFootnoteReferenceFagoFunotenzeichenFagoFunotenzeichen"/>
        </w:rPr>
        <w:footnoteReference w:id="146"/>
      </w:r>
    </w:p>
    <w:p w14:paraId="4E740008" w14:textId="1CFC9C6B" w:rsidR="00FD039C" w:rsidRPr="004A0212" w:rsidRDefault="7D4851EE" w:rsidP="00FD039C">
      <w:pPr>
        <w:pStyle w:val="AllNumbparas"/>
        <w:rPr>
          <w:rStyle w:val="eop"/>
        </w:rPr>
      </w:pPr>
      <w:r w:rsidRPr="004A0212">
        <w:rPr>
          <w:rStyle w:val="eop"/>
        </w:rPr>
        <w:t xml:space="preserve">Women’s wages were lower than men’s across the Inquiry period. For at least the first three decades of the </w:t>
      </w:r>
      <w:r w:rsidR="728A62C2" w:rsidRPr="004A0212">
        <w:rPr>
          <w:rStyle w:val="eop"/>
        </w:rPr>
        <w:t xml:space="preserve">inquiry </w:t>
      </w:r>
      <w:r w:rsidRPr="004A0212">
        <w:rPr>
          <w:rStyle w:val="eop"/>
        </w:rPr>
        <w:t>period women had a limited range of low wage career options, including teaching, nursing clerical work, cleaning, sewing and shop work.</w:t>
      </w:r>
      <w:r w:rsidR="00FD039C" w:rsidRPr="004A0212">
        <w:rPr>
          <w:rStyle w:val="StyleFootnoteReferenceFagoFunotenzeichenFagoFunotenzeichen"/>
        </w:rPr>
        <w:footnoteReference w:id="147"/>
      </w:r>
      <w:r w:rsidRPr="004A0212">
        <w:rPr>
          <w:rStyle w:val="FootnoteReference"/>
        </w:rPr>
        <w:t xml:space="preserve"> </w:t>
      </w:r>
      <w:r w:rsidRPr="004A0212">
        <w:rPr>
          <w:rStyle w:val="eop"/>
        </w:rPr>
        <w:t>Combining work with caring for children and other family members added further challenges to women’s ability to be financially independent.</w:t>
      </w:r>
      <w:r w:rsidR="00FD039C" w:rsidRPr="004A0212">
        <w:rPr>
          <w:rStyle w:val="StyleFootnoteReferenceFagoFunotenzeichenFagoFunotenzeichen"/>
        </w:rPr>
        <w:footnoteReference w:id="148"/>
      </w:r>
      <w:r w:rsidR="6FC461CE" w:rsidRPr="004A0212">
        <w:rPr>
          <w:rStyle w:val="eop"/>
        </w:rPr>
        <w:t xml:space="preserve"> </w:t>
      </w:r>
      <w:r w:rsidR="601AF0EC" w:rsidRPr="004A0212">
        <w:rPr>
          <w:rStyle w:val="eop"/>
        </w:rPr>
        <w:t>By 1970</w:t>
      </w:r>
      <w:r w:rsidR="6FC461CE" w:rsidRPr="004A0212">
        <w:rPr>
          <w:rStyle w:val="eop"/>
        </w:rPr>
        <w:t>,</w:t>
      </w:r>
      <w:r w:rsidR="601AF0EC" w:rsidRPr="004A0212">
        <w:rPr>
          <w:rStyle w:val="eop"/>
        </w:rPr>
        <w:t xml:space="preserve"> women were still facing barriers to participation in society including </w:t>
      </w:r>
      <w:r w:rsidR="1C193158" w:rsidRPr="004A0212">
        <w:rPr>
          <w:rStyle w:val="eop"/>
        </w:rPr>
        <w:t>gendered violence</w:t>
      </w:r>
      <w:r w:rsidR="6F81AAFF" w:rsidRPr="004A0212">
        <w:rPr>
          <w:rStyle w:val="eop"/>
        </w:rPr>
        <w:t xml:space="preserve"> and </w:t>
      </w:r>
      <w:r w:rsidR="6FC461CE" w:rsidRPr="004A0212">
        <w:rPr>
          <w:rStyle w:val="eop"/>
        </w:rPr>
        <w:t xml:space="preserve">limited </w:t>
      </w:r>
      <w:r w:rsidR="1C193158" w:rsidRPr="004A0212">
        <w:rPr>
          <w:rStyle w:val="eop"/>
        </w:rPr>
        <w:t xml:space="preserve">access to </w:t>
      </w:r>
      <w:r w:rsidR="60420492" w:rsidRPr="004A0212">
        <w:rPr>
          <w:rStyle w:val="eop"/>
        </w:rPr>
        <w:t xml:space="preserve">some </w:t>
      </w:r>
      <w:r w:rsidR="43284FA9" w:rsidRPr="004A0212">
        <w:rPr>
          <w:rStyle w:val="eop"/>
        </w:rPr>
        <w:t xml:space="preserve">public spaces </w:t>
      </w:r>
      <w:r w:rsidR="6F81AAFF" w:rsidRPr="004A0212">
        <w:rPr>
          <w:rStyle w:val="eop"/>
        </w:rPr>
        <w:t>(</w:t>
      </w:r>
      <w:r w:rsidR="43284FA9" w:rsidRPr="004A0212">
        <w:rPr>
          <w:rStyle w:val="eop"/>
        </w:rPr>
        <w:t>such as bars</w:t>
      </w:r>
      <w:r w:rsidR="6F81AAFF" w:rsidRPr="004A0212">
        <w:rPr>
          <w:rStyle w:val="eop"/>
        </w:rPr>
        <w:t>)</w:t>
      </w:r>
      <w:r w:rsidR="43284FA9" w:rsidRPr="004A0212">
        <w:rPr>
          <w:rStyle w:val="eop"/>
        </w:rPr>
        <w:t>,</w:t>
      </w:r>
      <w:r w:rsidR="65A32F3F" w:rsidRPr="004A0212">
        <w:rPr>
          <w:rStyle w:val="eop"/>
        </w:rPr>
        <w:t xml:space="preserve"> </w:t>
      </w:r>
      <w:r w:rsidR="23D6FC79" w:rsidRPr="004A0212">
        <w:rPr>
          <w:rStyle w:val="eop"/>
        </w:rPr>
        <w:t xml:space="preserve">childcare for working </w:t>
      </w:r>
      <w:r w:rsidR="2901357F" w:rsidRPr="004A0212">
        <w:rPr>
          <w:rStyle w:val="eop"/>
        </w:rPr>
        <w:t>mothers</w:t>
      </w:r>
      <w:r w:rsidR="6F81AAFF" w:rsidRPr="004A0212">
        <w:rPr>
          <w:rStyle w:val="eop"/>
        </w:rPr>
        <w:t>,</w:t>
      </w:r>
      <w:r w:rsidR="43284FA9" w:rsidRPr="004A0212">
        <w:rPr>
          <w:rStyle w:val="eop"/>
        </w:rPr>
        <w:t xml:space="preserve"> and healthcare.</w:t>
      </w:r>
      <w:r w:rsidR="00B86101" w:rsidRPr="004A0212">
        <w:rPr>
          <w:rStyle w:val="FootnoteReference"/>
        </w:rPr>
        <w:footnoteReference w:id="149"/>
      </w:r>
    </w:p>
    <w:p w14:paraId="495AB936" w14:textId="08A0D3BC" w:rsidR="502F48BE" w:rsidRPr="004A0212" w:rsidRDefault="50097E1D" w:rsidP="0A27D6D4">
      <w:pPr>
        <w:pStyle w:val="Heading2"/>
        <w:rPr>
          <w:rFonts w:cs="Arial"/>
        </w:rPr>
      </w:pPr>
      <w:bookmarkStart w:id="199" w:name="_Toc351627199"/>
      <w:bookmarkStart w:id="200" w:name="_Toc168638931"/>
      <w:proofErr w:type="spellStart"/>
      <w:r w:rsidRPr="004A0212">
        <w:rPr>
          <w:rFonts w:cs="Arial"/>
        </w:rPr>
        <w:t>Te</w:t>
      </w:r>
      <w:proofErr w:type="spellEnd"/>
      <w:r w:rsidRPr="004A0212">
        <w:rPr>
          <w:rFonts w:cs="Arial"/>
        </w:rPr>
        <w:t xml:space="preserve"> </w:t>
      </w:r>
      <w:proofErr w:type="spellStart"/>
      <w:r w:rsidRPr="004A0212">
        <w:rPr>
          <w:rFonts w:cs="Arial"/>
        </w:rPr>
        <w:t>whakahāwea</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runga</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aronga</w:t>
      </w:r>
      <w:proofErr w:type="spellEnd"/>
      <w:r w:rsidRPr="004A0212">
        <w:rPr>
          <w:rFonts w:cs="Arial"/>
        </w:rPr>
        <w:t xml:space="preserve"> </w:t>
      </w:r>
      <w:proofErr w:type="spellStart"/>
      <w:r w:rsidRPr="004A0212">
        <w:rPr>
          <w:rFonts w:cs="Arial"/>
        </w:rPr>
        <w:t>hemahematanga</w:t>
      </w:r>
      <w:proofErr w:type="spellEnd"/>
      <w:r w:rsidRPr="004A0212">
        <w:rPr>
          <w:rFonts w:cs="Arial"/>
        </w:rPr>
        <w:t xml:space="preserve"> me </w:t>
      </w:r>
      <w:proofErr w:type="spellStart"/>
      <w:r w:rsidRPr="004A0212">
        <w:rPr>
          <w:rFonts w:cs="Arial"/>
        </w:rPr>
        <w:t>te</w:t>
      </w:r>
      <w:proofErr w:type="spellEnd"/>
      <w:r w:rsidRPr="004A0212">
        <w:rPr>
          <w:rFonts w:cs="Arial"/>
        </w:rPr>
        <w:t xml:space="preserve"> </w:t>
      </w:r>
      <w:proofErr w:type="spellStart"/>
      <w:r w:rsidRPr="004A0212">
        <w:rPr>
          <w:rFonts w:cs="Arial"/>
        </w:rPr>
        <w:t>tuakiri</w:t>
      </w:r>
      <w:proofErr w:type="spellEnd"/>
      <w:r w:rsidRPr="004A0212">
        <w:rPr>
          <w:rFonts w:cs="Arial"/>
        </w:rPr>
        <w:t xml:space="preserve"> </w:t>
      </w:r>
      <w:proofErr w:type="spellStart"/>
      <w:r w:rsidRPr="004A0212">
        <w:rPr>
          <w:rFonts w:cs="Arial"/>
        </w:rPr>
        <w:t>ia</w:t>
      </w:r>
      <w:bookmarkEnd w:id="199"/>
      <w:bookmarkEnd w:id="200"/>
      <w:proofErr w:type="spellEnd"/>
    </w:p>
    <w:p w14:paraId="0E68062C" w14:textId="774D0111" w:rsidR="008927C4" w:rsidRPr="004A0212" w:rsidRDefault="796E18B8" w:rsidP="008927C4">
      <w:pPr>
        <w:pStyle w:val="Heading2"/>
        <w:rPr>
          <w:rFonts w:cs="Arial"/>
        </w:rPr>
      </w:pPr>
      <w:bookmarkStart w:id="201" w:name="_Toc1715962022"/>
      <w:bookmarkStart w:id="202" w:name="_Toc168638932"/>
      <w:r w:rsidRPr="004A0212">
        <w:rPr>
          <w:rFonts w:cs="Arial"/>
        </w:rPr>
        <w:t xml:space="preserve">Discrimination </w:t>
      </w:r>
      <w:proofErr w:type="gramStart"/>
      <w:r w:rsidRPr="004A0212">
        <w:rPr>
          <w:rFonts w:cs="Arial"/>
        </w:rPr>
        <w:t>on the basis of</w:t>
      </w:r>
      <w:proofErr w:type="gramEnd"/>
      <w:r w:rsidRPr="004A0212">
        <w:rPr>
          <w:rFonts w:cs="Arial"/>
        </w:rPr>
        <w:t xml:space="preserve"> s</w:t>
      </w:r>
      <w:r w:rsidR="32B84133" w:rsidRPr="004A0212">
        <w:rPr>
          <w:rFonts w:cs="Arial"/>
        </w:rPr>
        <w:t>exual orientation and gender identity</w:t>
      </w:r>
      <w:bookmarkEnd w:id="201"/>
      <w:bookmarkEnd w:id="202"/>
    </w:p>
    <w:p w14:paraId="7DE9404A" w14:textId="58C51CC7" w:rsidR="008927C4" w:rsidRPr="004A0212" w:rsidRDefault="6078EE0B" w:rsidP="007D73A6">
      <w:pPr>
        <w:pStyle w:val="AllNumbparas"/>
        <w:rPr>
          <w:sz w:val="18"/>
          <w:szCs w:val="18"/>
        </w:rPr>
      </w:pPr>
      <w:r w:rsidRPr="004A0212">
        <w:t>Homosexuality was considered a psychiatric disorder until 1973</w:t>
      </w:r>
      <w:r w:rsidR="7C59B92C" w:rsidRPr="004A0212">
        <w:t xml:space="preserve"> in Aotearoa New Zealand.</w:t>
      </w:r>
      <w:r w:rsidR="008927C4" w:rsidRPr="004A0212">
        <w:rPr>
          <w:rStyle w:val="StyleFootnoteReferenceFagoFunotenzeichenFagoFunotenzeichen"/>
        </w:rPr>
        <w:footnoteReference w:id="150"/>
      </w:r>
      <w:r w:rsidR="7C59B92C" w:rsidRPr="004A0212">
        <w:t xml:space="preserve"> M</w:t>
      </w:r>
      <w:r w:rsidR="596CDDAB" w:rsidRPr="004A0212">
        <w:t xml:space="preserve">edicalisation of </w:t>
      </w:r>
      <w:r w:rsidR="379CF50C" w:rsidRPr="004A0212">
        <w:t>homosexuality peaked in t</w:t>
      </w:r>
      <w:r w:rsidR="596CDDAB" w:rsidRPr="004A0212">
        <w:t>he 1950s and 1960s and included conversion practices with the aim of changing a person’s sexual identity or gender expression.</w:t>
      </w:r>
      <w:r w:rsidR="00B7292F" w:rsidRPr="004A0212">
        <w:rPr>
          <w:rStyle w:val="StyleFootnoteReferenceFagoFunotenzeichenFagoFunotenzeichen"/>
        </w:rPr>
        <w:footnoteReference w:id="151"/>
      </w:r>
    </w:p>
    <w:p w14:paraId="78545D14" w14:textId="5FE140BE" w:rsidR="008927C4" w:rsidRPr="004A0212" w:rsidRDefault="00EC4BE1" w:rsidP="007D73A6">
      <w:pPr>
        <w:pStyle w:val="AllNumbparas"/>
        <w:rPr>
          <w:sz w:val="18"/>
          <w:szCs w:val="18"/>
        </w:rPr>
      </w:pPr>
      <w:r w:rsidRPr="004A0212">
        <w:t>Sexual relations</w:t>
      </w:r>
      <w:r w:rsidR="008927C4" w:rsidRPr="004A0212">
        <w:t xml:space="preserve"> </w:t>
      </w:r>
      <w:r w:rsidRPr="004A0212">
        <w:t>between adult men were decriminalised in</w:t>
      </w:r>
      <w:r w:rsidR="008927C4" w:rsidRPr="004A0212">
        <w:t xml:space="preserve"> Aotearoa New Zealand </w:t>
      </w:r>
      <w:r w:rsidRPr="004A0212">
        <w:t xml:space="preserve">in </w:t>
      </w:r>
      <w:r w:rsidR="008927C4" w:rsidRPr="004A0212">
        <w:t xml:space="preserve">1986. Before 1993, </w:t>
      </w:r>
      <w:r w:rsidR="00356BBD" w:rsidRPr="004A0212">
        <w:t xml:space="preserve">there was no legal protection from </w:t>
      </w:r>
      <w:r w:rsidR="008927C4" w:rsidRPr="004A0212">
        <w:t>discrimination in employment, education, access to public places, provision of goods and services, and housing and accommodation</w:t>
      </w:r>
      <w:r w:rsidR="00356BBD" w:rsidRPr="004A0212">
        <w:t xml:space="preserve"> on the grounds of sexual orientation or gender identity</w:t>
      </w:r>
      <w:r w:rsidR="008927C4" w:rsidRPr="004A0212">
        <w:t>.</w:t>
      </w:r>
      <w:r w:rsidR="008927C4" w:rsidRPr="004A0212">
        <w:rPr>
          <w:rStyle w:val="StyleFootnoteReferenceFagoFunotenzeichenFagoFunotenzeichen"/>
        </w:rPr>
        <w:footnoteReference w:id="152"/>
      </w:r>
    </w:p>
    <w:p w14:paraId="0FD5FF06" w14:textId="662CAD0D" w:rsidR="00E86045" w:rsidRPr="004A0212" w:rsidRDefault="67E507A8" w:rsidP="007D73A6">
      <w:pPr>
        <w:pStyle w:val="AllNumbparas"/>
      </w:pPr>
      <w:r w:rsidRPr="004A0212">
        <w:t xml:space="preserve">Sexual relations between adult women </w:t>
      </w:r>
      <w:r w:rsidR="10C73168" w:rsidRPr="004A0212">
        <w:t>were</w:t>
      </w:r>
      <w:r w:rsidRPr="004A0212">
        <w:t xml:space="preserve"> not illegal, but </w:t>
      </w:r>
      <w:r w:rsidR="14838D9B" w:rsidRPr="004A0212">
        <w:t>m</w:t>
      </w:r>
      <w:r w:rsidRPr="004A0212">
        <w:t>any</w:t>
      </w:r>
      <w:r w:rsidR="56660735" w:rsidRPr="004A0212">
        <w:t xml:space="preserve"> </w:t>
      </w:r>
      <w:r w:rsidR="2A245D69" w:rsidRPr="004A0212">
        <w:t>lesbians suffered</w:t>
      </w:r>
      <w:r w:rsidR="56660735" w:rsidRPr="004A0212">
        <w:t xml:space="preserve"> the same social </w:t>
      </w:r>
      <w:r w:rsidR="2A245D69" w:rsidRPr="004A0212">
        <w:t>discrimination</w:t>
      </w:r>
      <w:r w:rsidR="56660735" w:rsidRPr="004A0212">
        <w:t xml:space="preserve"> as gay men. </w:t>
      </w:r>
      <w:r w:rsidR="71226649" w:rsidRPr="004A0212">
        <w:t xml:space="preserve">Data </w:t>
      </w:r>
      <w:r w:rsidR="4C9B67DD" w:rsidRPr="004A0212">
        <w:t>collection</w:t>
      </w:r>
      <w:r w:rsidR="71226649" w:rsidRPr="004A0212">
        <w:t xml:space="preserve"> in New </w:t>
      </w:r>
      <w:r w:rsidR="2A245D69" w:rsidRPr="004A0212">
        <w:t>Zealand</w:t>
      </w:r>
      <w:r w:rsidR="71226649" w:rsidRPr="004A0212">
        <w:t xml:space="preserve"> on </w:t>
      </w:r>
      <w:r w:rsidR="00792246" w:rsidRPr="004A0212">
        <w:t xml:space="preserve">sexual </w:t>
      </w:r>
      <w:r w:rsidR="45C744C9" w:rsidRPr="004A0212">
        <w:t>ori</w:t>
      </w:r>
      <w:r w:rsidR="4C9B67DD" w:rsidRPr="004A0212">
        <w:t xml:space="preserve">entation and gender identity </w:t>
      </w:r>
      <w:r w:rsidR="1A88C3BD" w:rsidRPr="004A0212">
        <w:t xml:space="preserve">was </w:t>
      </w:r>
      <w:r w:rsidR="45C744C9" w:rsidRPr="004A0212">
        <w:t>non-existent</w:t>
      </w:r>
      <w:r w:rsidR="1A88C3BD" w:rsidRPr="004A0212">
        <w:t xml:space="preserve">, meaning there was no ability for rainbow people to be counted. </w:t>
      </w:r>
      <w:r w:rsidR="2F38245C" w:rsidRPr="004A0212">
        <w:t xml:space="preserve">This </w:t>
      </w:r>
      <w:r w:rsidR="069CCC7E" w:rsidRPr="004A0212">
        <w:t xml:space="preserve">lack of visibility </w:t>
      </w:r>
      <w:r w:rsidR="2F38245C" w:rsidRPr="004A0212">
        <w:t xml:space="preserve">was a barrier to receiving </w:t>
      </w:r>
      <w:r w:rsidR="069CCC7E" w:rsidRPr="004A0212">
        <w:t xml:space="preserve">specific </w:t>
      </w:r>
      <w:r w:rsidR="546797E5" w:rsidRPr="004A0212">
        <w:t>targeted f</w:t>
      </w:r>
      <w:r w:rsidR="069CCC7E" w:rsidRPr="004A0212">
        <w:t>unding and assistance</w:t>
      </w:r>
      <w:r w:rsidR="10C73168" w:rsidRPr="004A0212">
        <w:t>.</w:t>
      </w:r>
    </w:p>
    <w:p w14:paraId="6B1A90F3" w14:textId="5062C82A" w:rsidR="00FE6914" w:rsidRPr="004A0212" w:rsidRDefault="4F0F1B42" w:rsidP="008927C4">
      <w:pPr>
        <w:pStyle w:val="Heading2"/>
        <w:rPr>
          <w:rFonts w:cs="Arial"/>
        </w:rPr>
      </w:pPr>
      <w:bookmarkStart w:id="203" w:name="_Toc1276116075"/>
      <w:bookmarkStart w:id="204" w:name="_Toc168638933"/>
      <w:proofErr w:type="spellStart"/>
      <w:r w:rsidRPr="004A0212">
        <w:rPr>
          <w:rFonts w:cs="Arial"/>
        </w:rPr>
        <w:t>Ngā</w:t>
      </w:r>
      <w:proofErr w:type="spellEnd"/>
      <w:r w:rsidRPr="004A0212">
        <w:rPr>
          <w:rFonts w:cs="Arial"/>
        </w:rPr>
        <w:t xml:space="preserve"> </w:t>
      </w:r>
      <w:proofErr w:type="spellStart"/>
      <w:r w:rsidRPr="004A0212">
        <w:rPr>
          <w:rFonts w:cs="Arial"/>
        </w:rPr>
        <w:t>waiaro</w:t>
      </w:r>
      <w:proofErr w:type="spellEnd"/>
      <w:r w:rsidRPr="004A0212">
        <w:rPr>
          <w:rFonts w:cs="Arial"/>
        </w:rPr>
        <w:t xml:space="preserve"> ki </w:t>
      </w:r>
      <w:proofErr w:type="spellStart"/>
      <w:r w:rsidRPr="004A0212">
        <w:rPr>
          <w:rFonts w:cs="Arial"/>
        </w:rPr>
        <w:t>ngā</w:t>
      </w:r>
      <w:proofErr w:type="spellEnd"/>
      <w:r w:rsidRPr="004A0212">
        <w:rPr>
          <w:rFonts w:cs="Arial"/>
        </w:rPr>
        <w:t xml:space="preserve"> </w:t>
      </w:r>
      <w:proofErr w:type="spellStart"/>
      <w:r w:rsidRPr="004A0212">
        <w:rPr>
          <w:rFonts w:cs="Arial"/>
        </w:rPr>
        <w:t>tamariki</w:t>
      </w:r>
      <w:proofErr w:type="spellEnd"/>
      <w:r w:rsidRPr="004A0212">
        <w:rPr>
          <w:rFonts w:cs="Arial"/>
        </w:rPr>
        <w:t xml:space="preserve"> me </w:t>
      </w:r>
      <w:proofErr w:type="spellStart"/>
      <w:r w:rsidRPr="004A0212">
        <w:rPr>
          <w:rFonts w:cs="Arial"/>
        </w:rPr>
        <w:t>ng</w:t>
      </w:r>
      <w:r w:rsidR="10679773" w:rsidRPr="004A0212">
        <w:rPr>
          <w:rFonts w:cs="Arial"/>
        </w:rPr>
        <w:t>ā</w:t>
      </w:r>
      <w:proofErr w:type="spellEnd"/>
      <w:r w:rsidRPr="004A0212">
        <w:rPr>
          <w:rFonts w:cs="Arial"/>
        </w:rPr>
        <w:t xml:space="preserve"> </w:t>
      </w:r>
      <w:proofErr w:type="spellStart"/>
      <w:r w:rsidRPr="004A0212">
        <w:rPr>
          <w:rFonts w:cs="Arial"/>
        </w:rPr>
        <w:t>rangatahi</w:t>
      </w:r>
      <w:bookmarkEnd w:id="203"/>
      <w:bookmarkEnd w:id="204"/>
      <w:proofErr w:type="spellEnd"/>
    </w:p>
    <w:p w14:paraId="5783AE64" w14:textId="78A5CD65" w:rsidR="008927C4" w:rsidRPr="004A0212" w:rsidRDefault="796E18B8" w:rsidP="008927C4">
      <w:pPr>
        <w:pStyle w:val="Heading2"/>
        <w:rPr>
          <w:rFonts w:cs="Arial"/>
        </w:rPr>
      </w:pPr>
      <w:bookmarkStart w:id="205" w:name="_Toc374830288"/>
      <w:bookmarkStart w:id="206" w:name="_Toc168638934"/>
      <w:r w:rsidRPr="004A0212">
        <w:rPr>
          <w:rFonts w:cs="Arial"/>
        </w:rPr>
        <w:t>Attitudes towards c</w:t>
      </w:r>
      <w:r w:rsidR="32D36C2C" w:rsidRPr="004A0212">
        <w:rPr>
          <w:rFonts w:cs="Arial"/>
        </w:rPr>
        <w:t>hildren and young people</w:t>
      </w:r>
      <w:bookmarkEnd w:id="205"/>
      <w:bookmarkEnd w:id="206"/>
    </w:p>
    <w:p w14:paraId="02A6AAF7" w14:textId="035B02FF" w:rsidR="00C215CE" w:rsidRPr="004A0212" w:rsidRDefault="548E2083" w:rsidP="007D73A6">
      <w:pPr>
        <w:pStyle w:val="AllNumbparas"/>
      </w:pPr>
      <w:r w:rsidRPr="004A0212">
        <w:t>Social a</w:t>
      </w:r>
      <w:r w:rsidR="57CDDA84" w:rsidRPr="004A0212">
        <w:t xml:space="preserve">ttitudes towards children and young people </w:t>
      </w:r>
      <w:r w:rsidRPr="004A0212">
        <w:t xml:space="preserve">during the Inquiry period could be harsh. </w:t>
      </w:r>
    </w:p>
    <w:p w14:paraId="4A13F6A4" w14:textId="211B7630" w:rsidR="001356B0" w:rsidRPr="004A0212" w:rsidRDefault="14FCC980" w:rsidP="007D73A6">
      <w:pPr>
        <w:pStyle w:val="AllNumbparas"/>
      </w:pPr>
      <w:r w:rsidRPr="004A0212">
        <w:t>David Ausubel, an American psychiatrist and psychologist who was a Fulbright scholar at Victoria University in Te Whanganui-</w:t>
      </w:r>
      <w:r w:rsidR="0022296D">
        <w:t>a</w:t>
      </w:r>
      <w:r w:rsidRPr="004A0212">
        <w:t>-Tara Wellington in the late 1950s, described adult-child relationships in Aotearoa New Zealand as still being Victorian.</w:t>
      </w:r>
      <w:r w:rsidR="001356B0" w:rsidRPr="004A0212">
        <w:rPr>
          <w:rStyle w:val="StyleFootnoteReferenceFagoFunotenzeichenFagoFunotenzeichen"/>
        </w:rPr>
        <w:footnoteReference w:id="153"/>
      </w:r>
      <w:r w:rsidRPr="004A0212">
        <w:t xml:space="preserve"> </w:t>
      </w:r>
    </w:p>
    <w:p w14:paraId="7AE9C605" w14:textId="460292EE" w:rsidR="001356B0" w:rsidRPr="004A0212" w:rsidRDefault="14FCC980" w:rsidP="007D73A6">
      <w:pPr>
        <w:pStyle w:val="AllNumbparas"/>
      </w:pPr>
      <w:r w:rsidRPr="004A0212">
        <w:t>He thought Aotearoa New Zealand had an “authoritarian, moralistic and punitive approach” to youth and that normal child and adolescent misbehaviour were dealt with by overly strict discipline.</w:t>
      </w:r>
      <w:r w:rsidR="001356B0" w:rsidRPr="004A0212">
        <w:rPr>
          <w:rStyle w:val="StyleFootnoteReferenceFagoFunotenzeichenFagoFunotenzeichen"/>
        </w:rPr>
        <w:footnoteReference w:id="154"/>
      </w:r>
      <w:r w:rsidRPr="004A0212">
        <w:t xml:space="preserve"> His perception as a visitor to Aotearoa New Zealand was that New Zealanders did not seem to value open, warm relationships with children and young people and that their rights and dignity were not respected.</w:t>
      </w:r>
      <w:r w:rsidR="001356B0" w:rsidRPr="004A0212">
        <w:rPr>
          <w:rStyle w:val="StyleFootnoteReferenceFagoFunotenzeichenFagoFunotenzeichen"/>
        </w:rPr>
        <w:footnoteReference w:id="155"/>
      </w:r>
      <w:r w:rsidRPr="004A0212">
        <w:t xml:space="preserve"> </w:t>
      </w:r>
    </w:p>
    <w:p w14:paraId="00721D1D" w14:textId="4E737C18" w:rsidR="001E1D95" w:rsidRPr="004A0212" w:rsidRDefault="14FCC980" w:rsidP="007D73A6">
      <w:pPr>
        <w:pStyle w:val="AllNumbparas"/>
      </w:pPr>
      <w:r w:rsidRPr="004A0212">
        <w:t>T</w:t>
      </w:r>
      <w:r w:rsidR="57CDDA84" w:rsidRPr="004A0212">
        <w:t>hese attitudes</w:t>
      </w:r>
      <w:r w:rsidR="57CDDA84" w:rsidRPr="004A0212" w:rsidDel="00077024">
        <w:t xml:space="preserve"> </w:t>
      </w:r>
      <w:r w:rsidR="57CDDA84" w:rsidRPr="004A0212">
        <w:t>were</w:t>
      </w:r>
      <w:r w:rsidRPr="004A0212">
        <w:t xml:space="preserve"> also</w:t>
      </w:r>
      <w:r w:rsidR="57CDDA84" w:rsidRPr="004A0212">
        <w:t xml:space="preserve"> reflected in Aotearoa New Zealand’s low age of criminal responsibility. In 1950, the age of criminal responsibility was 7 years old. It was raised to 10 years old in 1961 and remained at that age for the rest of the Inquiry period.</w:t>
      </w:r>
      <w:r w:rsidR="001E1D95" w:rsidRPr="004A0212">
        <w:rPr>
          <w:rStyle w:val="StyleFootnoteReferenceFagoFunotenzeichenFagoFunotenzeichen"/>
        </w:rPr>
        <w:footnoteReference w:id="156"/>
      </w:r>
      <w:r w:rsidR="57CDDA84" w:rsidRPr="004A0212">
        <w:rPr>
          <w:rStyle w:val="FootnoteReference"/>
        </w:rPr>
        <w:t xml:space="preserve"> </w:t>
      </w:r>
      <w:r w:rsidR="57CDDA84" w:rsidRPr="004A0212">
        <w:t>Children and young people aged from 7 to</w:t>
      </w:r>
      <w:r w:rsidR="57CDDA84" w:rsidRPr="004A0212" w:rsidDel="006C18F6">
        <w:t xml:space="preserve"> </w:t>
      </w:r>
      <w:r w:rsidR="57CDDA84" w:rsidRPr="004A0212">
        <w:t>14 could be convicted of an offence if the court considered that they knew what they had done was wrong.</w:t>
      </w:r>
      <w:r w:rsidR="001E1D95" w:rsidRPr="004A0212">
        <w:rPr>
          <w:rStyle w:val="StyleFootnoteReferenceFagoFunotenzeichenFagoFunotenzeichen"/>
        </w:rPr>
        <w:footnoteReference w:id="157"/>
      </w:r>
      <w:r w:rsidR="57CDDA84" w:rsidRPr="004A0212">
        <w:t xml:space="preserve"> </w:t>
      </w:r>
    </w:p>
    <w:p w14:paraId="24408C34" w14:textId="5388B31B" w:rsidR="008927C4" w:rsidRPr="004A0212" w:rsidRDefault="6078EE0B" w:rsidP="007D73A6">
      <w:pPr>
        <w:pStyle w:val="AllNumbparas"/>
        <w:rPr>
          <w:b/>
          <w:color w:val="404040" w:themeColor="text1" w:themeTint="BF"/>
          <w:lang w:eastAsia="en-US"/>
        </w:rPr>
      </w:pPr>
      <w:r w:rsidRPr="004A0212">
        <w:t>Children and young people in care</w:t>
      </w:r>
      <w:r w:rsidR="3CB34EFF" w:rsidRPr="004A0212">
        <w:t xml:space="preserve"> settings</w:t>
      </w:r>
      <w:r w:rsidRPr="004A0212">
        <w:t xml:space="preserve"> were often viewed as troublemakers, inferior and flawed. </w:t>
      </w:r>
      <w:r w:rsidR="61235543" w:rsidRPr="004A0212">
        <w:t>S</w:t>
      </w:r>
      <w:r w:rsidRPr="004A0212">
        <w:t>ome people consider</w:t>
      </w:r>
      <w:r w:rsidR="61235543" w:rsidRPr="004A0212">
        <w:t>ed</w:t>
      </w:r>
      <w:r w:rsidRPr="004A0212">
        <w:t xml:space="preserve"> children and young people in care as beyond reform and deserving of punishment.</w:t>
      </w:r>
      <w:r w:rsidR="008927C4" w:rsidRPr="004A0212">
        <w:rPr>
          <w:rStyle w:val="StyleFootnoteReferenceFagoFunotenzeichenFagoFunotenzeichen"/>
        </w:rPr>
        <w:footnoteReference w:id="158"/>
      </w:r>
      <w:r w:rsidRPr="004A0212">
        <w:t xml:space="preserve"> </w:t>
      </w:r>
    </w:p>
    <w:p w14:paraId="5B4F63CE" w14:textId="0BC5893D" w:rsidR="008927C4" w:rsidRPr="004A0212" w:rsidRDefault="14FCC980" w:rsidP="007D73A6">
      <w:pPr>
        <w:pStyle w:val="AllNumbparas"/>
        <w:rPr>
          <w:b/>
          <w:color w:val="404040" w:themeColor="text1" w:themeTint="BF"/>
          <w:lang w:eastAsia="en-US"/>
        </w:rPr>
      </w:pPr>
      <w:r w:rsidRPr="004A0212">
        <w:t>H</w:t>
      </w:r>
      <w:r w:rsidR="6078EE0B" w:rsidRPr="004A0212">
        <w:t xml:space="preserve">arsh attitudes could </w:t>
      </w:r>
      <w:r w:rsidR="7C0FF3F9" w:rsidRPr="004A0212">
        <w:t>cri</w:t>
      </w:r>
      <w:r w:rsidR="45C744C9" w:rsidRPr="004A0212">
        <w:t>s</w:t>
      </w:r>
      <w:r w:rsidR="7C0FF3F9" w:rsidRPr="004A0212">
        <w:t xml:space="preserve">s-cross </w:t>
      </w:r>
      <w:r w:rsidR="6078EE0B" w:rsidRPr="004A0212">
        <w:t>with other prejudices.</w:t>
      </w:r>
      <w:r w:rsidR="6078EE0B" w:rsidRPr="004A0212">
        <w:rPr>
          <w:b/>
          <w:color w:val="404040" w:themeColor="text1" w:themeTint="BF"/>
          <w:lang w:eastAsia="en-US"/>
        </w:rPr>
        <w:t xml:space="preserve"> </w:t>
      </w:r>
      <w:r w:rsidR="5F8F0AEE" w:rsidRPr="004A0212">
        <w:rPr>
          <w:rStyle w:val="eop"/>
        </w:rPr>
        <w:t>Although</w:t>
      </w:r>
      <w:r w:rsidR="6078EE0B" w:rsidRPr="004A0212">
        <w:rPr>
          <w:rStyle w:val="eop"/>
        </w:rPr>
        <w:t xml:space="preserve"> most girls entering the care system </w:t>
      </w:r>
      <w:r w:rsidR="5F8F0AEE" w:rsidRPr="004A0212">
        <w:rPr>
          <w:rStyle w:val="eop"/>
        </w:rPr>
        <w:t>had</w:t>
      </w:r>
      <w:r w:rsidR="6078EE0B" w:rsidRPr="004A0212">
        <w:rPr>
          <w:rStyle w:val="eop"/>
        </w:rPr>
        <w:t xml:space="preserve"> experienced prior sexual assault,</w:t>
      </w:r>
      <w:r w:rsidR="008927C4" w:rsidRPr="004A0212">
        <w:rPr>
          <w:rStyle w:val="StyleFootnoteReferenceFagoFunotenzeichenFagoFunotenzeichen"/>
        </w:rPr>
        <w:footnoteReference w:id="159"/>
      </w:r>
      <w:r w:rsidR="6078EE0B" w:rsidRPr="004A0212">
        <w:rPr>
          <w:rStyle w:val="eop"/>
        </w:rPr>
        <w:t xml:space="preserve"> this was often </w:t>
      </w:r>
      <w:r w:rsidR="5F8F0AEE" w:rsidRPr="004A0212">
        <w:rPr>
          <w:rStyle w:val="eop"/>
        </w:rPr>
        <w:t>attributed</w:t>
      </w:r>
      <w:r w:rsidR="6078EE0B" w:rsidRPr="004A0212">
        <w:rPr>
          <w:rStyle w:val="eop"/>
        </w:rPr>
        <w:t xml:space="preserve"> to their own promiscuity and characterised as deviant sexual behaviour. Māori girls were particularly singled out by authorities as having a lax attitude toward sex and considered to be delinquent in nature.</w:t>
      </w:r>
      <w:r w:rsidR="008927C4" w:rsidRPr="004A0212">
        <w:rPr>
          <w:rStyle w:val="StyleFootnoteReferenceFagoFunotenzeichenFagoFunotenzeichen"/>
        </w:rPr>
        <w:footnoteReference w:id="160"/>
      </w:r>
    </w:p>
    <w:p w14:paraId="585CC9AF" w14:textId="77777777" w:rsidR="00FE6914" w:rsidRPr="004A0212" w:rsidRDefault="66D34FE5" w:rsidP="008927C4">
      <w:pPr>
        <w:pStyle w:val="Heading2"/>
        <w:rPr>
          <w:rFonts w:cs="Arial"/>
        </w:rPr>
      </w:pPr>
      <w:bookmarkStart w:id="207" w:name="_Toc642849408"/>
      <w:bookmarkStart w:id="208" w:name="_Toc168638935"/>
      <w:proofErr w:type="spellStart"/>
      <w:r w:rsidRPr="004A0212">
        <w:rPr>
          <w:rFonts w:cs="Arial"/>
        </w:rPr>
        <w:t>Ngā</w:t>
      </w:r>
      <w:proofErr w:type="spellEnd"/>
      <w:r w:rsidRPr="004A0212">
        <w:rPr>
          <w:rFonts w:cs="Arial"/>
        </w:rPr>
        <w:t xml:space="preserve"> </w:t>
      </w:r>
      <w:proofErr w:type="spellStart"/>
      <w:r w:rsidRPr="004A0212">
        <w:rPr>
          <w:rFonts w:cs="Arial"/>
        </w:rPr>
        <w:t>waiaro</w:t>
      </w:r>
      <w:proofErr w:type="spellEnd"/>
      <w:r w:rsidRPr="004A0212">
        <w:rPr>
          <w:rFonts w:cs="Arial"/>
        </w:rPr>
        <w:t xml:space="preserve"> ki </w:t>
      </w:r>
      <w:proofErr w:type="spellStart"/>
      <w:r w:rsidRPr="004A0212">
        <w:rPr>
          <w:rFonts w:cs="Arial"/>
        </w:rPr>
        <w:t>ngā</w:t>
      </w:r>
      <w:proofErr w:type="spellEnd"/>
      <w:r w:rsidRPr="004A0212">
        <w:rPr>
          <w:rFonts w:cs="Arial"/>
        </w:rPr>
        <w:t xml:space="preserve"> tāngata e </w:t>
      </w:r>
      <w:proofErr w:type="spellStart"/>
      <w:r w:rsidRPr="004A0212">
        <w:rPr>
          <w:rFonts w:cs="Arial"/>
        </w:rPr>
        <w:t>noho</w:t>
      </w:r>
      <w:proofErr w:type="spellEnd"/>
      <w:r w:rsidRPr="004A0212">
        <w:rPr>
          <w:rFonts w:cs="Arial"/>
        </w:rPr>
        <w:t xml:space="preserve"> </w:t>
      </w:r>
      <w:proofErr w:type="spellStart"/>
      <w:r w:rsidRPr="004A0212">
        <w:rPr>
          <w:rFonts w:cs="Arial"/>
        </w:rPr>
        <w:t>pōhara</w:t>
      </w:r>
      <w:proofErr w:type="spellEnd"/>
      <w:r w:rsidRPr="004A0212">
        <w:rPr>
          <w:rFonts w:cs="Arial"/>
        </w:rPr>
        <w:t xml:space="preserve"> ana</w:t>
      </w:r>
      <w:bookmarkEnd w:id="207"/>
      <w:bookmarkEnd w:id="208"/>
      <w:r w:rsidR="7A66E635" w:rsidRPr="004A0212">
        <w:rPr>
          <w:rFonts w:cs="Arial"/>
        </w:rPr>
        <w:t xml:space="preserve"> </w:t>
      </w:r>
    </w:p>
    <w:p w14:paraId="0FB4C987" w14:textId="3592B5FF" w:rsidR="008927C4" w:rsidRPr="004A0212" w:rsidRDefault="796E18B8" w:rsidP="008927C4">
      <w:pPr>
        <w:pStyle w:val="Heading2"/>
        <w:rPr>
          <w:rFonts w:cs="Arial"/>
        </w:rPr>
      </w:pPr>
      <w:bookmarkStart w:id="209" w:name="_Toc1014010246"/>
      <w:bookmarkStart w:id="210" w:name="_Toc168638936"/>
      <w:r w:rsidRPr="004A0212">
        <w:rPr>
          <w:rFonts w:cs="Arial"/>
        </w:rPr>
        <w:t>Attitudes towards people living in poverty</w:t>
      </w:r>
      <w:bookmarkEnd w:id="209"/>
      <w:bookmarkEnd w:id="210"/>
    </w:p>
    <w:p w14:paraId="508A46AC" w14:textId="7E77C5A3" w:rsidR="00DE2388" w:rsidRPr="004A0212" w:rsidRDefault="71243E13" w:rsidP="00DE2388">
      <w:pPr>
        <w:pStyle w:val="Numbparas"/>
      </w:pPr>
      <w:r w:rsidRPr="004A0212">
        <w:t xml:space="preserve"> </w:t>
      </w:r>
      <w:r w:rsidR="1DB3D097" w:rsidRPr="004A0212">
        <w:t xml:space="preserve">Families and communities experiencing poverty often faced </w:t>
      </w:r>
      <w:r w:rsidR="117F916E" w:rsidRPr="004A0212">
        <w:t>judgement</w:t>
      </w:r>
      <w:r w:rsidR="1DB3D097" w:rsidRPr="004A0212">
        <w:t>, multiple stressors such as issues with income and housing instability, and lacked the time and resources to forge strong social connections</w:t>
      </w:r>
      <w:r w:rsidR="1B6CC32B" w:rsidRPr="004A0212">
        <w:t>.</w:t>
      </w:r>
      <w:r w:rsidR="00B76E8C" w:rsidRPr="004A0212">
        <w:rPr>
          <w:rStyle w:val="StyleFootnoteReferenceFagoFunotenzeichenFagoFunotenzeichen"/>
        </w:rPr>
        <w:footnoteReference w:id="161"/>
      </w:r>
      <w:r w:rsidR="1DB3D097" w:rsidRPr="004A0212">
        <w:t xml:space="preserve"> </w:t>
      </w:r>
      <w:r w:rsidR="1B6CC32B" w:rsidRPr="004A0212">
        <w:t>Social stories and beliefs about poverty in Aotearoa New Zealand – for example, in the media</w:t>
      </w:r>
      <w:r w:rsidR="69CAB10E" w:rsidRPr="004A0212">
        <w:t xml:space="preserve"> – </w:t>
      </w:r>
      <w:r w:rsidR="1B6CC32B" w:rsidRPr="004A0212">
        <w:t>represented poor families as a dangerous social underclass characterised by</w:t>
      </w:r>
      <w:r w:rsidR="1DB3D097" w:rsidRPr="004A0212">
        <w:t xml:space="preserve"> m</w:t>
      </w:r>
      <w:r w:rsidRPr="004A0212">
        <w:t>oral decline, welfare-dependency, large families and criminality.</w:t>
      </w:r>
      <w:r w:rsidR="00DE2388" w:rsidRPr="004A0212">
        <w:rPr>
          <w:rStyle w:val="StyleFootnoteReferenceFagoFunotenzeichenFagoFunotenzeichen"/>
        </w:rPr>
        <w:footnoteReference w:id="162"/>
      </w:r>
      <w:r w:rsidRPr="004A0212">
        <w:t xml:space="preserve"> </w:t>
      </w:r>
      <w:r w:rsidR="64C55035" w:rsidRPr="004A0212">
        <w:t xml:space="preserve">The Inquiry heard from </w:t>
      </w:r>
      <w:r w:rsidR="2DE448FA" w:rsidRPr="004A0212">
        <w:t>P</w:t>
      </w:r>
      <w:r w:rsidR="084F1EDC" w:rsidRPr="004A0212">
        <w:rPr>
          <w:rStyle w:val="normaltextrun"/>
        </w:rPr>
        <w:t>ā</w:t>
      </w:r>
      <w:r w:rsidR="2DE448FA" w:rsidRPr="004A0212">
        <w:t>keh</w:t>
      </w:r>
      <w:r w:rsidR="084F1EDC" w:rsidRPr="004A0212">
        <w:rPr>
          <w:rStyle w:val="normaltextrun"/>
        </w:rPr>
        <w:t>ā</w:t>
      </w:r>
      <w:r w:rsidR="2DE448FA" w:rsidRPr="004A0212">
        <w:t xml:space="preserve">, </w:t>
      </w:r>
      <w:r w:rsidR="084F1EDC" w:rsidRPr="004A0212">
        <w:rPr>
          <w:rStyle w:val="normaltextrun"/>
        </w:rPr>
        <w:t>Māori</w:t>
      </w:r>
      <w:r w:rsidR="2DE448FA" w:rsidRPr="004A0212">
        <w:t xml:space="preserve"> and Pacific survivors who were impacted </w:t>
      </w:r>
      <w:r w:rsidR="084F1EDC" w:rsidRPr="004A0212">
        <w:t>by these attitudes, along with their wider families.</w:t>
      </w:r>
    </w:p>
    <w:p w14:paraId="205CE8FD" w14:textId="49BF9398" w:rsidR="008927C4" w:rsidRPr="004A0212" w:rsidRDefault="6078EE0B" w:rsidP="007D73A6">
      <w:pPr>
        <w:pStyle w:val="AllNumbparas"/>
      </w:pPr>
      <w:r w:rsidRPr="004A0212">
        <w:t xml:space="preserve">Research shows poverty is a significant </w:t>
      </w:r>
      <w:r w:rsidR="6DD12509" w:rsidRPr="004A0212">
        <w:t xml:space="preserve">contributing </w:t>
      </w:r>
      <w:r w:rsidRPr="004A0212">
        <w:t xml:space="preserve">factor for children entering care, and for families and communities experiencing generations of State and faith-based involvement. </w:t>
      </w:r>
      <w:r w:rsidR="52BE430E" w:rsidRPr="004A0212">
        <w:t xml:space="preserve">The </w:t>
      </w:r>
      <w:r w:rsidRPr="004A0212">
        <w:t xml:space="preserve">report </w:t>
      </w:r>
      <w:r w:rsidR="52BE430E" w:rsidRPr="004A0212">
        <w:t>Cracks in the Dam</w:t>
      </w:r>
      <w:r w:rsidR="0A7DF570" w:rsidRPr="004A0212">
        <w:t xml:space="preserve"> looks</w:t>
      </w:r>
      <w:r w:rsidRPr="004A0212">
        <w:t xml:space="preserve"> at how social and economic forces impacted the care system</w:t>
      </w:r>
      <w:r w:rsidR="0E270CEF" w:rsidRPr="004A0212">
        <w:t xml:space="preserve"> in Aotearoa New Zealand</w:t>
      </w:r>
      <w:r w:rsidR="49159904" w:rsidRPr="004A0212">
        <w:t>,</w:t>
      </w:r>
      <w:r w:rsidRPr="004A0212">
        <w:t xml:space="preserve"> </w:t>
      </w:r>
      <w:r w:rsidR="49159904" w:rsidRPr="004A0212">
        <w:t xml:space="preserve">stating </w:t>
      </w:r>
      <w:r w:rsidR="5F8F0AEE" w:rsidRPr="004A0212">
        <w:t>that</w:t>
      </w:r>
      <w:r w:rsidRPr="004A0212">
        <w:t>:</w:t>
      </w:r>
    </w:p>
    <w:p w14:paraId="2762E7EF" w14:textId="08782DE9" w:rsidR="008927C4" w:rsidRPr="004A0212" w:rsidRDefault="008927C4" w:rsidP="000709F5">
      <w:pPr>
        <w:pStyle w:val="AllQuotes"/>
        <w:ind w:right="-46"/>
        <w:rPr>
          <w:rStyle w:val="normaltextrun"/>
          <w:rFonts w:eastAsia="Calibri" w:cs="Arial"/>
          <w:bCs/>
          <w:color w:val="000000"/>
          <w:szCs w:val="22"/>
          <w:shd w:val="clear" w:color="auto" w:fill="FFFFFF"/>
        </w:rPr>
      </w:pPr>
      <w:r w:rsidRPr="004A0212">
        <w:rPr>
          <w:rFonts w:cs="Arial"/>
        </w:rPr>
        <w:t>“</w:t>
      </w:r>
      <w:proofErr w:type="gramStart"/>
      <w:r w:rsidRPr="004A0212">
        <w:rPr>
          <w:rFonts w:cs="Arial"/>
        </w:rPr>
        <w:t>c</w:t>
      </w:r>
      <w:r w:rsidRPr="004A0212">
        <w:rPr>
          <w:rStyle w:val="normaltextrun"/>
          <w:rFonts w:cs="Arial"/>
          <w:color w:val="000000"/>
          <w:shd w:val="clear" w:color="auto" w:fill="FFFFFF"/>
        </w:rPr>
        <w:t>ompared</w:t>
      </w:r>
      <w:proofErr w:type="gramEnd"/>
      <w:r w:rsidRPr="004A0212">
        <w:rPr>
          <w:rStyle w:val="normaltextrun"/>
          <w:rFonts w:cs="Arial"/>
          <w:color w:val="000000"/>
          <w:shd w:val="clear" w:color="auto" w:fill="FFFFFF"/>
        </w:rPr>
        <w:t xml:space="preserve"> to children in the richest fifth of local areas, children in the poorest fifth areas have 13 times the rate of ‘substantiation’ (a finding by child protection officials that abuse has occurred). They are also six times more likely to be placed out of their family</w:t>
      </w:r>
      <w:r w:rsidR="009F25AF" w:rsidRPr="004A0212">
        <w:rPr>
          <w:rStyle w:val="normaltextrun"/>
          <w:rFonts w:cs="Arial"/>
          <w:color w:val="000000"/>
          <w:shd w:val="clear" w:color="auto" w:fill="FFFFFF"/>
        </w:rPr>
        <w:t>’</w:t>
      </w:r>
      <w:r w:rsidRPr="004A0212">
        <w:rPr>
          <w:rStyle w:val="normaltextrun"/>
          <w:rFonts w:cs="Arial"/>
          <w:color w:val="000000"/>
          <w:shd w:val="clear" w:color="auto" w:fill="FFFFFF"/>
        </w:rPr>
        <w:t>s care”</w:t>
      </w:r>
      <w:r w:rsidR="00C24791" w:rsidRPr="004A0212">
        <w:rPr>
          <w:rStyle w:val="normaltextrun"/>
          <w:rFonts w:cs="Arial"/>
          <w:color w:val="000000"/>
          <w:shd w:val="clear" w:color="auto" w:fill="FFFFFF"/>
        </w:rPr>
        <w:t>.</w:t>
      </w:r>
      <w:r w:rsidRPr="004A0212">
        <w:rPr>
          <w:rStyle w:val="StyleFootnoteReferenceFagoFunotenzeichenFagoFunotenzeichen"/>
        </w:rPr>
        <w:footnoteReference w:id="163"/>
      </w:r>
    </w:p>
    <w:p w14:paraId="1868943E" w14:textId="73D05330" w:rsidR="008927C4" w:rsidRPr="004A0212" w:rsidRDefault="6078EE0B" w:rsidP="009574D1">
      <w:pPr>
        <w:pStyle w:val="Numbparas"/>
      </w:pPr>
      <w:r w:rsidRPr="004A0212">
        <w:t xml:space="preserve">These higher rates </w:t>
      </w:r>
      <w:r w:rsidR="68C4C453" w:rsidRPr="004A0212">
        <w:t>of findings that abuse has occurred</w:t>
      </w:r>
      <w:r w:rsidRPr="004A0212">
        <w:t xml:space="preserve"> can be due to factors such as </w:t>
      </w:r>
      <w:r w:rsidR="117F916E" w:rsidRPr="004A0212">
        <w:t>negative attitudes towards</w:t>
      </w:r>
      <w:r w:rsidRPr="004A0212">
        <w:t xml:space="preserve"> poorer communities, over-surveillance, racism and bias and lack of services that support families.</w:t>
      </w:r>
      <w:r w:rsidR="008927C4" w:rsidRPr="004A0212">
        <w:rPr>
          <w:rStyle w:val="StyleFootnoteReferenceFagoFunotenzeichenFagoFunotenzeichen"/>
        </w:rPr>
        <w:footnoteReference w:id="164"/>
      </w:r>
    </w:p>
    <w:p w14:paraId="474ECACB" w14:textId="1E3CEEEA" w:rsidR="00FE6914" w:rsidRPr="004A0212" w:rsidRDefault="25D4F882" w:rsidP="001142DD">
      <w:pPr>
        <w:pStyle w:val="Heading2"/>
        <w:keepNext/>
        <w:keepLines/>
        <w:rPr>
          <w:rFonts w:cs="Arial"/>
        </w:rPr>
      </w:pPr>
      <w:bookmarkStart w:id="211" w:name="_Toc1650089986"/>
      <w:bookmarkStart w:id="212" w:name="_Toc168638937"/>
      <w:proofErr w:type="spellStart"/>
      <w:r w:rsidRPr="004A0212">
        <w:rPr>
          <w:rFonts w:cs="Arial"/>
        </w:rPr>
        <w:t>Te</w:t>
      </w:r>
      <w:proofErr w:type="spellEnd"/>
      <w:r w:rsidRPr="004A0212">
        <w:rPr>
          <w:rFonts w:cs="Arial"/>
        </w:rPr>
        <w:t xml:space="preserve"> wāhi o </w:t>
      </w:r>
      <w:proofErr w:type="spellStart"/>
      <w:r w:rsidRPr="004A0212">
        <w:rPr>
          <w:rFonts w:cs="Arial"/>
        </w:rPr>
        <w:t>te</w:t>
      </w:r>
      <w:proofErr w:type="spellEnd"/>
      <w:r w:rsidRPr="004A0212">
        <w:rPr>
          <w:rFonts w:cs="Arial"/>
        </w:rPr>
        <w:t xml:space="preserve"> </w:t>
      </w:r>
      <w:proofErr w:type="spellStart"/>
      <w:r w:rsidRPr="004A0212">
        <w:rPr>
          <w:rFonts w:cs="Arial"/>
        </w:rPr>
        <w:t>ao</w:t>
      </w:r>
      <w:proofErr w:type="spellEnd"/>
      <w:r w:rsidRPr="004A0212">
        <w:rPr>
          <w:rFonts w:cs="Arial"/>
        </w:rPr>
        <w:t xml:space="preserve"> </w:t>
      </w:r>
      <w:proofErr w:type="spellStart"/>
      <w:r w:rsidRPr="004A0212">
        <w:rPr>
          <w:rFonts w:cs="Arial"/>
        </w:rPr>
        <w:t>pāpāho</w:t>
      </w:r>
      <w:proofErr w:type="spellEnd"/>
      <w:r w:rsidRPr="004A0212">
        <w:rPr>
          <w:rFonts w:cs="Arial"/>
        </w:rPr>
        <w:t xml:space="preserve"> ki </w:t>
      </w:r>
      <w:proofErr w:type="spellStart"/>
      <w:r w:rsidRPr="004A0212">
        <w:rPr>
          <w:rFonts w:cs="Arial"/>
        </w:rPr>
        <w:t>te</w:t>
      </w:r>
      <w:proofErr w:type="spellEnd"/>
      <w:r w:rsidRPr="004A0212">
        <w:rPr>
          <w:rFonts w:cs="Arial"/>
        </w:rPr>
        <w:t xml:space="preserve"> </w:t>
      </w:r>
      <w:proofErr w:type="spellStart"/>
      <w:r w:rsidRPr="004A0212">
        <w:rPr>
          <w:rFonts w:cs="Arial"/>
        </w:rPr>
        <w:t>whakaū</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ngā</w:t>
      </w:r>
      <w:proofErr w:type="spellEnd"/>
      <w:r w:rsidRPr="004A0212">
        <w:rPr>
          <w:rFonts w:cs="Arial"/>
        </w:rPr>
        <w:t xml:space="preserve"> </w:t>
      </w:r>
      <w:proofErr w:type="spellStart"/>
      <w:r w:rsidRPr="004A0212">
        <w:rPr>
          <w:rFonts w:cs="Arial"/>
        </w:rPr>
        <w:t>waiaro</w:t>
      </w:r>
      <w:proofErr w:type="spellEnd"/>
      <w:r w:rsidR="7C2E5FA9" w:rsidRPr="004A0212">
        <w:rPr>
          <w:rFonts w:cs="Arial"/>
        </w:rPr>
        <w:t xml:space="preserve"> </w:t>
      </w:r>
      <w:r w:rsidRPr="004A0212">
        <w:rPr>
          <w:rFonts w:cs="Arial"/>
        </w:rPr>
        <w:t>ā-</w:t>
      </w:r>
      <w:proofErr w:type="spellStart"/>
      <w:r w:rsidRPr="004A0212">
        <w:rPr>
          <w:rFonts w:cs="Arial"/>
        </w:rPr>
        <w:t>pāpori</w:t>
      </w:r>
      <w:bookmarkEnd w:id="211"/>
      <w:bookmarkEnd w:id="212"/>
      <w:proofErr w:type="spellEnd"/>
      <w:r w:rsidRPr="004A0212">
        <w:rPr>
          <w:rFonts w:cs="Arial"/>
        </w:rPr>
        <w:t xml:space="preserve"> </w:t>
      </w:r>
    </w:p>
    <w:p w14:paraId="7F0BCEE2" w14:textId="1C320DF9" w:rsidR="008927C4" w:rsidRPr="004A0212" w:rsidRDefault="1C91FA1F" w:rsidP="001142DD">
      <w:pPr>
        <w:pStyle w:val="Heading2"/>
        <w:keepNext/>
        <w:keepLines/>
        <w:rPr>
          <w:rFonts w:cs="Arial"/>
        </w:rPr>
      </w:pPr>
      <w:bookmarkStart w:id="213" w:name="_Toc634650922"/>
      <w:bookmarkStart w:id="214" w:name="_Toc168638938"/>
      <w:r w:rsidRPr="004A0212">
        <w:rPr>
          <w:rFonts w:cs="Arial"/>
        </w:rPr>
        <w:t>Media’s role in enforcing societal attitudes</w:t>
      </w:r>
      <w:bookmarkEnd w:id="213"/>
      <w:bookmarkEnd w:id="214"/>
    </w:p>
    <w:p w14:paraId="030CB56F" w14:textId="22A65ADB" w:rsidR="008927C4" w:rsidRPr="004A0212" w:rsidRDefault="6078EE0B" w:rsidP="007D73A6">
      <w:pPr>
        <w:pStyle w:val="AllNumbparas"/>
      </w:pPr>
      <w:r w:rsidRPr="004A0212">
        <w:t xml:space="preserve">Throughout the </w:t>
      </w:r>
      <w:r w:rsidR="5FFF8F5F" w:rsidRPr="004A0212">
        <w:t>Inquiry</w:t>
      </w:r>
      <w:r w:rsidRPr="004A0212">
        <w:t xml:space="preserve"> period media depictions often reinforced negative stereotypes towards Māori, </w:t>
      </w:r>
      <w:r w:rsidR="4328E567" w:rsidRPr="004A0212">
        <w:t>P</w:t>
      </w:r>
      <w:r w:rsidR="2734A875" w:rsidRPr="004A0212">
        <w:t>acific</w:t>
      </w:r>
      <w:r w:rsidR="4328E567" w:rsidRPr="004A0212">
        <w:t xml:space="preserve"> peoples</w:t>
      </w:r>
      <w:r w:rsidR="0167FC79" w:rsidRPr="004A0212">
        <w:t>, and di</w:t>
      </w:r>
      <w:r w:rsidR="2328F9F1" w:rsidRPr="004A0212">
        <w:t xml:space="preserve">sabled </w:t>
      </w:r>
      <w:r w:rsidRPr="004A0212">
        <w:t xml:space="preserve">people </w:t>
      </w:r>
      <w:r w:rsidR="1A53AC23" w:rsidRPr="004A0212">
        <w:t>who experienced</w:t>
      </w:r>
      <w:r w:rsidR="084F1EDC" w:rsidRPr="004A0212">
        <w:t xml:space="preserve"> poverty</w:t>
      </w:r>
      <w:r w:rsidRPr="004A0212">
        <w:t xml:space="preserve"> and people </w:t>
      </w:r>
      <w:r w:rsidR="1A53AC23" w:rsidRPr="004A0212">
        <w:t>who experienced</w:t>
      </w:r>
      <w:r w:rsidRPr="004A0212">
        <w:t xml:space="preserve"> mental distress. </w:t>
      </w:r>
    </w:p>
    <w:p w14:paraId="4D3C5A15" w14:textId="62F840D9" w:rsidR="00FE6914" w:rsidRPr="004A0212" w:rsidRDefault="1ED5DEC2" w:rsidP="008927C4">
      <w:pPr>
        <w:pStyle w:val="Heading3"/>
        <w:rPr>
          <w:rFonts w:cs="Arial"/>
        </w:rPr>
      </w:pPr>
      <w:bookmarkStart w:id="215" w:name="_Toc1625648734"/>
      <w:bookmarkStart w:id="216" w:name="_Toc168638939"/>
      <w:proofErr w:type="spellStart"/>
      <w:r w:rsidRPr="004A0212">
        <w:rPr>
          <w:rFonts w:cs="Arial"/>
        </w:rPr>
        <w:t>Ngā</w:t>
      </w:r>
      <w:proofErr w:type="spellEnd"/>
      <w:r w:rsidRPr="004A0212">
        <w:rPr>
          <w:rFonts w:cs="Arial"/>
        </w:rPr>
        <w:t xml:space="preserve"> </w:t>
      </w:r>
      <w:proofErr w:type="spellStart"/>
      <w:r w:rsidRPr="004A0212">
        <w:rPr>
          <w:rFonts w:cs="Arial"/>
        </w:rPr>
        <w:t>arotoka</w:t>
      </w:r>
      <w:proofErr w:type="spellEnd"/>
      <w:r w:rsidRPr="004A0212">
        <w:rPr>
          <w:rFonts w:cs="Arial"/>
        </w:rPr>
        <w:t xml:space="preserve"> </w:t>
      </w:r>
      <w:proofErr w:type="spellStart"/>
      <w:r w:rsidRPr="004A0212">
        <w:rPr>
          <w:rFonts w:cs="Arial"/>
        </w:rPr>
        <w:t>whakakino</w:t>
      </w:r>
      <w:proofErr w:type="spellEnd"/>
      <w:r w:rsidRPr="004A0212">
        <w:rPr>
          <w:rFonts w:cs="Arial"/>
        </w:rPr>
        <w:t xml:space="preserve"> </w:t>
      </w:r>
      <w:proofErr w:type="spellStart"/>
      <w:r w:rsidRPr="004A0212">
        <w:rPr>
          <w:rFonts w:cs="Arial"/>
        </w:rPr>
        <w:t>mō</w:t>
      </w:r>
      <w:proofErr w:type="spellEnd"/>
      <w:r w:rsidRPr="004A0212">
        <w:rPr>
          <w:rFonts w:cs="Arial"/>
        </w:rPr>
        <w:t xml:space="preserve"> </w:t>
      </w:r>
      <w:proofErr w:type="spellStart"/>
      <w:r w:rsidRPr="004A0212">
        <w:rPr>
          <w:rFonts w:cs="Arial"/>
        </w:rPr>
        <w:t>te</w:t>
      </w:r>
      <w:proofErr w:type="spellEnd"/>
      <w:r w:rsidRPr="004A0212">
        <w:rPr>
          <w:rFonts w:cs="Arial"/>
        </w:rPr>
        <w:t xml:space="preserve"> Māori </w:t>
      </w:r>
      <w:proofErr w:type="spellStart"/>
      <w:r w:rsidRPr="004A0212">
        <w:rPr>
          <w:rFonts w:cs="Arial"/>
        </w:rPr>
        <w:t>i</w:t>
      </w:r>
      <w:proofErr w:type="spellEnd"/>
      <w:r w:rsidRPr="004A0212">
        <w:rPr>
          <w:rFonts w:cs="Arial"/>
        </w:rPr>
        <w:t xml:space="preserve"> </w:t>
      </w:r>
      <w:proofErr w:type="spellStart"/>
      <w:r w:rsidRPr="004A0212">
        <w:rPr>
          <w:rFonts w:cs="Arial"/>
        </w:rPr>
        <w:t>whakaū</w:t>
      </w:r>
      <w:bookmarkEnd w:id="215"/>
      <w:bookmarkEnd w:id="216"/>
      <w:proofErr w:type="spellEnd"/>
      <w:r w:rsidR="7A66E635" w:rsidRPr="004A0212">
        <w:rPr>
          <w:rFonts w:cs="Arial"/>
        </w:rPr>
        <w:t xml:space="preserve"> </w:t>
      </w:r>
    </w:p>
    <w:p w14:paraId="19990438" w14:textId="0D7499C9" w:rsidR="008927C4" w:rsidRPr="004A0212" w:rsidRDefault="796E18B8" w:rsidP="008927C4">
      <w:pPr>
        <w:pStyle w:val="Heading3"/>
        <w:rPr>
          <w:rFonts w:cs="Arial"/>
        </w:rPr>
      </w:pPr>
      <w:bookmarkStart w:id="217" w:name="_Toc820075618"/>
      <w:bookmarkStart w:id="218" w:name="_Toc168638940"/>
      <w:r w:rsidRPr="004A0212">
        <w:rPr>
          <w:rFonts w:cs="Arial"/>
        </w:rPr>
        <w:t xml:space="preserve">Negative stereotypes of </w:t>
      </w:r>
      <w:r w:rsidR="32B84133" w:rsidRPr="004A0212">
        <w:rPr>
          <w:rFonts w:cs="Arial"/>
        </w:rPr>
        <w:t xml:space="preserve">Māori </w:t>
      </w:r>
      <w:r w:rsidRPr="004A0212">
        <w:rPr>
          <w:rFonts w:cs="Arial"/>
        </w:rPr>
        <w:t>were reinforced</w:t>
      </w:r>
      <w:bookmarkEnd w:id="217"/>
      <w:bookmarkEnd w:id="218"/>
    </w:p>
    <w:p w14:paraId="1E43A839" w14:textId="208259BF" w:rsidR="008927C4" w:rsidRPr="004A0212" w:rsidRDefault="01906D9B" w:rsidP="007D73A6">
      <w:pPr>
        <w:pStyle w:val="AllNumbparas"/>
      </w:pPr>
      <w:r w:rsidRPr="004A0212">
        <w:t xml:space="preserve">Māori have </w:t>
      </w:r>
      <w:r w:rsidR="49159904" w:rsidRPr="004A0212">
        <w:t>consistently</w:t>
      </w:r>
      <w:r w:rsidRPr="004A0212">
        <w:t xml:space="preserve"> been</w:t>
      </w:r>
      <w:r w:rsidR="6078EE0B" w:rsidRPr="004A0212">
        <w:t xml:space="preserve"> discriminated against through the media. This started with colonial news media wanting to depict Māori as threatening, immoral and violent to fit with the view that Māori needed civilising and to “discredit their struggle for land and rights”.</w:t>
      </w:r>
      <w:r w:rsidR="008927C4" w:rsidRPr="004A0212">
        <w:rPr>
          <w:rStyle w:val="StyleFootnoteReferenceFagoFunotenzeichenFagoFunotenzeichen"/>
        </w:rPr>
        <w:footnoteReference w:id="165"/>
      </w:r>
      <w:r w:rsidR="6078EE0B" w:rsidRPr="004A0212">
        <w:t xml:space="preserve"> </w:t>
      </w:r>
    </w:p>
    <w:p w14:paraId="24994EF4" w14:textId="10E3ABCF" w:rsidR="008927C4" w:rsidRPr="004A0212" w:rsidRDefault="6078EE0B" w:rsidP="007D73A6">
      <w:pPr>
        <w:pStyle w:val="AllNumbparas"/>
      </w:pPr>
      <w:r w:rsidRPr="004A0212">
        <w:t xml:space="preserve">From 1950 to 1999 the media continued discriminating against Māori, often with sensationalised stories. A 1952 </w:t>
      </w:r>
      <w:r w:rsidR="404986A3" w:rsidRPr="004A0212">
        <w:t xml:space="preserve">article in The </w:t>
      </w:r>
      <w:r w:rsidRPr="004A0212">
        <w:t xml:space="preserve">Press discussing the health of Māori children </w:t>
      </w:r>
      <w:r w:rsidRPr="004A0212">
        <w:rPr>
          <w:color w:val="auto"/>
        </w:rPr>
        <w:t xml:space="preserve">quoted a </w:t>
      </w:r>
      <w:r w:rsidR="59A53814" w:rsidRPr="004A0212">
        <w:rPr>
          <w:color w:val="auto"/>
        </w:rPr>
        <w:t xml:space="preserve">Department </w:t>
      </w:r>
      <w:r w:rsidR="59A53814" w:rsidRPr="004A0212">
        <w:t xml:space="preserve">of Health </w:t>
      </w:r>
      <w:r w:rsidRPr="004A0212">
        <w:rPr>
          <w:color w:val="auto"/>
        </w:rPr>
        <w:t xml:space="preserve">official </w:t>
      </w:r>
      <w:r w:rsidR="5F8F0AEE" w:rsidRPr="004A0212">
        <w:t>who suggested</w:t>
      </w:r>
      <w:r w:rsidRPr="004A0212">
        <w:t xml:space="preserve"> </w:t>
      </w:r>
      <w:r w:rsidR="6EC0B7C3" w:rsidRPr="004A0212">
        <w:t xml:space="preserve">that </w:t>
      </w:r>
      <w:r w:rsidRPr="004A0212">
        <w:t>Māori mothers spent the child benefit on sweets, taxis and gambling and were partially to blame for Māori infant mortality.</w:t>
      </w:r>
      <w:r w:rsidR="008927C4" w:rsidRPr="004A0212">
        <w:rPr>
          <w:rStyle w:val="StyleFootnoteReferenceFagoFunotenzeichenFagoFunotenzeichen"/>
        </w:rPr>
        <w:footnoteReference w:id="166"/>
      </w:r>
      <w:r w:rsidRPr="004A0212">
        <w:t xml:space="preserve"> </w:t>
      </w:r>
    </w:p>
    <w:p w14:paraId="28769B9E" w14:textId="77777777" w:rsidR="008927C4" w:rsidRPr="004A0212" w:rsidRDefault="6078EE0B" w:rsidP="007D73A6">
      <w:pPr>
        <w:pStyle w:val="AllNumbparas"/>
      </w:pPr>
      <w:r w:rsidRPr="004A0212">
        <w:t>Consistent themes used by the media during the Inquiry period include:</w:t>
      </w:r>
    </w:p>
    <w:p w14:paraId="693CBFFB" w14:textId="3C8085CC" w:rsidR="008927C4" w:rsidRPr="004A0212" w:rsidRDefault="27E715E2" w:rsidP="00F42AAA">
      <w:pPr>
        <w:pStyle w:val="Bulletpoints"/>
      </w:pPr>
      <w:r w:rsidRPr="004A0212">
        <w:t xml:space="preserve">the </w:t>
      </w:r>
      <w:r w:rsidR="0428A9CF" w:rsidRPr="004A0212">
        <w:t>‘</w:t>
      </w:r>
      <w:r w:rsidR="0D214A15" w:rsidRPr="004A0212">
        <w:t xml:space="preserve">Māori </w:t>
      </w:r>
      <w:r w:rsidR="25DF5DCC" w:rsidRPr="004A0212">
        <w:t xml:space="preserve">violence’ </w:t>
      </w:r>
      <w:r w:rsidR="0D214A15" w:rsidRPr="004A0212">
        <w:t>theme, which portrays Māori as more likely to be violent</w:t>
      </w:r>
      <w:r w:rsidR="00EB596E" w:rsidRPr="004A0212">
        <w:t xml:space="preserve"> and in need of </w:t>
      </w:r>
      <w:r w:rsidR="00DD7AAA" w:rsidRPr="004A0212">
        <w:t>control on account of their presumed ‘danger’</w:t>
      </w:r>
    </w:p>
    <w:p w14:paraId="5A9DFA3E" w14:textId="7F405E25" w:rsidR="008927C4" w:rsidRPr="004A0212" w:rsidRDefault="27E715E2" w:rsidP="00F42AAA">
      <w:pPr>
        <w:pStyle w:val="Bulletpoints"/>
      </w:pPr>
      <w:r w:rsidRPr="004A0212">
        <w:t xml:space="preserve">the </w:t>
      </w:r>
      <w:r w:rsidR="0428A9CF" w:rsidRPr="004A0212">
        <w:t>‘</w:t>
      </w:r>
      <w:r w:rsidR="25DF5DCC" w:rsidRPr="004A0212">
        <w:t xml:space="preserve">stirrers’ </w:t>
      </w:r>
      <w:r w:rsidR="0D214A15" w:rsidRPr="004A0212">
        <w:t>theme, which depicts Māori who challenge the status quo as troublemakers</w:t>
      </w:r>
    </w:p>
    <w:p w14:paraId="7995F23D" w14:textId="347CB13F" w:rsidR="008927C4" w:rsidRPr="004A0212" w:rsidRDefault="27E715E2" w:rsidP="00F42AAA">
      <w:pPr>
        <w:pStyle w:val="Bulletpoints"/>
      </w:pPr>
      <w:r w:rsidRPr="004A0212">
        <w:t>the ‘</w:t>
      </w:r>
      <w:r w:rsidR="25DF5DCC" w:rsidRPr="004A0212">
        <w:t xml:space="preserve">good </w:t>
      </w:r>
      <w:r w:rsidR="0D214A15" w:rsidRPr="004A0212">
        <w:t>Māori/</w:t>
      </w:r>
      <w:r w:rsidR="25DF5DCC" w:rsidRPr="004A0212">
        <w:t xml:space="preserve">bad </w:t>
      </w:r>
      <w:r w:rsidR="0D214A15" w:rsidRPr="004A0212">
        <w:t>Māori</w:t>
      </w:r>
      <w:r w:rsidRPr="004A0212">
        <w:t>’</w:t>
      </w:r>
      <w:r w:rsidR="0D214A15" w:rsidRPr="004A0212">
        <w:t xml:space="preserve"> theme, which portrays Māori who resist, demand recognition or seek restitution as bad</w:t>
      </w:r>
    </w:p>
    <w:p w14:paraId="087B0693" w14:textId="2793C8DF" w:rsidR="008927C4" w:rsidRPr="004A0212" w:rsidRDefault="7285A8F0" w:rsidP="00F42AAA">
      <w:pPr>
        <w:pStyle w:val="Bulletpoints"/>
      </w:pPr>
      <w:r w:rsidRPr="004A0212">
        <w:t>t</w:t>
      </w:r>
      <w:r w:rsidR="0D214A15" w:rsidRPr="004A0212">
        <w:t xml:space="preserve">he </w:t>
      </w:r>
      <w:r w:rsidRPr="004A0212">
        <w:t>‘</w:t>
      </w:r>
      <w:r w:rsidR="0D214A15" w:rsidRPr="004A0212">
        <w:t xml:space="preserve">Māori </w:t>
      </w:r>
      <w:r w:rsidR="226CEB26" w:rsidRPr="004A0212">
        <w:t>r</w:t>
      </w:r>
      <w:r w:rsidR="0D214A15" w:rsidRPr="004A0212">
        <w:t>esources</w:t>
      </w:r>
      <w:r w:rsidRPr="004A0212">
        <w:t>’</w:t>
      </w:r>
      <w:r w:rsidR="0D214A15" w:rsidRPr="004A0212">
        <w:t xml:space="preserve"> theme, which constructs potential or actual Māori control of land, fisheries or money as a threat to others</w:t>
      </w:r>
    </w:p>
    <w:p w14:paraId="72B7E4FB" w14:textId="032E30BD" w:rsidR="008927C4" w:rsidRPr="004A0212" w:rsidRDefault="7285A8F0" w:rsidP="00F42AAA">
      <w:pPr>
        <w:pStyle w:val="Bulletpoints"/>
      </w:pPr>
      <w:r w:rsidRPr="004A0212">
        <w:t>the ‘</w:t>
      </w:r>
      <w:r w:rsidR="25DF5DCC" w:rsidRPr="004A0212">
        <w:t xml:space="preserve">financial probity’ </w:t>
      </w:r>
      <w:r w:rsidR="0D214A15" w:rsidRPr="004A0212">
        <w:t>theme</w:t>
      </w:r>
      <w:r w:rsidRPr="004A0212">
        <w:t>, which</w:t>
      </w:r>
      <w:r w:rsidR="0D214A15" w:rsidRPr="004A0212">
        <w:t xml:space="preserve"> involves persistent depictions of Māori as corrupt or economically incompetent.</w:t>
      </w:r>
      <w:r w:rsidR="008927C4" w:rsidRPr="004A0212">
        <w:rPr>
          <w:rStyle w:val="StyleFootnoteReferenceFagoFunotenzeichenFagoFunotenzeichen"/>
        </w:rPr>
        <w:footnoteReference w:id="167"/>
      </w:r>
    </w:p>
    <w:p w14:paraId="13D85823" w14:textId="51265630" w:rsidR="008927C4" w:rsidRPr="004A0212" w:rsidRDefault="6078EE0B" w:rsidP="00031F97">
      <w:pPr>
        <w:pStyle w:val="AllNumbparas"/>
      </w:pPr>
      <w:r w:rsidRPr="004A0212">
        <w:t xml:space="preserve">The </w:t>
      </w:r>
      <w:r w:rsidR="11150EBC" w:rsidRPr="004A0212">
        <w:t>‘</w:t>
      </w:r>
      <w:r w:rsidRPr="004A0212">
        <w:t xml:space="preserve">Māori </w:t>
      </w:r>
      <w:r w:rsidR="404986A3" w:rsidRPr="004A0212">
        <w:t xml:space="preserve">violence’ </w:t>
      </w:r>
      <w:r w:rsidRPr="004A0212">
        <w:t>theme is the most significant when considering how</w:t>
      </w:r>
      <w:r w:rsidR="4C0921F4" w:rsidRPr="004A0212">
        <w:t xml:space="preserve"> tamariki and rangatahi </w:t>
      </w:r>
      <w:r w:rsidR="00893F7B" w:rsidRPr="004A0212">
        <w:t>Māori were</w:t>
      </w:r>
      <w:r w:rsidRPr="004A0212">
        <w:t xml:space="preserve"> removed from whānau and entered the care system. The media </w:t>
      </w:r>
      <w:r w:rsidR="404986A3" w:rsidRPr="004A0212">
        <w:t xml:space="preserve">contributed to sustaining </w:t>
      </w:r>
      <w:r w:rsidRPr="004A0212">
        <w:t xml:space="preserve">the narrative that Māori parents </w:t>
      </w:r>
      <w:r w:rsidR="4147C8C6" w:rsidRPr="004A0212">
        <w:t>were</w:t>
      </w:r>
      <w:r w:rsidRPr="004A0212">
        <w:t xml:space="preserve"> more likely to be violent by having a disproportionate focus on</w:t>
      </w:r>
      <w:r w:rsidR="14046BFF" w:rsidRPr="004A0212">
        <w:t xml:space="preserve"> </w:t>
      </w:r>
      <w:r w:rsidRPr="004A0212">
        <w:t>child abuse and crime</w:t>
      </w:r>
      <w:r w:rsidR="6F3F8399" w:rsidRPr="004A0212">
        <w:t xml:space="preserve"> relating to tamariki and rangatahi Māori</w:t>
      </w:r>
      <w:r w:rsidRPr="004A0212">
        <w:t>.</w:t>
      </w:r>
      <w:r w:rsidR="008927C4" w:rsidRPr="004A0212">
        <w:rPr>
          <w:rStyle w:val="StyleFootnoteReferenceFagoFunotenzeichenFagoFunotenzeichen"/>
        </w:rPr>
        <w:footnoteReference w:id="168"/>
      </w:r>
      <w:r w:rsidRPr="004A0212">
        <w:t xml:space="preserve"> </w:t>
      </w:r>
      <w:r w:rsidR="1CB98EAC" w:rsidRPr="004A0212">
        <w:t xml:space="preserve">This is a continuation of </w:t>
      </w:r>
      <w:r w:rsidR="56799FC8" w:rsidRPr="004A0212">
        <w:t xml:space="preserve">racist </w:t>
      </w:r>
      <w:r w:rsidR="1CB98EAC" w:rsidRPr="004A0212">
        <w:t>19</w:t>
      </w:r>
      <w:r w:rsidR="1CB98EAC" w:rsidRPr="004A0212">
        <w:rPr>
          <w:vertAlign w:val="superscript"/>
        </w:rPr>
        <w:t>th</w:t>
      </w:r>
      <w:r w:rsidR="1CB98EAC" w:rsidRPr="004A0212">
        <w:t xml:space="preserve"> century views of M</w:t>
      </w:r>
      <w:r w:rsidR="56799FC8" w:rsidRPr="004A0212">
        <w:t>ā</w:t>
      </w:r>
      <w:r w:rsidR="1CB98EAC" w:rsidRPr="004A0212">
        <w:t>ori</w:t>
      </w:r>
      <w:r w:rsidR="03182360" w:rsidRPr="004A0212">
        <w:t xml:space="preserve">, particularly Māori men, </w:t>
      </w:r>
      <w:r w:rsidR="1CB98EAC" w:rsidRPr="004A0212">
        <w:t>as primitive and savage</w:t>
      </w:r>
      <w:r w:rsidR="56799FC8" w:rsidRPr="004A0212">
        <w:t>.</w:t>
      </w:r>
      <w:r w:rsidR="00A412DE" w:rsidRPr="004A0212">
        <w:rPr>
          <w:rStyle w:val="FootnoteReference"/>
        </w:rPr>
        <w:footnoteReference w:id="169"/>
      </w:r>
    </w:p>
    <w:p w14:paraId="71324F54" w14:textId="77777777" w:rsidR="00FE6914" w:rsidRPr="004A0212" w:rsidRDefault="444F1777" w:rsidP="001142DD">
      <w:pPr>
        <w:pStyle w:val="Heading3"/>
        <w:keepNext/>
        <w:keepLines/>
        <w:rPr>
          <w:rFonts w:cs="Arial"/>
        </w:rPr>
      </w:pPr>
      <w:bookmarkStart w:id="219" w:name="_Toc1494535147"/>
      <w:bookmarkStart w:id="220" w:name="_Toc168638941"/>
      <w:r w:rsidRPr="004A0212">
        <w:rPr>
          <w:rFonts w:cs="Arial"/>
        </w:rPr>
        <w:t xml:space="preserve">I kaha </w:t>
      </w:r>
      <w:proofErr w:type="spellStart"/>
      <w:r w:rsidRPr="004A0212">
        <w:rPr>
          <w:rFonts w:cs="Arial"/>
        </w:rPr>
        <w:t>ake</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whakatoihara</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hunga</w:t>
      </w:r>
      <w:proofErr w:type="spellEnd"/>
      <w:r w:rsidRPr="004A0212">
        <w:rPr>
          <w:rFonts w:cs="Arial"/>
        </w:rPr>
        <w:t xml:space="preserve"> </w:t>
      </w:r>
      <w:proofErr w:type="spellStart"/>
      <w:r w:rsidRPr="004A0212">
        <w:rPr>
          <w:rFonts w:cs="Arial"/>
        </w:rPr>
        <w:t>penihana</w:t>
      </w:r>
      <w:bookmarkEnd w:id="219"/>
      <w:bookmarkEnd w:id="220"/>
      <w:proofErr w:type="spellEnd"/>
      <w:r w:rsidR="7A66E635" w:rsidRPr="004A0212">
        <w:rPr>
          <w:rFonts w:cs="Arial"/>
        </w:rPr>
        <w:t xml:space="preserve"> </w:t>
      </w:r>
    </w:p>
    <w:p w14:paraId="6DBA005E" w14:textId="7C8764C8" w:rsidR="008927C4" w:rsidRPr="004A0212" w:rsidRDefault="796E18B8" w:rsidP="001142DD">
      <w:pPr>
        <w:pStyle w:val="Heading3"/>
        <w:keepNext/>
        <w:keepLines/>
        <w:rPr>
          <w:rFonts w:cs="Arial"/>
        </w:rPr>
      </w:pPr>
      <w:bookmarkStart w:id="221" w:name="_Toc1368635823"/>
      <w:bookmarkStart w:id="222" w:name="_Toc168638942"/>
      <w:r w:rsidRPr="004A0212">
        <w:rPr>
          <w:rFonts w:cs="Arial"/>
        </w:rPr>
        <w:t>Prejudice against people on benefits was heightened</w:t>
      </w:r>
      <w:bookmarkEnd w:id="221"/>
      <w:bookmarkEnd w:id="222"/>
    </w:p>
    <w:p w14:paraId="6FAD0A21" w14:textId="36FF4F4E" w:rsidR="008927C4" w:rsidRPr="004A0212" w:rsidRDefault="4B7D2D95" w:rsidP="007D73A6">
      <w:pPr>
        <w:pStyle w:val="AllNumbparas"/>
      </w:pPr>
      <w:r w:rsidRPr="004A0212">
        <w:t xml:space="preserve">Media stories during the inquiry period tended to </w:t>
      </w:r>
      <w:r w:rsidR="1FA2F354" w:rsidRPr="004A0212">
        <w:t xml:space="preserve">heighten </w:t>
      </w:r>
      <w:r w:rsidRPr="004A0212">
        <w:t xml:space="preserve">fear and </w:t>
      </w:r>
      <w:r w:rsidR="1FA2F354" w:rsidRPr="004A0212">
        <w:t>prejudice</w:t>
      </w:r>
      <w:r w:rsidRPr="004A0212">
        <w:t xml:space="preserve"> about </w:t>
      </w:r>
      <w:r w:rsidR="76CFBD03" w:rsidRPr="004A0212">
        <w:t>‘dangerous’ and welfare-dependent families and communities.</w:t>
      </w:r>
      <w:r w:rsidR="009A5464" w:rsidRPr="004A0212">
        <w:rPr>
          <w:rStyle w:val="StyleFootnoteReferenceFagoFunotenzeichenFagoFunotenzeichen"/>
        </w:rPr>
        <w:footnoteReference w:id="170"/>
      </w:r>
      <w:r w:rsidR="76CFBD03" w:rsidRPr="004A0212">
        <w:t xml:space="preserve"> </w:t>
      </w:r>
      <w:r w:rsidR="6078EE0B" w:rsidRPr="004A0212">
        <w:t xml:space="preserve">From the 1970s there was </w:t>
      </w:r>
      <w:r w:rsidR="0EB79A3E" w:rsidRPr="004A0212">
        <w:t xml:space="preserve">prejudice </w:t>
      </w:r>
      <w:r w:rsidR="6078EE0B" w:rsidRPr="004A0212">
        <w:t xml:space="preserve">towards solo mothers receiving the Domestic Purposes Benefit (DPB). Five years after it was introduced, the </w:t>
      </w:r>
      <w:r w:rsidR="0EB79A3E" w:rsidRPr="004A0212">
        <w:t xml:space="preserve">State </w:t>
      </w:r>
      <w:r w:rsidR="6078EE0B" w:rsidRPr="004A0212">
        <w:t>established the Domestic Purposes Review Committee to look at the reason for the rising number of parents receiving the DPB and whether “the provision of the benefit was influencing marital and reproductive behaviour”.</w:t>
      </w:r>
      <w:r w:rsidR="008927C4" w:rsidRPr="004A0212">
        <w:rPr>
          <w:rStyle w:val="StyleFootnoteReferenceFagoFunotenzeichenFagoFunotenzeichen"/>
        </w:rPr>
        <w:footnoteReference w:id="171"/>
      </w:r>
      <w:r w:rsidR="6078EE0B" w:rsidRPr="004A0212">
        <w:t xml:space="preserve"> </w:t>
      </w:r>
    </w:p>
    <w:p w14:paraId="5C6A9251" w14:textId="77EA1F81" w:rsidR="008927C4" w:rsidRPr="004A0212" w:rsidRDefault="6078EE0B" w:rsidP="007D73A6">
      <w:pPr>
        <w:pStyle w:val="AllNumbparas"/>
      </w:pPr>
      <w:r w:rsidRPr="004A0212">
        <w:t>The media often framed any stories on the Committee’s findings negatively, even though the data used by the Committee was incorrect and misleading.</w:t>
      </w:r>
      <w:r w:rsidR="008927C4" w:rsidRPr="004A0212">
        <w:rPr>
          <w:rStyle w:val="StyleFootnoteReferenceFagoFunotenzeichenFagoFunotenzeichen"/>
        </w:rPr>
        <w:footnoteReference w:id="172"/>
      </w:r>
      <w:r w:rsidRPr="004A0212">
        <w:t xml:space="preserve"> For example, the media focused on the costs to the taxpayer</w:t>
      </w:r>
      <w:r w:rsidR="008927C4" w:rsidRPr="004A0212">
        <w:rPr>
          <w:rStyle w:val="StyleFootnoteReferenceFagoFunotenzeichenFagoFunotenzeichen"/>
        </w:rPr>
        <w:footnoteReference w:id="173"/>
      </w:r>
      <w:r w:rsidRPr="004A0212">
        <w:rPr>
          <w:vertAlign w:val="superscript"/>
        </w:rPr>
        <w:t xml:space="preserve"> </w:t>
      </w:r>
      <w:r w:rsidRPr="004A0212">
        <w:t>and whether the benefit provided an incentive for women to leave their husbands.</w:t>
      </w:r>
      <w:r w:rsidR="008927C4" w:rsidRPr="004A0212">
        <w:rPr>
          <w:rStyle w:val="StyleFootnoteReferenceFagoFunotenzeichenFagoFunotenzeichen"/>
        </w:rPr>
        <w:footnoteReference w:id="174"/>
      </w:r>
      <w:r w:rsidRPr="004A0212">
        <w:rPr>
          <w:vertAlign w:val="superscript"/>
        </w:rPr>
        <w:t xml:space="preserve"> </w:t>
      </w:r>
    </w:p>
    <w:p w14:paraId="7F7C10DA" w14:textId="0ED240C2" w:rsidR="008927C4" w:rsidRPr="004A0212" w:rsidRDefault="6078EE0B" w:rsidP="007D73A6">
      <w:pPr>
        <w:pStyle w:val="AllNumbparas"/>
      </w:pPr>
      <w:r w:rsidRPr="004A0212">
        <w:t xml:space="preserve">Newspapers also discussed cases where women were seen to be </w:t>
      </w:r>
      <w:r w:rsidR="41E8E309" w:rsidRPr="004A0212">
        <w:t>“</w:t>
      </w:r>
      <w:r w:rsidRPr="004A0212">
        <w:t>ripping off</w:t>
      </w:r>
      <w:r w:rsidR="41E8E309" w:rsidRPr="004A0212">
        <w:t>”</w:t>
      </w:r>
      <w:r w:rsidRPr="004A0212">
        <w:t xml:space="preserve"> the system by receiving a benefit while in a de facto relationship.</w:t>
      </w:r>
      <w:r w:rsidR="008927C4" w:rsidRPr="004A0212">
        <w:rPr>
          <w:rStyle w:val="StyleFootnoteReferenceFagoFunotenzeichenFagoFunotenzeichen"/>
        </w:rPr>
        <w:footnoteReference w:id="175"/>
      </w:r>
      <w:r w:rsidRPr="004A0212">
        <w:t xml:space="preserve"> People on the benefit were often referred to as </w:t>
      </w:r>
      <w:proofErr w:type="spellStart"/>
      <w:r w:rsidRPr="004A0212">
        <w:t>bludgers</w:t>
      </w:r>
      <w:proofErr w:type="spellEnd"/>
      <w:r w:rsidR="008927C4" w:rsidRPr="004A0212">
        <w:rPr>
          <w:rStyle w:val="StyleFootnoteReferenceFagoFunotenzeichenFagoFunotenzeichen"/>
        </w:rPr>
        <w:footnoteReference w:id="176"/>
      </w:r>
      <w:r w:rsidRPr="004A0212">
        <w:t>, spongers</w:t>
      </w:r>
      <w:r w:rsidR="008927C4" w:rsidRPr="004A0212">
        <w:rPr>
          <w:rStyle w:val="StyleFootnoteReferenceFagoFunotenzeichenFagoFunotenzeichen"/>
        </w:rPr>
        <w:footnoteReference w:id="177"/>
      </w:r>
      <w:r w:rsidRPr="004A0212">
        <w:t xml:space="preserve"> or milking the system.</w:t>
      </w:r>
      <w:r w:rsidR="008927C4" w:rsidRPr="004A0212">
        <w:rPr>
          <w:rStyle w:val="StyleFootnoteReferenceFagoFunotenzeichenFagoFunotenzeichen"/>
        </w:rPr>
        <w:footnoteReference w:id="178"/>
      </w:r>
      <w:r w:rsidR="62D0B6CE" w:rsidRPr="004A0212">
        <w:t xml:space="preserve"> These attitudes intersected with racism where narratives about Māori and poverty combined to represent a double burden in how Māori were depicted in the media.</w:t>
      </w:r>
      <w:r w:rsidR="002068A3" w:rsidRPr="004A0212">
        <w:rPr>
          <w:rStyle w:val="StyleFootnoteReferenceFagoFunotenzeichenFagoFunotenzeichen"/>
        </w:rPr>
        <w:footnoteReference w:id="179"/>
      </w:r>
    </w:p>
    <w:p w14:paraId="3ACBC611" w14:textId="0306A0F5" w:rsidR="00FE6914" w:rsidRPr="004A0212" w:rsidRDefault="348A5EE5" w:rsidP="008927C4">
      <w:pPr>
        <w:pStyle w:val="Heading3"/>
        <w:rPr>
          <w:rFonts w:cs="Arial"/>
        </w:rPr>
      </w:pPr>
      <w:bookmarkStart w:id="223" w:name="_Toc638506975"/>
      <w:bookmarkStart w:id="224" w:name="_Toc168638943"/>
      <w:proofErr w:type="spellStart"/>
      <w:r w:rsidRPr="004A0212">
        <w:rPr>
          <w:rFonts w:cs="Arial"/>
        </w:rPr>
        <w:t>Te</w:t>
      </w:r>
      <w:proofErr w:type="spellEnd"/>
      <w:r w:rsidRPr="004A0212">
        <w:rPr>
          <w:rFonts w:cs="Arial"/>
        </w:rPr>
        <w:t xml:space="preserve"> </w:t>
      </w:r>
      <w:proofErr w:type="spellStart"/>
      <w:r w:rsidRPr="004A0212">
        <w:rPr>
          <w:rFonts w:cs="Arial"/>
        </w:rPr>
        <w:t>whakahāwea</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ngā</w:t>
      </w:r>
      <w:proofErr w:type="spellEnd"/>
      <w:r w:rsidRPr="004A0212">
        <w:rPr>
          <w:rFonts w:cs="Arial"/>
        </w:rPr>
        <w:t xml:space="preserve"> tāngata e </w:t>
      </w:r>
      <w:proofErr w:type="spellStart"/>
      <w:r w:rsidRPr="004A0212">
        <w:rPr>
          <w:rFonts w:cs="Arial"/>
        </w:rPr>
        <w:t>rongo</w:t>
      </w:r>
      <w:proofErr w:type="spellEnd"/>
      <w:r w:rsidRPr="004A0212">
        <w:rPr>
          <w:rFonts w:cs="Arial"/>
        </w:rPr>
        <w:t xml:space="preserve"> ana </w:t>
      </w:r>
      <w:proofErr w:type="spellStart"/>
      <w:r w:rsidRPr="004A0212">
        <w:rPr>
          <w:rFonts w:cs="Arial"/>
        </w:rPr>
        <w:t>i</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wairangi</w:t>
      </w:r>
      <w:r w:rsidR="170EF247" w:rsidRPr="004A0212">
        <w:rPr>
          <w:rFonts w:cs="Arial"/>
        </w:rPr>
        <w:t>tanga</w:t>
      </w:r>
      <w:bookmarkEnd w:id="223"/>
      <w:bookmarkEnd w:id="224"/>
      <w:proofErr w:type="spellEnd"/>
    </w:p>
    <w:p w14:paraId="559F7CD2" w14:textId="0B619CDF" w:rsidR="008927C4" w:rsidRPr="004A0212" w:rsidRDefault="796E18B8" w:rsidP="008927C4">
      <w:pPr>
        <w:pStyle w:val="Heading3"/>
        <w:rPr>
          <w:rFonts w:cs="Arial"/>
        </w:rPr>
      </w:pPr>
      <w:bookmarkStart w:id="225" w:name="_Toc458056805"/>
      <w:bookmarkStart w:id="226" w:name="_Toc168638944"/>
      <w:r w:rsidRPr="004A0212">
        <w:rPr>
          <w:rFonts w:cs="Arial"/>
        </w:rPr>
        <w:t xml:space="preserve">Discrimination against people </w:t>
      </w:r>
      <w:r w:rsidR="4120EADF" w:rsidRPr="004A0212">
        <w:rPr>
          <w:rFonts w:cs="Arial"/>
        </w:rPr>
        <w:t>experiencing</w:t>
      </w:r>
      <w:r w:rsidRPr="004A0212">
        <w:rPr>
          <w:rFonts w:cs="Arial"/>
        </w:rPr>
        <w:t xml:space="preserve"> mental </w:t>
      </w:r>
      <w:r w:rsidR="32B84133" w:rsidRPr="004A0212">
        <w:rPr>
          <w:rFonts w:cs="Arial"/>
        </w:rPr>
        <w:t>distress</w:t>
      </w:r>
      <w:bookmarkEnd w:id="225"/>
      <w:bookmarkEnd w:id="226"/>
      <w:r w:rsidR="32B84133" w:rsidRPr="004A0212">
        <w:rPr>
          <w:rFonts w:cs="Arial"/>
        </w:rPr>
        <w:t xml:space="preserve"> </w:t>
      </w:r>
    </w:p>
    <w:p w14:paraId="6284676B" w14:textId="5CC3FD87" w:rsidR="008927C4" w:rsidRPr="004A0212" w:rsidRDefault="6078EE0B" w:rsidP="007D73A6">
      <w:pPr>
        <w:pStyle w:val="AllNumbparas"/>
      </w:pPr>
      <w:r w:rsidRPr="004A0212">
        <w:t xml:space="preserve">For people suffering from mental distress, media depictions often </w:t>
      </w:r>
      <w:r w:rsidR="6CA47AC2" w:rsidRPr="004A0212">
        <w:t>portrayed</w:t>
      </w:r>
      <w:r w:rsidRPr="004A0212">
        <w:t xml:space="preserve"> them as dangerous and linked mental distress with “violence, failure, and unpredictability</w:t>
      </w:r>
      <w:r w:rsidR="000903BF" w:rsidRPr="004A0212">
        <w:t>.</w:t>
      </w:r>
      <w:r w:rsidRPr="004A0212">
        <w:t>”</w:t>
      </w:r>
      <w:r w:rsidR="008927C4" w:rsidRPr="004A0212">
        <w:rPr>
          <w:rStyle w:val="StyleFootnoteReferenceFagoFunotenzeichenFagoFunotenzeichen"/>
        </w:rPr>
        <w:footnoteReference w:id="180"/>
      </w:r>
      <w:r w:rsidRPr="004A0212">
        <w:t xml:space="preserve"> </w:t>
      </w:r>
    </w:p>
    <w:p w14:paraId="0C8059A1" w14:textId="768BF8EE" w:rsidR="008927C4" w:rsidRPr="004A0212" w:rsidRDefault="6078EE0B" w:rsidP="007D73A6">
      <w:pPr>
        <w:pStyle w:val="AllNumbparas"/>
      </w:pPr>
      <w:r w:rsidRPr="004A0212">
        <w:t xml:space="preserve">A study into how Aotearoa New Zealand print media </w:t>
      </w:r>
      <w:r w:rsidR="0EB79A3E" w:rsidRPr="004A0212">
        <w:t xml:space="preserve">discriminated </w:t>
      </w:r>
      <w:r w:rsidRPr="004A0212">
        <w:t>against people suffering from mental distress found that the public got most of their information about mental illness from the media.</w:t>
      </w:r>
      <w:r w:rsidR="008927C4" w:rsidRPr="004A0212">
        <w:rPr>
          <w:rStyle w:val="StyleFootnoteReferenceFagoFunotenzeichenFagoFunotenzeichen"/>
        </w:rPr>
        <w:footnoteReference w:id="181"/>
      </w:r>
      <w:r w:rsidRPr="004A0212">
        <w:t xml:space="preserve"> </w:t>
      </w:r>
    </w:p>
    <w:p w14:paraId="32FB1C3A" w14:textId="44F873B0" w:rsidR="008927C4" w:rsidRPr="004A0212" w:rsidRDefault="6078EE0B" w:rsidP="007D73A6">
      <w:pPr>
        <w:pStyle w:val="AllNumbparas"/>
      </w:pPr>
      <w:r w:rsidRPr="004A0212">
        <w:t>People suffering from mental distress rarely had their personal perspectives shared</w:t>
      </w:r>
      <w:r w:rsidR="26E90580" w:rsidRPr="004A0212">
        <w:t>.</w:t>
      </w:r>
      <w:r w:rsidR="18CBA774" w:rsidRPr="004A0212">
        <w:t xml:space="preserve"> The media usually used the perspectives of</w:t>
      </w:r>
      <w:r w:rsidRPr="004A0212">
        <w:t xml:space="preserve"> medical professionals or people </w:t>
      </w:r>
      <w:r w:rsidR="01A954D7" w:rsidRPr="004A0212">
        <w:t xml:space="preserve">without lived experience </w:t>
      </w:r>
      <w:r w:rsidRPr="004A0212">
        <w:t>to create the narrative</w:t>
      </w:r>
      <w:r w:rsidR="4A102B13" w:rsidRPr="004A0212">
        <w:t>.</w:t>
      </w:r>
      <w:r w:rsidR="008927C4" w:rsidRPr="004A0212">
        <w:rPr>
          <w:rStyle w:val="StyleFootnoteReferenceFagoFunotenzeichenFagoFunotenzeichen"/>
        </w:rPr>
        <w:footnoteReference w:id="182"/>
      </w:r>
      <w:r w:rsidRPr="004A0212">
        <w:t xml:space="preserve"> The second Mason Report in 1996 reported the Association of Crown </w:t>
      </w:r>
      <w:r w:rsidRPr="004A0212">
        <w:rPr>
          <w:color w:val="auto"/>
        </w:rPr>
        <w:t xml:space="preserve">Health </w:t>
      </w:r>
      <w:r w:rsidR="49A6CD95" w:rsidRPr="004A0212">
        <w:rPr>
          <w:color w:val="auto"/>
        </w:rPr>
        <w:t xml:space="preserve">Enterprise </w:t>
      </w:r>
      <w:r w:rsidRPr="004A0212">
        <w:t>(CHE) Mental Health Managers as saying:</w:t>
      </w:r>
    </w:p>
    <w:p w14:paraId="042083DE" w14:textId="0EF299BD" w:rsidR="007547E7" w:rsidRPr="004A0212" w:rsidRDefault="008927C4" w:rsidP="008927C4">
      <w:pPr>
        <w:pStyle w:val="AllQuotes"/>
        <w:rPr>
          <w:rFonts w:cs="Arial"/>
        </w:rPr>
      </w:pPr>
      <w:r w:rsidRPr="004A0212">
        <w:rPr>
          <w:rFonts w:cs="Arial"/>
        </w:rPr>
        <w:t xml:space="preserve">“There is also some concern that the media and political portrayal of psychiatric patients as offenders, paedophiles, etc. will deter some people from using the service when needed </w:t>
      </w:r>
      <w:r w:rsidR="00811295" w:rsidRPr="004A0212">
        <w:rPr>
          <w:rFonts w:cs="Arial"/>
        </w:rPr>
        <w:t>–</w:t>
      </w:r>
      <w:r w:rsidRPr="004A0212">
        <w:rPr>
          <w:rFonts w:cs="Arial"/>
        </w:rPr>
        <w:t xml:space="preserve"> either because of fear of other patients or of being seen as one of that group. </w:t>
      </w:r>
    </w:p>
    <w:p w14:paraId="5A6CAEA1" w14:textId="72D9AE0E" w:rsidR="00406414" w:rsidRPr="004A0212" w:rsidRDefault="008927C4" w:rsidP="00DA5A92">
      <w:pPr>
        <w:pStyle w:val="AllQuotes"/>
        <w:rPr>
          <w:rFonts w:cs="Arial"/>
        </w:rPr>
      </w:pPr>
      <w:r w:rsidRPr="004A0212">
        <w:rPr>
          <w:rFonts w:cs="Arial"/>
        </w:rPr>
        <w:t xml:space="preserve">Negative publicity commonly leads to a breach of </w:t>
      </w:r>
      <w:r w:rsidR="00EF2D45" w:rsidRPr="004A0212">
        <w:rPr>
          <w:rFonts w:cs="Arial"/>
        </w:rPr>
        <w:t xml:space="preserve">clients’ </w:t>
      </w:r>
      <w:r w:rsidRPr="004A0212">
        <w:rPr>
          <w:rFonts w:cs="Arial"/>
        </w:rPr>
        <w:t>rights in that they are discriminated against (often not intentionally) due to the anxiety provoked within the public.”</w:t>
      </w:r>
      <w:r w:rsidRPr="004A0212">
        <w:rPr>
          <w:rStyle w:val="StyleFootnoteReferenceFagoFunotenzeichenFagoFunotenzeichen"/>
        </w:rPr>
        <w:footnoteReference w:id="183"/>
      </w:r>
    </w:p>
    <w:p w14:paraId="4ACDA62E" w14:textId="77777777" w:rsidR="008F6277" w:rsidRPr="004A0212" w:rsidRDefault="008F6277">
      <w:pPr>
        <w:keepLines w:val="0"/>
        <w:rPr>
          <w:rFonts w:cs="Arial"/>
        </w:rPr>
      </w:pPr>
    </w:p>
    <w:p w14:paraId="79F9B131" w14:textId="77777777" w:rsidR="00A641DD" w:rsidRDefault="00A641DD">
      <w:pPr>
        <w:keepLines w:val="0"/>
        <w:rPr>
          <w:rFonts w:cs="Arial"/>
          <w:b/>
          <w:bCs/>
          <w:i/>
          <w:iCs/>
        </w:rPr>
      </w:pPr>
      <w:r>
        <w:rPr>
          <w:rFonts w:cs="Arial"/>
          <w:b/>
          <w:bCs/>
          <w:i/>
          <w:iCs/>
        </w:rPr>
        <w:br w:type="page"/>
      </w:r>
    </w:p>
    <w:p w14:paraId="5D777EB8" w14:textId="2D49473B" w:rsidR="00A641DD" w:rsidRPr="004968E1" w:rsidRDefault="00A641DD" w:rsidP="004968E1">
      <w:pPr>
        <w:pStyle w:val="BodyText"/>
        <w:rPr>
          <w:rFonts w:ascii="Arial" w:hAnsi="Arial" w:cs="Arial"/>
          <w:sz w:val="22"/>
        </w:rPr>
      </w:pPr>
      <w:r w:rsidRPr="004968E1">
        <w:rPr>
          <w:rFonts w:ascii="Arial" w:hAnsi="Arial" w:cs="Arial"/>
          <w:sz w:val="22"/>
        </w:rPr>
        <w:t>[</w:t>
      </w:r>
      <w:r w:rsidR="00927AC9">
        <w:rPr>
          <w:rFonts w:ascii="Arial" w:hAnsi="Arial" w:cs="Arial"/>
          <w:sz w:val="22"/>
        </w:rPr>
        <w:t>Q</w:t>
      </w:r>
      <w:r w:rsidRPr="004968E1">
        <w:rPr>
          <w:rFonts w:ascii="Arial" w:hAnsi="Arial" w:cs="Arial"/>
          <w:sz w:val="22"/>
        </w:rPr>
        <w:t>uote]</w:t>
      </w:r>
    </w:p>
    <w:p w14:paraId="145D65BE" w14:textId="665EC9FB" w:rsidR="008F6277" w:rsidRPr="00EA76CB" w:rsidRDefault="008F6277" w:rsidP="004968E1">
      <w:pPr>
        <w:pStyle w:val="AllQuotes"/>
        <w:rPr>
          <w:b/>
        </w:rPr>
      </w:pPr>
      <w:r w:rsidRPr="00EA76CB">
        <w:rPr>
          <w:b/>
        </w:rPr>
        <w:t>“Compared to children in the richest fifth of local areas, children in the poorest fifth areas have 13 times the rate of ‘substantiation’ (a finding by child protection officials that abuse has occurred). They are also six times more likely to be placed out of their family’s care.”</w:t>
      </w:r>
    </w:p>
    <w:p w14:paraId="457BAC9D" w14:textId="77777777" w:rsidR="0016101C" w:rsidRDefault="00EA76CB" w:rsidP="004968E1">
      <w:pPr>
        <w:pStyle w:val="AllQuotes"/>
        <w:rPr>
          <w:b/>
        </w:rPr>
      </w:pPr>
      <w:r>
        <w:rPr>
          <w:b/>
        </w:rPr>
        <w:t xml:space="preserve">M </w:t>
      </w:r>
      <w:proofErr w:type="spellStart"/>
      <w:r w:rsidR="003C5745" w:rsidRPr="00EA76CB">
        <w:rPr>
          <w:b/>
        </w:rPr>
        <w:t>Rashbrook</w:t>
      </w:r>
      <w:proofErr w:type="spellEnd"/>
      <w:r w:rsidR="008F6277" w:rsidRPr="00EA76CB">
        <w:rPr>
          <w:b/>
        </w:rPr>
        <w:t xml:space="preserve"> </w:t>
      </w:r>
      <w:r w:rsidR="003C5745" w:rsidRPr="00EA76CB">
        <w:rPr>
          <w:b/>
        </w:rPr>
        <w:t>and</w:t>
      </w:r>
      <w:r w:rsidR="008F6277" w:rsidRPr="00EA76CB">
        <w:rPr>
          <w:b/>
        </w:rPr>
        <w:t xml:space="preserve"> </w:t>
      </w:r>
      <w:r>
        <w:rPr>
          <w:b/>
        </w:rPr>
        <w:t xml:space="preserve">A </w:t>
      </w:r>
      <w:r w:rsidR="008F6277" w:rsidRPr="00EA76CB">
        <w:rPr>
          <w:b/>
        </w:rPr>
        <w:t>W</w:t>
      </w:r>
      <w:r w:rsidR="003C5745" w:rsidRPr="00EA76CB">
        <w:rPr>
          <w:b/>
        </w:rPr>
        <w:t>ilkinson</w:t>
      </w:r>
    </w:p>
    <w:p w14:paraId="7A150732" w14:textId="3499CFC3" w:rsidR="001D4120" w:rsidRPr="00EA76CB" w:rsidRDefault="008F6277" w:rsidP="004968E1">
      <w:pPr>
        <w:pStyle w:val="AllQuotes"/>
        <w:rPr>
          <w:b/>
        </w:rPr>
      </w:pPr>
      <w:r w:rsidRPr="00EA76CB">
        <w:rPr>
          <w:b/>
        </w:rPr>
        <w:t xml:space="preserve">Cracks in the dam: The social and economic forces behind the placement of children into care report. </w:t>
      </w:r>
    </w:p>
    <w:p w14:paraId="16CE62D0" w14:textId="4A3A92FF" w:rsidR="001D4120" w:rsidRPr="004A0212" w:rsidRDefault="00D8675E" w:rsidP="008F6277">
      <w:pPr>
        <w:keepLines w:val="0"/>
        <w:rPr>
          <w:rFonts w:cs="Arial"/>
          <w:b/>
          <w:bCs/>
          <w:i/>
          <w:iCs/>
        </w:rPr>
      </w:pPr>
      <w:r>
        <w:rPr>
          <w:rFonts w:cs="Arial"/>
          <w:b/>
          <w:bCs/>
          <w:i/>
          <w:iCs/>
        </w:rPr>
        <w:br w:type="page"/>
      </w:r>
    </w:p>
    <w:p w14:paraId="44262F15" w14:textId="1CC1F9B1" w:rsidR="001D4120" w:rsidRPr="004968E1" w:rsidRDefault="00D8675E" w:rsidP="004968E1">
      <w:pPr>
        <w:pStyle w:val="BodyText"/>
        <w:rPr>
          <w:rFonts w:ascii="Arial" w:hAnsi="Arial" w:cs="Arial"/>
          <w:sz w:val="22"/>
          <w:szCs w:val="22"/>
        </w:rPr>
      </w:pPr>
      <w:r w:rsidRPr="004968E1">
        <w:rPr>
          <w:rFonts w:ascii="Arial" w:hAnsi="Arial" w:cs="Arial"/>
          <w:sz w:val="22"/>
          <w:szCs w:val="22"/>
        </w:rPr>
        <w:t>[</w:t>
      </w:r>
      <w:r w:rsidR="00EA76CB">
        <w:rPr>
          <w:rFonts w:ascii="Arial" w:hAnsi="Arial" w:cs="Arial"/>
          <w:sz w:val="22"/>
          <w:szCs w:val="22"/>
        </w:rPr>
        <w:t>S</w:t>
      </w:r>
      <w:r w:rsidRPr="004968E1">
        <w:rPr>
          <w:rFonts w:ascii="Arial" w:hAnsi="Arial" w:cs="Arial"/>
          <w:sz w:val="22"/>
          <w:szCs w:val="22"/>
        </w:rPr>
        <w:t>urvivor quote preceding survivor profile]</w:t>
      </w:r>
    </w:p>
    <w:p w14:paraId="411585A0" w14:textId="77777777" w:rsidR="006B7CF1" w:rsidRPr="004968E1" w:rsidRDefault="006B7CF1" w:rsidP="004968E1">
      <w:pPr>
        <w:pStyle w:val="AllQuotes"/>
        <w:rPr>
          <w:rStyle w:val="eop"/>
          <w:rFonts w:cs="Arial"/>
          <w:b/>
          <w:bCs/>
          <w:iCs/>
          <w:color w:val="000000"/>
          <w:szCs w:val="22"/>
          <w:shd w:val="clear" w:color="auto" w:fill="FFFFFF"/>
        </w:rPr>
      </w:pPr>
      <w:r w:rsidRPr="004968E1">
        <w:rPr>
          <w:rStyle w:val="normaltextrun"/>
          <w:rFonts w:cs="Arial"/>
          <w:b/>
          <w:bCs/>
          <w:iCs/>
          <w:color w:val="000000"/>
          <w:szCs w:val="22"/>
          <w:shd w:val="clear" w:color="auto" w:fill="FFFFFF"/>
        </w:rPr>
        <w:t>“It was a big shame I could never fulfil my potential because nobody gave a shit” </w:t>
      </w:r>
      <w:r w:rsidRPr="004968E1">
        <w:rPr>
          <w:rStyle w:val="eop"/>
          <w:rFonts w:cs="Arial"/>
          <w:b/>
          <w:bCs/>
          <w:iCs/>
          <w:color w:val="000000"/>
          <w:szCs w:val="22"/>
          <w:shd w:val="clear" w:color="auto" w:fill="FFFFFF"/>
        </w:rPr>
        <w:t> </w:t>
      </w:r>
    </w:p>
    <w:p w14:paraId="4ABFC70A" w14:textId="42CDE970" w:rsidR="00F65FC9" w:rsidRPr="004968E1" w:rsidRDefault="00F65FC9" w:rsidP="00EA76CB">
      <w:pPr>
        <w:pStyle w:val="AllQuotes"/>
        <w:rPr>
          <w:rStyle w:val="normaltextrun"/>
          <w:rFonts w:ascii="Helvetica" w:hAnsi="Helvetica"/>
          <w:b/>
          <w:color w:val="404040" w:themeColor="text1" w:themeTint="BF"/>
          <w:szCs w:val="22"/>
          <w:bdr w:val="none" w:sz="0" w:space="0" w:color="auto" w:frame="1"/>
        </w:rPr>
      </w:pPr>
      <w:r w:rsidRPr="004968E1">
        <w:rPr>
          <w:rStyle w:val="normaltextrun"/>
          <w:rFonts w:cs="Arial"/>
          <w:b/>
          <w:bCs/>
          <w:iCs/>
          <w:color w:val="000000"/>
          <w:szCs w:val="22"/>
          <w:bdr w:val="none" w:sz="0" w:space="0" w:color="auto" w:frame="1"/>
        </w:rPr>
        <w:t>Debbie Morris-Jenkins</w:t>
      </w:r>
    </w:p>
    <w:p w14:paraId="6C9CDE57" w14:textId="123D12A5" w:rsidR="007B3678" w:rsidRPr="004968E1" w:rsidRDefault="007B3678" w:rsidP="004968E1">
      <w:pPr>
        <w:pStyle w:val="AllQuotes"/>
        <w:rPr>
          <w:rStyle w:val="eop"/>
          <w:rFonts w:cs="Arial"/>
          <w:b/>
          <w:bCs/>
          <w:iCs/>
          <w:color w:val="000000"/>
          <w:szCs w:val="22"/>
          <w:shd w:val="clear" w:color="auto" w:fill="FFFFFF"/>
        </w:rPr>
      </w:pPr>
      <w:r w:rsidRPr="004968E1">
        <w:rPr>
          <w:rStyle w:val="eop"/>
          <w:rFonts w:cs="Arial"/>
          <w:b/>
          <w:bCs/>
          <w:iCs/>
          <w:color w:val="000000"/>
          <w:szCs w:val="22"/>
          <w:shd w:val="clear" w:color="auto" w:fill="FFFFFF"/>
        </w:rPr>
        <w:t>Survivor</w:t>
      </w:r>
    </w:p>
    <w:p w14:paraId="3E70C26C" w14:textId="77777777" w:rsidR="008F6277" w:rsidRPr="004A0212" w:rsidRDefault="008F6277">
      <w:pPr>
        <w:keepLines w:val="0"/>
        <w:rPr>
          <w:rFonts w:ascii="Arial" w:hAnsi="Arial" w:cs="Arial"/>
          <w:color w:val="auto"/>
          <w:sz w:val="22"/>
          <w:lang w:eastAsia="en-NZ"/>
        </w:rPr>
      </w:pPr>
    </w:p>
    <w:p w14:paraId="2AAB90DC" w14:textId="77777777" w:rsidR="00197950" w:rsidRPr="004A0212" w:rsidRDefault="036B0DF0" w:rsidP="00120E85">
      <w:pPr>
        <w:pStyle w:val="Heading1"/>
        <w:rPr>
          <w:lang w:val="pt-BR"/>
        </w:rPr>
      </w:pPr>
      <w:bookmarkStart w:id="227" w:name="_Toc972562923"/>
      <w:bookmarkStart w:id="228" w:name="_Toc168638945"/>
      <w:r w:rsidRPr="004A0212">
        <w:rPr>
          <w:lang w:val="pt-BR"/>
        </w:rPr>
        <w:t>Ngā wheako</w:t>
      </w:r>
      <w:r w:rsidR="2FFAA73A" w:rsidRPr="004A0212">
        <w:rPr>
          <w:lang w:val="pt-BR"/>
        </w:rPr>
        <w:t xml:space="preserve"> o te purapura ora</w:t>
      </w:r>
      <w:bookmarkEnd w:id="227"/>
      <w:bookmarkEnd w:id="228"/>
    </w:p>
    <w:p w14:paraId="63FB7BB7" w14:textId="0A91155A" w:rsidR="00A16625" w:rsidRPr="004A0212" w:rsidRDefault="07B58772" w:rsidP="00451987">
      <w:pPr>
        <w:pStyle w:val="Heading1"/>
        <w:rPr>
          <w:lang w:val="pt-BR"/>
        </w:rPr>
      </w:pPr>
      <w:bookmarkStart w:id="229" w:name="_Toc168638946"/>
      <w:bookmarkStart w:id="230" w:name="_Toc2021278818"/>
      <w:r w:rsidRPr="004A0212">
        <w:rPr>
          <w:lang w:val="pt-BR"/>
        </w:rPr>
        <w:t>Survivor experience</w:t>
      </w:r>
      <w:r w:rsidR="1C32CF2C" w:rsidRPr="004A0212">
        <w:rPr>
          <w:lang w:val="pt-BR"/>
        </w:rPr>
        <w:t>:</w:t>
      </w:r>
      <w:r w:rsidR="5BB02B5A" w:rsidRPr="004A0212">
        <w:rPr>
          <w:lang w:val="pt-BR"/>
        </w:rPr>
        <w:t xml:space="preserve"> </w:t>
      </w:r>
      <w:r w:rsidR="00A16625" w:rsidRPr="004A0212">
        <w:rPr>
          <w:lang w:val="pt-BR"/>
        </w:rPr>
        <w:t>Deb</w:t>
      </w:r>
      <w:r w:rsidR="006352A8" w:rsidRPr="004A0212">
        <w:rPr>
          <w:lang w:val="pt-BR"/>
        </w:rPr>
        <w:t>bie</w:t>
      </w:r>
      <w:r w:rsidR="00A16625" w:rsidRPr="004A0212">
        <w:rPr>
          <w:lang w:val="pt-BR"/>
        </w:rPr>
        <w:t xml:space="preserve"> Morris</w:t>
      </w:r>
      <w:r w:rsidR="0044652D" w:rsidRPr="004A0212">
        <w:rPr>
          <w:lang w:val="pt-BR"/>
        </w:rPr>
        <w:t>-</w:t>
      </w:r>
      <w:r w:rsidR="00A16625" w:rsidRPr="004A0212">
        <w:rPr>
          <w:lang w:val="pt-BR"/>
        </w:rPr>
        <w:t>Jenkin</w:t>
      </w:r>
      <w:r w:rsidR="0044652D" w:rsidRPr="004A0212">
        <w:rPr>
          <w:lang w:val="pt-BR"/>
        </w:rPr>
        <w:t>s</w:t>
      </w:r>
      <w:bookmarkEnd w:id="229"/>
      <w:r w:rsidR="00A16625" w:rsidRPr="004A0212">
        <w:rPr>
          <w:lang w:val="pt-BR"/>
        </w:rPr>
        <w:t xml:space="preserve"> </w:t>
      </w:r>
    </w:p>
    <w:p w14:paraId="04003EDA" w14:textId="77777777" w:rsidR="00287617" w:rsidRPr="004A0212" w:rsidRDefault="00287617" w:rsidP="00B927A7">
      <w:pPr>
        <w:pStyle w:val="BodyText"/>
        <w:spacing w:line="276" w:lineRule="auto"/>
        <w:rPr>
          <w:rFonts w:ascii="Segoe UI" w:hAnsi="Segoe UI" w:cs="Segoe UI"/>
          <w:sz w:val="18"/>
          <w:szCs w:val="18"/>
          <w:lang w:eastAsia="zh-CN"/>
        </w:rPr>
      </w:pPr>
      <w:r w:rsidRPr="004A0212">
        <w:rPr>
          <w:rStyle w:val="normaltextrun"/>
          <w:rFonts w:ascii="Arial" w:hAnsi="Arial" w:cs="Arial"/>
          <w:b/>
          <w:bCs/>
          <w:sz w:val="22"/>
          <w:szCs w:val="22"/>
        </w:rPr>
        <w:t>Name</w:t>
      </w:r>
      <w:r w:rsidRPr="004A0212">
        <w:rPr>
          <w:rStyle w:val="normaltextrun"/>
          <w:rFonts w:ascii="Arial" w:hAnsi="Arial" w:cs="Arial"/>
          <w:sz w:val="22"/>
          <w:szCs w:val="22"/>
        </w:rPr>
        <w:t xml:space="preserve"> Debbie Morris-Jenkins</w:t>
      </w:r>
      <w:r w:rsidRPr="004A0212">
        <w:rPr>
          <w:rStyle w:val="eop"/>
          <w:rFonts w:ascii="Arial" w:hAnsi="Arial" w:cs="Arial"/>
          <w:sz w:val="22"/>
          <w:szCs w:val="22"/>
        </w:rPr>
        <w:t> </w:t>
      </w:r>
    </w:p>
    <w:p w14:paraId="4AC5E992" w14:textId="671E9D9E" w:rsidR="00287617" w:rsidRPr="004A0212" w:rsidRDefault="00D67C7B" w:rsidP="00B927A7">
      <w:pPr>
        <w:pStyle w:val="BodyText"/>
        <w:spacing w:line="276" w:lineRule="auto"/>
        <w:rPr>
          <w:rFonts w:ascii="Segoe UI" w:hAnsi="Segoe UI" w:cs="Segoe UI"/>
          <w:sz w:val="18"/>
          <w:szCs w:val="18"/>
        </w:rPr>
      </w:pPr>
      <w:bookmarkStart w:id="231" w:name="_Hlk168496055"/>
      <w:r w:rsidRPr="004A0212">
        <w:rPr>
          <w:rStyle w:val="normaltextrun"/>
          <w:rFonts w:ascii="Arial" w:hAnsi="Arial" w:cs="Arial"/>
          <w:b/>
          <w:bCs/>
          <w:sz w:val="22"/>
          <w:szCs w:val="22"/>
        </w:rPr>
        <w:t xml:space="preserve">Year of birth </w:t>
      </w:r>
      <w:r w:rsidRPr="004A0212">
        <w:rPr>
          <w:rStyle w:val="normaltextrun"/>
          <w:rFonts w:ascii="Arial" w:hAnsi="Arial" w:cs="Arial"/>
          <w:bCs/>
          <w:sz w:val="22"/>
          <w:szCs w:val="22"/>
        </w:rPr>
        <w:t>1976</w:t>
      </w:r>
      <w:bookmarkEnd w:id="231"/>
    </w:p>
    <w:p w14:paraId="259E59BC" w14:textId="77777777" w:rsidR="00287617" w:rsidRPr="004A0212" w:rsidRDefault="00287617" w:rsidP="00B927A7">
      <w:pPr>
        <w:pStyle w:val="BodyText"/>
        <w:spacing w:line="276" w:lineRule="auto"/>
        <w:rPr>
          <w:rFonts w:ascii="Segoe UI" w:hAnsi="Segoe UI" w:cs="Segoe UI"/>
          <w:sz w:val="18"/>
          <w:szCs w:val="18"/>
        </w:rPr>
      </w:pPr>
      <w:r w:rsidRPr="004A0212">
        <w:rPr>
          <w:rStyle w:val="normaltextrun"/>
          <w:rFonts w:ascii="Arial" w:hAnsi="Arial" w:cs="Arial"/>
          <w:b/>
          <w:bCs/>
          <w:sz w:val="22"/>
          <w:szCs w:val="22"/>
        </w:rPr>
        <w:t>Hometown</w:t>
      </w:r>
      <w:r w:rsidRPr="004A0212">
        <w:rPr>
          <w:rStyle w:val="normaltextrun"/>
          <w:rFonts w:ascii="Arial" w:hAnsi="Arial" w:cs="Arial"/>
          <w:sz w:val="22"/>
          <w:szCs w:val="22"/>
        </w:rPr>
        <w:t xml:space="preserve"> </w:t>
      </w:r>
      <w:proofErr w:type="spellStart"/>
      <w:r w:rsidRPr="004A0212">
        <w:rPr>
          <w:rStyle w:val="normaltextrun"/>
          <w:rFonts w:ascii="Arial" w:hAnsi="Arial" w:cs="Arial"/>
          <w:sz w:val="22"/>
          <w:szCs w:val="22"/>
        </w:rPr>
        <w:t>Ōtautahi</w:t>
      </w:r>
      <w:proofErr w:type="spellEnd"/>
      <w:r w:rsidRPr="004A0212">
        <w:rPr>
          <w:rStyle w:val="normaltextrun"/>
          <w:rFonts w:ascii="Arial" w:hAnsi="Arial" w:cs="Arial"/>
          <w:sz w:val="22"/>
          <w:szCs w:val="22"/>
        </w:rPr>
        <w:t xml:space="preserve"> Christchurch</w:t>
      </w:r>
      <w:r w:rsidRPr="004A0212">
        <w:rPr>
          <w:rStyle w:val="eop"/>
          <w:rFonts w:ascii="Arial" w:hAnsi="Arial" w:cs="Arial"/>
          <w:sz w:val="22"/>
          <w:szCs w:val="22"/>
        </w:rPr>
        <w:t> </w:t>
      </w:r>
    </w:p>
    <w:p w14:paraId="46E55704" w14:textId="1C91AE96" w:rsidR="00287617" w:rsidRPr="004A0212" w:rsidRDefault="00287617" w:rsidP="00B927A7">
      <w:pPr>
        <w:pStyle w:val="BodyText"/>
        <w:spacing w:line="276" w:lineRule="auto"/>
        <w:rPr>
          <w:rFonts w:ascii="Segoe UI" w:hAnsi="Segoe UI" w:cs="Segoe UI"/>
          <w:sz w:val="18"/>
          <w:szCs w:val="18"/>
        </w:rPr>
      </w:pPr>
      <w:r w:rsidRPr="004A0212">
        <w:rPr>
          <w:rStyle w:val="normaltextrun"/>
          <w:rFonts w:ascii="Arial" w:hAnsi="Arial" w:cs="Arial"/>
          <w:b/>
          <w:bCs/>
          <w:sz w:val="22"/>
          <w:szCs w:val="22"/>
        </w:rPr>
        <w:t>Time in care</w:t>
      </w:r>
      <w:r w:rsidRPr="004A0212">
        <w:rPr>
          <w:rStyle w:val="normaltextrun"/>
          <w:rFonts w:ascii="Arial" w:hAnsi="Arial" w:cs="Arial"/>
          <w:sz w:val="22"/>
          <w:szCs w:val="22"/>
        </w:rPr>
        <w:t xml:space="preserve"> 1981</w:t>
      </w:r>
      <w:r w:rsidR="00083FAB" w:rsidRPr="004A0212">
        <w:rPr>
          <w:rStyle w:val="normaltextrun"/>
          <w:rFonts w:ascii="Arial" w:hAnsi="Arial" w:cs="Arial"/>
          <w:sz w:val="22"/>
          <w:szCs w:val="22"/>
        </w:rPr>
        <w:t>–</w:t>
      </w:r>
      <w:r w:rsidRPr="004A0212">
        <w:rPr>
          <w:rStyle w:val="normaltextrun"/>
          <w:rFonts w:ascii="Arial" w:hAnsi="Arial" w:cs="Arial"/>
          <w:sz w:val="22"/>
          <w:szCs w:val="22"/>
        </w:rPr>
        <w:t>1983 </w:t>
      </w:r>
      <w:r w:rsidRPr="004A0212">
        <w:rPr>
          <w:rStyle w:val="eop"/>
          <w:rFonts w:ascii="Arial" w:hAnsi="Arial" w:cs="Arial"/>
          <w:sz w:val="22"/>
          <w:szCs w:val="22"/>
        </w:rPr>
        <w:t> </w:t>
      </w:r>
    </w:p>
    <w:p w14:paraId="512E325E" w14:textId="02583F61" w:rsidR="00287617" w:rsidRPr="004A0212" w:rsidRDefault="00287617" w:rsidP="00B927A7">
      <w:pPr>
        <w:pStyle w:val="BodyText"/>
        <w:spacing w:line="276" w:lineRule="auto"/>
        <w:rPr>
          <w:rFonts w:ascii="Segoe UI" w:hAnsi="Segoe UI" w:cs="Segoe UI"/>
          <w:sz w:val="18"/>
          <w:szCs w:val="18"/>
        </w:rPr>
      </w:pPr>
      <w:r w:rsidRPr="004A0212">
        <w:rPr>
          <w:rStyle w:val="normaltextrun"/>
          <w:rFonts w:ascii="Arial" w:hAnsi="Arial" w:cs="Arial"/>
          <w:b/>
          <w:bCs/>
          <w:sz w:val="22"/>
          <w:szCs w:val="22"/>
        </w:rPr>
        <w:t>Type of care facility</w:t>
      </w:r>
      <w:r w:rsidRPr="004A0212">
        <w:rPr>
          <w:rStyle w:val="normaltextrun"/>
          <w:rFonts w:ascii="Arial" w:hAnsi="Arial" w:cs="Arial"/>
          <w:sz w:val="22"/>
          <w:szCs w:val="22"/>
        </w:rPr>
        <w:t xml:space="preserve"> Children’s home – Christchurch Methodist Children’s Home; foster homes – private faith </w:t>
      </w:r>
      <w:proofErr w:type="gramStart"/>
      <w:r w:rsidRPr="004A0212">
        <w:rPr>
          <w:rStyle w:val="normaltextrun"/>
          <w:rFonts w:ascii="Arial" w:hAnsi="Arial" w:cs="Arial"/>
          <w:sz w:val="22"/>
          <w:szCs w:val="22"/>
        </w:rPr>
        <w:t>foster</w:t>
      </w:r>
      <w:proofErr w:type="gramEnd"/>
      <w:r w:rsidRPr="004A0212">
        <w:rPr>
          <w:rStyle w:val="normaltextrun"/>
          <w:rFonts w:ascii="Arial" w:hAnsi="Arial" w:cs="Arial"/>
          <w:sz w:val="22"/>
          <w:szCs w:val="22"/>
        </w:rPr>
        <w:t xml:space="preserve"> homes.</w:t>
      </w:r>
      <w:r w:rsidRPr="004A0212">
        <w:rPr>
          <w:rStyle w:val="eop"/>
          <w:rFonts w:ascii="Arial" w:hAnsi="Arial" w:cs="Arial"/>
          <w:sz w:val="22"/>
          <w:szCs w:val="22"/>
        </w:rPr>
        <w:t> </w:t>
      </w:r>
    </w:p>
    <w:p w14:paraId="744F2021" w14:textId="77777777" w:rsidR="00287617" w:rsidRPr="004A0212" w:rsidRDefault="00287617" w:rsidP="00B927A7">
      <w:pPr>
        <w:pStyle w:val="BodyText"/>
        <w:spacing w:line="276" w:lineRule="auto"/>
        <w:rPr>
          <w:rFonts w:ascii="Segoe UI" w:hAnsi="Segoe UI" w:cs="Segoe UI"/>
          <w:sz w:val="18"/>
          <w:szCs w:val="18"/>
        </w:rPr>
      </w:pPr>
      <w:r w:rsidRPr="004A0212">
        <w:rPr>
          <w:rStyle w:val="normaltextrun"/>
          <w:rFonts w:ascii="Arial" w:hAnsi="Arial" w:cs="Arial"/>
          <w:b/>
          <w:bCs/>
          <w:sz w:val="22"/>
          <w:szCs w:val="22"/>
        </w:rPr>
        <w:t>Whānau background</w:t>
      </w:r>
      <w:r w:rsidRPr="004A0212">
        <w:rPr>
          <w:rStyle w:val="normaltextrun"/>
          <w:rFonts w:ascii="Arial" w:hAnsi="Arial" w:cs="Arial"/>
          <w:sz w:val="22"/>
          <w:szCs w:val="22"/>
        </w:rPr>
        <w:t xml:space="preserve"> Debbie is third of five children, and three of them went into care. Her parents did not have a happy marriage, and her father spent time in Sunnyside Hospital.</w:t>
      </w:r>
      <w:r w:rsidRPr="004A0212">
        <w:rPr>
          <w:rStyle w:val="eop"/>
          <w:rFonts w:ascii="Arial" w:hAnsi="Arial" w:cs="Arial"/>
          <w:sz w:val="22"/>
          <w:szCs w:val="22"/>
        </w:rPr>
        <w:t> </w:t>
      </w:r>
    </w:p>
    <w:p w14:paraId="3570A88E" w14:textId="6403E1F4" w:rsidR="00287617" w:rsidRDefault="00287617" w:rsidP="00B927A7">
      <w:pPr>
        <w:pStyle w:val="BodyText"/>
        <w:spacing w:line="276" w:lineRule="auto"/>
        <w:rPr>
          <w:rStyle w:val="eop"/>
          <w:rFonts w:ascii="Arial" w:hAnsi="Arial" w:cs="Arial"/>
          <w:color w:val="auto"/>
          <w:sz w:val="22"/>
          <w:szCs w:val="22"/>
        </w:rPr>
      </w:pPr>
      <w:r w:rsidRPr="004A0212">
        <w:rPr>
          <w:rStyle w:val="normaltextrun"/>
          <w:rFonts w:ascii="Arial" w:hAnsi="Arial" w:cs="Arial"/>
          <w:b/>
          <w:bCs/>
          <w:sz w:val="22"/>
          <w:szCs w:val="22"/>
        </w:rPr>
        <w:t>Current</w:t>
      </w:r>
      <w:r w:rsidR="006E4945">
        <w:rPr>
          <w:rStyle w:val="normaltextrun"/>
          <w:rFonts w:ascii="Arial" w:hAnsi="Arial" w:cs="Arial"/>
          <w:b/>
          <w:bCs/>
          <w:sz w:val="22"/>
          <w:szCs w:val="22"/>
        </w:rPr>
        <w:t>ly</w:t>
      </w:r>
      <w:r w:rsidRPr="004A0212">
        <w:rPr>
          <w:rStyle w:val="normaltextrun"/>
          <w:rFonts w:ascii="Arial" w:hAnsi="Arial" w:cs="Arial"/>
          <w:b/>
          <w:bCs/>
          <w:sz w:val="22"/>
          <w:szCs w:val="22"/>
        </w:rPr>
        <w:t xml:space="preserve"> </w:t>
      </w:r>
      <w:r w:rsidRPr="004A0212">
        <w:rPr>
          <w:rStyle w:val="normaltextrun"/>
          <w:rFonts w:ascii="Arial" w:hAnsi="Arial" w:cs="Arial"/>
          <w:sz w:val="22"/>
          <w:szCs w:val="22"/>
        </w:rPr>
        <w:t xml:space="preserve">Debbie has a supportive partner, and her children know about her childhood and have told her they are proud of what she’s come through and </w:t>
      </w:r>
      <w:r w:rsidRPr="00771662">
        <w:rPr>
          <w:rStyle w:val="normaltextrun"/>
          <w:rFonts w:ascii="Arial" w:hAnsi="Arial" w:cs="Arial"/>
          <w:color w:val="auto"/>
          <w:sz w:val="22"/>
          <w:szCs w:val="22"/>
        </w:rPr>
        <w:t>achieved.</w:t>
      </w:r>
      <w:r w:rsidRPr="00E62895">
        <w:rPr>
          <w:rStyle w:val="normaltextrun"/>
          <w:rFonts w:ascii="Arial" w:hAnsi="Arial" w:cs="Arial"/>
          <w:color w:val="auto"/>
          <w:sz w:val="22"/>
          <w:szCs w:val="22"/>
        </w:rPr>
        <w:t xml:space="preserve"> </w:t>
      </w:r>
      <w:r w:rsidR="00083FAB" w:rsidRPr="00771662">
        <w:rPr>
          <w:rStyle w:val="normaltextrun"/>
          <w:rFonts w:ascii="Arial" w:hAnsi="Arial" w:cs="Arial"/>
          <w:color w:val="auto"/>
          <w:sz w:val="22"/>
          <w:szCs w:val="22"/>
          <w:shd w:val="clear" w:color="auto" w:fill="FFFFFF"/>
        </w:rPr>
        <w:t>The consequences of the trauma she experienced continue to impact both Debbie and her whānau, and often create friction within the whānau including outbursts and arguments.</w:t>
      </w:r>
      <w:r w:rsidR="00083FAB" w:rsidRPr="00E62895">
        <w:rPr>
          <w:rStyle w:val="normaltextrun"/>
          <w:rFonts w:ascii="Arial" w:hAnsi="Arial" w:cs="Arial"/>
          <w:color w:val="auto"/>
          <w:sz w:val="22"/>
          <w:szCs w:val="22"/>
        </w:rPr>
        <w:t xml:space="preserve"> </w:t>
      </w:r>
      <w:r w:rsidRPr="00771662">
        <w:rPr>
          <w:rStyle w:val="normaltextrun"/>
          <w:rFonts w:ascii="Arial" w:hAnsi="Arial" w:cs="Arial"/>
          <w:color w:val="auto"/>
          <w:sz w:val="22"/>
          <w:szCs w:val="22"/>
        </w:rPr>
        <w:t>After going through church redress, she received financial compensation from the Methodist Church.</w:t>
      </w:r>
    </w:p>
    <w:p w14:paraId="45F5066A" w14:textId="77777777" w:rsidR="00D924D9" w:rsidRPr="004A0212" w:rsidRDefault="00D924D9" w:rsidP="00B927A7">
      <w:pPr>
        <w:pStyle w:val="BodyText"/>
        <w:spacing w:line="276" w:lineRule="auto"/>
        <w:rPr>
          <w:rFonts w:ascii="Segoe UI" w:hAnsi="Segoe UI" w:cs="Segoe UI"/>
          <w:sz w:val="18"/>
          <w:szCs w:val="18"/>
        </w:rPr>
      </w:pPr>
    </w:p>
    <w:p w14:paraId="78D9D564" w14:textId="332B0041" w:rsidR="00287617" w:rsidRPr="004A0212" w:rsidRDefault="00287617"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 xml:space="preserve">Mum and Dad had been in the </w:t>
      </w:r>
      <w:proofErr w:type="spellStart"/>
      <w:r w:rsidRPr="004A0212">
        <w:rPr>
          <w:rStyle w:val="normaltextrun"/>
          <w:rFonts w:ascii="Arial" w:hAnsi="Arial" w:cs="Arial"/>
          <w:sz w:val="22"/>
          <w:szCs w:val="22"/>
        </w:rPr>
        <w:t>Cooperites</w:t>
      </w:r>
      <w:proofErr w:type="spellEnd"/>
      <w:r w:rsidRPr="004A0212">
        <w:rPr>
          <w:rStyle w:val="normaltextrun"/>
          <w:rFonts w:ascii="Arial" w:hAnsi="Arial" w:cs="Arial"/>
          <w:sz w:val="22"/>
          <w:szCs w:val="22"/>
        </w:rPr>
        <w:t xml:space="preserve"> – Neville Cooper’s Christian community in </w:t>
      </w:r>
      <w:proofErr w:type="spellStart"/>
      <w:r w:rsidRPr="004A0212">
        <w:rPr>
          <w:rStyle w:val="normaltextrun"/>
          <w:rFonts w:ascii="Arial" w:hAnsi="Arial" w:cs="Arial"/>
          <w:sz w:val="22"/>
          <w:szCs w:val="22"/>
        </w:rPr>
        <w:t>Springbank</w:t>
      </w:r>
      <w:proofErr w:type="spellEnd"/>
      <w:r w:rsidRPr="004A0212">
        <w:rPr>
          <w:rStyle w:val="normaltextrun"/>
          <w:rFonts w:ascii="Arial" w:hAnsi="Arial" w:cs="Arial"/>
          <w:sz w:val="22"/>
          <w:szCs w:val="22"/>
        </w:rPr>
        <w:t>. We escaped after they saw things going wrong in the community, but we didn’t have a lot of support. Dad would do house painting to try and get by, but Mum was disabled – she had hip replacements – and couldn’t care for five children. Basically, their marriage fell apart, they couldn’t cope and started drinking, so people at their church encouraged them to send us to the Methodist Children’s Home in Christchurch.</w:t>
      </w:r>
      <w:r w:rsidRPr="004A0212">
        <w:rPr>
          <w:rStyle w:val="eop"/>
          <w:rFonts w:ascii="Arial" w:hAnsi="Arial" w:cs="Arial"/>
          <w:sz w:val="22"/>
          <w:szCs w:val="22"/>
        </w:rPr>
        <w:t> </w:t>
      </w:r>
    </w:p>
    <w:p w14:paraId="47AE7FEB" w14:textId="396B964C" w:rsidR="00287617" w:rsidRPr="004A0212" w:rsidRDefault="00287617"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My oldest sister and the baby stayed with Mum but the rest of us were put in the home. I didn’t have much to take aside from a nightie and a wee panda bear. The bear was special, it was the only real possession I had.</w:t>
      </w:r>
      <w:r w:rsidRPr="004A0212">
        <w:rPr>
          <w:rStyle w:val="eop"/>
          <w:rFonts w:ascii="Arial" w:hAnsi="Arial" w:cs="Arial"/>
          <w:sz w:val="22"/>
          <w:szCs w:val="22"/>
        </w:rPr>
        <w:t> </w:t>
      </w:r>
    </w:p>
    <w:p w14:paraId="1A54CA9B" w14:textId="0EEFECEA" w:rsidR="00287617" w:rsidRPr="004A0212" w:rsidRDefault="00287617"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My caregiver at the home was mean and horrible. One night I vomited on my panda bear, and she made me throw it away. If I wet the bed, she’d give me a smack and make me sleep in it. Given the slightest chance, she’d ridicule and punish us. Once, my brother and I didn’t want to eat some pumpkin, so we dropped it under the table. She made us eat it off the floor like dogs. </w:t>
      </w:r>
      <w:r w:rsidRPr="004A0212">
        <w:rPr>
          <w:rStyle w:val="eop"/>
          <w:rFonts w:ascii="Arial" w:hAnsi="Arial" w:cs="Arial"/>
          <w:sz w:val="22"/>
          <w:szCs w:val="22"/>
        </w:rPr>
        <w:t> </w:t>
      </w:r>
    </w:p>
    <w:p w14:paraId="55C0AE9E" w14:textId="1793C0B6" w:rsidR="00287617" w:rsidRPr="004A0212" w:rsidRDefault="00287617"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 xml:space="preserve">In the </w:t>
      </w:r>
      <w:proofErr w:type="spellStart"/>
      <w:r w:rsidRPr="004A0212">
        <w:rPr>
          <w:rStyle w:val="normaltextrun"/>
          <w:rFonts w:ascii="Arial" w:hAnsi="Arial" w:cs="Arial"/>
          <w:sz w:val="22"/>
          <w:szCs w:val="22"/>
        </w:rPr>
        <w:t>Cooperites</w:t>
      </w:r>
      <w:proofErr w:type="spellEnd"/>
      <w:r w:rsidRPr="004A0212">
        <w:rPr>
          <w:rStyle w:val="normaltextrun"/>
          <w:rFonts w:ascii="Arial" w:hAnsi="Arial" w:cs="Arial"/>
          <w:sz w:val="22"/>
          <w:szCs w:val="22"/>
        </w:rPr>
        <w:t>, your hair was your crowning glory and Mum had always said, “Don’t ever cut your hair or I’ll never speak to you again”. But in the home, we had to line up outside in the freezing cold with bowls on our head to get a haircut. I bawled my eyes out, but they just smacked me.</w:t>
      </w:r>
      <w:r w:rsidRPr="004A0212">
        <w:rPr>
          <w:rStyle w:val="eop"/>
          <w:rFonts w:ascii="Arial" w:hAnsi="Arial" w:cs="Arial"/>
          <w:sz w:val="22"/>
          <w:szCs w:val="22"/>
        </w:rPr>
        <w:t> </w:t>
      </w:r>
    </w:p>
    <w:p w14:paraId="1DD10480" w14:textId="44BB2B27" w:rsidR="00287617" w:rsidRPr="00771662" w:rsidRDefault="00287617" w:rsidP="00B927A7">
      <w:pPr>
        <w:pStyle w:val="paragraph"/>
        <w:spacing w:before="0" w:beforeAutospacing="0" w:after="200" w:afterAutospacing="0" w:line="276" w:lineRule="auto"/>
        <w:textAlignment w:val="baseline"/>
        <w:rPr>
          <w:rStyle w:val="normaltextrun"/>
          <w:rFonts w:ascii="Segoe UI" w:hAnsi="Segoe UI" w:cs="Segoe UI"/>
          <w:sz w:val="18"/>
          <w:szCs w:val="18"/>
        </w:rPr>
      </w:pPr>
      <w:r w:rsidRPr="004A0212">
        <w:rPr>
          <w:rStyle w:val="normaltextrun"/>
          <w:rFonts w:ascii="Arial" w:hAnsi="Arial" w:cs="Arial"/>
          <w:sz w:val="22"/>
          <w:szCs w:val="22"/>
        </w:rPr>
        <w:t>We were targeted horrendously at school, even by the teachers, who would whack us with their rulers. And if we were punished at school, we’d also get punished at the home. I felt like I was punished the whole time. </w:t>
      </w:r>
      <w:r w:rsidRPr="004A0212">
        <w:rPr>
          <w:rStyle w:val="eop"/>
          <w:rFonts w:ascii="Arial" w:hAnsi="Arial" w:cs="Arial"/>
          <w:sz w:val="22"/>
          <w:szCs w:val="22"/>
        </w:rPr>
        <w:t> </w:t>
      </w:r>
    </w:p>
    <w:p w14:paraId="4B6E2FF6" w14:textId="19A303AF" w:rsidR="00287617" w:rsidRPr="004A0212" w:rsidRDefault="00287617"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In the school holidays we were told someone would pick us up and then we had to go with those people, not knowing who they were. When I was about 6 or 7 years old, a couple took me for two weeks. She wasn’t around a lot, and he raped me daily. They lived in a grey brick house, with flats down the back. He would put a towel on the bed, give me a dolly and use it to show me what we were going to do. Then he’d just get on me and rape me. I was just a little girl and I’d be screaming in pain, wondering why the neighbours couldn’t hear me as they were so close. Then he’d say, “Don’t tell anyone, it’s our secret”. </w:t>
      </w:r>
      <w:r w:rsidRPr="004A0212">
        <w:rPr>
          <w:rStyle w:val="eop"/>
          <w:rFonts w:ascii="Arial" w:hAnsi="Arial" w:cs="Arial"/>
          <w:sz w:val="22"/>
          <w:szCs w:val="22"/>
        </w:rPr>
        <w:t> </w:t>
      </w:r>
    </w:p>
    <w:p w14:paraId="2ABBEB6B" w14:textId="421D0142" w:rsidR="00287617" w:rsidRPr="004A0212" w:rsidRDefault="00287617"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I think I was there near the end of my stay at the children’s home because I remember when Dad got me from the home, I thought, “Thank God I won’t have to go back to that foster couple again”. </w:t>
      </w:r>
      <w:r w:rsidRPr="004A0212">
        <w:rPr>
          <w:rStyle w:val="eop"/>
          <w:rFonts w:ascii="Arial" w:hAnsi="Arial" w:cs="Arial"/>
          <w:sz w:val="22"/>
          <w:szCs w:val="22"/>
        </w:rPr>
        <w:t> </w:t>
      </w:r>
    </w:p>
    <w:p w14:paraId="7E6A9D1B" w14:textId="23590FB2" w:rsidR="00287617" w:rsidRPr="004A0212" w:rsidRDefault="00287617"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The thought he might have done it to someone else has tormented me over the years. </w:t>
      </w:r>
      <w:r w:rsidRPr="004A0212">
        <w:rPr>
          <w:rStyle w:val="eop"/>
          <w:rFonts w:ascii="Arial" w:hAnsi="Arial" w:cs="Arial"/>
          <w:sz w:val="22"/>
          <w:szCs w:val="22"/>
        </w:rPr>
        <w:t> </w:t>
      </w:r>
    </w:p>
    <w:p w14:paraId="5B1A17EF" w14:textId="77777777" w:rsidR="00287617" w:rsidRPr="004A0212" w:rsidRDefault="00287617"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 xml:space="preserve">When I was 13 or 14, I broke down and told Mum what had happened. I had never told anyone </w:t>
      </w:r>
      <w:proofErr w:type="gramStart"/>
      <w:r w:rsidRPr="004A0212">
        <w:rPr>
          <w:rStyle w:val="normaltextrun"/>
          <w:rFonts w:ascii="Arial" w:hAnsi="Arial" w:cs="Arial"/>
          <w:sz w:val="22"/>
          <w:szCs w:val="22"/>
        </w:rPr>
        <w:t>else,</w:t>
      </w:r>
      <w:proofErr w:type="gramEnd"/>
      <w:r w:rsidRPr="004A0212">
        <w:rPr>
          <w:rStyle w:val="normaltextrun"/>
          <w:rFonts w:ascii="Arial" w:hAnsi="Arial" w:cs="Arial"/>
          <w:sz w:val="22"/>
          <w:szCs w:val="22"/>
        </w:rPr>
        <w:t xml:space="preserve"> it was such a shameful thing. She took me to the </w:t>
      </w:r>
      <w:proofErr w:type="gramStart"/>
      <w:r w:rsidRPr="004A0212">
        <w:rPr>
          <w:rStyle w:val="normaltextrun"/>
          <w:rFonts w:ascii="Arial" w:hAnsi="Arial" w:cs="Arial"/>
          <w:sz w:val="22"/>
          <w:szCs w:val="22"/>
        </w:rPr>
        <w:t>police</w:t>
      </w:r>
      <w:proofErr w:type="gramEnd"/>
      <w:r w:rsidRPr="004A0212">
        <w:rPr>
          <w:rStyle w:val="normaltextrun"/>
          <w:rFonts w:ascii="Arial" w:hAnsi="Arial" w:cs="Arial"/>
          <w:sz w:val="22"/>
          <w:szCs w:val="22"/>
        </w:rPr>
        <w:t xml:space="preserve"> and I was so mortified, embarrassed and ashamed that I just clammed up and didn’t speak much. They told Mum they wouldn’t pursue it as there wasn’t any evidence – it was my word against his. </w:t>
      </w:r>
      <w:r w:rsidRPr="004A0212">
        <w:rPr>
          <w:rStyle w:val="eop"/>
          <w:rFonts w:ascii="Arial" w:hAnsi="Arial" w:cs="Arial"/>
          <w:sz w:val="22"/>
          <w:szCs w:val="22"/>
        </w:rPr>
        <w:t> </w:t>
      </w:r>
    </w:p>
    <w:p w14:paraId="02E0B845" w14:textId="72FC6553" w:rsidR="00287617" w:rsidRPr="004A0212" w:rsidRDefault="00287617"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I trusted the police and they didn’t listen to what I was saying. They just assumed I was making things up and wasting police time. Years later I saw the police report and the reasons for not prosecuting my foster carer. It said the police doctor found that I’d lost my virginity but could’ve lost it riding a horse or falling off a bike. I ended up burning the report because it was so traumatising.</w:t>
      </w:r>
      <w:r w:rsidRPr="004A0212">
        <w:rPr>
          <w:rStyle w:val="eop"/>
          <w:rFonts w:ascii="Arial" w:hAnsi="Arial" w:cs="Arial"/>
          <w:sz w:val="22"/>
          <w:szCs w:val="22"/>
        </w:rPr>
        <w:t> </w:t>
      </w:r>
    </w:p>
    <w:p w14:paraId="19D93D72" w14:textId="7809D8A2" w:rsidR="00287617" w:rsidRPr="004A0212" w:rsidRDefault="00287617"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I was a rebellious teenager, but I started to rebel even more after that. I got expelled from school at one stage – surely adults should have wondered why? I mean, if you’ve had a normal life and everything’s going okay, you don’t do things like that. </w:t>
      </w:r>
      <w:r w:rsidRPr="004A0212">
        <w:rPr>
          <w:rStyle w:val="eop"/>
          <w:rFonts w:ascii="Arial" w:hAnsi="Arial" w:cs="Arial"/>
          <w:sz w:val="22"/>
          <w:szCs w:val="22"/>
        </w:rPr>
        <w:t> </w:t>
      </w:r>
    </w:p>
    <w:p w14:paraId="6D096056" w14:textId="6E676554" w:rsidR="00287617" w:rsidRPr="004A0212" w:rsidRDefault="479CA61F"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A few</w:t>
      </w:r>
      <w:r w:rsidR="00287617" w:rsidRPr="004A0212">
        <w:rPr>
          <w:rStyle w:val="normaltextrun"/>
          <w:rFonts w:ascii="Arial" w:hAnsi="Arial" w:cs="Arial"/>
          <w:sz w:val="22"/>
          <w:szCs w:val="22"/>
        </w:rPr>
        <w:t xml:space="preserve"> months after I told the police, my mother's boyfriend drugged and raped me. We had to go back to the police station again, but he’d used a date rape drug that leaves your system quite quickly, so there was no evidence and he got away with it. After that, I started to rebel even more, hanging out with gangs and bad people. I ended up being gang raped by the Road Knights. But that was just my life – I thought there was no point in telling anyone because when I did, no one listened. I thought it was my fault because it happened so much, and I must have put myself in that situation. </w:t>
      </w:r>
      <w:proofErr w:type="gramStart"/>
      <w:r w:rsidR="00287617" w:rsidRPr="004A0212">
        <w:rPr>
          <w:rStyle w:val="normaltextrun"/>
          <w:rFonts w:ascii="Arial" w:hAnsi="Arial" w:cs="Arial"/>
          <w:sz w:val="22"/>
          <w:szCs w:val="22"/>
        </w:rPr>
        <w:t>So</w:t>
      </w:r>
      <w:proofErr w:type="gramEnd"/>
      <w:r w:rsidR="00287617" w:rsidRPr="004A0212">
        <w:rPr>
          <w:rStyle w:val="normaltextrun"/>
          <w:rFonts w:ascii="Arial" w:hAnsi="Arial" w:cs="Arial"/>
          <w:sz w:val="22"/>
          <w:szCs w:val="22"/>
        </w:rPr>
        <w:t xml:space="preserve"> I didn’t go to the police, I just kept it to myself.</w:t>
      </w:r>
      <w:r w:rsidR="00287617" w:rsidRPr="004A0212">
        <w:rPr>
          <w:rStyle w:val="eop"/>
          <w:rFonts w:ascii="Arial" w:hAnsi="Arial" w:cs="Arial"/>
          <w:sz w:val="22"/>
          <w:szCs w:val="22"/>
        </w:rPr>
        <w:t> </w:t>
      </w:r>
    </w:p>
    <w:p w14:paraId="0AE63844" w14:textId="4EE3DA22" w:rsidR="00287617" w:rsidRPr="004A0212" w:rsidRDefault="00287617"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I think through all that hardship I must be a born fighter – otherwise I would’ve gone the other way and ended up in jail or worse. But what happened while I was under the care of the children’s home, and afterwards, built up inside me for years. It affected my life. I’ve had anger issues, eating disorders and attempted to kill myself. I thought my parents didn’t have faith in me, and being bashed and raped was all I was good for. I have felt unworthy and not good enough, and that I will never amount to anything. It wasn’t a very blessed, fulfilled life.</w:t>
      </w:r>
      <w:r w:rsidRPr="004A0212">
        <w:rPr>
          <w:rStyle w:val="eop"/>
          <w:rFonts w:ascii="Arial" w:hAnsi="Arial" w:cs="Arial"/>
          <w:sz w:val="22"/>
          <w:szCs w:val="22"/>
        </w:rPr>
        <w:t> </w:t>
      </w:r>
    </w:p>
    <w:p w14:paraId="4A63215D" w14:textId="69CF8D03" w:rsidR="00287617" w:rsidRPr="004A0212" w:rsidRDefault="00287617" w:rsidP="00B927A7">
      <w:pPr>
        <w:pStyle w:val="paragraph"/>
        <w:spacing w:before="0" w:beforeAutospacing="0" w:after="200" w:afterAutospacing="0" w:line="276" w:lineRule="auto"/>
        <w:textAlignment w:val="baseline"/>
        <w:rPr>
          <w:rStyle w:val="normaltextrun"/>
          <w:rFonts w:ascii="Arial" w:eastAsiaTheme="minorHAnsi" w:hAnsi="Arial" w:cs="Arial"/>
          <w:color w:val="000000"/>
          <w:sz w:val="22"/>
          <w:szCs w:val="22"/>
          <w:lang w:eastAsia="en-US"/>
        </w:rPr>
      </w:pPr>
      <w:r w:rsidRPr="004A0212">
        <w:rPr>
          <w:rStyle w:val="normaltextrun"/>
          <w:rFonts w:ascii="Arial" w:hAnsi="Arial" w:cs="Arial"/>
          <w:sz w:val="22"/>
          <w:szCs w:val="22"/>
        </w:rPr>
        <w:t>That children’s home was like a haven for sexual predators. It’s just not acceptable to give a child to any person that says, “I’ll take a kid” and thinks, “you can pay me while I rape them for two weeks”. </w:t>
      </w:r>
      <w:r w:rsidRPr="004A0212">
        <w:rPr>
          <w:rStyle w:val="eop"/>
          <w:rFonts w:ascii="Arial" w:hAnsi="Arial" w:cs="Arial"/>
          <w:sz w:val="22"/>
          <w:szCs w:val="22"/>
        </w:rPr>
        <w:t> </w:t>
      </w:r>
    </w:p>
    <w:p w14:paraId="771DBA9A" w14:textId="5A618B53" w:rsidR="00287617" w:rsidRPr="004968E1" w:rsidRDefault="00287617" w:rsidP="00B927A7">
      <w:pPr>
        <w:pStyle w:val="paragraph"/>
        <w:spacing w:before="0" w:beforeAutospacing="0" w:after="200" w:afterAutospacing="0" w:line="276" w:lineRule="auto"/>
        <w:textAlignment w:val="baseline"/>
        <w:rPr>
          <w:rFonts w:ascii="Arial" w:hAnsi="Arial" w:cs="Arial"/>
          <w:color w:val="000000"/>
          <w:sz w:val="22"/>
          <w:szCs w:val="22"/>
        </w:rPr>
      </w:pPr>
      <w:r w:rsidRPr="004A0212">
        <w:rPr>
          <w:rStyle w:val="normaltextrun"/>
          <w:rFonts w:ascii="Arial" w:hAnsi="Arial" w:cs="Arial"/>
          <w:color w:val="000000"/>
          <w:sz w:val="22"/>
          <w:szCs w:val="22"/>
        </w:rPr>
        <w:t xml:space="preserve">A Methodist representative looked at records from the children’s home and there’s </w:t>
      </w:r>
      <w:proofErr w:type="gramStart"/>
      <w:r w:rsidRPr="004A0212">
        <w:rPr>
          <w:rStyle w:val="normaltextrun"/>
          <w:rFonts w:ascii="Arial" w:hAnsi="Arial" w:cs="Arial"/>
          <w:color w:val="000000"/>
          <w:sz w:val="22"/>
          <w:szCs w:val="22"/>
        </w:rPr>
        <w:t>actually a</w:t>
      </w:r>
      <w:proofErr w:type="gramEnd"/>
      <w:r w:rsidRPr="004A0212">
        <w:rPr>
          <w:rStyle w:val="normaltextrun"/>
          <w:rFonts w:ascii="Arial" w:hAnsi="Arial" w:cs="Arial"/>
          <w:color w:val="000000"/>
          <w:sz w:val="22"/>
          <w:szCs w:val="22"/>
        </w:rPr>
        <w:t xml:space="preserve"> note saying that foster couple wasn’t suitable to care for children, yet I was still sent there. There was also a note saying I had specifically asked not to go back to them.  I have wished someone else would come forward and say they were also raped by that man because it would validate me, would know in my heard it was true. </w:t>
      </w:r>
      <w:r w:rsidRPr="004A0212">
        <w:rPr>
          <w:rStyle w:val="eop"/>
          <w:rFonts w:ascii="Arial" w:hAnsi="Arial" w:cs="Arial"/>
          <w:color w:val="000000"/>
          <w:sz w:val="22"/>
          <w:szCs w:val="22"/>
        </w:rPr>
        <w:t> </w:t>
      </w:r>
    </w:p>
    <w:p w14:paraId="0B182273" w14:textId="435757EC" w:rsidR="00287617" w:rsidRPr="004A0212" w:rsidRDefault="00287617"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Not being believed extended into my whole life – I thought I was never going to be able to fulfil any dreams or succeed at anything. If things had been different, I could have become a police officer like I wanted to. It was a big shame I could never fulfil my potential because nobody gave a shit.</w:t>
      </w:r>
      <w:r w:rsidRPr="004A0212">
        <w:rPr>
          <w:rStyle w:val="eop"/>
          <w:rFonts w:ascii="Arial" w:hAnsi="Arial" w:cs="Arial"/>
          <w:sz w:val="22"/>
          <w:szCs w:val="22"/>
        </w:rPr>
        <w:t> </w:t>
      </w:r>
    </w:p>
    <w:p w14:paraId="6C494A45" w14:textId="19F2D7D0" w:rsidR="00287617" w:rsidRPr="004A0212" w:rsidRDefault="00287617"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In late 2019, we heard the Methodist Church was looking for people to come forward for church redress. I never asked for money, so getting that was a bonus. The impact of the abuse meant my whole life and earning ability had been affected and I was never going to have a chance to make that money myself. </w:t>
      </w:r>
      <w:r w:rsidRPr="004A0212">
        <w:rPr>
          <w:rStyle w:val="eop"/>
          <w:rFonts w:ascii="Arial" w:hAnsi="Arial" w:cs="Arial"/>
          <w:sz w:val="22"/>
          <w:szCs w:val="22"/>
        </w:rPr>
        <w:t> </w:t>
      </w:r>
    </w:p>
    <w:p w14:paraId="137E0B60" w14:textId="361F5D41" w:rsidR="00287617" w:rsidRPr="004A0212" w:rsidRDefault="00287617"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However, for me, the redress was about finally being heard, listened to and hearing them say they had failed me. It was about the recognition, the record and the apology. </w:t>
      </w:r>
      <w:r w:rsidRPr="004A0212">
        <w:rPr>
          <w:rStyle w:val="eop"/>
          <w:rFonts w:ascii="Arial" w:hAnsi="Arial" w:cs="Arial"/>
          <w:sz w:val="22"/>
          <w:szCs w:val="22"/>
        </w:rPr>
        <w:t> </w:t>
      </w:r>
    </w:p>
    <w:p w14:paraId="658711D4" w14:textId="44F7A9E1" w:rsidR="00287617" w:rsidRPr="004A0212" w:rsidRDefault="00287617"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All I wanted was to be heard.</w:t>
      </w:r>
      <w:r w:rsidRPr="004A0212">
        <w:rPr>
          <w:rStyle w:val="FootnoteReference"/>
          <w:rFonts w:ascii="Arial" w:hAnsi="Arial"/>
          <w:sz w:val="22"/>
          <w:szCs w:val="22"/>
        </w:rPr>
        <w:footnoteReference w:id="184"/>
      </w:r>
    </w:p>
    <w:bookmarkEnd w:id="230"/>
    <w:p w14:paraId="2D9205DF" w14:textId="22FABBF2" w:rsidR="00DC5252" w:rsidRPr="004A0212" w:rsidRDefault="0035284A" w:rsidP="00B927A7">
      <w:pPr>
        <w:keepLines w:val="0"/>
        <w:spacing w:line="276" w:lineRule="auto"/>
        <w:rPr>
          <w:rFonts w:ascii="Arial" w:hAnsi="Arial" w:cs="Arial"/>
          <w:b/>
          <w:bCs/>
          <w:color w:val="4F7D29" w:themeColor="accent4"/>
          <w:sz w:val="36"/>
          <w:szCs w:val="36"/>
          <w:lang w:val="pt-BR" w:eastAsia="en-NZ"/>
        </w:rPr>
      </w:pPr>
      <w:r>
        <w:rPr>
          <w:rFonts w:ascii="Arial" w:hAnsi="Arial" w:cs="Arial"/>
          <w:b/>
          <w:bCs/>
          <w:color w:val="4F7D29" w:themeColor="accent4"/>
          <w:sz w:val="36"/>
          <w:szCs w:val="36"/>
          <w:lang w:val="pt-BR" w:eastAsia="en-NZ"/>
        </w:rPr>
        <w:br w:type="page"/>
      </w:r>
    </w:p>
    <w:p w14:paraId="01FFB852" w14:textId="79E24C44" w:rsidR="007C48CA" w:rsidRPr="00D97A2A" w:rsidRDefault="0035284A" w:rsidP="004968E1">
      <w:pPr>
        <w:pStyle w:val="BodyText"/>
        <w:rPr>
          <w:rFonts w:ascii="Arial" w:hAnsi="Arial" w:cs="Arial"/>
          <w:color w:val="4F7D29" w:themeColor="accent4"/>
          <w:sz w:val="22"/>
          <w:szCs w:val="22"/>
          <w:lang w:val="pt-BR" w:eastAsia="en-NZ"/>
        </w:rPr>
      </w:pPr>
      <w:r w:rsidRPr="004968E1">
        <w:rPr>
          <w:rStyle w:val="ui-provider"/>
          <w:rFonts w:ascii="Arial" w:hAnsi="Arial" w:cs="Arial"/>
          <w:bCs/>
          <w:iCs/>
          <w:sz w:val="22"/>
          <w:szCs w:val="22"/>
        </w:rPr>
        <w:t>[</w:t>
      </w:r>
      <w:r w:rsidR="00771662">
        <w:rPr>
          <w:rStyle w:val="ui-provider"/>
          <w:rFonts w:ascii="Arial" w:hAnsi="Arial" w:cs="Arial"/>
          <w:bCs/>
          <w:iCs/>
          <w:sz w:val="22"/>
          <w:szCs w:val="22"/>
        </w:rPr>
        <w:t>S</w:t>
      </w:r>
      <w:r w:rsidRPr="004968E1">
        <w:rPr>
          <w:rStyle w:val="ui-provider"/>
          <w:rFonts w:ascii="Arial" w:hAnsi="Arial" w:cs="Arial"/>
          <w:bCs/>
          <w:iCs/>
          <w:sz w:val="22"/>
          <w:szCs w:val="22"/>
        </w:rPr>
        <w:t xml:space="preserve">urvivor </w:t>
      </w:r>
      <w:r w:rsidR="007C48CA" w:rsidRPr="004968E1">
        <w:rPr>
          <w:rStyle w:val="ui-provider"/>
          <w:rFonts w:ascii="Arial" w:hAnsi="Arial" w:cs="Arial"/>
          <w:bCs/>
          <w:iCs/>
          <w:sz w:val="22"/>
          <w:szCs w:val="22"/>
        </w:rPr>
        <w:t>quote</w:t>
      </w:r>
      <w:r w:rsidR="00935ABB">
        <w:rPr>
          <w:rStyle w:val="ui-provider"/>
          <w:rFonts w:ascii="Arial" w:hAnsi="Arial" w:cs="Arial"/>
          <w:bCs/>
          <w:iCs/>
          <w:sz w:val="22"/>
          <w:szCs w:val="22"/>
        </w:rPr>
        <w:t xml:space="preserve"> preceding survivor profile</w:t>
      </w:r>
      <w:r w:rsidR="007C48CA" w:rsidRPr="004968E1">
        <w:rPr>
          <w:rStyle w:val="ui-provider"/>
          <w:rFonts w:ascii="Arial" w:hAnsi="Arial" w:cs="Arial"/>
          <w:bCs/>
          <w:iCs/>
          <w:sz w:val="22"/>
          <w:szCs w:val="22"/>
        </w:rPr>
        <w:t>]</w:t>
      </w:r>
    </w:p>
    <w:p w14:paraId="1597D731" w14:textId="6D7B4850" w:rsidR="00C24BC4" w:rsidRPr="00D97A2A" w:rsidRDefault="00C24BC4" w:rsidP="004968E1">
      <w:pPr>
        <w:pStyle w:val="AllQuotes"/>
        <w:rPr>
          <w:rStyle w:val="ui-provider"/>
          <w:rFonts w:cs="Arial"/>
          <w:b/>
          <w:bCs/>
          <w:iCs/>
          <w:szCs w:val="22"/>
        </w:rPr>
      </w:pPr>
      <w:r w:rsidRPr="004968E1">
        <w:rPr>
          <w:rStyle w:val="ui-provider"/>
          <w:rFonts w:cs="Arial"/>
          <w:b/>
          <w:bCs/>
          <w:iCs/>
          <w:szCs w:val="22"/>
        </w:rPr>
        <w:t xml:space="preserve">“I was never </w:t>
      </w:r>
      <w:proofErr w:type="gramStart"/>
      <w:r w:rsidRPr="004968E1">
        <w:rPr>
          <w:rStyle w:val="ui-provider"/>
          <w:rFonts w:cs="Arial"/>
          <w:b/>
          <w:bCs/>
          <w:iCs/>
          <w:szCs w:val="22"/>
        </w:rPr>
        <w:t>schizophrenic,</w:t>
      </w:r>
      <w:proofErr w:type="gramEnd"/>
      <w:r w:rsidRPr="004968E1">
        <w:rPr>
          <w:rStyle w:val="ui-provider"/>
          <w:rFonts w:cs="Arial"/>
          <w:b/>
          <w:bCs/>
          <w:iCs/>
          <w:szCs w:val="22"/>
        </w:rPr>
        <w:t xml:space="preserve"> I was simply a lesbian” </w:t>
      </w:r>
    </w:p>
    <w:p w14:paraId="5414F37D" w14:textId="77777777" w:rsidR="0016101C" w:rsidRDefault="00C24BC4" w:rsidP="00771662">
      <w:pPr>
        <w:pStyle w:val="AllQuotes"/>
        <w:rPr>
          <w:rStyle w:val="ui-provider"/>
          <w:rFonts w:cs="Arial"/>
          <w:b/>
          <w:bCs/>
          <w:iCs/>
          <w:szCs w:val="22"/>
        </w:rPr>
      </w:pPr>
      <w:r w:rsidRPr="00D97A2A">
        <w:rPr>
          <w:rStyle w:val="ui-provider"/>
          <w:rFonts w:cs="Arial"/>
          <w:b/>
          <w:bCs/>
          <w:iCs/>
          <w:szCs w:val="22"/>
        </w:rPr>
        <w:t>Ms OF</w:t>
      </w:r>
    </w:p>
    <w:p w14:paraId="7032550A" w14:textId="725222FB" w:rsidR="00771662" w:rsidRDefault="00530762" w:rsidP="00771662">
      <w:pPr>
        <w:pStyle w:val="AllQuotes"/>
        <w:rPr>
          <w:rStyle w:val="ui-provider"/>
          <w:rFonts w:cs="Arial"/>
          <w:b/>
          <w:bCs/>
          <w:iCs/>
          <w:szCs w:val="22"/>
        </w:rPr>
      </w:pPr>
      <w:r w:rsidRPr="00D97A2A">
        <w:rPr>
          <w:rStyle w:val="ui-provider"/>
          <w:rFonts w:cs="Arial"/>
          <w:b/>
          <w:bCs/>
          <w:iCs/>
          <w:szCs w:val="22"/>
        </w:rPr>
        <w:t>M</w:t>
      </w:r>
      <w:r w:rsidRPr="00D97A2A">
        <w:rPr>
          <w:rStyle w:val="ui-provider"/>
          <w:rFonts w:cs="Arial" w:hint="eastAsia"/>
          <w:b/>
          <w:bCs/>
          <w:iCs/>
          <w:szCs w:val="22"/>
        </w:rPr>
        <w:t>ā</w:t>
      </w:r>
      <w:r w:rsidRPr="00D97A2A">
        <w:rPr>
          <w:rStyle w:val="ui-provider"/>
          <w:rFonts w:cs="Arial"/>
          <w:b/>
          <w:bCs/>
          <w:iCs/>
          <w:szCs w:val="22"/>
        </w:rPr>
        <w:t>ori</w:t>
      </w:r>
      <w:r w:rsidR="006E1765" w:rsidRPr="00D97A2A">
        <w:rPr>
          <w:rStyle w:val="ui-provider"/>
          <w:rFonts w:cs="Arial"/>
          <w:b/>
          <w:bCs/>
          <w:iCs/>
          <w:szCs w:val="22"/>
        </w:rPr>
        <w:t xml:space="preserve"> (</w:t>
      </w:r>
      <w:r w:rsidR="000C2996" w:rsidRPr="00D97A2A">
        <w:rPr>
          <w:rStyle w:val="ui-provider"/>
          <w:rFonts w:cs="Arial"/>
          <w:b/>
          <w:bCs/>
          <w:iCs/>
          <w:szCs w:val="22"/>
        </w:rPr>
        <w:t>Ng</w:t>
      </w:r>
      <w:r w:rsidR="000C2996" w:rsidRPr="00D97A2A">
        <w:rPr>
          <w:rStyle w:val="ui-provider"/>
          <w:rFonts w:cs="Arial" w:hint="eastAsia"/>
          <w:b/>
          <w:bCs/>
          <w:iCs/>
          <w:szCs w:val="22"/>
        </w:rPr>
        <w:t>ā</w:t>
      </w:r>
      <w:r w:rsidR="000C2996" w:rsidRPr="00D97A2A">
        <w:rPr>
          <w:rStyle w:val="ui-provider"/>
          <w:rFonts w:cs="Arial"/>
          <w:b/>
          <w:bCs/>
          <w:iCs/>
          <w:szCs w:val="22"/>
        </w:rPr>
        <w:t xml:space="preserve">ti </w:t>
      </w:r>
      <w:proofErr w:type="spellStart"/>
      <w:r w:rsidR="000C2996" w:rsidRPr="00D97A2A">
        <w:rPr>
          <w:rStyle w:val="ui-provider"/>
          <w:rFonts w:cs="Arial"/>
          <w:b/>
          <w:bCs/>
          <w:iCs/>
          <w:szCs w:val="22"/>
        </w:rPr>
        <w:t>Kahungunu</w:t>
      </w:r>
      <w:proofErr w:type="spellEnd"/>
      <w:r w:rsidR="000C2996" w:rsidRPr="00D97A2A">
        <w:rPr>
          <w:rStyle w:val="ui-provider"/>
          <w:rFonts w:cs="Arial"/>
          <w:b/>
          <w:bCs/>
          <w:iCs/>
          <w:szCs w:val="22"/>
        </w:rPr>
        <w:t>)</w:t>
      </w:r>
    </w:p>
    <w:p w14:paraId="5463F20F" w14:textId="77777777" w:rsidR="00771662" w:rsidRDefault="00771662" w:rsidP="00771662">
      <w:pPr>
        <w:pStyle w:val="AllQuotes"/>
        <w:ind w:left="0"/>
      </w:pPr>
    </w:p>
    <w:p w14:paraId="207215F3" w14:textId="059C89FF" w:rsidR="00B373FC" w:rsidRPr="004A0212" w:rsidRDefault="00B373FC" w:rsidP="00771662">
      <w:pPr>
        <w:pStyle w:val="AllQuotes"/>
        <w:ind w:left="0"/>
        <w:rPr>
          <w:rFonts w:eastAsia="Times New Roman"/>
        </w:rPr>
      </w:pPr>
    </w:p>
    <w:p w14:paraId="519BAFE4" w14:textId="77777777" w:rsidR="00197950" w:rsidRPr="004A0212" w:rsidRDefault="036B0DF0" w:rsidP="00B373FC">
      <w:pPr>
        <w:pStyle w:val="Heading1"/>
      </w:pPr>
      <w:bookmarkStart w:id="232" w:name="_Toc243368746"/>
      <w:bookmarkStart w:id="233" w:name="_Toc168638947"/>
      <w:proofErr w:type="spellStart"/>
      <w:r w:rsidRPr="004A0212">
        <w:t>Ngā</w:t>
      </w:r>
      <w:proofErr w:type="spellEnd"/>
      <w:r w:rsidRPr="004A0212">
        <w:t xml:space="preserve"> </w:t>
      </w:r>
      <w:proofErr w:type="spellStart"/>
      <w:r w:rsidRPr="004A0212">
        <w:t>wheako</w:t>
      </w:r>
      <w:proofErr w:type="spellEnd"/>
      <w:r w:rsidR="2FFAA73A" w:rsidRPr="004A0212">
        <w:t xml:space="preserve"> o </w:t>
      </w:r>
      <w:proofErr w:type="spellStart"/>
      <w:r w:rsidR="2FFAA73A" w:rsidRPr="004A0212">
        <w:t>te</w:t>
      </w:r>
      <w:proofErr w:type="spellEnd"/>
      <w:r w:rsidR="2FFAA73A" w:rsidRPr="004A0212">
        <w:t xml:space="preserve"> </w:t>
      </w:r>
      <w:proofErr w:type="spellStart"/>
      <w:r w:rsidR="2FFAA73A" w:rsidRPr="004A0212">
        <w:t>purapura</w:t>
      </w:r>
      <w:proofErr w:type="spellEnd"/>
      <w:r w:rsidR="2FFAA73A" w:rsidRPr="004A0212">
        <w:t xml:space="preserve"> </w:t>
      </w:r>
      <w:proofErr w:type="spellStart"/>
      <w:r w:rsidR="2FFAA73A" w:rsidRPr="004A0212">
        <w:t>ora</w:t>
      </w:r>
      <w:bookmarkEnd w:id="232"/>
      <w:bookmarkEnd w:id="233"/>
      <w:proofErr w:type="spellEnd"/>
    </w:p>
    <w:p w14:paraId="538D8DE1" w14:textId="198FC464" w:rsidR="00AB1D40" w:rsidRPr="004A0212" w:rsidRDefault="36E1F74A" w:rsidP="00B373FC">
      <w:pPr>
        <w:pStyle w:val="Heading1"/>
      </w:pPr>
      <w:bookmarkStart w:id="234" w:name="_Toc168638948"/>
      <w:r w:rsidRPr="004A0212">
        <w:t>Survivor experience</w:t>
      </w:r>
      <w:r w:rsidR="00197950" w:rsidRPr="004A0212">
        <w:t>:</w:t>
      </w:r>
      <w:r w:rsidR="6AC83C3F" w:rsidRPr="004A0212">
        <w:t xml:space="preserve"> </w:t>
      </w:r>
      <w:r w:rsidR="00AB1D40" w:rsidRPr="004A0212">
        <w:t>Ms OF</w:t>
      </w:r>
      <w:bookmarkEnd w:id="234"/>
    </w:p>
    <w:p w14:paraId="2D6D392E" w14:textId="77777777" w:rsidR="00C45C16" w:rsidRPr="004A0212" w:rsidRDefault="00C45C16" w:rsidP="00DC5252">
      <w:pPr>
        <w:pStyle w:val="Alldraftingnotes"/>
      </w:pPr>
      <w:r w:rsidRPr="004A0212">
        <w:t xml:space="preserve">Name </w:t>
      </w:r>
      <w:r w:rsidRPr="004A0212">
        <w:rPr>
          <w:b w:val="0"/>
          <w:bCs/>
        </w:rPr>
        <w:t>Ms OF</w:t>
      </w:r>
      <w:r w:rsidRPr="004A0212">
        <w:t xml:space="preserve"> </w:t>
      </w:r>
    </w:p>
    <w:p w14:paraId="523751FB" w14:textId="77777777" w:rsidR="00C45C16" w:rsidRPr="004A0212" w:rsidRDefault="00C45C16" w:rsidP="00DC5252">
      <w:pPr>
        <w:pStyle w:val="Alldraftingnotes"/>
      </w:pPr>
      <w:r w:rsidRPr="004A0212">
        <w:t xml:space="preserve">Hometown </w:t>
      </w:r>
      <w:proofErr w:type="spellStart"/>
      <w:r w:rsidRPr="004A0212">
        <w:rPr>
          <w:b w:val="0"/>
          <w:bCs/>
        </w:rPr>
        <w:t>Waihopai</w:t>
      </w:r>
      <w:proofErr w:type="spellEnd"/>
      <w:r w:rsidRPr="004A0212">
        <w:rPr>
          <w:b w:val="0"/>
          <w:bCs/>
        </w:rPr>
        <w:t xml:space="preserve"> Invercargill</w:t>
      </w:r>
      <w:r w:rsidRPr="004A0212">
        <w:t xml:space="preserve"> </w:t>
      </w:r>
    </w:p>
    <w:p w14:paraId="2F50F3D5" w14:textId="77777777" w:rsidR="00C45C16" w:rsidRPr="004A0212" w:rsidRDefault="00C45C16" w:rsidP="00DC5252">
      <w:pPr>
        <w:pStyle w:val="Alldraftingnotes"/>
      </w:pPr>
      <w:r w:rsidRPr="004A0212">
        <w:t xml:space="preserve">Age when entered care </w:t>
      </w:r>
      <w:r w:rsidRPr="004A0212">
        <w:rPr>
          <w:b w:val="0"/>
          <w:bCs/>
        </w:rPr>
        <w:t xml:space="preserve">15 years old  </w:t>
      </w:r>
    </w:p>
    <w:p w14:paraId="4FA71090" w14:textId="77777777" w:rsidR="00C45C16" w:rsidRPr="004A0212" w:rsidRDefault="00C45C16" w:rsidP="00DC5252">
      <w:pPr>
        <w:pStyle w:val="Alldraftingnotes"/>
      </w:pPr>
      <w:r w:rsidRPr="004A0212">
        <w:t xml:space="preserve">Year of birth </w:t>
      </w:r>
      <w:r w:rsidRPr="004A0212">
        <w:rPr>
          <w:b w:val="0"/>
          <w:bCs/>
        </w:rPr>
        <w:t xml:space="preserve">1960 </w:t>
      </w:r>
    </w:p>
    <w:p w14:paraId="57334A83" w14:textId="77777777" w:rsidR="00C45C16" w:rsidRPr="004A0212" w:rsidRDefault="00C45C16" w:rsidP="00DC5252">
      <w:pPr>
        <w:pStyle w:val="Alldraftingnotes"/>
      </w:pPr>
      <w:r w:rsidRPr="004A0212">
        <w:t xml:space="preserve">Time in care </w:t>
      </w:r>
      <w:r w:rsidRPr="004A0212">
        <w:rPr>
          <w:b w:val="0"/>
          <w:bCs/>
        </w:rPr>
        <w:t>1977–1984</w:t>
      </w:r>
      <w:r w:rsidRPr="004A0212">
        <w:t xml:space="preserve"> </w:t>
      </w:r>
    </w:p>
    <w:p w14:paraId="65BE7A80" w14:textId="255CF5B9" w:rsidR="00C45C16" w:rsidRPr="004A0212" w:rsidRDefault="00C45C16" w:rsidP="00DC5252">
      <w:pPr>
        <w:pStyle w:val="Alldraftingnotes"/>
      </w:pPr>
      <w:r w:rsidRPr="004A0212">
        <w:t xml:space="preserve">Type of care facility </w:t>
      </w:r>
      <w:r w:rsidRPr="004A0212">
        <w:rPr>
          <w:b w:val="0"/>
          <w:bCs/>
        </w:rPr>
        <w:t>Psychiatric hospital – Ward 12</w:t>
      </w:r>
      <w:r w:rsidR="00177D96" w:rsidRPr="00177D96">
        <w:rPr>
          <w:b w:val="0"/>
          <w:bCs/>
        </w:rPr>
        <w:t xml:space="preserve"> Southland Hospital in </w:t>
      </w:r>
      <w:proofErr w:type="spellStart"/>
      <w:r w:rsidR="00177D96" w:rsidRPr="00177D96">
        <w:rPr>
          <w:b w:val="0"/>
          <w:bCs/>
        </w:rPr>
        <w:t>Waihopai</w:t>
      </w:r>
      <w:proofErr w:type="spellEnd"/>
      <w:r w:rsidR="00177D96" w:rsidRPr="00177D96">
        <w:rPr>
          <w:b w:val="0"/>
          <w:bCs/>
        </w:rPr>
        <w:t xml:space="preserve"> Invercargill</w:t>
      </w:r>
      <w:r w:rsidRPr="004A0212">
        <w:rPr>
          <w:b w:val="0"/>
          <w:bCs/>
        </w:rPr>
        <w:t xml:space="preserve">, Cherry Farm </w:t>
      </w:r>
      <w:r w:rsidR="00177D96" w:rsidRPr="00177D96">
        <w:rPr>
          <w:b w:val="0"/>
          <w:bCs/>
        </w:rPr>
        <w:t xml:space="preserve">Psychiatric Hospital in </w:t>
      </w:r>
      <w:proofErr w:type="spellStart"/>
      <w:r w:rsidR="00177D96" w:rsidRPr="00177D96">
        <w:rPr>
          <w:b w:val="0"/>
          <w:bCs/>
        </w:rPr>
        <w:t>Ōtepoti</w:t>
      </w:r>
      <w:proofErr w:type="spellEnd"/>
      <w:r w:rsidR="00177D96" w:rsidRPr="00177D96">
        <w:rPr>
          <w:b w:val="0"/>
          <w:bCs/>
        </w:rPr>
        <w:t xml:space="preserve"> Dunedin.</w:t>
      </w:r>
    </w:p>
    <w:p w14:paraId="576E6474" w14:textId="77777777" w:rsidR="00C45C16" w:rsidRPr="004A0212" w:rsidRDefault="00C45C16" w:rsidP="00DC5252">
      <w:pPr>
        <w:pStyle w:val="Alldraftingnotes"/>
      </w:pPr>
      <w:r w:rsidRPr="004A0212">
        <w:t xml:space="preserve">Ethnicity </w:t>
      </w:r>
      <w:r w:rsidRPr="004A0212">
        <w:rPr>
          <w:b w:val="0"/>
          <w:bCs/>
        </w:rPr>
        <w:t xml:space="preserve">Māori – Ngāti </w:t>
      </w:r>
      <w:proofErr w:type="spellStart"/>
      <w:r w:rsidRPr="004A0212">
        <w:rPr>
          <w:b w:val="0"/>
          <w:bCs/>
        </w:rPr>
        <w:t>Kahungunu</w:t>
      </w:r>
      <w:proofErr w:type="spellEnd"/>
      <w:r w:rsidRPr="004A0212">
        <w:rPr>
          <w:b w:val="0"/>
          <w:bCs/>
        </w:rPr>
        <w:t> </w:t>
      </w:r>
      <w:r w:rsidRPr="004A0212">
        <w:t xml:space="preserve"> </w:t>
      </w:r>
    </w:p>
    <w:p w14:paraId="41109BD2" w14:textId="77777777" w:rsidR="00C45C16" w:rsidRPr="004A0212" w:rsidRDefault="00C45C16" w:rsidP="00DC5252">
      <w:pPr>
        <w:pStyle w:val="Alldraftingnotes"/>
        <w:rPr>
          <w:b w:val="0"/>
          <w:bCs/>
        </w:rPr>
      </w:pPr>
      <w:r w:rsidRPr="004A0212">
        <w:rPr>
          <w:bCs/>
        </w:rPr>
        <w:t>Whānau background</w:t>
      </w:r>
      <w:r w:rsidRPr="004A0212">
        <w:rPr>
          <w:b w:val="0"/>
          <w:bCs/>
        </w:rPr>
        <w:t xml:space="preserve"> Growing up, Ms OF’s home life could be violent, but she knew she was loved and supported. She is close to her brother and four sisters. Ms OF was the only child to go into care, and her parents were devastated to find out what happened to her at Cherry Farm. Her mother has since passed away, and her father still lives in Invercargill. They have a reasonable relationship.  </w:t>
      </w:r>
    </w:p>
    <w:p w14:paraId="08DC42AD" w14:textId="3E596462" w:rsidR="00C45C16" w:rsidRPr="004A0212" w:rsidRDefault="00C45C16" w:rsidP="00DC5252">
      <w:pPr>
        <w:pStyle w:val="Alldraftingnotes"/>
        <w:rPr>
          <w:b w:val="0"/>
          <w:bCs/>
        </w:rPr>
      </w:pPr>
      <w:r w:rsidRPr="004A0212">
        <w:rPr>
          <w:bCs/>
        </w:rPr>
        <w:t>Current</w:t>
      </w:r>
      <w:r w:rsidRPr="004A0212">
        <w:rPr>
          <w:b w:val="0"/>
          <w:bCs/>
        </w:rPr>
        <w:t xml:space="preserve"> Ms OF has a partner, who encouraged her to study. She also has a daughter in her thirties, and a grandson. She was friends with her daughter’s father but not in a relationship with him. Her daughter has been diagnosed as being on the autism spectrum.</w:t>
      </w:r>
    </w:p>
    <w:p w14:paraId="06AB6137" w14:textId="77777777" w:rsidR="00E53B58" w:rsidRDefault="00E53B58" w:rsidP="00DC5252">
      <w:pPr>
        <w:pStyle w:val="Alldraftingnotes"/>
        <w:rPr>
          <w:b w:val="0"/>
          <w:bCs/>
        </w:rPr>
      </w:pPr>
    </w:p>
    <w:p w14:paraId="04F6A38B" w14:textId="336D643E" w:rsidR="00C45C16" w:rsidRPr="004A0212" w:rsidRDefault="00C45C16" w:rsidP="00D97A2A">
      <w:pPr>
        <w:pStyle w:val="Alldraftingnotes"/>
        <w:spacing w:before="0" w:after="200"/>
        <w:rPr>
          <w:b w:val="0"/>
          <w:bCs/>
        </w:rPr>
      </w:pPr>
      <w:r w:rsidRPr="004A0212">
        <w:rPr>
          <w:b w:val="0"/>
          <w:bCs/>
        </w:rPr>
        <w:t xml:space="preserve">I was in Cherry Farm on and off for 10 years. I was told I was crazy, and treated like I was crazy, but I wasn’t crazy when I went in there.  </w:t>
      </w:r>
    </w:p>
    <w:p w14:paraId="04ECC3EC" w14:textId="77777777" w:rsidR="00C45C16" w:rsidRPr="004A0212" w:rsidRDefault="00C45C16" w:rsidP="00D97A2A">
      <w:pPr>
        <w:pStyle w:val="Alldraftingnotes"/>
        <w:spacing w:before="0" w:after="200"/>
        <w:rPr>
          <w:b w:val="0"/>
          <w:bCs/>
        </w:rPr>
      </w:pPr>
      <w:r w:rsidRPr="004A0212">
        <w:rPr>
          <w:b w:val="0"/>
          <w:bCs/>
        </w:rPr>
        <w:t xml:space="preserve">Growing up, I had a family that loved me, but it wasn’t the best environment. There was the normal sort of argy-bargy with my brother and sisters, and my parents fought a lot, but it was a violent home. There was no engagement with </w:t>
      </w:r>
      <w:proofErr w:type="spellStart"/>
      <w:r w:rsidRPr="004A0212">
        <w:rPr>
          <w:b w:val="0"/>
          <w:bCs/>
        </w:rPr>
        <w:t>te</w:t>
      </w:r>
      <w:proofErr w:type="spellEnd"/>
      <w:r w:rsidRPr="004A0212">
        <w:rPr>
          <w:b w:val="0"/>
          <w:bCs/>
        </w:rPr>
        <w:t xml:space="preserve"> </w:t>
      </w:r>
      <w:proofErr w:type="spellStart"/>
      <w:r w:rsidRPr="004A0212">
        <w:rPr>
          <w:b w:val="0"/>
          <w:bCs/>
        </w:rPr>
        <w:t>ao</w:t>
      </w:r>
      <w:proofErr w:type="spellEnd"/>
      <w:r w:rsidRPr="004A0212">
        <w:rPr>
          <w:b w:val="0"/>
          <w:bCs/>
        </w:rPr>
        <w:t xml:space="preserve"> Māori or with my culture. My father was frustrated with how Pākehā treated Māori.  </w:t>
      </w:r>
    </w:p>
    <w:p w14:paraId="0A24DF99" w14:textId="77777777" w:rsidR="00C45C16" w:rsidRPr="004A0212" w:rsidRDefault="00C45C16" w:rsidP="00D97A2A">
      <w:pPr>
        <w:pStyle w:val="Alldraftingnotes"/>
        <w:spacing w:before="0" w:after="200"/>
        <w:rPr>
          <w:b w:val="0"/>
          <w:bCs/>
        </w:rPr>
      </w:pPr>
      <w:r w:rsidRPr="004A0212">
        <w:rPr>
          <w:b w:val="0"/>
          <w:bCs/>
        </w:rPr>
        <w:t xml:space="preserve">Several factors combined to make me depressed and angry, including being sexually abused by a friend’s father for about three years from 6 years old, struggling with my sexuality, and my best friend moving away when I was around 16 years old. As a result, I got into trouble a lot at school. I wasn’t stupid but I was put in the ‘cabbage’ class. I think I was treated </w:t>
      </w:r>
      <w:proofErr w:type="gramStart"/>
      <w:r w:rsidRPr="004A0212">
        <w:rPr>
          <w:b w:val="0"/>
          <w:bCs/>
        </w:rPr>
        <w:t>pretty unfairly</w:t>
      </w:r>
      <w:proofErr w:type="gramEnd"/>
      <w:r w:rsidRPr="004A0212">
        <w:rPr>
          <w:b w:val="0"/>
          <w:bCs/>
        </w:rPr>
        <w:t xml:space="preserve"> throughout school simply because I am Māori.  </w:t>
      </w:r>
    </w:p>
    <w:p w14:paraId="43A2A029" w14:textId="77777777" w:rsidR="00C45C16" w:rsidRPr="004A0212" w:rsidRDefault="00C45C16" w:rsidP="00D97A2A">
      <w:pPr>
        <w:pStyle w:val="Alldraftingnotes"/>
        <w:spacing w:before="0" w:after="200"/>
        <w:rPr>
          <w:b w:val="0"/>
          <w:bCs/>
        </w:rPr>
      </w:pPr>
      <w:r w:rsidRPr="004A0212">
        <w:rPr>
          <w:b w:val="0"/>
          <w:bCs/>
        </w:rPr>
        <w:t xml:space="preserve">I began attempting to take my own life and was admitted to hospital – and they just sent me over to Ward 12. I was admitted maybe three times that year. Before that, I had seen a school counsellor but not a psychiatrist. I had been involved with Ward 12 for probably for a year before an incident that led to police involvement. I was then remanded to Cherry Farm for psychiatric assessment.   </w:t>
      </w:r>
    </w:p>
    <w:p w14:paraId="50E72BD8" w14:textId="77777777" w:rsidR="00C45C16" w:rsidRPr="004A0212" w:rsidRDefault="00C45C16" w:rsidP="00D97A2A">
      <w:pPr>
        <w:pStyle w:val="Alldraftingnotes"/>
        <w:spacing w:before="0" w:after="200"/>
        <w:rPr>
          <w:b w:val="0"/>
          <w:bCs/>
        </w:rPr>
      </w:pPr>
      <w:r w:rsidRPr="004A0212">
        <w:rPr>
          <w:b w:val="0"/>
          <w:bCs/>
        </w:rPr>
        <w:t xml:space="preserve">I was 16. Up until then I had probably been depressed, but not psychotic.   </w:t>
      </w:r>
    </w:p>
    <w:p w14:paraId="4F89ED56" w14:textId="77777777" w:rsidR="00C45C16" w:rsidRPr="004A0212" w:rsidRDefault="00C45C16" w:rsidP="00D97A2A">
      <w:pPr>
        <w:pStyle w:val="Alldraftingnotes"/>
        <w:spacing w:before="0" w:after="200"/>
        <w:rPr>
          <w:b w:val="0"/>
          <w:bCs/>
        </w:rPr>
      </w:pPr>
      <w:r w:rsidRPr="004A0212">
        <w:rPr>
          <w:b w:val="0"/>
          <w:bCs/>
        </w:rPr>
        <w:t xml:space="preserve">On my first day, a woman who’d had a lobotomy picked me up and threw me, for no reason. In the showers, women would smack me in the back of the head, and nothing was done. I was in with a bunch of very unwell women.  </w:t>
      </w:r>
    </w:p>
    <w:p w14:paraId="7962DD59" w14:textId="77777777" w:rsidR="00C45C16" w:rsidRPr="004A0212" w:rsidRDefault="00C45C16" w:rsidP="00D97A2A">
      <w:pPr>
        <w:pStyle w:val="Alldraftingnotes"/>
        <w:spacing w:before="0" w:after="200"/>
        <w:rPr>
          <w:b w:val="0"/>
          <w:bCs/>
        </w:rPr>
      </w:pPr>
      <w:r w:rsidRPr="004A0212">
        <w:rPr>
          <w:b w:val="0"/>
          <w:bCs/>
        </w:rPr>
        <w:t xml:space="preserve">I saw a counsellor when I was admitted. I remember being told I was a lesbian because I had penis envy, and that I came out of my mother’s body the wrong way and got damaged on the way out. I was diagnosed as schizophrenic. However, I was never schizophrenic, I was simply a lesbian.   </w:t>
      </w:r>
    </w:p>
    <w:p w14:paraId="60D288C1" w14:textId="77777777" w:rsidR="00C45C16" w:rsidRPr="004A0212" w:rsidRDefault="00C45C16" w:rsidP="00D97A2A">
      <w:pPr>
        <w:pStyle w:val="Alldraftingnotes"/>
        <w:spacing w:before="0" w:after="200"/>
        <w:rPr>
          <w:b w:val="0"/>
          <w:bCs/>
        </w:rPr>
      </w:pPr>
      <w:r w:rsidRPr="004A0212">
        <w:rPr>
          <w:b w:val="0"/>
          <w:bCs/>
        </w:rPr>
        <w:t xml:space="preserve">They focused on the schizophrenia and what they described as my ‘personality disorder’. This involved constant treatment. I would act up about a lot of it, but they would simply increase my medication or add something new.   </w:t>
      </w:r>
    </w:p>
    <w:p w14:paraId="07D543D6" w14:textId="77777777" w:rsidR="00C45C16" w:rsidRPr="004A0212" w:rsidRDefault="00C45C16" w:rsidP="00D97A2A">
      <w:pPr>
        <w:pStyle w:val="Alldraftingnotes"/>
        <w:spacing w:before="0" w:after="200"/>
        <w:rPr>
          <w:b w:val="0"/>
          <w:bCs/>
        </w:rPr>
      </w:pPr>
      <w:r w:rsidRPr="004A0212">
        <w:rPr>
          <w:b w:val="0"/>
          <w:bCs/>
        </w:rPr>
        <w:t xml:space="preserve">I don’t believe my parents consented to me receiving ECT treatments. I don’t think they even knew about it until they came to visit. But they wouldn’t have challenged it because doctors were gods. Everyone’s view of doctors at the time was the same.  </w:t>
      </w:r>
    </w:p>
    <w:p w14:paraId="1B98158D" w14:textId="77777777" w:rsidR="00C45C16" w:rsidRPr="004A0212" w:rsidRDefault="00C45C16" w:rsidP="00D97A2A">
      <w:pPr>
        <w:pStyle w:val="Alldraftingnotes"/>
        <w:spacing w:before="0" w:after="200"/>
        <w:rPr>
          <w:b w:val="0"/>
          <w:bCs/>
        </w:rPr>
      </w:pPr>
      <w:r w:rsidRPr="004A0212">
        <w:rPr>
          <w:b w:val="0"/>
          <w:bCs/>
        </w:rPr>
        <w:t xml:space="preserve">A normal course of ECT was three times a week for two weeks but I would go four or five times a week for weeks on end. We’d be herded into a room and one after another we’d go in and then be trolleyed out. I was given anaesthetic, which contained a muscle relaxant to ensure I was asleep, and electrodes were put on my head. After the shock I would be zombified.   </w:t>
      </w:r>
    </w:p>
    <w:p w14:paraId="347F8D87" w14:textId="77777777" w:rsidR="00C45C16" w:rsidRPr="004A0212" w:rsidRDefault="00C45C16" w:rsidP="00D97A2A">
      <w:pPr>
        <w:pStyle w:val="Alldraftingnotes"/>
        <w:spacing w:before="0" w:after="200"/>
        <w:rPr>
          <w:b w:val="0"/>
          <w:bCs/>
        </w:rPr>
      </w:pPr>
      <w:r w:rsidRPr="004A0212">
        <w:rPr>
          <w:b w:val="0"/>
          <w:bCs/>
        </w:rPr>
        <w:t xml:space="preserve">We did a deep sleep programme in the narcosis unit where they filled us up with highly addictive barbiturates and didn’t tell us much. I wasn’t asked for my consent. It probably went on for six weeks, but it could have been several months. I was so out of it that I really can’t remember a lot of what went on.   </w:t>
      </w:r>
    </w:p>
    <w:p w14:paraId="1C653C93" w14:textId="77777777" w:rsidR="00C45C16" w:rsidRPr="004A0212" w:rsidRDefault="00C45C16" w:rsidP="00D97A2A">
      <w:pPr>
        <w:pStyle w:val="Alldraftingnotes"/>
        <w:spacing w:before="0" w:after="200"/>
        <w:rPr>
          <w:b w:val="0"/>
          <w:bCs/>
        </w:rPr>
      </w:pPr>
      <w:r w:rsidRPr="004A0212">
        <w:rPr>
          <w:b w:val="0"/>
          <w:bCs/>
        </w:rPr>
        <w:t xml:space="preserve">I do remember going to court when I was about 18 or 19. There was no social worker or support person, just nurses. I think I had to sign something after they decided what was going to happen to me. I believe I was put under a section of the Health Act where I had no say.   </w:t>
      </w:r>
    </w:p>
    <w:p w14:paraId="72D1A6A5" w14:textId="77777777" w:rsidR="00C45C16" w:rsidRPr="004A0212" w:rsidRDefault="00C45C16" w:rsidP="00D97A2A">
      <w:pPr>
        <w:pStyle w:val="Alldraftingnotes"/>
        <w:spacing w:before="0" w:after="200"/>
        <w:rPr>
          <w:b w:val="0"/>
          <w:bCs/>
        </w:rPr>
      </w:pPr>
      <w:r w:rsidRPr="004A0212">
        <w:rPr>
          <w:b w:val="0"/>
          <w:bCs/>
        </w:rPr>
        <w:t xml:space="preserve">The punishments at Cherry Farm were horrendous, and I started cutting myself because of them. I hadn’t been a slasher before that. We’d be put in seclusion, which meant being put in a room with windows and a cardboard potty for up to 12 days – they wouldn’t tell you how long it would be for. You’d be naked with only a horse blanket, and they’d observe you. I hated isolation and I don’t like locked doors because of it.   </w:t>
      </w:r>
    </w:p>
    <w:p w14:paraId="6FF30093" w14:textId="77777777" w:rsidR="00C45C16" w:rsidRPr="004A0212" w:rsidRDefault="00C45C16" w:rsidP="00D97A2A">
      <w:pPr>
        <w:pStyle w:val="Alldraftingnotes"/>
        <w:spacing w:before="0" w:after="200"/>
        <w:rPr>
          <w:b w:val="0"/>
          <w:bCs/>
        </w:rPr>
      </w:pPr>
      <w:r w:rsidRPr="004A0212">
        <w:rPr>
          <w:b w:val="0"/>
          <w:bCs/>
        </w:rPr>
        <w:t xml:space="preserve">I was never sexually assaulted at Cherry Farm but there was some physical harm. Once I had a serious cut on my wrist, which the doctor stitched without anaesthetic, on purpose. The pain was excruciating but I didn’t want that bastard doctor to see me cry. A student nurse was watching, and she cried.   </w:t>
      </w:r>
    </w:p>
    <w:p w14:paraId="5869F253" w14:textId="77777777" w:rsidR="00C45C16" w:rsidRPr="004A0212" w:rsidRDefault="00C45C16" w:rsidP="00D97A2A">
      <w:pPr>
        <w:pStyle w:val="Alldraftingnotes"/>
        <w:spacing w:before="0" w:after="200"/>
        <w:rPr>
          <w:b w:val="0"/>
          <w:bCs/>
        </w:rPr>
      </w:pPr>
      <w:r w:rsidRPr="004A0212">
        <w:rPr>
          <w:b w:val="0"/>
          <w:bCs/>
        </w:rPr>
        <w:t xml:space="preserve">When I first went to Cherry Farm, there were separate units for males and females. Once, as punishment, I was taken to the male ward. There were rapists, murderers and child molesters in there. Men would also do stuff to your clothes in the drying room and your clothes would be covered in whatever.  </w:t>
      </w:r>
    </w:p>
    <w:p w14:paraId="73823BC8" w14:textId="77777777" w:rsidR="00C45C16" w:rsidRPr="004A0212" w:rsidRDefault="00C45C16" w:rsidP="00D97A2A">
      <w:pPr>
        <w:pStyle w:val="Alldraftingnotes"/>
        <w:spacing w:before="0" w:after="200"/>
        <w:rPr>
          <w:b w:val="0"/>
          <w:bCs/>
        </w:rPr>
      </w:pPr>
      <w:r w:rsidRPr="004A0212">
        <w:rPr>
          <w:b w:val="0"/>
          <w:bCs/>
        </w:rPr>
        <w:t xml:space="preserve">I was afraid of men even before I went to Cherry Farm. I didn’t like being around them, except for my brother and father. I think the staff knew about my fear. Male staff would observe me when I was naked and supervise baths and showers. We couldn’t do anything because if we misbehaved, we’d be dragged down to seclusion again.   </w:t>
      </w:r>
    </w:p>
    <w:p w14:paraId="663C5B7E" w14:textId="77777777" w:rsidR="00C45C16" w:rsidRPr="004A0212" w:rsidRDefault="00C45C16" w:rsidP="00D97A2A">
      <w:pPr>
        <w:pStyle w:val="Alldraftingnotes"/>
        <w:spacing w:before="0" w:after="200"/>
        <w:rPr>
          <w:b w:val="0"/>
          <w:bCs/>
        </w:rPr>
      </w:pPr>
      <w:r w:rsidRPr="004A0212">
        <w:rPr>
          <w:b w:val="0"/>
          <w:bCs/>
        </w:rPr>
        <w:t xml:space="preserve">I did make some friends in there and I was close with some of the nurses. One gave me a hug once, but a senior nurse saw it, so the nurse was shipped off to another unit. I thought it was weird they couldn’t even show affection.   </w:t>
      </w:r>
    </w:p>
    <w:p w14:paraId="348EEA15" w14:textId="77777777" w:rsidR="00C45C16" w:rsidRPr="004A0212" w:rsidRDefault="00C45C16" w:rsidP="00D97A2A">
      <w:pPr>
        <w:pStyle w:val="Alldraftingnotes"/>
        <w:spacing w:before="0" w:after="200"/>
        <w:rPr>
          <w:b w:val="0"/>
          <w:bCs/>
        </w:rPr>
      </w:pPr>
      <w:r w:rsidRPr="004A0212">
        <w:rPr>
          <w:b w:val="0"/>
          <w:bCs/>
        </w:rPr>
        <w:t xml:space="preserve">Mum and Dad came to visit every month and it was traumatising for them. It was clear I wasn’t getting any better, and they couldn’t understand it. Dad told me how one time I was dribbling and incoherent. I don’t remember that, but he said it was simply heartbreaking. They were devastated when they found out what happened to me. Mum died thinking it was their fault. I’ve told Dad we can’t go back and change it, but I do feel sorry they feel so guilty.  </w:t>
      </w:r>
    </w:p>
    <w:p w14:paraId="69B70463" w14:textId="77777777" w:rsidR="00C45C16" w:rsidRPr="004A0212" w:rsidRDefault="00C45C16" w:rsidP="00D97A2A">
      <w:pPr>
        <w:pStyle w:val="Alldraftingnotes"/>
        <w:spacing w:before="0" w:after="200"/>
        <w:rPr>
          <w:b w:val="0"/>
          <w:bCs/>
        </w:rPr>
      </w:pPr>
      <w:r w:rsidRPr="004A0212">
        <w:rPr>
          <w:b w:val="0"/>
          <w:bCs/>
        </w:rPr>
        <w:t xml:space="preserve">I got out because one of the doctors saved me. She took me under her wing, got me off the drugs and into a job. She said she understood this wasn’t right and that a young woman shouldn’t be like this.  </w:t>
      </w:r>
    </w:p>
    <w:p w14:paraId="2D304539" w14:textId="77777777" w:rsidR="00C45C16" w:rsidRPr="004A0212" w:rsidRDefault="00C45C16" w:rsidP="00D97A2A">
      <w:pPr>
        <w:pStyle w:val="Alldraftingnotes"/>
        <w:spacing w:before="0" w:after="200"/>
        <w:rPr>
          <w:b w:val="0"/>
          <w:bCs/>
        </w:rPr>
      </w:pPr>
      <w:r w:rsidRPr="004A0212">
        <w:rPr>
          <w:b w:val="0"/>
          <w:bCs/>
        </w:rPr>
        <w:t xml:space="preserve">When I left, I initially went home to my parents, then moved in with my sister and got a job. It was hard because I didn’t know how to function properly and I had a lot of issues, particularly with alcohol. This became too much so I went to AA and got sober.  </w:t>
      </w:r>
    </w:p>
    <w:p w14:paraId="2FDC6DD4" w14:textId="77777777" w:rsidR="00C45C16" w:rsidRPr="004A0212" w:rsidRDefault="00C45C16" w:rsidP="00D97A2A">
      <w:pPr>
        <w:pStyle w:val="Alldraftingnotes"/>
        <w:spacing w:before="0" w:after="200"/>
        <w:rPr>
          <w:b w:val="0"/>
          <w:bCs/>
        </w:rPr>
      </w:pPr>
      <w:r w:rsidRPr="004A0212">
        <w:rPr>
          <w:b w:val="0"/>
          <w:bCs/>
        </w:rPr>
        <w:t xml:space="preserve">I had my daughter in 1989. I was friends with her father, but we weren’t in a relationship. I wasn’t taking any drugs while I was pregnant but was still getting injected with a very strong anti-psychotic drug every few months. I said I wouldn’t take it anymore because of what it might do to my baby. They said it wouldn’t do anything major, but they were wrong. She was in neonatal for over a week, twitching, with low body temperature and wouldn’t feed. I did some research and found getting the injection in the first and second trimester can cause this.  </w:t>
      </w:r>
    </w:p>
    <w:p w14:paraId="366E3ADA" w14:textId="77777777" w:rsidR="00C45C16" w:rsidRPr="004A0212" w:rsidRDefault="00C45C16" w:rsidP="00D97A2A">
      <w:pPr>
        <w:pStyle w:val="Alldraftingnotes"/>
        <w:spacing w:before="0" w:after="200"/>
        <w:rPr>
          <w:b w:val="0"/>
          <w:bCs/>
        </w:rPr>
      </w:pPr>
      <w:r w:rsidRPr="004A0212">
        <w:rPr>
          <w:b w:val="0"/>
          <w:bCs/>
        </w:rPr>
        <w:t xml:space="preserve">My daughter has some issues and has been diagnosed on the autism spectrum. She isn’t living the life I’d like her to, but she’s okay.   </w:t>
      </w:r>
    </w:p>
    <w:p w14:paraId="3DD4990F" w14:textId="77777777" w:rsidR="00C45C16" w:rsidRPr="004A0212" w:rsidRDefault="00C45C16" w:rsidP="00D97A2A">
      <w:pPr>
        <w:pStyle w:val="Alldraftingnotes"/>
        <w:spacing w:before="0" w:after="200"/>
        <w:rPr>
          <w:b w:val="0"/>
          <w:bCs/>
        </w:rPr>
      </w:pPr>
      <w:r w:rsidRPr="004A0212">
        <w:rPr>
          <w:b w:val="0"/>
          <w:bCs/>
        </w:rPr>
        <w:t xml:space="preserve">I met my partner, and she encouraged me to go to a </w:t>
      </w:r>
      <w:proofErr w:type="spellStart"/>
      <w:r w:rsidRPr="004A0212">
        <w:rPr>
          <w:b w:val="0"/>
          <w:bCs/>
        </w:rPr>
        <w:t>polytech</w:t>
      </w:r>
      <w:proofErr w:type="spellEnd"/>
      <w:r w:rsidRPr="004A0212">
        <w:rPr>
          <w:b w:val="0"/>
          <w:bCs/>
        </w:rPr>
        <w:t xml:space="preserve"> open night, which led me to start studying. I now have two degrees and have worked in public health for 14 years, including for the DHB that locked me up, which is ironic.   </w:t>
      </w:r>
    </w:p>
    <w:p w14:paraId="2000A274" w14:textId="77777777" w:rsidR="00C45C16" w:rsidRPr="004A0212" w:rsidRDefault="00C45C16" w:rsidP="00D97A2A">
      <w:pPr>
        <w:pStyle w:val="Alldraftingnotes"/>
        <w:spacing w:before="0" w:after="200"/>
        <w:rPr>
          <w:b w:val="0"/>
          <w:bCs/>
        </w:rPr>
      </w:pPr>
      <w:r w:rsidRPr="004A0212">
        <w:rPr>
          <w:b w:val="0"/>
          <w:bCs/>
        </w:rPr>
        <w:t xml:space="preserve">Once, when I was in seclusion, I was extremely distressed and could only think of the life I wanted. This included having someone I love, children and grandchildren, travelling and being educated. The staff at Cherry Farm said I’d never have these things, but now I do. I did it all without their ‘help’. Without their drugs.   </w:t>
      </w:r>
    </w:p>
    <w:p w14:paraId="5364F2FD" w14:textId="77777777" w:rsidR="00C45C16" w:rsidRPr="004A0212" w:rsidRDefault="00C45C16" w:rsidP="00D97A2A">
      <w:pPr>
        <w:pStyle w:val="Alldraftingnotes"/>
        <w:spacing w:before="0" w:after="200"/>
        <w:rPr>
          <w:b w:val="0"/>
          <w:bCs/>
        </w:rPr>
      </w:pPr>
      <w:r w:rsidRPr="004A0212">
        <w:rPr>
          <w:b w:val="0"/>
          <w:bCs/>
        </w:rPr>
        <w:t xml:space="preserve">I am very proud of who I have become, but I am extremely frustrated at how I was treated, like a piece of shit, like a nutter. There was no schizophrenia, it was just a waste of years. You simply wouldn’t do that to a 16-year-old now.   </w:t>
      </w:r>
    </w:p>
    <w:p w14:paraId="62CAAC40" w14:textId="77777777" w:rsidR="00C45C16" w:rsidRPr="004A0212" w:rsidRDefault="00C45C16" w:rsidP="00D97A2A">
      <w:pPr>
        <w:pStyle w:val="Alldraftingnotes"/>
        <w:spacing w:before="0" w:after="200"/>
        <w:rPr>
          <w:b w:val="0"/>
          <w:bCs/>
        </w:rPr>
      </w:pPr>
      <w:r w:rsidRPr="004A0212">
        <w:rPr>
          <w:b w:val="0"/>
          <w:bCs/>
        </w:rPr>
        <w:t xml:space="preserve">I do have survivors’ guilt. So many in there died, a lot of them by their own hands, and I didn’t die. I still have nightmares about being there and trying to get out. I still get anxious, and some smells take me back.   </w:t>
      </w:r>
    </w:p>
    <w:p w14:paraId="12D0FD4D" w14:textId="77777777" w:rsidR="00B927A7" w:rsidRDefault="00B927A7" w:rsidP="00D97A2A">
      <w:pPr>
        <w:pStyle w:val="Alldraftingnotes"/>
        <w:spacing w:before="0" w:after="200"/>
        <w:rPr>
          <w:b w:val="0"/>
          <w:bCs/>
        </w:rPr>
      </w:pPr>
    </w:p>
    <w:p w14:paraId="6B93E027" w14:textId="611C3959" w:rsidR="00285AFA" w:rsidRDefault="00285AFA" w:rsidP="00D97A2A">
      <w:pPr>
        <w:pStyle w:val="Alldraftingnotes"/>
        <w:spacing w:before="0" w:after="200"/>
        <w:rPr>
          <w:b w:val="0"/>
          <w:bCs/>
        </w:rPr>
      </w:pPr>
      <w:r>
        <w:rPr>
          <w:b w:val="0"/>
          <w:bCs/>
        </w:rPr>
        <w:t>[Survivor quote]</w:t>
      </w:r>
    </w:p>
    <w:p w14:paraId="2E93AD91" w14:textId="520B1068" w:rsidR="00AB1D40" w:rsidRDefault="00285AFA" w:rsidP="00285AFA">
      <w:pPr>
        <w:pStyle w:val="AllQuotes"/>
        <w:rPr>
          <w:b/>
        </w:rPr>
      </w:pPr>
      <w:r w:rsidRPr="00285AFA">
        <w:rPr>
          <w:b/>
        </w:rPr>
        <w:t>“</w:t>
      </w:r>
      <w:r w:rsidR="00C45C16" w:rsidRPr="00285AFA">
        <w:rPr>
          <w:b/>
        </w:rPr>
        <w:t>Thank goodness those places have gone but the issue remains the same – no one listens. We must listen to those with mental health issues.</w:t>
      </w:r>
      <w:r w:rsidRPr="00285AFA">
        <w:rPr>
          <w:b/>
        </w:rPr>
        <w:t>”</w:t>
      </w:r>
      <w:r w:rsidR="00B935CD" w:rsidRPr="00285AFA">
        <w:rPr>
          <w:rStyle w:val="FootnoteReference"/>
          <w:b/>
        </w:rPr>
        <w:footnoteReference w:id="185"/>
      </w:r>
    </w:p>
    <w:p w14:paraId="2917C9C1" w14:textId="77777777" w:rsidR="0016101C" w:rsidRDefault="00285AFA" w:rsidP="00285AFA">
      <w:pPr>
        <w:pStyle w:val="AllQuotes"/>
        <w:rPr>
          <w:b/>
        </w:rPr>
      </w:pPr>
      <w:r w:rsidRPr="00285AFA">
        <w:rPr>
          <w:b/>
        </w:rPr>
        <w:t>Ms OF</w:t>
      </w:r>
    </w:p>
    <w:p w14:paraId="0D8138A8" w14:textId="265F1791" w:rsidR="00285AFA" w:rsidRPr="00285AFA" w:rsidRDefault="00285AFA" w:rsidP="00285AFA">
      <w:pPr>
        <w:pStyle w:val="AllQuotes"/>
        <w:rPr>
          <w:b/>
        </w:rPr>
      </w:pPr>
      <w:r w:rsidRPr="00285AFA">
        <w:rPr>
          <w:b/>
        </w:rPr>
        <w:t xml:space="preserve">Māori Ngāti </w:t>
      </w:r>
      <w:proofErr w:type="spellStart"/>
      <w:r w:rsidRPr="00285AFA">
        <w:rPr>
          <w:b/>
        </w:rPr>
        <w:t>Kahungunu</w:t>
      </w:r>
      <w:proofErr w:type="spellEnd"/>
    </w:p>
    <w:p w14:paraId="054DE165" w14:textId="77777777" w:rsidR="00BE4A13" w:rsidRDefault="00BE4A13">
      <w:pPr>
        <w:keepLines w:val="0"/>
      </w:pPr>
    </w:p>
    <w:p w14:paraId="17021FCC" w14:textId="1380E9D5" w:rsidR="00AB1D40" w:rsidRDefault="00C21126">
      <w:pPr>
        <w:keepLines w:val="0"/>
        <w:rPr>
          <w:rFonts w:ascii="Arial" w:hAnsi="Arial" w:cs="Arial"/>
          <w:b/>
          <w:bCs/>
          <w:color w:val="4F7D29" w:themeColor="accent4"/>
          <w:sz w:val="36"/>
          <w:szCs w:val="36"/>
          <w:lang w:eastAsia="en-NZ"/>
        </w:rPr>
      </w:pPr>
      <w:r>
        <w:br w:type="page"/>
      </w:r>
    </w:p>
    <w:p w14:paraId="56939398" w14:textId="7F845B7C" w:rsidR="502F48BE" w:rsidRPr="004A0212" w:rsidRDefault="00467001" w:rsidP="0A27D6D4">
      <w:pPr>
        <w:pStyle w:val="Heading1"/>
      </w:pPr>
      <w:bookmarkStart w:id="235" w:name="_Toc153984107"/>
      <w:bookmarkStart w:id="236" w:name="_Toc168638949"/>
      <w:bookmarkStart w:id="237" w:name="_Toc150933126"/>
      <w:bookmarkStart w:id="238" w:name="_Toc150953443"/>
      <w:bookmarkStart w:id="239" w:name="_Toc147935374"/>
      <w:bookmarkStart w:id="240" w:name="_Toc148443554"/>
      <w:bookmarkEnd w:id="21"/>
      <w:bookmarkEnd w:id="22"/>
      <w:bookmarkEnd w:id="105"/>
      <w:bookmarkEnd w:id="106"/>
      <w:bookmarkEnd w:id="107"/>
      <w:bookmarkEnd w:id="108"/>
      <w:proofErr w:type="spellStart"/>
      <w:r w:rsidRPr="004A0212">
        <w:t>Ū</w:t>
      </w:r>
      <w:r w:rsidR="7D874AE9" w:rsidRPr="004A0212">
        <w:t>poko</w:t>
      </w:r>
      <w:proofErr w:type="spellEnd"/>
      <w:r w:rsidR="7D874AE9" w:rsidRPr="004A0212">
        <w:t xml:space="preserve"> 5: 1900–1950 – Ka </w:t>
      </w:r>
      <w:proofErr w:type="spellStart"/>
      <w:r w:rsidR="7D874AE9" w:rsidRPr="004A0212">
        <w:t>tīmata</w:t>
      </w:r>
      <w:proofErr w:type="spellEnd"/>
      <w:r w:rsidR="7D874AE9" w:rsidRPr="004A0212">
        <w:t xml:space="preserve"> </w:t>
      </w:r>
      <w:proofErr w:type="spellStart"/>
      <w:r w:rsidR="7D874AE9" w:rsidRPr="004A0212">
        <w:t>te</w:t>
      </w:r>
      <w:proofErr w:type="spellEnd"/>
      <w:r w:rsidR="7D874AE9" w:rsidRPr="004A0212">
        <w:t xml:space="preserve"> </w:t>
      </w:r>
      <w:proofErr w:type="spellStart"/>
      <w:r w:rsidR="7D874AE9" w:rsidRPr="004A0212">
        <w:t>Kāwana</w:t>
      </w:r>
      <w:proofErr w:type="spellEnd"/>
      <w:r w:rsidR="7D874AE9" w:rsidRPr="004A0212">
        <w:t xml:space="preserve"> ki </w:t>
      </w:r>
      <w:proofErr w:type="spellStart"/>
      <w:r w:rsidR="7D874AE9" w:rsidRPr="004A0212">
        <w:t>te</w:t>
      </w:r>
      <w:proofErr w:type="spellEnd"/>
      <w:r w:rsidR="7D874AE9" w:rsidRPr="004A0212">
        <w:t xml:space="preserve"> </w:t>
      </w:r>
      <w:proofErr w:type="spellStart"/>
      <w:r w:rsidR="7D874AE9" w:rsidRPr="004A0212">
        <w:t>kuhu</w:t>
      </w:r>
      <w:proofErr w:type="spellEnd"/>
      <w:r w:rsidR="7D874AE9" w:rsidRPr="004A0212">
        <w:t xml:space="preserve"> ki </w:t>
      </w:r>
      <w:proofErr w:type="spellStart"/>
      <w:r w:rsidR="7D874AE9" w:rsidRPr="004A0212">
        <w:t>waenga</w:t>
      </w:r>
      <w:proofErr w:type="spellEnd"/>
      <w:r w:rsidR="7D874AE9" w:rsidRPr="004A0212">
        <w:t xml:space="preserve"> </w:t>
      </w:r>
      <w:proofErr w:type="spellStart"/>
      <w:r w:rsidR="7D874AE9" w:rsidRPr="004A0212">
        <w:t>i</w:t>
      </w:r>
      <w:proofErr w:type="spellEnd"/>
      <w:r w:rsidR="7D874AE9" w:rsidRPr="004A0212">
        <w:t xml:space="preserve"> </w:t>
      </w:r>
      <w:proofErr w:type="spellStart"/>
      <w:r w:rsidR="7D874AE9" w:rsidRPr="004A0212">
        <w:t>te</w:t>
      </w:r>
      <w:proofErr w:type="spellEnd"/>
      <w:r w:rsidR="7D874AE9" w:rsidRPr="004A0212">
        <w:t xml:space="preserve"> whānau</w:t>
      </w:r>
      <w:bookmarkEnd w:id="235"/>
      <w:bookmarkEnd w:id="236"/>
    </w:p>
    <w:p w14:paraId="2F95DC1E" w14:textId="63F7D0F6" w:rsidR="00007BC3" w:rsidRPr="004A0212" w:rsidRDefault="689B9191" w:rsidP="00007BC3">
      <w:pPr>
        <w:pStyle w:val="Heading1"/>
      </w:pPr>
      <w:bookmarkStart w:id="241" w:name="_Toc789898380"/>
      <w:bookmarkStart w:id="242" w:name="_Toc168638950"/>
      <w:r w:rsidRPr="004A0212">
        <w:t xml:space="preserve">Chapter 5: </w:t>
      </w:r>
      <w:r w:rsidR="163E4365" w:rsidRPr="004A0212">
        <w:t>1900</w:t>
      </w:r>
      <w:r w:rsidR="277F24FF" w:rsidRPr="004A0212">
        <w:t>–19</w:t>
      </w:r>
      <w:r w:rsidR="0ABCD575" w:rsidRPr="004A0212">
        <w:t>50</w:t>
      </w:r>
      <w:bookmarkEnd w:id="237"/>
      <w:bookmarkEnd w:id="238"/>
      <w:r w:rsidR="6781378D" w:rsidRPr="004A0212">
        <w:t xml:space="preserve"> – </w:t>
      </w:r>
      <w:r w:rsidR="796E18B8" w:rsidRPr="004A0212">
        <w:t>The State begins to intervene in family life</w:t>
      </w:r>
      <w:bookmarkEnd w:id="241"/>
      <w:bookmarkEnd w:id="242"/>
    </w:p>
    <w:p w14:paraId="2C48D7D2" w14:textId="678B28E2" w:rsidR="00FD4EDE" w:rsidRPr="004A0212" w:rsidRDefault="4BE7307B" w:rsidP="00FD4EDE">
      <w:pPr>
        <w:pStyle w:val="AllNumbparas"/>
      </w:pPr>
      <w:bookmarkStart w:id="243" w:name="_Toc147935383"/>
      <w:bookmarkStart w:id="244" w:name="_Toc148443564"/>
      <w:bookmarkStart w:id="245" w:name="_Toc150933127"/>
      <w:bookmarkStart w:id="246" w:name="_Toc150953444"/>
      <w:r w:rsidRPr="004A0212">
        <w:t xml:space="preserve">The </w:t>
      </w:r>
      <w:r w:rsidR="17FFF78F" w:rsidRPr="004A0212">
        <w:t>50</w:t>
      </w:r>
      <w:r w:rsidRPr="004A0212">
        <w:t xml:space="preserve"> years before the Inquiry period saw two world wars, economic hardship for many, increasing urban migration for Māori and the beginnings of Pacific </w:t>
      </w:r>
      <w:r w:rsidR="49F1502B" w:rsidRPr="004A0212">
        <w:t xml:space="preserve">Peoples’ large-scale </w:t>
      </w:r>
      <w:r w:rsidRPr="004A0212">
        <w:t>migration</w:t>
      </w:r>
      <w:r w:rsidR="49F1502B" w:rsidRPr="004A0212">
        <w:t xml:space="preserve"> </w:t>
      </w:r>
      <w:r w:rsidRPr="004A0212">
        <w:t xml:space="preserve">to Aotearoa New Zealand. The heterosexual nuclear family was seen as the preferred, natural model and diversity was often not tolerated. These decades also saw the </w:t>
      </w:r>
      <w:r w:rsidR="157EA68A" w:rsidRPr="004A0212">
        <w:t xml:space="preserve">beginnings of widespread State welfare and the </w:t>
      </w:r>
      <w:r w:rsidRPr="004A0212">
        <w:t xml:space="preserve">growth of large institutions. </w:t>
      </w:r>
    </w:p>
    <w:p w14:paraId="487D68F0" w14:textId="77777777" w:rsidR="00197950" w:rsidRPr="004A0212" w:rsidRDefault="25D4F882" w:rsidP="00A02029">
      <w:pPr>
        <w:pStyle w:val="Heading2"/>
        <w:rPr>
          <w:rFonts w:cs="Arial"/>
        </w:rPr>
      </w:pPr>
      <w:bookmarkStart w:id="247" w:name="_Toc1192654894"/>
      <w:bookmarkStart w:id="248" w:name="_Toc168638951"/>
      <w:proofErr w:type="spellStart"/>
      <w:r w:rsidRPr="004A0212">
        <w:rPr>
          <w:rFonts w:cs="Arial"/>
        </w:rPr>
        <w:t>Ngā</w:t>
      </w:r>
      <w:proofErr w:type="spellEnd"/>
      <w:r w:rsidRPr="004A0212">
        <w:rPr>
          <w:rFonts w:cs="Arial"/>
        </w:rPr>
        <w:t xml:space="preserve"> </w:t>
      </w:r>
      <w:proofErr w:type="spellStart"/>
      <w:r w:rsidRPr="004A0212">
        <w:rPr>
          <w:rFonts w:cs="Arial"/>
        </w:rPr>
        <w:t>raraunga</w:t>
      </w:r>
      <w:proofErr w:type="spellEnd"/>
      <w:r w:rsidRPr="004A0212">
        <w:rPr>
          <w:rFonts w:cs="Arial"/>
        </w:rPr>
        <w:t xml:space="preserve"> </w:t>
      </w:r>
      <w:proofErr w:type="spellStart"/>
      <w:r w:rsidR="0144B79B" w:rsidRPr="004A0212">
        <w:rPr>
          <w:rFonts w:cs="Arial"/>
        </w:rPr>
        <w:t>tukupū</w:t>
      </w:r>
      <w:proofErr w:type="spellEnd"/>
      <w:r w:rsidRPr="004A0212">
        <w:rPr>
          <w:rFonts w:cs="Arial"/>
        </w:rPr>
        <w:t xml:space="preserve"> </w:t>
      </w:r>
      <w:proofErr w:type="spellStart"/>
      <w:r w:rsidRPr="004A0212">
        <w:rPr>
          <w:rFonts w:cs="Arial"/>
        </w:rPr>
        <w:t>mō</w:t>
      </w:r>
      <w:proofErr w:type="spellEnd"/>
      <w:r w:rsidRPr="004A0212">
        <w:rPr>
          <w:rFonts w:cs="Arial"/>
        </w:rPr>
        <w:t xml:space="preserve"> </w:t>
      </w:r>
      <w:proofErr w:type="spellStart"/>
      <w:r w:rsidRPr="004A0212">
        <w:rPr>
          <w:rFonts w:cs="Arial"/>
        </w:rPr>
        <w:t>te</w:t>
      </w:r>
      <w:proofErr w:type="spellEnd"/>
      <w:r w:rsidRPr="004A0212">
        <w:rPr>
          <w:rFonts w:cs="Arial"/>
        </w:rPr>
        <w:t xml:space="preserve"> Māori </w:t>
      </w:r>
      <w:proofErr w:type="spellStart"/>
      <w:r w:rsidRPr="004A0212">
        <w:rPr>
          <w:rFonts w:cs="Arial"/>
        </w:rPr>
        <w:t>i</w:t>
      </w:r>
      <w:proofErr w:type="spellEnd"/>
      <w:r w:rsidRPr="004A0212">
        <w:rPr>
          <w:rFonts w:cs="Arial"/>
        </w:rPr>
        <w:t xml:space="preserve"> </w:t>
      </w:r>
      <w:proofErr w:type="spellStart"/>
      <w:r w:rsidR="347D7C17" w:rsidRPr="004A0212">
        <w:rPr>
          <w:rFonts w:cs="Arial"/>
        </w:rPr>
        <w:t>ngā</w:t>
      </w:r>
      <w:proofErr w:type="spellEnd"/>
      <w:r w:rsidRPr="004A0212">
        <w:rPr>
          <w:rFonts w:cs="Arial"/>
        </w:rPr>
        <w:t xml:space="preserve"> </w:t>
      </w:r>
      <w:proofErr w:type="spellStart"/>
      <w:r w:rsidRPr="004A0212">
        <w:rPr>
          <w:rFonts w:cs="Arial"/>
        </w:rPr>
        <w:t>pūnaha</w:t>
      </w:r>
      <w:proofErr w:type="spellEnd"/>
      <w:r w:rsidRPr="004A0212">
        <w:rPr>
          <w:rFonts w:cs="Arial"/>
        </w:rPr>
        <w:t xml:space="preserve"> </w:t>
      </w:r>
      <w:proofErr w:type="spellStart"/>
      <w:r w:rsidRPr="004A0212">
        <w:rPr>
          <w:rFonts w:cs="Arial"/>
        </w:rPr>
        <w:t>taurima</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mua</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te</w:t>
      </w:r>
      <w:proofErr w:type="spellEnd"/>
      <w:r w:rsidRPr="004A0212">
        <w:rPr>
          <w:rFonts w:cs="Arial"/>
        </w:rPr>
        <w:t xml:space="preserve"> 1950</w:t>
      </w:r>
      <w:bookmarkEnd w:id="247"/>
      <w:bookmarkEnd w:id="248"/>
      <w:r w:rsidR="00A502A0" w:rsidRPr="004A0212">
        <w:rPr>
          <w:rFonts w:cs="Arial"/>
        </w:rPr>
        <w:t xml:space="preserve"> </w:t>
      </w:r>
    </w:p>
    <w:p w14:paraId="5172E97D" w14:textId="4D1C0F22" w:rsidR="00766BBA" w:rsidRPr="004A0212" w:rsidRDefault="4C9A0A88" w:rsidP="00A02029">
      <w:pPr>
        <w:pStyle w:val="Heading2"/>
        <w:rPr>
          <w:rFonts w:cs="Arial"/>
        </w:rPr>
      </w:pPr>
      <w:bookmarkStart w:id="249" w:name="_Toc230139926"/>
      <w:bookmarkStart w:id="250" w:name="_Toc168638952"/>
      <w:r w:rsidRPr="004A0212">
        <w:rPr>
          <w:rFonts w:cs="Arial"/>
        </w:rPr>
        <w:t xml:space="preserve">General data </w:t>
      </w:r>
      <w:r w:rsidR="5D2A4EAD" w:rsidRPr="004A0212">
        <w:rPr>
          <w:rFonts w:cs="Arial"/>
        </w:rPr>
        <w:t xml:space="preserve">on Māori in care </w:t>
      </w:r>
      <w:r w:rsidR="00A502A0" w:rsidRPr="004A0212">
        <w:rPr>
          <w:rFonts w:cs="Arial"/>
        </w:rPr>
        <w:t xml:space="preserve">before </w:t>
      </w:r>
      <w:r w:rsidR="5D2A4EAD" w:rsidRPr="004A0212">
        <w:rPr>
          <w:rFonts w:cs="Arial"/>
        </w:rPr>
        <w:t>1950</w:t>
      </w:r>
      <w:bookmarkEnd w:id="243"/>
      <w:bookmarkEnd w:id="244"/>
      <w:bookmarkEnd w:id="245"/>
      <w:bookmarkEnd w:id="246"/>
      <w:bookmarkEnd w:id="249"/>
      <w:bookmarkEnd w:id="250"/>
    </w:p>
    <w:p w14:paraId="4074529A" w14:textId="70493782" w:rsidR="00766BBA" w:rsidRPr="004A0212" w:rsidRDefault="5FBB58CA" w:rsidP="007D73A6">
      <w:pPr>
        <w:pStyle w:val="AllNumbparas"/>
      </w:pPr>
      <w:r w:rsidRPr="004A0212">
        <w:t xml:space="preserve">Few </w:t>
      </w:r>
      <w:r w:rsidR="58E6FA08" w:rsidRPr="004A0212">
        <w:t>tamariki or rangatahi Māori</w:t>
      </w:r>
      <w:r w:rsidRPr="004A0212">
        <w:t xml:space="preserve"> lived in any form of </w:t>
      </w:r>
      <w:r w:rsidR="453B5ECB" w:rsidRPr="004A0212">
        <w:t xml:space="preserve">State </w:t>
      </w:r>
      <w:r w:rsidRPr="004A0212">
        <w:t xml:space="preserve">or faith-based care before the 1940s. </w:t>
      </w:r>
    </w:p>
    <w:p w14:paraId="4991B0E4" w14:textId="2DA1DCE1" w:rsidR="00766BBA" w:rsidRPr="004A0212" w:rsidRDefault="5FBB58CA" w:rsidP="007D73A6">
      <w:pPr>
        <w:pStyle w:val="AllNumbparas"/>
      </w:pPr>
      <w:r w:rsidRPr="004A0212">
        <w:t xml:space="preserve">A 1942 study of church homes noted that there were </w:t>
      </w:r>
      <w:r w:rsidR="453B5ECB" w:rsidRPr="004A0212">
        <w:t>“</w:t>
      </w:r>
      <w:r w:rsidRPr="004A0212">
        <w:t>no orphanages for Māori children</w:t>
      </w:r>
      <w:r w:rsidR="453B5ECB" w:rsidRPr="004A0212">
        <w:t>”</w:t>
      </w:r>
      <w:r w:rsidRPr="004A0212">
        <w:t>, and that there was little demand for such homes among Māori.</w:t>
      </w:r>
      <w:r w:rsidR="00766BBA" w:rsidRPr="004A0212">
        <w:rPr>
          <w:rStyle w:val="StyleFootnoteReferenceFagoFunotenzeichenFagoFunotenzeichen"/>
        </w:rPr>
        <w:footnoteReference w:id="186"/>
      </w:r>
      <w:r w:rsidRPr="004A0212">
        <w:t xml:space="preserve"> In addition, some private children’s homes refused to admit Māori.</w:t>
      </w:r>
      <w:r w:rsidR="00766BBA" w:rsidRPr="004A0212">
        <w:rPr>
          <w:rStyle w:val="StyleFootnoteReferenceFagoFunotenzeichenFagoFunotenzeichen"/>
        </w:rPr>
        <w:footnoteReference w:id="187"/>
      </w:r>
      <w:r w:rsidRPr="004A0212">
        <w:t xml:space="preserve"> </w:t>
      </w:r>
    </w:p>
    <w:p w14:paraId="189630C1" w14:textId="42FEDDD3" w:rsidR="00766BBA" w:rsidRPr="004A0212" w:rsidRDefault="30DAB770" w:rsidP="00861801">
      <w:pPr>
        <w:pStyle w:val="AllNumbparas"/>
      </w:pPr>
      <w:r w:rsidRPr="004A0212">
        <w:t>There is little information available on</w:t>
      </w:r>
      <w:r w:rsidR="5FBB58CA" w:rsidRPr="004A0212">
        <w:t xml:space="preserve"> the number of tāngata whaikaha</w:t>
      </w:r>
      <w:r w:rsidR="440E9882" w:rsidRPr="004A0212">
        <w:t xml:space="preserve"> Māori</w:t>
      </w:r>
      <w:r w:rsidR="22BED9AA" w:rsidRPr="004A0212">
        <w:t xml:space="preserve"> / </w:t>
      </w:r>
      <w:r w:rsidR="5FBB58CA" w:rsidRPr="004A0212">
        <w:t xml:space="preserve">whānau </w:t>
      </w:r>
      <w:proofErr w:type="spellStart"/>
      <w:r w:rsidR="5FBB58CA" w:rsidRPr="004A0212">
        <w:t>hauā</w:t>
      </w:r>
      <w:proofErr w:type="spellEnd"/>
      <w:r w:rsidR="5FBB58CA" w:rsidRPr="004A0212">
        <w:t xml:space="preserve"> Māori admitted to </w:t>
      </w:r>
      <w:r w:rsidR="0A57B46F" w:rsidRPr="004A0212">
        <w:t>State or faith-based care</w:t>
      </w:r>
      <w:r w:rsidR="5FBB58CA" w:rsidRPr="004A0212">
        <w:t xml:space="preserve"> during the first half of the </w:t>
      </w:r>
      <w:r w:rsidR="6330614B" w:rsidRPr="004A0212">
        <w:t>20</w:t>
      </w:r>
      <w:r w:rsidR="6330614B" w:rsidRPr="004A0212">
        <w:rPr>
          <w:vertAlign w:val="superscript"/>
        </w:rPr>
        <w:t>th</w:t>
      </w:r>
      <w:r w:rsidR="6330614B" w:rsidRPr="004A0212">
        <w:t xml:space="preserve"> </w:t>
      </w:r>
      <w:r w:rsidR="5FBB58CA" w:rsidRPr="004A0212">
        <w:t xml:space="preserve">century. Given Māori understandings of and attitudes to disability, </w:t>
      </w:r>
      <w:r w:rsidR="55C6450F" w:rsidRPr="004A0212">
        <w:t>it is likely that they were integrated into their whānau and cared for alongside all other members</w:t>
      </w:r>
      <w:r w:rsidR="237D876F" w:rsidRPr="004A0212">
        <w:t>.</w:t>
      </w:r>
    </w:p>
    <w:p w14:paraId="54D907F2" w14:textId="0506C9A2" w:rsidR="00766BBA" w:rsidRPr="004A0212" w:rsidRDefault="5FBB58CA" w:rsidP="007D73A6">
      <w:pPr>
        <w:pStyle w:val="AllNumbparas"/>
      </w:pPr>
      <w:r w:rsidRPr="004A0212">
        <w:t xml:space="preserve">Prior to the 1940s, the number of Māori residing in psychiatric hospitals was low. In 1909, Māori made up just </w:t>
      </w:r>
      <w:r w:rsidR="3EA4C560" w:rsidRPr="004A0212">
        <w:t xml:space="preserve">more than </w:t>
      </w:r>
      <w:r w:rsidR="6B95902F" w:rsidRPr="004A0212">
        <w:t xml:space="preserve">1 </w:t>
      </w:r>
      <w:r w:rsidR="17578541" w:rsidRPr="004A0212">
        <w:t>percent</w:t>
      </w:r>
      <w:r w:rsidRPr="004A0212">
        <w:t xml:space="preserve"> of 3,549 psychiatric inpatients nationwide, increasing to 1.8</w:t>
      </w:r>
      <w:r w:rsidR="4FA61FAE" w:rsidRPr="004A0212">
        <w:t xml:space="preserve"> </w:t>
      </w:r>
      <w:r w:rsidR="453B5ECB" w:rsidRPr="004A0212">
        <w:t>percent</w:t>
      </w:r>
      <w:r w:rsidRPr="004A0212">
        <w:t xml:space="preserve"> of 7,797 in 1938.</w:t>
      </w:r>
      <w:r w:rsidR="00766BBA" w:rsidRPr="004A0212">
        <w:rPr>
          <w:rStyle w:val="StyleFootnoteReferenceFagoFunotenzeichenFagoFunotenzeichen"/>
        </w:rPr>
        <w:footnoteReference w:id="188"/>
      </w:r>
      <w:r w:rsidRPr="004A0212">
        <w:t xml:space="preserve"> A decade later, in 1948, the number of Māori in </w:t>
      </w:r>
      <w:r w:rsidR="0227F8B6" w:rsidRPr="004A0212">
        <w:t>psychiatric hospitals</w:t>
      </w:r>
      <w:r w:rsidRPr="004A0212">
        <w:t xml:space="preserve"> had increased to 2.6</w:t>
      </w:r>
      <w:r w:rsidR="4FA61FAE" w:rsidRPr="004A0212">
        <w:t xml:space="preserve"> </w:t>
      </w:r>
      <w:r w:rsidR="453B5ECB" w:rsidRPr="004A0212">
        <w:t>percent</w:t>
      </w:r>
      <w:r w:rsidRPr="004A0212">
        <w:t xml:space="preserve"> of the total psychiatric patient population.</w:t>
      </w:r>
      <w:r w:rsidR="00766BBA" w:rsidRPr="004A0212">
        <w:rPr>
          <w:rStyle w:val="StyleFootnoteReferenceFagoFunotenzeichenFagoFunotenzeichen"/>
        </w:rPr>
        <w:footnoteReference w:id="189"/>
      </w:r>
      <w:r w:rsidRPr="004A0212">
        <w:t xml:space="preserve"> </w:t>
      </w:r>
    </w:p>
    <w:p w14:paraId="2512B2B8" w14:textId="388465A8" w:rsidR="00766BBA" w:rsidRPr="004A0212" w:rsidRDefault="2972A5B0" w:rsidP="007D73A6">
      <w:pPr>
        <w:pStyle w:val="AllNumbparas"/>
      </w:pPr>
      <w:r w:rsidRPr="004A0212">
        <w:t xml:space="preserve">Before the Inquiry period </w:t>
      </w:r>
      <w:r w:rsidR="71F5074F" w:rsidRPr="004A0212">
        <w:t xml:space="preserve">there were proportionally fewer </w:t>
      </w:r>
      <w:r w:rsidR="7E426F9F" w:rsidRPr="004A0212">
        <w:t>Mā</w:t>
      </w:r>
      <w:r w:rsidR="71F5074F" w:rsidRPr="004A0212">
        <w:t xml:space="preserve">ori in psychiatric </w:t>
      </w:r>
      <w:r w:rsidR="187D0E37" w:rsidRPr="004A0212">
        <w:t>hospitals</w:t>
      </w:r>
      <w:r w:rsidR="71F5074F" w:rsidRPr="004A0212">
        <w:t xml:space="preserve"> compared to non-</w:t>
      </w:r>
      <w:r w:rsidR="7E426F9F" w:rsidRPr="004A0212">
        <w:t>Māori</w:t>
      </w:r>
      <w:r w:rsidR="71F5074F" w:rsidRPr="004A0212">
        <w:t>. Available data shows that for every 100,000 people</w:t>
      </w:r>
      <w:r w:rsidR="3F7F196F" w:rsidRPr="004A0212">
        <w:t xml:space="preserve"> in Aotearoa New Zealand</w:t>
      </w:r>
      <w:r w:rsidR="71F5074F" w:rsidRPr="004A0212">
        <w:t xml:space="preserve">, there were 208 </w:t>
      </w:r>
      <w:r w:rsidR="7E426F9F" w:rsidRPr="004A0212">
        <w:t>Māori</w:t>
      </w:r>
      <w:r w:rsidR="71F5074F" w:rsidRPr="004A0212">
        <w:t xml:space="preserve"> in </w:t>
      </w:r>
      <w:r w:rsidR="40584322" w:rsidRPr="004A0212">
        <w:t>psychiatric</w:t>
      </w:r>
      <w:r w:rsidR="3951B78F" w:rsidRPr="004A0212">
        <w:t xml:space="preserve"> care</w:t>
      </w:r>
      <w:r w:rsidR="71F5074F" w:rsidRPr="004A0212">
        <w:t>, compared to 510 non-</w:t>
      </w:r>
      <w:r w:rsidR="7E426F9F" w:rsidRPr="004A0212">
        <w:t>Māori</w:t>
      </w:r>
      <w:r w:rsidR="5FBB58CA" w:rsidRPr="004A0212">
        <w:t>.</w:t>
      </w:r>
      <w:r w:rsidR="00766BBA" w:rsidRPr="004A0212">
        <w:rPr>
          <w:rStyle w:val="StyleFootnoteReferenceFagoFunotenzeichenFagoFunotenzeichen"/>
        </w:rPr>
        <w:footnoteReference w:id="190"/>
      </w:r>
      <w:r w:rsidR="5FBB58CA" w:rsidRPr="004A0212">
        <w:t xml:space="preserve"> </w:t>
      </w:r>
    </w:p>
    <w:p w14:paraId="595F1495" w14:textId="79AF0232" w:rsidR="00766BBA" w:rsidRPr="004A0212" w:rsidRDefault="5FBB58CA" w:rsidP="007D73A6">
      <w:pPr>
        <w:pStyle w:val="AllNumbparas"/>
      </w:pPr>
      <w:r w:rsidRPr="004A0212">
        <w:t>Reasons for this may include the preference of whānau to care for members experiencing mental distress at home using the resources of extended kin. Some Māori did not trust Western medicine and preferred to consult tohunga for their ailments.</w:t>
      </w:r>
      <w:r w:rsidR="00766BBA" w:rsidRPr="004A0212">
        <w:rPr>
          <w:rStyle w:val="StyleFootnoteReferenceFagoFunotenzeichenFagoFunotenzeichen"/>
        </w:rPr>
        <w:footnoteReference w:id="191"/>
      </w:r>
      <w:r w:rsidRPr="004A0212">
        <w:t xml:space="preserve"> </w:t>
      </w:r>
    </w:p>
    <w:p w14:paraId="2FA58CDE" w14:textId="007F0F1A" w:rsidR="00766BBA" w:rsidRPr="004A0212" w:rsidRDefault="5FBB58CA" w:rsidP="007D73A6">
      <w:pPr>
        <w:pStyle w:val="AllNumbparas"/>
      </w:pPr>
      <w:r w:rsidRPr="004A0212">
        <w:t>Other reasons may have included the fact that public hospitals charged fees and that some barred Māori patients, on the grounds of non-rates payment.</w:t>
      </w:r>
      <w:r w:rsidR="00766BBA" w:rsidRPr="004A0212">
        <w:rPr>
          <w:rStyle w:val="StyleFootnoteReferenceFagoFunotenzeichenFagoFunotenzeichen"/>
        </w:rPr>
        <w:footnoteReference w:id="192"/>
      </w:r>
      <w:r w:rsidRPr="004A0212">
        <w:t xml:space="preserve"> </w:t>
      </w:r>
      <w:r w:rsidR="14EBF2D8" w:rsidRPr="004A0212">
        <w:t>T</w:t>
      </w:r>
      <w:r w:rsidRPr="004A0212">
        <w:t xml:space="preserve">he number of Māori patients entering public hospitals of all types increased markedly after the </w:t>
      </w:r>
      <w:r w:rsidR="3EA4C560" w:rsidRPr="004A0212">
        <w:t xml:space="preserve">State </w:t>
      </w:r>
      <w:r w:rsidRPr="004A0212">
        <w:t>introduced free hospital care in 1939.</w:t>
      </w:r>
      <w:r w:rsidR="00766BBA" w:rsidRPr="004A0212">
        <w:rPr>
          <w:rStyle w:val="StyleFootnoteReferenceFagoFunotenzeichenFagoFunotenzeichen"/>
        </w:rPr>
        <w:footnoteReference w:id="193"/>
      </w:r>
    </w:p>
    <w:p w14:paraId="6CC0C4A8" w14:textId="13B696EA" w:rsidR="00D7126F" w:rsidRPr="004A0212" w:rsidRDefault="25D4F882" w:rsidP="00A02029">
      <w:pPr>
        <w:pStyle w:val="Heading2"/>
        <w:rPr>
          <w:rFonts w:cs="Arial"/>
        </w:rPr>
      </w:pPr>
      <w:bookmarkStart w:id="251" w:name="_Toc1743801516"/>
      <w:bookmarkStart w:id="252" w:name="_Toc168638953"/>
      <w:bookmarkStart w:id="253" w:name="_Toc150933128"/>
      <w:bookmarkStart w:id="254" w:name="_Toc150953445"/>
      <w:proofErr w:type="spellStart"/>
      <w:r w:rsidRPr="004A0212">
        <w:rPr>
          <w:rFonts w:cs="Arial"/>
        </w:rPr>
        <w:t>Te</w:t>
      </w:r>
      <w:proofErr w:type="spellEnd"/>
      <w:r w:rsidR="680C76D0" w:rsidRPr="004A0212">
        <w:rPr>
          <w:rFonts w:cs="Arial"/>
        </w:rPr>
        <w:t xml:space="preserve"> </w:t>
      </w:r>
      <w:proofErr w:type="spellStart"/>
      <w:r w:rsidR="286D03D4" w:rsidRPr="004A0212">
        <w:rPr>
          <w:rFonts w:cs="Arial"/>
        </w:rPr>
        <w:t>pikinga</w:t>
      </w:r>
      <w:proofErr w:type="spellEnd"/>
      <w:r w:rsidRPr="004A0212">
        <w:rPr>
          <w:rFonts w:cs="Arial"/>
        </w:rPr>
        <w:t xml:space="preserve"> o </w:t>
      </w:r>
      <w:proofErr w:type="spellStart"/>
      <w:r w:rsidRPr="004A0212">
        <w:rPr>
          <w:rFonts w:cs="Arial"/>
        </w:rPr>
        <w:t>ngā</w:t>
      </w:r>
      <w:proofErr w:type="spellEnd"/>
      <w:r w:rsidRPr="004A0212">
        <w:rPr>
          <w:rFonts w:cs="Arial"/>
        </w:rPr>
        <w:t xml:space="preserve"> </w:t>
      </w:r>
      <w:proofErr w:type="spellStart"/>
      <w:r w:rsidRPr="004A0212">
        <w:rPr>
          <w:rFonts w:cs="Arial"/>
        </w:rPr>
        <w:t>uauatanga</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ngā</w:t>
      </w:r>
      <w:proofErr w:type="spellEnd"/>
      <w:r w:rsidRPr="004A0212">
        <w:rPr>
          <w:rFonts w:cs="Arial"/>
        </w:rPr>
        <w:t xml:space="preserve"> </w:t>
      </w:r>
      <w:proofErr w:type="spellStart"/>
      <w:r w:rsidRPr="004A0212">
        <w:rPr>
          <w:rFonts w:cs="Arial"/>
        </w:rPr>
        <w:t>h</w:t>
      </w:r>
      <w:r w:rsidR="00546B38" w:rsidRPr="000C0692">
        <w:rPr>
          <w:rFonts w:cs="Arial"/>
        </w:rPr>
        <w:t>ā</w:t>
      </w:r>
      <w:r w:rsidRPr="004A0212">
        <w:rPr>
          <w:rFonts w:cs="Arial"/>
        </w:rPr>
        <w:t>pori</w:t>
      </w:r>
      <w:proofErr w:type="spellEnd"/>
      <w:r w:rsidRPr="004A0212">
        <w:rPr>
          <w:rFonts w:cs="Arial"/>
        </w:rPr>
        <w:t xml:space="preserve"> Māori</w:t>
      </w:r>
      <w:bookmarkEnd w:id="251"/>
      <w:bookmarkEnd w:id="252"/>
      <w:r w:rsidRPr="004A0212">
        <w:rPr>
          <w:rFonts w:cs="Arial"/>
        </w:rPr>
        <w:t xml:space="preserve"> </w:t>
      </w:r>
    </w:p>
    <w:p w14:paraId="1988FD17" w14:textId="436DF79B" w:rsidR="00FE6657" w:rsidRPr="004A0212" w:rsidRDefault="554C24EA" w:rsidP="00A02029">
      <w:pPr>
        <w:pStyle w:val="Heading2"/>
        <w:rPr>
          <w:rFonts w:cs="Arial"/>
        </w:rPr>
      </w:pPr>
      <w:bookmarkStart w:id="255" w:name="_Toc870375266"/>
      <w:bookmarkStart w:id="256" w:name="_Toc168638954"/>
      <w:r w:rsidRPr="004A0212">
        <w:rPr>
          <w:rFonts w:cs="Arial"/>
        </w:rPr>
        <w:t xml:space="preserve">Increasing </w:t>
      </w:r>
      <w:r w:rsidR="047F5DFE" w:rsidRPr="004A0212">
        <w:rPr>
          <w:rFonts w:cs="Arial"/>
        </w:rPr>
        <w:t>hardship in Māori communities</w:t>
      </w:r>
      <w:bookmarkEnd w:id="253"/>
      <w:bookmarkEnd w:id="254"/>
      <w:bookmarkEnd w:id="255"/>
      <w:bookmarkEnd w:id="256"/>
    </w:p>
    <w:p w14:paraId="62428E32" w14:textId="1F98C200" w:rsidR="00FE6657" w:rsidRPr="004A0212" w:rsidRDefault="19608123" w:rsidP="007D73A6">
      <w:pPr>
        <w:pStyle w:val="AllNumbparas"/>
      </w:pPr>
      <w:r w:rsidRPr="004A0212">
        <w:t>During the first half of the 20</w:t>
      </w:r>
      <w:r w:rsidRPr="004A0212">
        <w:rPr>
          <w:vertAlign w:val="superscript"/>
        </w:rPr>
        <w:t>th</w:t>
      </w:r>
      <w:r w:rsidRPr="004A0212">
        <w:t xml:space="preserve"> century there were </w:t>
      </w:r>
      <w:r w:rsidR="40D990A0" w:rsidRPr="004A0212">
        <w:t xml:space="preserve">several </w:t>
      </w:r>
      <w:r w:rsidR="6D1762EC" w:rsidRPr="004A0212">
        <w:t xml:space="preserve">factors that </w:t>
      </w:r>
      <w:r w:rsidR="3EA4C560" w:rsidRPr="004A0212">
        <w:t xml:space="preserve">led to </w:t>
      </w:r>
      <w:r w:rsidR="6D1762EC" w:rsidRPr="004A0212">
        <w:t>whānau and</w:t>
      </w:r>
      <w:r w:rsidR="0262545F" w:rsidRPr="004A0212">
        <w:t xml:space="preserve"> h</w:t>
      </w:r>
      <w:r w:rsidR="481D3B83" w:rsidRPr="004A0212">
        <w:t>apū Māori</w:t>
      </w:r>
      <w:r w:rsidR="6D1762EC" w:rsidRPr="004A0212">
        <w:t xml:space="preserve"> experienc</w:t>
      </w:r>
      <w:r w:rsidR="3EA4C560" w:rsidRPr="004A0212">
        <w:t>ing</w:t>
      </w:r>
      <w:r w:rsidR="6D1762EC" w:rsidRPr="004A0212">
        <w:t xml:space="preserve"> increased </w:t>
      </w:r>
      <w:r w:rsidR="2947D137" w:rsidRPr="004A0212">
        <w:t xml:space="preserve">financial and social hardship. </w:t>
      </w:r>
      <w:r w:rsidR="6D1762EC" w:rsidRPr="004A0212">
        <w:t xml:space="preserve">For example, </w:t>
      </w:r>
      <w:r w:rsidR="3EA4C560" w:rsidRPr="004A0212">
        <w:t xml:space="preserve">there was a significant </w:t>
      </w:r>
      <w:r w:rsidR="254E336E" w:rsidRPr="004A0212">
        <w:t xml:space="preserve">loss of </w:t>
      </w:r>
      <w:r w:rsidR="6D1762EC" w:rsidRPr="004A0212">
        <w:t xml:space="preserve">Māori </w:t>
      </w:r>
      <w:r w:rsidR="254E336E" w:rsidRPr="004A0212">
        <w:t xml:space="preserve">life </w:t>
      </w:r>
      <w:r w:rsidR="6D1762EC" w:rsidRPr="004A0212">
        <w:t xml:space="preserve">in </w:t>
      </w:r>
      <w:r w:rsidR="453B5ECB" w:rsidRPr="004A0212">
        <w:t>the First and Second W</w:t>
      </w:r>
      <w:r w:rsidR="6D1762EC" w:rsidRPr="004A0212">
        <w:t xml:space="preserve">orld </w:t>
      </w:r>
      <w:r w:rsidR="453B5ECB" w:rsidRPr="004A0212">
        <w:t>W</w:t>
      </w:r>
      <w:r w:rsidR="6D1762EC" w:rsidRPr="004A0212">
        <w:t>ars. This</w:t>
      </w:r>
      <w:r w:rsidR="073AE822" w:rsidRPr="004A0212">
        <w:t>,</w:t>
      </w:r>
      <w:r w:rsidR="6D1762EC" w:rsidRPr="004A0212">
        <w:t xml:space="preserve"> </w:t>
      </w:r>
      <w:r w:rsidR="76BE46FD" w:rsidRPr="004A0212">
        <w:t xml:space="preserve">the </w:t>
      </w:r>
      <w:r w:rsidR="6D1762EC" w:rsidRPr="004A0212">
        <w:t>lack of support available to Māori veterans</w:t>
      </w:r>
      <w:r w:rsidR="073AE822" w:rsidRPr="004A0212">
        <w:t>,</w:t>
      </w:r>
      <w:r w:rsidR="6D1762EC" w:rsidRPr="004A0212">
        <w:t xml:space="preserve"> </w:t>
      </w:r>
      <w:r w:rsidR="76BE46FD" w:rsidRPr="004A0212">
        <w:t xml:space="preserve">and the introduction of mass trauma into </w:t>
      </w:r>
      <w:r w:rsidR="2A312957" w:rsidRPr="004A0212">
        <w:t>whānau</w:t>
      </w:r>
      <w:r w:rsidR="76BE46FD" w:rsidRPr="004A0212">
        <w:t xml:space="preserve">, </w:t>
      </w:r>
      <w:r w:rsidR="2A312957" w:rsidRPr="004A0212">
        <w:t>hapū</w:t>
      </w:r>
      <w:r w:rsidR="76BE46FD" w:rsidRPr="004A0212">
        <w:t xml:space="preserve"> and communities </w:t>
      </w:r>
      <w:r w:rsidR="431A9DEE" w:rsidRPr="004A0212">
        <w:t xml:space="preserve">from men returning home </w:t>
      </w:r>
      <w:r w:rsidR="5B0A4F1C" w:rsidRPr="004A0212">
        <w:t xml:space="preserve">from war </w:t>
      </w:r>
      <w:r w:rsidR="431A9DEE" w:rsidRPr="004A0212">
        <w:t xml:space="preserve">untreated </w:t>
      </w:r>
      <w:r w:rsidR="254E336E" w:rsidRPr="004A0212">
        <w:t>negatively affected</w:t>
      </w:r>
      <w:r w:rsidR="6D1762EC" w:rsidRPr="004A0212">
        <w:t xml:space="preserve"> </w:t>
      </w:r>
      <w:r w:rsidR="6EC83BE3" w:rsidRPr="004A0212">
        <w:t xml:space="preserve">whānau, hapū and iwi. </w:t>
      </w:r>
    </w:p>
    <w:p w14:paraId="7D19FA56" w14:textId="28AB5833" w:rsidR="00766BBA" w:rsidRPr="004A0212" w:rsidRDefault="5FBB58CA" w:rsidP="007D73A6">
      <w:pPr>
        <w:pStyle w:val="AllNumbparas"/>
      </w:pPr>
      <w:r w:rsidRPr="004A0212">
        <w:t>The</w:t>
      </w:r>
      <w:r w:rsidRPr="004A0212" w:rsidDel="00F92F30">
        <w:t xml:space="preserve"> </w:t>
      </w:r>
      <w:r w:rsidR="32C12481" w:rsidRPr="004A0212">
        <w:t xml:space="preserve">State </w:t>
      </w:r>
      <w:r w:rsidRPr="004A0212">
        <w:t>encouraged Māori urban migration from the mid to late 1940s partly because of the view that it would help the goal of full assimilation. The Department of Māori Affairs provided incentives for Māori to move to the cities, in the form of housing assistance and job opportunities. It also facilitated access to social services and welfare support.</w:t>
      </w:r>
      <w:r w:rsidR="00766BBA" w:rsidRPr="004A0212">
        <w:rPr>
          <w:rStyle w:val="StyleFootnoteReferenceFagoFunotenzeichenFagoFunotenzeichen"/>
        </w:rPr>
        <w:footnoteReference w:id="194"/>
      </w:r>
      <w:r w:rsidRPr="004A0212">
        <w:t xml:space="preserve"> </w:t>
      </w:r>
      <w:r w:rsidR="22279C1D" w:rsidRPr="004A0212">
        <w:t xml:space="preserve">Hostels, </w:t>
      </w:r>
      <w:r w:rsidR="045FE5CF" w:rsidRPr="004A0212">
        <w:t>some</w:t>
      </w:r>
      <w:r w:rsidR="22279C1D" w:rsidRPr="004A0212">
        <w:t xml:space="preserve"> established and managed by churches, were set up</w:t>
      </w:r>
      <w:r w:rsidR="045FE5CF" w:rsidRPr="004A0212">
        <w:t xml:space="preserve"> from the mid</w:t>
      </w:r>
      <w:r w:rsidR="5EB881BD" w:rsidRPr="004A0212">
        <w:t>-</w:t>
      </w:r>
      <w:r w:rsidR="045FE5CF" w:rsidRPr="004A0212">
        <w:t>1940s</w:t>
      </w:r>
      <w:r w:rsidR="22279C1D" w:rsidRPr="004A0212">
        <w:t xml:space="preserve"> for </w:t>
      </w:r>
      <w:r w:rsidR="0D0A71BF" w:rsidRPr="004A0212">
        <w:t>M</w:t>
      </w:r>
      <w:r w:rsidR="5EB881BD" w:rsidRPr="004A0212">
        <w:t>ā</w:t>
      </w:r>
      <w:r w:rsidR="0D0A71BF" w:rsidRPr="004A0212">
        <w:t xml:space="preserve">ori seeking work in </w:t>
      </w:r>
      <w:r w:rsidR="3D846D24" w:rsidRPr="004A0212">
        <w:t>towns and cities</w:t>
      </w:r>
      <w:r w:rsidR="0D0A71BF" w:rsidRPr="004A0212">
        <w:t>.</w:t>
      </w:r>
      <w:r w:rsidR="00375BCC" w:rsidRPr="004A0212">
        <w:rPr>
          <w:rStyle w:val="FootnoteReference"/>
        </w:rPr>
        <w:footnoteReference w:id="195"/>
      </w:r>
    </w:p>
    <w:p w14:paraId="3C087AFB" w14:textId="19E4CB7A" w:rsidR="00A21C3C" w:rsidRPr="004A0212" w:rsidRDefault="5B0A4F1C" w:rsidP="009E2ABB">
      <w:pPr>
        <w:pStyle w:val="AllNumbparas"/>
      </w:pPr>
      <w:r w:rsidRPr="004A0212">
        <w:t>While many</w:t>
      </w:r>
      <w:r w:rsidR="5FBB58CA" w:rsidRPr="004A0212">
        <w:t xml:space="preserve"> </w:t>
      </w:r>
      <w:r w:rsidR="3B537550" w:rsidRPr="004A0212">
        <w:t xml:space="preserve">of those who moved to the cities </w:t>
      </w:r>
      <w:r w:rsidR="32C12481" w:rsidRPr="004A0212">
        <w:t xml:space="preserve">returned </w:t>
      </w:r>
      <w:r w:rsidR="3B537550" w:rsidRPr="004A0212">
        <w:t>regular</w:t>
      </w:r>
      <w:r w:rsidR="32C12481" w:rsidRPr="004A0212">
        <w:t>ly</w:t>
      </w:r>
      <w:r w:rsidR="3B537550" w:rsidRPr="004A0212">
        <w:t xml:space="preserve"> </w:t>
      </w:r>
      <w:r w:rsidR="01742233" w:rsidRPr="004A0212">
        <w:t>to their whenua,</w:t>
      </w:r>
      <w:r w:rsidR="5FBB58CA" w:rsidRPr="004A0212">
        <w:t xml:space="preserve"> moving between the two worlds</w:t>
      </w:r>
      <w:r w:rsidR="32033528" w:rsidRPr="004A0212">
        <w:t>,</w:t>
      </w:r>
      <w:r w:rsidR="00766BBA" w:rsidRPr="004A0212">
        <w:rPr>
          <w:rStyle w:val="StyleFootnoteReferenceFagoFunotenzeichenFagoFunotenzeichen"/>
        </w:rPr>
        <w:footnoteReference w:id="196"/>
      </w:r>
      <w:r w:rsidR="47E8325D" w:rsidRPr="004A0212">
        <w:t xml:space="preserve"> the policy of ur</w:t>
      </w:r>
      <w:r w:rsidR="06FCEE3C" w:rsidRPr="004A0212">
        <w:t xml:space="preserve">banisation contributed to the breakdown of </w:t>
      </w:r>
      <w:r w:rsidR="6EC83BE3" w:rsidRPr="004A0212">
        <w:t xml:space="preserve">whānau, hapū and iwi </w:t>
      </w:r>
      <w:r w:rsidR="06FCEE3C" w:rsidRPr="004A0212">
        <w:t xml:space="preserve">and decline of </w:t>
      </w:r>
      <w:proofErr w:type="spellStart"/>
      <w:r w:rsidR="06FCEE3C" w:rsidRPr="004A0212">
        <w:t>te</w:t>
      </w:r>
      <w:proofErr w:type="spellEnd"/>
      <w:r w:rsidR="06FCEE3C" w:rsidRPr="004A0212">
        <w:t xml:space="preserve"> </w:t>
      </w:r>
      <w:proofErr w:type="spellStart"/>
      <w:r w:rsidR="06FCEE3C" w:rsidRPr="004A0212">
        <w:t>reo</w:t>
      </w:r>
      <w:proofErr w:type="spellEnd"/>
      <w:r w:rsidR="06FCEE3C" w:rsidRPr="004A0212">
        <w:t xml:space="preserve"> Māori. </w:t>
      </w:r>
      <w:r w:rsidR="5FBB58CA" w:rsidRPr="004A0212">
        <w:t>Tribal organisational structures were still important, and new collective entities were established.</w:t>
      </w:r>
      <w:r w:rsidR="00766BBA" w:rsidRPr="004A0212">
        <w:rPr>
          <w:rStyle w:val="StyleFootnoteReferenceFagoFunotenzeichenFagoFunotenzeichen"/>
        </w:rPr>
        <w:footnoteReference w:id="197"/>
      </w:r>
      <w:r w:rsidR="5FBB58CA" w:rsidRPr="004A0212">
        <w:t xml:space="preserve"> </w:t>
      </w:r>
      <w:r w:rsidR="260AF03F" w:rsidRPr="004A0212">
        <w:t xml:space="preserve">But urbanisation and other impacts of colonisation had a direct impact on the health of Māori </w:t>
      </w:r>
      <w:r w:rsidR="4BAEE08B" w:rsidRPr="004A0212">
        <w:t xml:space="preserve">and </w:t>
      </w:r>
      <w:r w:rsidR="7D019852" w:rsidRPr="004A0212">
        <w:t>their culture</w:t>
      </w:r>
      <w:r w:rsidR="260AF03F" w:rsidRPr="004A0212">
        <w:t>. This included the ability for Māori to maintain and uphold traditional family structures, cultural values and practices</w:t>
      </w:r>
      <w:r w:rsidR="203C3F5B" w:rsidRPr="004A0212">
        <w:t>, including the us</w:t>
      </w:r>
      <w:r w:rsidR="188EB6E6" w:rsidRPr="004A0212">
        <w:t>e of mātauranga (</w:t>
      </w:r>
      <w:r w:rsidR="00DE709D" w:rsidRPr="004A0212">
        <w:t>knowledge</w:t>
      </w:r>
      <w:r w:rsidR="188EB6E6" w:rsidRPr="004A0212">
        <w:t xml:space="preserve">). </w:t>
      </w:r>
    </w:p>
    <w:p w14:paraId="7F31D514" w14:textId="37A7D0F8" w:rsidR="00583909" w:rsidRPr="004A0212" w:rsidRDefault="5FBB58CA" w:rsidP="007D73A6">
      <w:pPr>
        <w:pStyle w:val="AllNumbparas"/>
      </w:pPr>
      <w:r w:rsidRPr="004A0212">
        <w:t>Throughout the 20</w:t>
      </w:r>
      <w:r w:rsidRPr="004A0212">
        <w:rPr>
          <w:vertAlign w:val="superscript"/>
        </w:rPr>
        <w:t>th</w:t>
      </w:r>
      <w:r w:rsidRPr="004A0212">
        <w:t xml:space="preserve"> </w:t>
      </w:r>
      <w:r w:rsidR="5B86EBA0" w:rsidRPr="004A0212">
        <w:t>century</w:t>
      </w:r>
      <w:r w:rsidRPr="004A0212">
        <w:t xml:space="preserve">, Māori would often be empowered by the </w:t>
      </w:r>
      <w:r w:rsidR="177A364D" w:rsidRPr="004A0212">
        <w:t xml:space="preserve">State </w:t>
      </w:r>
      <w:r w:rsidRPr="004A0212">
        <w:t>to develop policies and program</w:t>
      </w:r>
      <w:r w:rsidR="033507E2" w:rsidRPr="004A0212">
        <w:t>me</w:t>
      </w:r>
      <w:r w:rsidRPr="004A0212">
        <w:t xml:space="preserve">s, but only to the extent that these met criteria set by the </w:t>
      </w:r>
      <w:r w:rsidR="033507E2" w:rsidRPr="004A0212">
        <w:t>State</w:t>
      </w:r>
      <w:r w:rsidRPr="004A0212">
        <w:t>.</w:t>
      </w:r>
      <w:r w:rsidR="00766BBA" w:rsidRPr="004A0212">
        <w:rPr>
          <w:rStyle w:val="StyleFootnoteReferenceFagoFunotenzeichenFagoFunotenzeichen"/>
        </w:rPr>
        <w:footnoteReference w:id="198"/>
      </w:r>
      <w:r w:rsidRPr="004A0212">
        <w:t xml:space="preserve"> This is a pattern that persisted throughout the Inquiry period and beyond, one where </w:t>
      </w:r>
      <w:r w:rsidR="033507E2" w:rsidRPr="004A0212">
        <w:t>“</w:t>
      </w:r>
      <w:r w:rsidR="453B5ECB" w:rsidRPr="004A0212">
        <w:t xml:space="preserve">the </w:t>
      </w:r>
      <w:r w:rsidRPr="004A0212">
        <w:t>illusion of self-government exists, but the reality is mainstream control</w:t>
      </w:r>
      <w:r w:rsidR="033507E2" w:rsidRPr="004A0212">
        <w:t>”</w:t>
      </w:r>
      <w:r w:rsidRPr="004A0212">
        <w:t>.</w:t>
      </w:r>
      <w:r w:rsidR="00766BBA" w:rsidRPr="004A0212">
        <w:rPr>
          <w:rStyle w:val="StyleFootnoteReferenceFagoFunotenzeichenFagoFunotenzeichen"/>
        </w:rPr>
        <w:footnoteReference w:id="199"/>
      </w:r>
      <w:r w:rsidRPr="004A0212">
        <w:t xml:space="preserve"> </w:t>
      </w:r>
    </w:p>
    <w:p w14:paraId="6E165500" w14:textId="294FB36B" w:rsidR="004C4C97" w:rsidRPr="004A0212" w:rsidRDefault="5FBB58CA" w:rsidP="007D73A6">
      <w:pPr>
        <w:pStyle w:val="AllNumbparas"/>
        <w:rPr>
          <w:rStyle w:val="ui-provider"/>
        </w:rPr>
      </w:pPr>
      <w:r w:rsidRPr="004A0212">
        <w:t xml:space="preserve">This pattern took the form of periods of change and increased power for Māori followed by a wave of Crown actions to </w:t>
      </w:r>
      <w:r w:rsidR="177A364D" w:rsidRPr="004A0212">
        <w:t>decrease their</w:t>
      </w:r>
      <w:r w:rsidRPr="004A0212">
        <w:t xml:space="preserve"> level of autonomy. </w:t>
      </w:r>
    </w:p>
    <w:p w14:paraId="5DCF27A2" w14:textId="0E9655CE" w:rsidR="00766BBA" w:rsidRPr="004A0212" w:rsidRDefault="5FBB58CA" w:rsidP="007D73A6">
      <w:pPr>
        <w:pStyle w:val="AllNumbparas"/>
      </w:pPr>
      <w:r w:rsidRPr="004A0212">
        <w:t xml:space="preserve">During </w:t>
      </w:r>
      <w:r w:rsidR="35A776BD" w:rsidRPr="004A0212">
        <w:t>the Second</w:t>
      </w:r>
      <w:r w:rsidRPr="004A0212">
        <w:t xml:space="preserve"> World War, Sir </w:t>
      </w:r>
      <w:proofErr w:type="spellStart"/>
      <w:r w:rsidR="453B5ECB" w:rsidRPr="004A0212">
        <w:t>Āpirana</w:t>
      </w:r>
      <w:proofErr w:type="spellEnd"/>
      <w:r w:rsidR="453B5ECB" w:rsidRPr="004A0212">
        <w:t xml:space="preserve"> </w:t>
      </w:r>
      <w:r w:rsidRPr="004A0212">
        <w:t xml:space="preserve">Ngata’s Māori War Effort Organisation showed the potential for Māori to work independently and </w:t>
      </w:r>
      <w:r w:rsidR="4352D0C6" w:rsidRPr="004A0212">
        <w:t>cultivate</w:t>
      </w:r>
      <w:r w:rsidRPr="004A0212">
        <w:t xml:space="preserve"> </w:t>
      </w:r>
      <w:proofErr w:type="spellStart"/>
      <w:r w:rsidRPr="004A0212">
        <w:t>kotahitanga</w:t>
      </w:r>
      <w:proofErr w:type="spellEnd"/>
      <w:r w:rsidRPr="004A0212">
        <w:t>, or unity.</w:t>
      </w:r>
      <w:r w:rsidR="453B5ECB" w:rsidRPr="004A0212">
        <w:t xml:space="preserve"> </w:t>
      </w:r>
      <w:r w:rsidRPr="004A0212">
        <w:t>Towards the end</w:t>
      </w:r>
      <w:r w:rsidR="60CE0CEC" w:rsidRPr="004A0212">
        <w:t xml:space="preserve"> of</w:t>
      </w:r>
      <w:r w:rsidRPr="004A0212">
        <w:t xml:space="preserve"> the war</w:t>
      </w:r>
      <w:r w:rsidR="60CE0CEC" w:rsidRPr="004A0212">
        <w:t>,</w:t>
      </w:r>
      <w:r w:rsidRPr="004A0212">
        <w:t xml:space="preserve"> Māori leaders argued that</w:t>
      </w:r>
      <w:r w:rsidR="60CE0CEC" w:rsidRPr="004A0212">
        <w:t>,</w:t>
      </w:r>
      <w:r w:rsidRPr="004A0212">
        <w:t xml:space="preserve"> based on this success</w:t>
      </w:r>
      <w:r w:rsidR="60CE0CEC" w:rsidRPr="004A0212">
        <w:t>,</w:t>
      </w:r>
      <w:r w:rsidRPr="004A0212">
        <w:t xml:space="preserve"> an independent tribal committee system should take over from the Department of Native Affairs.</w:t>
      </w:r>
      <w:r w:rsidR="00766BBA" w:rsidRPr="004A0212">
        <w:rPr>
          <w:rStyle w:val="StyleFootnoteReferenceFagoFunotenzeichenFagoFunotenzeichen"/>
        </w:rPr>
        <w:footnoteReference w:id="200"/>
      </w:r>
    </w:p>
    <w:p w14:paraId="6F306B02" w14:textId="65C555B2" w:rsidR="00766BBA" w:rsidRPr="004A0212" w:rsidRDefault="5FBB58CA" w:rsidP="007D73A6">
      <w:pPr>
        <w:pStyle w:val="AllNumbparas"/>
      </w:pPr>
      <w:r w:rsidRPr="004A0212">
        <w:t xml:space="preserve">As the war ended and Māori support was no longer as critical, the </w:t>
      </w:r>
      <w:r w:rsidR="0DA9098C" w:rsidRPr="004A0212">
        <w:t xml:space="preserve">State </w:t>
      </w:r>
      <w:r w:rsidRPr="004A0212">
        <w:t xml:space="preserve">became </w:t>
      </w:r>
      <w:r w:rsidR="0DA9098C" w:rsidRPr="004A0212">
        <w:t xml:space="preserve">concerned </w:t>
      </w:r>
      <w:r w:rsidRPr="004A0212">
        <w:t>at the power Māori leadership had achieved. The Māori Social and Economic Advancement Act of 1945 established a network of official Tribal Committees and Tribal Executives operating within the Department of Native Affairs (the Department of Māori Affairs after 1947</w:t>
      </w:r>
      <w:r w:rsidR="7A35B637" w:rsidRPr="004A0212">
        <w:t xml:space="preserve">, which oversaw </w:t>
      </w:r>
      <w:r w:rsidR="195691F2" w:rsidRPr="004A0212">
        <w:t>general issues relating t</w:t>
      </w:r>
      <w:r w:rsidR="645AA80D" w:rsidRPr="004A0212">
        <w:t>o</w:t>
      </w:r>
      <w:r w:rsidR="195691F2" w:rsidRPr="004A0212">
        <w:t xml:space="preserve"> Māori development</w:t>
      </w:r>
      <w:r w:rsidRPr="004A0212">
        <w:t>).</w:t>
      </w:r>
      <w:r w:rsidR="00766BBA" w:rsidRPr="004A0212">
        <w:rPr>
          <w:rStyle w:val="StyleFootnoteReferenceFagoFunotenzeichenFagoFunotenzeichen"/>
        </w:rPr>
        <w:footnoteReference w:id="201"/>
      </w:r>
    </w:p>
    <w:p w14:paraId="2F8620EA" w14:textId="187D02F9" w:rsidR="00766BBA" w:rsidRPr="004A0212" w:rsidRDefault="5FBB58CA" w:rsidP="007D73A6">
      <w:pPr>
        <w:pStyle w:val="AllNumbparas"/>
      </w:pPr>
      <w:r w:rsidRPr="004A0212">
        <w:t xml:space="preserve">Māori communities had to join the new system to gain official recognition for their tribal committees, which had to </w:t>
      </w:r>
      <w:r w:rsidR="20993E43" w:rsidRPr="004A0212">
        <w:t>“</w:t>
      </w:r>
      <w:r w:rsidRPr="004A0212">
        <w:t>follow European administration and meeting procedure</w:t>
      </w:r>
      <w:r w:rsidR="20993E43" w:rsidRPr="004A0212">
        <w:t>”</w:t>
      </w:r>
      <w:r w:rsidRPr="004A0212">
        <w:t>.</w:t>
      </w:r>
      <w:r w:rsidR="00766BBA" w:rsidRPr="004A0212">
        <w:rPr>
          <w:rStyle w:val="StyleFootnoteReferenceFagoFunotenzeichenFagoFunotenzeichen"/>
        </w:rPr>
        <w:footnoteReference w:id="202"/>
      </w:r>
      <w:r w:rsidRPr="004A0212">
        <w:t xml:space="preserve"> In 1949</w:t>
      </w:r>
      <w:r w:rsidR="20993E43" w:rsidRPr="004A0212">
        <w:t>,</w:t>
      </w:r>
      <w:r w:rsidRPr="004A0212">
        <w:t xml:space="preserve"> the department characterised the main purpose of the Māori Social and Economic Advancement Act as being </w:t>
      </w:r>
      <w:r w:rsidR="20993E43" w:rsidRPr="004A0212">
        <w:t>“</w:t>
      </w:r>
      <w:r w:rsidRPr="004A0212">
        <w:t>to facilitate the full integration of the Māori race into the social and economic structure of the country</w:t>
      </w:r>
      <w:r w:rsidR="20993E43" w:rsidRPr="004A0212">
        <w:t>”</w:t>
      </w:r>
      <w:r w:rsidRPr="004A0212">
        <w:t>.</w:t>
      </w:r>
      <w:r w:rsidR="00766BBA" w:rsidRPr="004A0212">
        <w:rPr>
          <w:rStyle w:val="StyleFootnoteReferenceFagoFunotenzeichenFagoFunotenzeichen"/>
        </w:rPr>
        <w:footnoteReference w:id="203"/>
      </w:r>
      <w:r w:rsidRPr="004A0212">
        <w:t xml:space="preserve"> </w:t>
      </w:r>
    </w:p>
    <w:p w14:paraId="2EC383FE" w14:textId="4C79C036" w:rsidR="00571515" w:rsidRPr="004A0212" w:rsidRDefault="2574F657" w:rsidP="007D73A6">
      <w:pPr>
        <w:pStyle w:val="AllNumbparas"/>
      </w:pPr>
      <w:r w:rsidRPr="004A0212">
        <w:t xml:space="preserve">The Māori Women’s Welfare League was formed in </w:t>
      </w:r>
      <w:r w:rsidR="3F0D5AC7" w:rsidRPr="004A0212">
        <w:t xml:space="preserve">1951 </w:t>
      </w:r>
      <w:r w:rsidRPr="004A0212">
        <w:t xml:space="preserve">to assist with issues </w:t>
      </w:r>
      <w:r w:rsidR="679F903C" w:rsidRPr="004A0212">
        <w:t xml:space="preserve">such as </w:t>
      </w:r>
      <w:r w:rsidRPr="004A0212">
        <w:t>health, housing and discrimination faced by Māori</w:t>
      </w:r>
      <w:r w:rsidR="3AAA69CC" w:rsidRPr="004A0212">
        <w:t>, and helped the voice of Māori women to be heard at a national level</w:t>
      </w:r>
      <w:r w:rsidRPr="004A0212">
        <w:t>.</w:t>
      </w:r>
      <w:r w:rsidR="00583909" w:rsidRPr="004A0212">
        <w:rPr>
          <w:rStyle w:val="StyleFootnoteReferenceFagoFunotenzeichenFagoFunotenzeichen"/>
        </w:rPr>
        <w:footnoteReference w:id="204"/>
      </w:r>
      <w:r w:rsidR="5C1AD382" w:rsidRPr="004A0212">
        <w:t xml:space="preserve"> This was largely in response to increased urbanisation of Māori during the 1930s and 1940s.</w:t>
      </w:r>
    </w:p>
    <w:p w14:paraId="668168EF" w14:textId="77B787D9" w:rsidR="00A21C3C" w:rsidRPr="004A0212" w:rsidRDefault="2574F657" w:rsidP="00496327">
      <w:pPr>
        <w:pStyle w:val="AllNumbparas"/>
      </w:pPr>
      <w:r w:rsidRPr="004A0212">
        <w:t>However, c</w:t>
      </w:r>
      <w:r w:rsidR="141D2868" w:rsidRPr="004A0212">
        <w:t xml:space="preserve">ontinued </w:t>
      </w:r>
      <w:r w:rsidR="60C697B1" w:rsidRPr="004A0212">
        <w:t>polic</w:t>
      </w:r>
      <w:r w:rsidR="334DD163" w:rsidRPr="004A0212">
        <w:t>i</w:t>
      </w:r>
      <w:r w:rsidR="60C697B1" w:rsidRPr="004A0212">
        <w:t>es</w:t>
      </w:r>
      <w:r w:rsidR="141D2868" w:rsidRPr="004A0212">
        <w:t xml:space="preserve"> of assimilation and integration </w:t>
      </w:r>
      <w:r w:rsidR="7BCD4A6A" w:rsidRPr="004A0212">
        <w:t xml:space="preserve">affected </w:t>
      </w:r>
      <w:r w:rsidR="141D2868" w:rsidRPr="004A0212">
        <w:t xml:space="preserve">the ability of hapū and iwi to enforce and uphold important cultural controls, supports and practices. This contributed to an environment where tamariki </w:t>
      </w:r>
      <w:r w:rsidR="0BE9A73C" w:rsidRPr="004A0212">
        <w:t xml:space="preserve">and rangatahi </w:t>
      </w:r>
      <w:r w:rsidR="66EC3D75" w:rsidRPr="004A0212">
        <w:t xml:space="preserve">Māori </w:t>
      </w:r>
      <w:r w:rsidR="141D2868" w:rsidRPr="004A0212">
        <w:t>and whānau members could experience abuse</w:t>
      </w:r>
      <w:r w:rsidR="0BE9A73C" w:rsidRPr="004A0212">
        <w:t xml:space="preserve"> and negle</w:t>
      </w:r>
      <w:r w:rsidR="2972A5B0" w:rsidRPr="004A0212">
        <w:t>c</w:t>
      </w:r>
      <w:r w:rsidR="0BE9A73C" w:rsidRPr="004A0212">
        <w:t>t</w:t>
      </w:r>
      <w:r w:rsidR="141D2868" w:rsidRPr="004A0212">
        <w:t xml:space="preserve"> inflicted in families and wider communities.</w:t>
      </w:r>
      <w:bookmarkStart w:id="257" w:name="_Toc150933129"/>
      <w:bookmarkStart w:id="258" w:name="_Toc150953446"/>
    </w:p>
    <w:p w14:paraId="55C623C1" w14:textId="77777777" w:rsidR="00F62E68" w:rsidRDefault="00F62E68" w:rsidP="00235A67">
      <w:pPr>
        <w:pStyle w:val="Heading2"/>
        <w:rPr>
          <w:rFonts w:cs="Arial"/>
        </w:rPr>
      </w:pPr>
      <w:bookmarkStart w:id="259" w:name="_Toc1537021508"/>
    </w:p>
    <w:p w14:paraId="6A046E4F" w14:textId="77777777" w:rsidR="00F62E68" w:rsidRDefault="00F62E68" w:rsidP="00235A67">
      <w:pPr>
        <w:pStyle w:val="Heading2"/>
        <w:rPr>
          <w:rFonts w:cs="Arial"/>
        </w:rPr>
      </w:pPr>
    </w:p>
    <w:p w14:paraId="0EC0EB6E" w14:textId="2D567CF4" w:rsidR="00197950" w:rsidRPr="004A0212" w:rsidRDefault="705D22D2" w:rsidP="00235A67">
      <w:pPr>
        <w:pStyle w:val="Heading2"/>
        <w:rPr>
          <w:rFonts w:cs="Arial"/>
        </w:rPr>
      </w:pPr>
      <w:bookmarkStart w:id="260" w:name="_Toc168638955"/>
      <w:proofErr w:type="spellStart"/>
      <w:r w:rsidRPr="004A0212">
        <w:rPr>
          <w:rFonts w:cs="Arial"/>
        </w:rPr>
        <w:t>Te</w:t>
      </w:r>
      <w:proofErr w:type="spellEnd"/>
      <w:r w:rsidRPr="004A0212">
        <w:rPr>
          <w:rFonts w:cs="Arial"/>
        </w:rPr>
        <w:t xml:space="preserve"> </w:t>
      </w:r>
      <w:proofErr w:type="spellStart"/>
      <w:r w:rsidRPr="004A0212">
        <w:rPr>
          <w:rFonts w:cs="Arial"/>
        </w:rPr>
        <w:t>whakatāuke</w:t>
      </w:r>
      <w:proofErr w:type="spellEnd"/>
      <w:r w:rsidRPr="004A0212">
        <w:rPr>
          <w:rFonts w:cs="Arial"/>
        </w:rPr>
        <w:t xml:space="preserve"> i </w:t>
      </w:r>
      <w:proofErr w:type="spellStart"/>
      <w:r w:rsidRPr="004A0212">
        <w:rPr>
          <w:rFonts w:cs="Arial"/>
        </w:rPr>
        <w:t>te</w:t>
      </w:r>
      <w:proofErr w:type="spellEnd"/>
      <w:r w:rsidRPr="004A0212">
        <w:rPr>
          <w:rFonts w:cs="Arial"/>
        </w:rPr>
        <w:t xml:space="preserve"> </w:t>
      </w:r>
      <w:proofErr w:type="spellStart"/>
      <w:r w:rsidRPr="004A0212">
        <w:rPr>
          <w:rFonts w:cs="Arial"/>
        </w:rPr>
        <w:t>hunga</w:t>
      </w:r>
      <w:proofErr w:type="spellEnd"/>
      <w:r w:rsidRPr="004A0212">
        <w:rPr>
          <w:rFonts w:cs="Arial"/>
        </w:rPr>
        <w:t xml:space="preserve"> </w:t>
      </w:r>
      <w:proofErr w:type="spellStart"/>
      <w:r w:rsidRPr="004A0212">
        <w:rPr>
          <w:rFonts w:cs="Arial"/>
        </w:rPr>
        <w:t>whaikaha</w:t>
      </w:r>
      <w:proofErr w:type="spellEnd"/>
      <w:r w:rsidRPr="004A0212">
        <w:rPr>
          <w:rFonts w:cs="Arial"/>
        </w:rPr>
        <w:t xml:space="preserve"> me </w:t>
      </w:r>
      <w:proofErr w:type="spellStart"/>
      <w:r w:rsidRPr="004A0212">
        <w:rPr>
          <w:rFonts w:cs="Arial"/>
        </w:rPr>
        <w:t>te</w:t>
      </w:r>
      <w:proofErr w:type="spellEnd"/>
      <w:r w:rsidRPr="004A0212">
        <w:rPr>
          <w:rFonts w:cs="Arial"/>
        </w:rPr>
        <w:t xml:space="preserve"> </w:t>
      </w:r>
      <w:proofErr w:type="spellStart"/>
      <w:r w:rsidRPr="004A0212">
        <w:rPr>
          <w:rFonts w:cs="Arial"/>
        </w:rPr>
        <w:t>hunga</w:t>
      </w:r>
      <w:proofErr w:type="spellEnd"/>
      <w:r w:rsidRPr="004A0212">
        <w:rPr>
          <w:rFonts w:cs="Arial"/>
        </w:rPr>
        <w:t xml:space="preserve"> e </w:t>
      </w:r>
      <w:proofErr w:type="spellStart"/>
      <w:r w:rsidRPr="004A0212">
        <w:rPr>
          <w:rFonts w:cs="Arial"/>
        </w:rPr>
        <w:t>rongo</w:t>
      </w:r>
      <w:proofErr w:type="spellEnd"/>
      <w:r w:rsidRPr="004A0212">
        <w:rPr>
          <w:rFonts w:cs="Arial"/>
        </w:rPr>
        <w:t xml:space="preserve"> ana </w:t>
      </w:r>
      <w:proofErr w:type="spellStart"/>
      <w:r w:rsidRPr="004A0212">
        <w:rPr>
          <w:rFonts w:cs="Arial"/>
        </w:rPr>
        <w:t>i</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wairangi</w:t>
      </w:r>
      <w:r w:rsidR="64FFB030" w:rsidRPr="004A0212">
        <w:rPr>
          <w:rFonts w:cs="Arial"/>
        </w:rPr>
        <w:t>tanga</w:t>
      </w:r>
      <w:bookmarkEnd w:id="259"/>
      <w:bookmarkEnd w:id="260"/>
      <w:proofErr w:type="spellEnd"/>
    </w:p>
    <w:p w14:paraId="1BB61BB6" w14:textId="466E4103" w:rsidR="00FC12BA" w:rsidRPr="004A0212" w:rsidRDefault="796E18B8" w:rsidP="00235A67">
      <w:pPr>
        <w:pStyle w:val="Heading2"/>
        <w:rPr>
          <w:rFonts w:cs="Arial"/>
        </w:rPr>
      </w:pPr>
      <w:bookmarkStart w:id="261" w:name="_Toc1803882511"/>
      <w:bookmarkStart w:id="262" w:name="_Toc168638956"/>
      <w:r w:rsidRPr="004A0212">
        <w:rPr>
          <w:rFonts w:cs="Arial"/>
        </w:rPr>
        <w:t>S</w:t>
      </w:r>
      <w:r w:rsidR="355A0DF8" w:rsidRPr="004A0212">
        <w:rPr>
          <w:rFonts w:cs="Arial"/>
        </w:rPr>
        <w:t xml:space="preserve">egregation </w:t>
      </w:r>
      <w:r w:rsidR="18586DA4" w:rsidRPr="004A0212">
        <w:rPr>
          <w:rFonts w:cs="Arial"/>
        </w:rPr>
        <w:t xml:space="preserve">for disabled people and people </w:t>
      </w:r>
      <w:r w:rsidR="62441F50" w:rsidRPr="004A0212">
        <w:rPr>
          <w:rFonts w:cs="Arial"/>
        </w:rPr>
        <w:t>who experienced</w:t>
      </w:r>
      <w:r w:rsidR="18586DA4" w:rsidRPr="004A0212">
        <w:rPr>
          <w:rFonts w:cs="Arial"/>
        </w:rPr>
        <w:t xml:space="preserve"> mental distress</w:t>
      </w:r>
      <w:bookmarkEnd w:id="257"/>
      <w:bookmarkEnd w:id="258"/>
      <w:bookmarkEnd w:id="261"/>
      <w:bookmarkEnd w:id="262"/>
    </w:p>
    <w:p w14:paraId="0073E05B" w14:textId="09D6FDCB" w:rsidR="00BE3836" w:rsidRPr="004A0212" w:rsidRDefault="5E0D0BD2" w:rsidP="007D73A6">
      <w:pPr>
        <w:pStyle w:val="AllNumbparas"/>
      </w:pPr>
      <w:r w:rsidRPr="004A0212">
        <w:t xml:space="preserve">As mentioned in </w:t>
      </w:r>
      <w:r w:rsidR="3F656E6D" w:rsidRPr="004A0212">
        <w:t>Chapter 3</w:t>
      </w:r>
      <w:r w:rsidRPr="004A0212">
        <w:t xml:space="preserve">, the eugenics movement promoted the idea that some individuals were better suited to having children than others. Eugenicists </w:t>
      </w:r>
      <w:r w:rsidRPr="004A0212" w:rsidDel="00740BDC">
        <w:t xml:space="preserve">argued that disabled people should be separated from the rest of society to prevent them </w:t>
      </w:r>
      <w:r w:rsidR="3B142DC4" w:rsidRPr="004A0212">
        <w:t xml:space="preserve">from </w:t>
      </w:r>
      <w:r w:rsidRPr="004A0212" w:rsidDel="00740BDC">
        <w:t>breeding a “subnormal” race.</w:t>
      </w:r>
      <w:r w:rsidR="00BE3836" w:rsidRPr="004A0212" w:rsidDel="00740BDC">
        <w:rPr>
          <w:rStyle w:val="StyleFootnoteReferenceFagoFunotenzeichenFagoFunotenzeichen"/>
        </w:rPr>
        <w:footnoteReference w:id="205"/>
      </w:r>
      <w:r w:rsidRPr="004A0212">
        <w:t xml:space="preserve"> This occurr</w:t>
      </w:r>
      <w:r w:rsidR="3B142DC4" w:rsidRPr="004A0212">
        <w:t>ed</w:t>
      </w:r>
      <w:r w:rsidRPr="004A0212">
        <w:t xml:space="preserve"> at the same time </w:t>
      </w:r>
      <w:r w:rsidR="7B656622" w:rsidRPr="004A0212">
        <w:t xml:space="preserve">as </w:t>
      </w:r>
      <w:r w:rsidRPr="004A0212">
        <w:t>people were becoming concerned about a decline in the European birth rate.</w:t>
      </w:r>
    </w:p>
    <w:p w14:paraId="7872A29A" w14:textId="1B20BAEE" w:rsidR="00BE3836" w:rsidRPr="004A0212" w:rsidRDefault="7BCD4A6A" w:rsidP="007D73A6">
      <w:pPr>
        <w:pStyle w:val="AllNumbparas"/>
      </w:pPr>
      <w:r w:rsidRPr="004A0212">
        <w:t>Eugenics</w:t>
      </w:r>
      <w:r w:rsidR="5E0D0BD2" w:rsidRPr="004A0212">
        <w:t xml:space="preserve"> gained momentum and popularity in the second half of the 19</w:t>
      </w:r>
      <w:r w:rsidR="5E0D0BD2" w:rsidRPr="004A0212">
        <w:rPr>
          <w:vertAlign w:val="superscript"/>
        </w:rPr>
        <w:t>th</w:t>
      </w:r>
      <w:r w:rsidR="5E0D0BD2" w:rsidRPr="004A0212">
        <w:t xml:space="preserve"> </w:t>
      </w:r>
      <w:r w:rsidR="5B86EBA0" w:rsidRPr="004A0212">
        <w:t>century</w:t>
      </w:r>
      <w:r w:rsidR="5E0D0BD2" w:rsidRPr="004A0212">
        <w:t xml:space="preserve"> and continued into the 20</w:t>
      </w:r>
      <w:r w:rsidR="5E0D0BD2" w:rsidRPr="004A0212">
        <w:rPr>
          <w:vertAlign w:val="superscript"/>
        </w:rPr>
        <w:t>th</w:t>
      </w:r>
      <w:r w:rsidR="5E0D0BD2" w:rsidRPr="004A0212">
        <w:t xml:space="preserve"> </w:t>
      </w:r>
      <w:r w:rsidR="5B86EBA0" w:rsidRPr="004A0212">
        <w:t>century</w:t>
      </w:r>
      <w:r w:rsidR="5E0D0BD2" w:rsidRPr="004A0212">
        <w:t xml:space="preserve">. It was supported by some prominent figures in science and politics, including Plunket founder Sir Truby King. </w:t>
      </w:r>
    </w:p>
    <w:p w14:paraId="60D4D9D7" w14:textId="4D080CB0" w:rsidR="00BE3836" w:rsidRPr="004A0212" w:rsidRDefault="5E0D0BD2" w:rsidP="007D73A6">
      <w:pPr>
        <w:pStyle w:val="AllNumbparas"/>
      </w:pPr>
      <w:r w:rsidRPr="004A0212">
        <w:t>Training institutions and detention centres were opened for “those who could be brought up to</w:t>
      </w:r>
      <w:r w:rsidR="25A8B0B8" w:rsidRPr="004A0212">
        <w:t xml:space="preserve"> </w:t>
      </w:r>
      <w:r w:rsidRPr="004A0212">
        <w:t>… standard, and the segregation of those who could not”.</w:t>
      </w:r>
      <w:r w:rsidR="00BE3836" w:rsidRPr="004A0212">
        <w:rPr>
          <w:rStyle w:val="StyleFootnoteReferenceFagoFunotenzeichenFagoFunotenzeichen"/>
        </w:rPr>
        <w:footnoteReference w:id="206"/>
      </w:r>
      <w:r w:rsidRPr="004A0212">
        <w:t xml:space="preserve"> </w:t>
      </w:r>
      <w:r w:rsidR="033CE0F8" w:rsidRPr="004A0212">
        <w:t>T</w:t>
      </w:r>
      <w:r w:rsidRPr="004A0212">
        <w:t xml:space="preserve">he Education Act </w:t>
      </w:r>
      <w:r w:rsidR="599F52E2" w:rsidRPr="004A0212">
        <w:t xml:space="preserve">1914 </w:t>
      </w:r>
      <w:r w:rsidRPr="004A0212">
        <w:t>required parents, as well as officials, teachers and police, to report “mentally defective” children to the Department of Education.</w:t>
      </w:r>
      <w:r w:rsidR="00A671F5" w:rsidRPr="004A0212">
        <w:rPr>
          <w:rStyle w:val="StyleFootnoteReferenceFagoFunotenzeichenFagoFunotenzeichen"/>
        </w:rPr>
        <w:footnoteReference w:id="207"/>
      </w:r>
    </w:p>
    <w:p w14:paraId="60B60810" w14:textId="6FD0EB7B" w:rsidR="00BE3836" w:rsidRPr="004A0212" w:rsidRDefault="568207A2" w:rsidP="007D73A6">
      <w:pPr>
        <w:pStyle w:val="AllNumbparas"/>
      </w:pPr>
      <w:r w:rsidRPr="004A0212">
        <w:t xml:space="preserve">The mass recruitment </w:t>
      </w:r>
      <w:r w:rsidR="11A27271" w:rsidRPr="004A0212">
        <w:t>for</w:t>
      </w:r>
      <w:r w:rsidR="3730F6B2" w:rsidRPr="004A0212">
        <w:t xml:space="preserve"> </w:t>
      </w:r>
      <w:r w:rsidR="35A776BD" w:rsidRPr="004A0212">
        <w:t xml:space="preserve">the First </w:t>
      </w:r>
      <w:r w:rsidRPr="004A0212">
        <w:t xml:space="preserve">World War </w:t>
      </w:r>
      <w:r w:rsidR="11A27271" w:rsidRPr="004A0212">
        <w:t>resulted in</w:t>
      </w:r>
      <w:r w:rsidRPr="004A0212">
        <w:t xml:space="preserve"> 57</w:t>
      </w:r>
      <w:r w:rsidR="3730F6B2" w:rsidRPr="004A0212">
        <w:t xml:space="preserve"> percent</w:t>
      </w:r>
      <w:r w:rsidRPr="004A0212">
        <w:t xml:space="preserve"> of men rejected for service on medical ground</w:t>
      </w:r>
      <w:r w:rsidR="7F83637B" w:rsidRPr="004A0212">
        <w:t xml:space="preserve">s, focussing </w:t>
      </w:r>
      <w:r w:rsidR="11A27271" w:rsidRPr="004A0212">
        <w:t xml:space="preserve">State </w:t>
      </w:r>
      <w:r w:rsidR="7F83637B" w:rsidRPr="004A0212">
        <w:t xml:space="preserve">attention on the health of the nation and on </w:t>
      </w:r>
      <w:proofErr w:type="gramStart"/>
      <w:r w:rsidR="7F83637B" w:rsidRPr="004A0212">
        <w:t>children in particular</w:t>
      </w:r>
      <w:proofErr w:type="gramEnd"/>
      <w:r w:rsidR="7F83637B" w:rsidRPr="004A0212">
        <w:t>.</w:t>
      </w:r>
      <w:r w:rsidR="00EB0D9C" w:rsidRPr="004A0212">
        <w:rPr>
          <w:rStyle w:val="StyleFootnoteReferenceFagoFunotenzeichenFagoFunotenzeichen"/>
        </w:rPr>
        <w:footnoteReference w:id="208"/>
      </w:r>
    </w:p>
    <w:p w14:paraId="42602A6D" w14:textId="503DDFE1" w:rsidR="00BE3836" w:rsidRPr="004A0212" w:rsidRDefault="5E0D0BD2" w:rsidP="007D73A6">
      <w:pPr>
        <w:pStyle w:val="AllNumbparas"/>
      </w:pPr>
      <w:r w:rsidRPr="004A0212">
        <w:t>In 1925</w:t>
      </w:r>
      <w:r w:rsidR="25A8B0B8" w:rsidRPr="004A0212">
        <w:t>,</w:t>
      </w:r>
      <w:r w:rsidRPr="004A0212">
        <w:t xml:space="preserve"> the Committee of Inquiry into Mental Defectives and Sexual Offenders addressed anxiety </w:t>
      </w:r>
      <w:r w:rsidR="2F8C1C9F" w:rsidRPr="004A0212">
        <w:t xml:space="preserve">about </w:t>
      </w:r>
      <w:r w:rsidRPr="004A0212">
        <w:t>“the number of mental defectives becoming a charge upon the State and the alarming increase in their numbers through the uncontrolled fecundity of this class”</w:t>
      </w:r>
      <w:r w:rsidR="25A8B0B8" w:rsidRPr="004A0212">
        <w:t>.</w:t>
      </w:r>
      <w:r w:rsidR="00BE3836" w:rsidRPr="004A0212">
        <w:rPr>
          <w:rStyle w:val="StyleFootnoteReferenceFagoFunotenzeichenFagoFunotenzeichen"/>
        </w:rPr>
        <w:footnoteReference w:id="209"/>
      </w:r>
    </w:p>
    <w:p w14:paraId="550217F1" w14:textId="292D698D" w:rsidR="00A21C3C" w:rsidRPr="004A0212" w:rsidRDefault="5E0D0BD2" w:rsidP="00A83810">
      <w:pPr>
        <w:pStyle w:val="AllNumbparas"/>
        <w:rPr>
          <w:b/>
          <w:color w:val="3B5D1E" w:themeColor="accent4" w:themeShade="BF"/>
          <w:szCs w:val="28"/>
        </w:rPr>
      </w:pPr>
      <w:r w:rsidRPr="004A0212">
        <w:t xml:space="preserve">Eugenics was </w:t>
      </w:r>
      <w:r w:rsidR="6C80255F" w:rsidRPr="004A0212">
        <w:t xml:space="preserve">condemned </w:t>
      </w:r>
      <w:r w:rsidR="410D1508" w:rsidRPr="004A0212">
        <w:t xml:space="preserve">after </w:t>
      </w:r>
      <w:r w:rsidR="198EEC9D" w:rsidRPr="004A0212">
        <w:t xml:space="preserve">the Second World War </w:t>
      </w:r>
      <w:r w:rsidRPr="004A0212">
        <w:t>following the horrors of the Nazi regime, but its ideas still influence</w:t>
      </w:r>
      <w:r w:rsidR="7DEA74D0" w:rsidRPr="004A0212">
        <w:t>d laws, policies and attitudes</w:t>
      </w:r>
      <w:r w:rsidRPr="004A0212">
        <w:t xml:space="preserve"> during the Inquiry period. </w:t>
      </w:r>
      <w:r w:rsidR="7DEA74D0" w:rsidRPr="004A0212">
        <w:t xml:space="preserve">For </w:t>
      </w:r>
      <w:r w:rsidR="198EEC9D" w:rsidRPr="004A0212">
        <w:t>example,</w:t>
      </w:r>
      <w:r w:rsidR="7DEA74D0" w:rsidRPr="004A0212">
        <w:t xml:space="preserve"> </w:t>
      </w:r>
      <w:r w:rsidR="7F616832" w:rsidRPr="004A0212">
        <w:t xml:space="preserve">the use of </w:t>
      </w:r>
      <w:r w:rsidR="434EB6EC" w:rsidRPr="004A0212">
        <w:t xml:space="preserve">contraception </w:t>
      </w:r>
      <w:r w:rsidR="7F616832" w:rsidRPr="004A0212">
        <w:t xml:space="preserve">without consent in care settings and </w:t>
      </w:r>
      <w:r w:rsidR="14A92370" w:rsidRPr="004A0212">
        <w:t xml:space="preserve">the segregation of disabled people away from their communities </w:t>
      </w:r>
      <w:r w:rsidR="434EB6EC" w:rsidRPr="004A0212">
        <w:t>can be seen as</w:t>
      </w:r>
      <w:r w:rsidR="56F8CD42" w:rsidRPr="004A0212">
        <w:t xml:space="preserve"> echo</w:t>
      </w:r>
      <w:r w:rsidR="434EB6EC" w:rsidRPr="004A0212">
        <w:t>ing</w:t>
      </w:r>
      <w:r w:rsidR="56F8CD42" w:rsidRPr="004A0212">
        <w:t xml:space="preserve"> </w:t>
      </w:r>
      <w:r w:rsidR="434EB6EC" w:rsidRPr="004A0212">
        <w:t>the ableist beliefs underlying the</w:t>
      </w:r>
      <w:r w:rsidR="56F8CD42" w:rsidRPr="004A0212">
        <w:t xml:space="preserve"> eugenics </w:t>
      </w:r>
      <w:r w:rsidR="434EB6EC" w:rsidRPr="004A0212">
        <w:t>movement</w:t>
      </w:r>
      <w:r w:rsidR="2F8C1C9F" w:rsidRPr="004A0212">
        <w:t>,</w:t>
      </w:r>
      <w:r w:rsidR="434EB6EC" w:rsidRPr="004A0212">
        <w:t xml:space="preserve"> that non-disabled people are more valuable than disabled people</w:t>
      </w:r>
      <w:r w:rsidR="60DAE3EF" w:rsidRPr="004A0212">
        <w:t>.</w:t>
      </w:r>
      <w:r w:rsidR="0003251F" w:rsidRPr="004A0212">
        <w:rPr>
          <w:rStyle w:val="StyleFootnoteReferenceFagoFunotenzeichenFagoFunotenzeichen"/>
        </w:rPr>
        <w:footnoteReference w:id="210"/>
      </w:r>
      <w:bookmarkStart w:id="263" w:name="_Toc150933130"/>
      <w:bookmarkStart w:id="264" w:name="_Toc150953447"/>
    </w:p>
    <w:p w14:paraId="6BDDF398" w14:textId="4E371FC3" w:rsidR="00797B62" w:rsidRPr="004A0212" w:rsidRDefault="2D53A542" w:rsidP="0A27D6D4">
      <w:pPr>
        <w:pStyle w:val="Heading2"/>
        <w:rPr>
          <w:rFonts w:cs="Arial"/>
        </w:rPr>
      </w:pPr>
      <w:bookmarkStart w:id="265" w:name="_Toc1164263934"/>
      <w:bookmarkStart w:id="266" w:name="_Toc168638957"/>
      <w:r w:rsidRPr="004A0212">
        <w:rPr>
          <w:rFonts w:cs="Arial"/>
        </w:rPr>
        <w:t xml:space="preserve">Ka </w:t>
      </w:r>
      <w:proofErr w:type="spellStart"/>
      <w:r w:rsidRPr="004A0212">
        <w:rPr>
          <w:rFonts w:cs="Arial"/>
        </w:rPr>
        <w:t>rongo</w:t>
      </w:r>
      <w:proofErr w:type="spellEnd"/>
      <w:r w:rsidRPr="004A0212">
        <w:rPr>
          <w:rFonts w:cs="Arial"/>
        </w:rPr>
        <w:t xml:space="preserve"> pea </w:t>
      </w:r>
      <w:proofErr w:type="spellStart"/>
      <w:r w:rsidRPr="004A0212">
        <w:rPr>
          <w:rFonts w:cs="Arial"/>
        </w:rPr>
        <w:t>te</w:t>
      </w:r>
      <w:proofErr w:type="spellEnd"/>
      <w:r w:rsidRPr="004A0212">
        <w:rPr>
          <w:rFonts w:cs="Arial"/>
        </w:rPr>
        <w:t xml:space="preserve"> </w:t>
      </w:r>
      <w:proofErr w:type="spellStart"/>
      <w:r w:rsidRPr="004A0212">
        <w:rPr>
          <w:rFonts w:cs="Arial"/>
        </w:rPr>
        <w:t>hunga</w:t>
      </w:r>
      <w:proofErr w:type="spellEnd"/>
      <w:r w:rsidRPr="004A0212">
        <w:rPr>
          <w:rFonts w:cs="Arial"/>
        </w:rPr>
        <w:t xml:space="preserve"> Turi, </w:t>
      </w:r>
      <w:proofErr w:type="spellStart"/>
      <w:r w:rsidRPr="004A0212">
        <w:rPr>
          <w:rFonts w:cs="Arial"/>
        </w:rPr>
        <w:t>te</w:t>
      </w:r>
      <w:proofErr w:type="spellEnd"/>
      <w:r w:rsidRPr="004A0212">
        <w:rPr>
          <w:rFonts w:cs="Arial"/>
        </w:rPr>
        <w:t xml:space="preserve"> </w:t>
      </w:r>
      <w:proofErr w:type="spellStart"/>
      <w:r w:rsidRPr="004A0212">
        <w:rPr>
          <w:rFonts w:cs="Arial"/>
        </w:rPr>
        <w:t>hunga</w:t>
      </w:r>
      <w:proofErr w:type="spellEnd"/>
      <w:r w:rsidRPr="004A0212">
        <w:rPr>
          <w:rFonts w:cs="Arial"/>
        </w:rPr>
        <w:t xml:space="preserve"> </w:t>
      </w:r>
      <w:proofErr w:type="spellStart"/>
      <w:r w:rsidRPr="004A0212">
        <w:rPr>
          <w:rFonts w:cs="Arial"/>
        </w:rPr>
        <w:t>whaikaha</w:t>
      </w:r>
      <w:proofErr w:type="spellEnd"/>
      <w:r w:rsidRPr="004A0212">
        <w:rPr>
          <w:rFonts w:cs="Arial"/>
        </w:rPr>
        <w:t xml:space="preserve"> me </w:t>
      </w:r>
      <w:proofErr w:type="spellStart"/>
      <w:r w:rsidRPr="004A0212">
        <w:rPr>
          <w:rFonts w:cs="Arial"/>
        </w:rPr>
        <w:t>te</w:t>
      </w:r>
      <w:proofErr w:type="spellEnd"/>
      <w:r w:rsidRPr="004A0212">
        <w:rPr>
          <w:rFonts w:cs="Arial"/>
        </w:rPr>
        <w:t xml:space="preserve"> </w:t>
      </w:r>
      <w:proofErr w:type="spellStart"/>
      <w:r w:rsidRPr="004A0212">
        <w:rPr>
          <w:rFonts w:cs="Arial"/>
        </w:rPr>
        <w:t>hunga</w:t>
      </w:r>
      <w:proofErr w:type="spellEnd"/>
      <w:r w:rsidRPr="004A0212">
        <w:rPr>
          <w:rFonts w:cs="Arial"/>
        </w:rPr>
        <w:t xml:space="preserve"> </w:t>
      </w:r>
      <w:proofErr w:type="spellStart"/>
      <w:r w:rsidRPr="004A0212">
        <w:rPr>
          <w:rFonts w:cs="Arial"/>
        </w:rPr>
        <w:t>wairangi</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rawakoretanga</w:t>
      </w:r>
      <w:proofErr w:type="spellEnd"/>
      <w:r w:rsidRPr="004A0212">
        <w:rPr>
          <w:rFonts w:cs="Arial"/>
        </w:rPr>
        <w:t xml:space="preserve"> </w:t>
      </w:r>
      <w:proofErr w:type="spellStart"/>
      <w:r w:rsidRPr="004A0212">
        <w:rPr>
          <w:rFonts w:cs="Arial"/>
        </w:rPr>
        <w:t>mō</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roanga</w:t>
      </w:r>
      <w:proofErr w:type="spellEnd"/>
      <w:r w:rsidRPr="004A0212">
        <w:rPr>
          <w:rFonts w:cs="Arial"/>
        </w:rPr>
        <w:t xml:space="preserve"> o ō </w:t>
      </w:r>
      <w:proofErr w:type="spellStart"/>
      <w:r w:rsidRPr="004A0212">
        <w:rPr>
          <w:rFonts w:cs="Arial"/>
        </w:rPr>
        <w:t>rātou</w:t>
      </w:r>
      <w:proofErr w:type="spellEnd"/>
      <w:r w:rsidRPr="004A0212">
        <w:rPr>
          <w:rFonts w:cs="Arial"/>
        </w:rPr>
        <w:t xml:space="preserve"> </w:t>
      </w:r>
      <w:proofErr w:type="spellStart"/>
      <w:r w:rsidRPr="004A0212">
        <w:rPr>
          <w:rFonts w:cs="Arial"/>
        </w:rPr>
        <w:t>oranga</w:t>
      </w:r>
      <w:bookmarkEnd w:id="265"/>
      <w:bookmarkEnd w:id="266"/>
      <w:proofErr w:type="spellEnd"/>
      <w:r w:rsidR="0CD9779E" w:rsidRPr="004A0212">
        <w:rPr>
          <w:rFonts w:cs="Arial"/>
        </w:rPr>
        <w:t xml:space="preserve"> </w:t>
      </w:r>
    </w:p>
    <w:p w14:paraId="2557A7BB" w14:textId="33CA5801" w:rsidR="09E25A0E" w:rsidRPr="004A0212" w:rsidRDefault="2F6959DF" w:rsidP="0A27D6D4">
      <w:pPr>
        <w:pStyle w:val="Heading2"/>
        <w:rPr>
          <w:rFonts w:cs="Arial"/>
        </w:rPr>
      </w:pPr>
      <w:bookmarkStart w:id="267" w:name="_Toc1904897825"/>
      <w:bookmarkStart w:id="268" w:name="_Toc168638958"/>
      <w:r w:rsidRPr="004A0212">
        <w:rPr>
          <w:rFonts w:cs="Arial"/>
        </w:rPr>
        <w:t>Deaf, disabled and people experiencing mental distress could experience lifelong poverty</w:t>
      </w:r>
      <w:bookmarkEnd w:id="267"/>
      <w:bookmarkEnd w:id="268"/>
      <w:r w:rsidRPr="004A0212">
        <w:rPr>
          <w:rFonts w:cs="Arial"/>
        </w:rPr>
        <w:t xml:space="preserve"> </w:t>
      </w:r>
    </w:p>
    <w:bookmarkEnd w:id="263"/>
    <w:bookmarkEnd w:id="264"/>
    <w:p w14:paraId="749448CF" w14:textId="1AD9EB40" w:rsidR="00766BBA" w:rsidRPr="004A0212" w:rsidRDefault="5FBB58CA" w:rsidP="007D73A6">
      <w:pPr>
        <w:pStyle w:val="AllNumbparas"/>
      </w:pPr>
      <w:r w:rsidRPr="004A0212">
        <w:t xml:space="preserve">During the </w:t>
      </w:r>
      <w:r w:rsidR="08DAD796" w:rsidRPr="004A0212">
        <w:t>I</w:t>
      </w:r>
      <w:r w:rsidRPr="004A0212">
        <w:t>nquiry period</w:t>
      </w:r>
      <w:r w:rsidR="1F5D5DFF" w:rsidRPr="004A0212">
        <w:t>,</w:t>
      </w:r>
      <w:r w:rsidRPr="004A0212">
        <w:t xml:space="preserve"> </w:t>
      </w:r>
      <w:r w:rsidR="67CA20FE" w:rsidRPr="004A0212">
        <w:t xml:space="preserve">Deaf </w:t>
      </w:r>
      <w:r w:rsidR="66D70D70" w:rsidRPr="004A0212">
        <w:t xml:space="preserve">people, </w:t>
      </w:r>
      <w:r w:rsidRPr="004A0212">
        <w:t xml:space="preserve">disabled people and people </w:t>
      </w:r>
      <w:r w:rsidR="6F940D08" w:rsidRPr="004A0212">
        <w:t>who</w:t>
      </w:r>
      <w:r w:rsidRPr="004A0212">
        <w:t xml:space="preserve"> experienc</w:t>
      </w:r>
      <w:r w:rsidR="6F940D08" w:rsidRPr="004A0212">
        <w:t>ed</w:t>
      </w:r>
      <w:r w:rsidRPr="004A0212">
        <w:t xml:space="preserve"> mental distress often experienced lifelong poverty </w:t>
      </w:r>
      <w:r w:rsidR="1F5D5DFF" w:rsidRPr="004A0212">
        <w:t xml:space="preserve">that </w:t>
      </w:r>
      <w:r w:rsidRPr="004A0212">
        <w:t xml:space="preserve">impacted their </w:t>
      </w:r>
      <w:r w:rsidR="68E46FEA" w:rsidRPr="004A0212">
        <w:t xml:space="preserve">life </w:t>
      </w:r>
      <w:r w:rsidRPr="004A0212">
        <w:t>options. They were generally excluded from mainstream work. When work was available</w:t>
      </w:r>
      <w:r w:rsidR="3F75A7A9" w:rsidRPr="004A0212">
        <w:t>,</w:t>
      </w:r>
      <w:r w:rsidRPr="004A0212">
        <w:t xml:space="preserve"> it was often low paid, </w:t>
      </w:r>
      <w:r w:rsidR="11A27271" w:rsidRPr="004A0212">
        <w:t xml:space="preserve">part time or temporary, </w:t>
      </w:r>
      <w:r w:rsidRPr="004A0212">
        <w:t>with poor working conditions</w:t>
      </w:r>
      <w:r w:rsidR="11A27271" w:rsidRPr="004A0212">
        <w:t xml:space="preserve"> and </w:t>
      </w:r>
      <w:r w:rsidRPr="004A0212">
        <w:t>few career opportunities.</w:t>
      </w:r>
      <w:r w:rsidR="00766BBA" w:rsidRPr="004A0212">
        <w:rPr>
          <w:rStyle w:val="StyleFootnoteReferenceFagoFunotenzeichenFagoFunotenzeichen"/>
        </w:rPr>
        <w:footnoteReference w:id="211"/>
      </w:r>
      <w:r w:rsidRPr="004A0212">
        <w:t xml:space="preserve"> </w:t>
      </w:r>
    </w:p>
    <w:p w14:paraId="77BA308C" w14:textId="034C8479" w:rsidR="00766BBA" w:rsidRPr="004A0212" w:rsidRDefault="5FBB58CA" w:rsidP="007D73A6">
      <w:pPr>
        <w:pStyle w:val="AllNumbparas"/>
      </w:pPr>
      <w:r w:rsidRPr="004A0212">
        <w:t xml:space="preserve">The Soldiers’ Civil Re-establishment League </w:t>
      </w:r>
      <w:r w:rsidR="6540E582" w:rsidRPr="004A0212">
        <w:t>established</w:t>
      </w:r>
      <w:r w:rsidRPr="004A0212">
        <w:t xml:space="preserve"> workshop-based employment for returned servicemen considered unfit to resume former occupations from the 1930s</w:t>
      </w:r>
      <w:r w:rsidR="101C5CD1" w:rsidRPr="004A0212">
        <w:t>.</w:t>
      </w:r>
      <w:r w:rsidR="00766BBA" w:rsidRPr="004A0212">
        <w:rPr>
          <w:rStyle w:val="StyleFootnoteReferenceFagoFunotenzeichenFagoFunotenzeichen"/>
        </w:rPr>
        <w:footnoteReference w:id="212"/>
      </w:r>
      <w:r w:rsidRPr="004A0212">
        <w:t xml:space="preserve"> Sheltered workshops were also established for </w:t>
      </w:r>
      <w:r w:rsidR="749AAE2A" w:rsidRPr="004A0212">
        <w:t xml:space="preserve">other </w:t>
      </w:r>
      <w:r w:rsidRPr="004A0212">
        <w:t xml:space="preserve">disabled New Zealanders, and these continued operating throughout the </w:t>
      </w:r>
      <w:r w:rsidR="101C5CD1" w:rsidRPr="004A0212">
        <w:t xml:space="preserve">Inquiry </w:t>
      </w:r>
      <w:r w:rsidRPr="004A0212">
        <w:t>period. See</w:t>
      </w:r>
      <w:r w:rsidR="68E46FEA" w:rsidRPr="004A0212">
        <w:t xml:space="preserve"> Part 2</w:t>
      </w:r>
      <w:r w:rsidRPr="004A0212">
        <w:t xml:space="preserve"> </w:t>
      </w:r>
      <w:r w:rsidRPr="004A0212">
        <w:rPr>
          <w:color w:val="auto"/>
        </w:rPr>
        <w:t>Chapter</w:t>
      </w:r>
      <w:r w:rsidR="59A53814" w:rsidRPr="004A0212" w:rsidDel="00EE07EE">
        <w:rPr>
          <w:color w:val="auto"/>
        </w:rPr>
        <w:t xml:space="preserve"> </w:t>
      </w:r>
      <w:r w:rsidR="396D2A7A" w:rsidRPr="004A0212">
        <w:rPr>
          <w:color w:val="auto"/>
        </w:rPr>
        <w:t>1</w:t>
      </w:r>
      <w:r w:rsidR="43CF9974" w:rsidRPr="004A0212">
        <w:rPr>
          <w:color w:val="auto"/>
        </w:rPr>
        <w:t>2</w:t>
      </w:r>
      <w:r w:rsidR="59A53814" w:rsidRPr="004A0212">
        <w:rPr>
          <w:color w:val="auto"/>
        </w:rPr>
        <w:t xml:space="preserve"> </w:t>
      </w:r>
      <w:r w:rsidRPr="004A0212">
        <w:t xml:space="preserve">for more information on sheltered workshops. </w:t>
      </w:r>
    </w:p>
    <w:p w14:paraId="168307B1" w14:textId="0F20A75F" w:rsidR="0F10B688" w:rsidRPr="004A0212" w:rsidRDefault="26D4A96B" w:rsidP="065D524A">
      <w:pPr>
        <w:pStyle w:val="Heading2"/>
        <w:rPr>
          <w:rFonts w:cs="Arial"/>
        </w:rPr>
      </w:pPr>
      <w:bookmarkStart w:id="269" w:name="_Toc1007860929"/>
      <w:bookmarkStart w:id="270" w:name="_Toc168638959"/>
      <w:bookmarkStart w:id="271" w:name="_Toc150933131"/>
      <w:bookmarkStart w:id="272" w:name="_Toc150953448"/>
      <w:bookmarkStart w:id="273" w:name="_Toc147935382"/>
      <w:bookmarkStart w:id="274" w:name="_Toc148443563"/>
      <w:bookmarkStart w:id="275" w:name="_Toc147935375"/>
      <w:bookmarkStart w:id="276" w:name="_Toc148443555"/>
      <w:bookmarkEnd w:id="239"/>
      <w:bookmarkEnd w:id="240"/>
      <w:proofErr w:type="spellStart"/>
      <w:r w:rsidRPr="004A0212">
        <w:rPr>
          <w:rFonts w:cs="Arial"/>
        </w:rPr>
        <w:t>Te</w:t>
      </w:r>
      <w:proofErr w:type="spellEnd"/>
      <w:r w:rsidRPr="004A0212">
        <w:rPr>
          <w:rFonts w:cs="Arial"/>
        </w:rPr>
        <w:t xml:space="preserve"> </w:t>
      </w:r>
      <w:proofErr w:type="spellStart"/>
      <w:r w:rsidRPr="004A0212">
        <w:rPr>
          <w:rFonts w:cs="Arial"/>
        </w:rPr>
        <w:t>hūnuku</w:t>
      </w:r>
      <w:proofErr w:type="spellEnd"/>
      <w:r w:rsidRPr="004A0212">
        <w:rPr>
          <w:rFonts w:cs="Arial"/>
        </w:rPr>
        <w:t xml:space="preserve"> o </w:t>
      </w:r>
      <w:proofErr w:type="spellStart"/>
      <w:r w:rsidRPr="004A0212">
        <w:rPr>
          <w:rFonts w:cs="Arial"/>
        </w:rPr>
        <w:t>ngā</w:t>
      </w:r>
      <w:proofErr w:type="spellEnd"/>
      <w:r w:rsidRPr="004A0212">
        <w:rPr>
          <w:rFonts w:cs="Arial"/>
        </w:rPr>
        <w:t xml:space="preserve"> iwi Pasifika ki Aotearoa</w:t>
      </w:r>
      <w:bookmarkEnd w:id="269"/>
      <w:bookmarkEnd w:id="270"/>
    </w:p>
    <w:p w14:paraId="0980FA42" w14:textId="0FD4014F" w:rsidR="00CE5E07" w:rsidRPr="004A0212" w:rsidRDefault="72B50AAF" w:rsidP="00CE5E07">
      <w:pPr>
        <w:pStyle w:val="Heading2"/>
        <w:rPr>
          <w:rFonts w:cs="Arial"/>
        </w:rPr>
      </w:pPr>
      <w:bookmarkStart w:id="277" w:name="_Toc822880219"/>
      <w:bookmarkStart w:id="278" w:name="_Toc168638960"/>
      <w:r w:rsidRPr="004A0212">
        <w:rPr>
          <w:rFonts w:cs="Arial"/>
        </w:rPr>
        <w:t xml:space="preserve">Pacific </w:t>
      </w:r>
      <w:r w:rsidR="4CAE90F3" w:rsidRPr="004A0212">
        <w:rPr>
          <w:rFonts w:cs="Arial"/>
        </w:rPr>
        <w:t>P</w:t>
      </w:r>
      <w:r w:rsidR="52B73637" w:rsidRPr="004A0212">
        <w:rPr>
          <w:rFonts w:cs="Arial"/>
        </w:rPr>
        <w:t>eoples</w:t>
      </w:r>
      <w:r w:rsidR="67DB8515" w:rsidRPr="004A0212">
        <w:rPr>
          <w:rFonts w:cs="Arial"/>
        </w:rPr>
        <w:t>’</w:t>
      </w:r>
      <w:r w:rsidRPr="004A0212">
        <w:rPr>
          <w:rFonts w:cs="Arial"/>
        </w:rPr>
        <w:t xml:space="preserve"> </w:t>
      </w:r>
      <w:r w:rsidR="5B93669C" w:rsidRPr="004A0212">
        <w:rPr>
          <w:rFonts w:cs="Arial"/>
        </w:rPr>
        <w:t>migration</w:t>
      </w:r>
      <w:r w:rsidRPr="004A0212">
        <w:rPr>
          <w:rFonts w:cs="Arial"/>
        </w:rPr>
        <w:t xml:space="preserve"> to Aotearoa</w:t>
      </w:r>
      <w:bookmarkEnd w:id="271"/>
      <w:bookmarkEnd w:id="272"/>
      <w:r w:rsidR="369916C3" w:rsidRPr="004A0212">
        <w:rPr>
          <w:rFonts w:cs="Arial"/>
        </w:rPr>
        <w:t xml:space="preserve"> New Zealand</w:t>
      </w:r>
      <w:bookmarkEnd w:id="277"/>
      <w:bookmarkEnd w:id="278"/>
      <w:r w:rsidR="6583C111" w:rsidRPr="004A0212">
        <w:rPr>
          <w:rFonts w:cs="Arial"/>
        </w:rPr>
        <w:t xml:space="preserve"> </w:t>
      </w:r>
    </w:p>
    <w:p w14:paraId="1F231B94" w14:textId="77777777" w:rsidR="00197950" w:rsidRPr="004A0212" w:rsidRDefault="6228C394" w:rsidP="00845434">
      <w:pPr>
        <w:pStyle w:val="Heading3"/>
        <w:rPr>
          <w:rFonts w:cs="Arial"/>
        </w:rPr>
      </w:pPr>
      <w:bookmarkStart w:id="279" w:name="_Toc1019316027"/>
      <w:bookmarkStart w:id="280" w:name="_Toc168638961"/>
      <w:bookmarkStart w:id="281" w:name="_Toc147935420"/>
      <w:bookmarkStart w:id="282" w:name="_Toc148443604"/>
      <w:bookmarkStart w:id="283" w:name="_Toc150933077"/>
      <w:bookmarkStart w:id="284" w:name="_Toc150953394"/>
      <w:proofErr w:type="spellStart"/>
      <w:r w:rsidRPr="004A0212">
        <w:rPr>
          <w:rFonts w:cs="Arial"/>
        </w:rPr>
        <w:t>Te</w:t>
      </w:r>
      <w:proofErr w:type="spellEnd"/>
      <w:r w:rsidRPr="004A0212">
        <w:rPr>
          <w:rFonts w:cs="Arial"/>
        </w:rPr>
        <w:t xml:space="preserve"> whanaungatanga </w:t>
      </w:r>
      <w:proofErr w:type="spellStart"/>
      <w:r w:rsidRPr="004A0212">
        <w:rPr>
          <w:rFonts w:cs="Arial"/>
        </w:rPr>
        <w:t>i</w:t>
      </w:r>
      <w:proofErr w:type="spellEnd"/>
      <w:r w:rsidRPr="004A0212">
        <w:rPr>
          <w:rFonts w:cs="Arial"/>
        </w:rPr>
        <w:t xml:space="preserve"> </w:t>
      </w:r>
      <w:proofErr w:type="spellStart"/>
      <w:r w:rsidRPr="004A0212">
        <w:rPr>
          <w:rFonts w:cs="Arial"/>
        </w:rPr>
        <w:t>waenganui</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gramStart"/>
      <w:r w:rsidRPr="004A0212">
        <w:rPr>
          <w:rFonts w:cs="Arial"/>
        </w:rPr>
        <w:t>a</w:t>
      </w:r>
      <w:proofErr w:type="gramEnd"/>
      <w:r w:rsidRPr="004A0212">
        <w:rPr>
          <w:rFonts w:cs="Arial"/>
        </w:rPr>
        <w:t xml:space="preserve"> Aotearoa me </w:t>
      </w:r>
      <w:proofErr w:type="spellStart"/>
      <w:r w:rsidRPr="004A0212">
        <w:rPr>
          <w:rFonts w:cs="Arial"/>
        </w:rPr>
        <w:t>ngā</w:t>
      </w:r>
      <w:proofErr w:type="spellEnd"/>
      <w:r w:rsidRPr="004A0212">
        <w:rPr>
          <w:rFonts w:cs="Arial"/>
        </w:rPr>
        <w:t xml:space="preserve"> whenua Pasifika</w:t>
      </w:r>
      <w:bookmarkEnd w:id="279"/>
      <w:bookmarkEnd w:id="280"/>
      <w:r w:rsidRPr="004A0212">
        <w:rPr>
          <w:rFonts w:cs="Arial"/>
        </w:rPr>
        <w:t xml:space="preserve"> </w:t>
      </w:r>
    </w:p>
    <w:p w14:paraId="1EEBF421" w14:textId="381BD765" w:rsidR="00845434" w:rsidRPr="004A0212" w:rsidRDefault="52AB9ED4" w:rsidP="00845434">
      <w:pPr>
        <w:pStyle w:val="Heading3"/>
        <w:rPr>
          <w:rFonts w:cs="Arial"/>
        </w:rPr>
      </w:pPr>
      <w:bookmarkStart w:id="285" w:name="_Toc808860946"/>
      <w:bookmarkStart w:id="286" w:name="_Toc168638962"/>
      <w:r w:rsidRPr="004A0212">
        <w:rPr>
          <w:rFonts w:cs="Arial"/>
        </w:rPr>
        <w:t>Relationships between Aotearoa New Zealand and the Pacific nations</w:t>
      </w:r>
      <w:bookmarkEnd w:id="281"/>
      <w:bookmarkEnd w:id="282"/>
      <w:bookmarkEnd w:id="283"/>
      <w:bookmarkEnd w:id="284"/>
      <w:bookmarkEnd w:id="285"/>
      <w:bookmarkEnd w:id="286"/>
      <w:r w:rsidR="269DCBE0" w:rsidRPr="004A0212">
        <w:rPr>
          <w:rFonts w:cs="Arial"/>
        </w:rPr>
        <w:t xml:space="preserve"> </w:t>
      </w:r>
    </w:p>
    <w:p w14:paraId="5D014EF8" w14:textId="3D29E86B" w:rsidR="00845434" w:rsidRPr="004A0212" w:rsidRDefault="7A9348F8" w:rsidP="007D73A6">
      <w:pPr>
        <w:pStyle w:val="AllNumbparas"/>
      </w:pPr>
      <w:r w:rsidRPr="004A0212">
        <w:t xml:space="preserve">Aotearoa New Zealand has longstanding historical relationships with Pacific </w:t>
      </w:r>
      <w:r w:rsidR="44361F7B" w:rsidRPr="004A0212">
        <w:t>P</w:t>
      </w:r>
      <w:r w:rsidR="6568A6C9" w:rsidRPr="004A0212">
        <w:t>eoples</w:t>
      </w:r>
      <w:r w:rsidRPr="004A0212">
        <w:t xml:space="preserve"> that predate European contact. Māori and Pacific </w:t>
      </w:r>
      <w:r w:rsidR="680058D3" w:rsidRPr="004A0212">
        <w:t>P</w:t>
      </w:r>
      <w:r w:rsidR="6568A6C9" w:rsidRPr="004A0212">
        <w:t>eoples</w:t>
      </w:r>
      <w:r w:rsidRPr="004A0212">
        <w:t xml:space="preserve"> share whakapapa and a common history of migration across the </w:t>
      </w:r>
      <w:r w:rsidR="76F8D53F" w:rsidRPr="004A0212">
        <w:t xml:space="preserve">South </w:t>
      </w:r>
      <w:r w:rsidRPr="004A0212">
        <w:t>Pacific region. However, these connections have not always extended to how some New Zealanders</w:t>
      </w:r>
      <w:r w:rsidR="3FB73F0F" w:rsidRPr="004A0212">
        <w:t xml:space="preserve"> </w:t>
      </w:r>
      <w:r w:rsidRPr="004A0212">
        <w:t xml:space="preserve">and the </w:t>
      </w:r>
      <w:r w:rsidR="76F8D53F" w:rsidRPr="004A0212">
        <w:t xml:space="preserve">State </w:t>
      </w:r>
      <w:r w:rsidRPr="004A0212">
        <w:t xml:space="preserve">viewed and treated Pacific </w:t>
      </w:r>
      <w:r w:rsidR="680058D3" w:rsidRPr="004A0212">
        <w:t>P</w:t>
      </w:r>
      <w:r w:rsidR="6568A6C9" w:rsidRPr="004A0212">
        <w:t>eoples</w:t>
      </w:r>
      <w:r w:rsidRPr="004A0212">
        <w:t xml:space="preserve">. </w:t>
      </w:r>
    </w:p>
    <w:p w14:paraId="163F7266" w14:textId="3B58FC37" w:rsidR="00845434" w:rsidRPr="004A0212" w:rsidRDefault="7A9348F8" w:rsidP="007D73A6">
      <w:pPr>
        <w:pStyle w:val="AllNumbparas"/>
      </w:pPr>
      <w:r w:rsidRPr="004A0212">
        <w:t>The historic relationship with Pacific nations has tended to be paternalistic</w:t>
      </w:r>
      <w:r w:rsidR="5A21583E" w:rsidRPr="004A0212">
        <w:t>,</w:t>
      </w:r>
      <w:r w:rsidRPr="004A0212">
        <w:t xml:space="preserve"> with Aotearoa New Zealand “doing what was best for the immature, incapable and unknowing children, with or without their consent”.</w:t>
      </w:r>
      <w:r w:rsidR="00845434" w:rsidRPr="004A0212">
        <w:rPr>
          <w:rStyle w:val="StyleFootnoteReferenceFagoFunotenzeichenFagoFunotenzeichen"/>
        </w:rPr>
        <w:footnoteReference w:id="213"/>
      </w:r>
      <w:r w:rsidRPr="004A0212">
        <w:t xml:space="preserve"> This relationship included a civilising agenda and led to the colonisation of some Pacific nations. </w:t>
      </w:r>
    </w:p>
    <w:p w14:paraId="340D6868" w14:textId="51509CAD" w:rsidR="00CE5E07" w:rsidRPr="004A0212" w:rsidRDefault="13D283E6" w:rsidP="007D73A6">
      <w:pPr>
        <w:pStyle w:val="AllNumbparas"/>
      </w:pPr>
      <w:r w:rsidRPr="004A0212">
        <w:t xml:space="preserve">Pacific </w:t>
      </w:r>
      <w:r w:rsidR="680058D3" w:rsidRPr="004A0212">
        <w:t>P</w:t>
      </w:r>
      <w:r w:rsidR="6568A6C9" w:rsidRPr="004A0212">
        <w:t>eoples</w:t>
      </w:r>
      <w:r w:rsidRPr="004A0212">
        <w:t xml:space="preserve"> have had a unique experience as a migrant community in Aotearoa New Zealand. This is due to the relationship between Pacific </w:t>
      </w:r>
      <w:r w:rsidR="680058D3" w:rsidRPr="004A0212">
        <w:t>P</w:t>
      </w:r>
      <w:r w:rsidR="6568A6C9" w:rsidRPr="004A0212">
        <w:t>eoples</w:t>
      </w:r>
      <w:r w:rsidR="07DC6415" w:rsidRPr="004A0212">
        <w:t xml:space="preserve"> </w:t>
      </w:r>
      <w:r w:rsidRPr="004A0212">
        <w:t xml:space="preserve">and Māori, and </w:t>
      </w:r>
      <w:r w:rsidR="681C2CC0" w:rsidRPr="004A0212">
        <w:t xml:space="preserve">Aotearoa </w:t>
      </w:r>
      <w:r w:rsidRPr="004A0212">
        <w:t xml:space="preserve">New Zealand’s colonial relationship with the Pacific nations. </w:t>
      </w:r>
    </w:p>
    <w:p w14:paraId="3608B727" w14:textId="72C1B356" w:rsidR="00A21C3C" w:rsidRPr="004A0212" w:rsidRDefault="635C6435" w:rsidP="00D7126F">
      <w:pPr>
        <w:pStyle w:val="AllNumbparas"/>
      </w:pPr>
      <w:r w:rsidRPr="004A0212">
        <w:t xml:space="preserve">Pacific </w:t>
      </w:r>
      <w:r w:rsidR="680058D3" w:rsidRPr="004A0212">
        <w:t>P</w:t>
      </w:r>
      <w:r w:rsidR="6568A6C9" w:rsidRPr="004A0212">
        <w:t>eople</w:t>
      </w:r>
      <w:r w:rsidRPr="004A0212">
        <w:t xml:space="preserve"> have a history of migration to Aotearoa New Zealand, especially from the Realm countries with citizenship rights. </w:t>
      </w:r>
      <w:r w:rsidR="6F9AAE22" w:rsidRPr="004A0212">
        <w:t xml:space="preserve">Aotearoa </w:t>
      </w:r>
      <w:r w:rsidRPr="004A0212">
        <w:t xml:space="preserve">New Zealand is called a Realm because it is a monarchy. The Realm of New Zealand includes </w:t>
      </w:r>
      <w:r w:rsidR="6F9AAE22" w:rsidRPr="004A0212">
        <w:t xml:space="preserve">Aotearoa </w:t>
      </w:r>
      <w:r w:rsidRPr="004A0212">
        <w:t xml:space="preserve">New Zealand, Tokelau, the Ross Dependency </w:t>
      </w:r>
      <w:r w:rsidR="5310135F" w:rsidRPr="004A0212">
        <w:t>(</w:t>
      </w:r>
      <w:r w:rsidR="5A21583E" w:rsidRPr="004A0212">
        <w:t>in Antarctica</w:t>
      </w:r>
      <w:r w:rsidR="5310135F" w:rsidRPr="004A0212">
        <w:t>)</w:t>
      </w:r>
      <w:r w:rsidRPr="004A0212">
        <w:t xml:space="preserve"> and the self-governing states of the Cook Islands and Niue.</w:t>
      </w:r>
      <w:r w:rsidR="001A5AB3" w:rsidRPr="004A0212">
        <w:rPr>
          <w:rStyle w:val="StyleFootnoteReferenceFagoFunotenzeichenFagoFunotenzeichen"/>
        </w:rPr>
        <w:footnoteReference w:id="214"/>
      </w:r>
    </w:p>
    <w:p w14:paraId="42DCD883" w14:textId="2E6DD159" w:rsidR="001A5AB3" w:rsidRPr="004A0212" w:rsidRDefault="635C6435" w:rsidP="007D73A6">
      <w:pPr>
        <w:pStyle w:val="AllNumbparas"/>
      </w:pPr>
      <w:r w:rsidRPr="004A0212">
        <w:t>Aotearoa New Zealand annexed the Cook Islands and Niue in 1901 and began an administration of Tokelau in 1926, before annexing it in 1948.</w:t>
      </w:r>
      <w:r w:rsidR="001A5AB3" w:rsidRPr="004A0212">
        <w:rPr>
          <w:rStyle w:val="StyleFootnoteReferenceFagoFunotenzeichenFagoFunotenzeichen"/>
        </w:rPr>
        <w:footnoteReference w:id="215"/>
      </w:r>
      <w:r w:rsidRPr="004A0212">
        <w:t xml:space="preserve"> The Cook Islands declared independence in 1965 and Niue in 1974, but both continued to have a formal relationship with Aotearoa New Zealand.</w:t>
      </w:r>
      <w:r w:rsidR="001A5AB3" w:rsidRPr="004A0212">
        <w:rPr>
          <w:rStyle w:val="StyleFootnoteReferenceFagoFunotenzeichenFagoFunotenzeichen"/>
        </w:rPr>
        <w:footnoteReference w:id="216"/>
      </w:r>
      <w:r w:rsidRPr="004A0212">
        <w:t xml:space="preserve"> Tokelau is still a territory of Aotearoa New Zealand. People born in Niue, Tokelau or the Cook Islands are New Zealand citizens, and Aotearoa New Zealand has a legal duty to them.</w:t>
      </w:r>
      <w:r w:rsidR="001A5AB3" w:rsidRPr="004A0212">
        <w:rPr>
          <w:rStyle w:val="StyleFootnoteReferenceFagoFunotenzeichenFagoFunotenzeichen"/>
        </w:rPr>
        <w:footnoteReference w:id="217"/>
      </w:r>
      <w:r w:rsidRPr="004A0212">
        <w:t xml:space="preserve"> </w:t>
      </w:r>
    </w:p>
    <w:p w14:paraId="248E6D6F" w14:textId="3E034F85" w:rsidR="0099524B" w:rsidRPr="0099524B" w:rsidRDefault="0099524B" w:rsidP="0099524B">
      <w:pPr>
        <w:pStyle w:val="BodyText"/>
        <w:rPr>
          <w:rFonts w:ascii="Arial" w:hAnsi="Arial" w:cs="Arial"/>
          <w:sz w:val="22"/>
        </w:rPr>
      </w:pPr>
      <w:r w:rsidRPr="0099524B">
        <w:rPr>
          <w:rFonts w:ascii="Arial" w:hAnsi="Arial" w:cs="Arial"/>
          <w:sz w:val="22"/>
        </w:rPr>
        <w:t>[</w:t>
      </w:r>
      <w:r w:rsidR="00927AC9">
        <w:rPr>
          <w:rFonts w:ascii="Arial" w:hAnsi="Arial" w:cs="Arial"/>
          <w:sz w:val="22"/>
        </w:rPr>
        <w:t>Q</w:t>
      </w:r>
      <w:r w:rsidRPr="0099524B">
        <w:rPr>
          <w:rFonts w:ascii="Arial" w:hAnsi="Arial" w:cs="Arial"/>
          <w:sz w:val="22"/>
        </w:rPr>
        <w:t>uote]</w:t>
      </w:r>
    </w:p>
    <w:p w14:paraId="0709043C" w14:textId="77777777" w:rsidR="0099524B" w:rsidRPr="0099524B" w:rsidRDefault="0099524B" w:rsidP="0099524B">
      <w:pPr>
        <w:pStyle w:val="AllQuotes"/>
        <w:rPr>
          <w:b/>
        </w:rPr>
      </w:pPr>
      <w:r w:rsidRPr="0099524B">
        <w:rPr>
          <w:b/>
        </w:rPr>
        <w:t>“The general population appears to have a very distorted image of psychiatric patients. This image is influenced by a lack of education and knowledge of the major psychiatric disorders and a misconception that psychiatric illness is inextricably linked with dangerousness.”</w:t>
      </w:r>
    </w:p>
    <w:p w14:paraId="16BF6FAB" w14:textId="2C6938D2" w:rsidR="0099524B" w:rsidRPr="0099524B" w:rsidRDefault="0099524B" w:rsidP="0099524B">
      <w:pPr>
        <w:pStyle w:val="AllQuotes"/>
        <w:rPr>
          <w:b/>
        </w:rPr>
      </w:pPr>
      <w:r w:rsidRPr="0099524B">
        <w:rPr>
          <w:b/>
        </w:rPr>
        <w:t>K Mason</w:t>
      </w:r>
    </w:p>
    <w:p w14:paraId="460506B1" w14:textId="5171D32E" w:rsidR="0099524B" w:rsidRPr="00835066" w:rsidRDefault="0099524B" w:rsidP="00835066">
      <w:pPr>
        <w:pStyle w:val="AllQuotes"/>
        <w:rPr>
          <w:b/>
        </w:rPr>
      </w:pPr>
      <w:r w:rsidRPr="00835066">
        <w:rPr>
          <w:b/>
        </w:rPr>
        <w:t xml:space="preserve">Report of the Committee of Inquiry into Procedures Used </w:t>
      </w:r>
      <w:proofErr w:type="gramStart"/>
      <w:r w:rsidRPr="00835066">
        <w:rPr>
          <w:b/>
        </w:rPr>
        <w:t>In</w:t>
      </w:r>
      <w:proofErr w:type="gramEnd"/>
      <w:r w:rsidRPr="00835066">
        <w:rPr>
          <w:b/>
        </w:rPr>
        <w:t xml:space="preserve"> Certain Psychiatric Hospitals In Relation To Admission, Discharge Or Release On Leave Of Certain Classes Of Patients</w:t>
      </w:r>
    </w:p>
    <w:p w14:paraId="041B97C4" w14:textId="46E6475A" w:rsidR="00563EE9" w:rsidRPr="004A0212" w:rsidRDefault="635C6435" w:rsidP="007D73A6">
      <w:pPr>
        <w:pStyle w:val="AllNumbparas"/>
      </w:pPr>
      <w:r w:rsidRPr="004A0212">
        <w:t>Aotearoa New Zealand also has a special relationship with Samoa because of its formal administration of the nation from 1920 to 1962</w:t>
      </w:r>
      <w:r w:rsidR="62DC22E0" w:rsidRPr="004A0212">
        <w:t xml:space="preserve"> (under</w:t>
      </w:r>
      <w:r w:rsidR="33EC6930" w:rsidRPr="004A0212">
        <w:t xml:space="preserve"> a League of Nations </w:t>
      </w:r>
      <w:r w:rsidR="62DC22E0" w:rsidRPr="004A0212">
        <w:t xml:space="preserve">mandate from </w:t>
      </w:r>
      <w:r w:rsidR="387E937E" w:rsidRPr="004A0212">
        <w:t xml:space="preserve">1920, </w:t>
      </w:r>
      <w:r w:rsidR="33EC6930" w:rsidRPr="004A0212">
        <w:t>and</w:t>
      </w:r>
      <w:r w:rsidR="387E937E" w:rsidRPr="004A0212">
        <w:t xml:space="preserve"> </w:t>
      </w:r>
      <w:r w:rsidR="52431A05" w:rsidRPr="004A0212">
        <w:t>as a United Nations Trust Territory from 1946).</w:t>
      </w:r>
      <w:r w:rsidR="33EC6930" w:rsidRPr="004A0212">
        <w:t xml:space="preserve"> </w:t>
      </w:r>
      <w:r w:rsidR="07143E90" w:rsidRPr="004A0212">
        <w:t xml:space="preserve">This administration was resisted almost from its beginning by the Mau movement, culminating in the </w:t>
      </w:r>
      <w:r w:rsidR="5E8A8A7D" w:rsidRPr="004A0212">
        <w:t xml:space="preserve">Aotearoa </w:t>
      </w:r>
      <w:r w:rsidR="07143E90" w:rsidRPr="004A0212">
        <w:t>New Zealand administration opening fire on peaceful protestors in 1929 and killing several people.</w:t>
      </w:r>
      <w:r w:rsidR="00563EE9" w:rsidRPr="004A0212">
        <w:rPr>
          <w:rStyle w:val="StyleFootnoteReferenceFagoFunotenzeichenFagoFunotenzeichen"/>
        </w:rPr>
        <w:footnoteReference w:id="218"/>
      </w:r>
    </w:p>
    <w:p w14:paraId="2D6AE8B7" w14:textId="5FA547A9" w:rsidR="001A5AB3" w:rsidRPr="004A0212" w:rsidRDefault="07143E90" w:rsidP="007D73A6">
      <w:pPr>
        <w:pStyle w:val="AllNumbparas"/>
      </w:pPr>
      <w:r w:rsidRPr="004A0212">
        <w:t>Samoa obtained independence in 1962 and the two countries signed a Treaty of Friendship, pledging to work closely together to promote the welfare of the Samoan people.</w:t>
      </w:r>
      <w:r w:rsidR="00563EE9" w:rsidRPr="004A0212">
        <w:rPr>
          <w:rStyle w:val="StyleFootnoteReferenceFagoFunotenzeichenFagoFunotenzeichen"/>
        </w:rPr>
        <w:footnoteReference w:id="219"/>
      </w:r>
      <w:r w:rsidRPr="004A0212">
        <w:t xml:space="preserve"> </w:t>
      </w:r>
    </w:p>
    <w:p w14:paraId="796E8720" w14:textId="726B750E" w:rsidR="001A5AB3" w:rsidRPr="004A0212" w:rsidRDefault="635C6435" w:rsidP="007D73A6">
      <w:pPr>
        <w:pStyle w:val="AllNumbparas"/>
      </w:pPr>
      <w:r w:rsidRPr="004A0212">
        <w:t xml:space="preserve">Large-scale immigration of </w:t>
      </w:r>
      <w:r w:rsidR="7641D9B4" w:rsidRPr="004A0212">
        <w:t xml:space="preserve">Pacific Peoples to Aotearoa New Zealand </w:t>
      </w:r>
      <w:r w:rsidRPr="004A0212">
        <w:t>began in the 1950s and increased rapidly.</w:t>
      </w:r>
      <w:r w:rsidR="001A5AB3" w:rsidRPr="004A0212">
        <w:rPr>
          <w:rStyle w:val="StyleFootnoteReferenceFagoFunotenzeichenFagoFunotenzeichen"/>
        </w:rPr>
        <w:footnoteReference w:id="220"/>
      </w:r>
      <w:r w:rsidRPr="004A0212">
        <w:t xml:space="preserve"> The </w:t>
      </w:r>
      <w:r w:rsidR="7641D9B4" w:rsidRPr="004A0212">
        <w:t xml:space="preserve">State </w:t>
      </w:r>
      <w:r w:rsidRPr="004A0212">
        <w:t xml:space="preserve">initially actively recruited Pacific </w:t>
      </w:r>
      <w:r w:rsidR="5C080823" w:rsidRPr="004A0212">
        <w:t xml:space="preserve">Peoples </w:t>
      </w:r>
      <w:r w:rsidRPr="004A0212">
        <w:t>for low-skilled, low-</w:t>
      </w:r>
      <w:r w:rsidR="3DDE8FB9" w:rsidRPr="004A0212">
        <w:t>paid</w:t>
      </w:r>
      <w:r w:rsidRPr="004A0212">
        <w:t xml:space="preserve"> jobs.</w:t>
      </w:r>
      <w:r w:rsidR="001A5AB3" w:rsidRPr="004A0212">
        <w:rPr>
          <w:rStyle w:val="StyleFootnoteReferenceFagoFunotenzeichenFagoFunotenzeichen"/>
        </w:rPr>
        <w:footnoteReference w:id="221"/>
      </w:r>
      <w:r w:rsidRPr="004A0212">
        <w:t xml:space="preserve"> </w:t>
      </w:r>
      <w:r w:rsidR="1C65D387" w:rsidRPr="004A0212">
        <w:t>Pacific Peoples also participated in the New Zealand armed forces in both the First and Second World Wars, and some of these veterans returned and settled in New Zealand.</w:t>
      </w:r>
      <w:r w:rsidR="004C6956" w:rsidRPr="004A0212">
        <w:rPr>
          <w:rStyle w:val="StyleFootnoteReferenceFagoFunotenzeichenFagoFunotenzeichen"/>
        </w:rPr>
        <w:footnoteReference w:id="222"/>
      </w:r>
    </w:p>
    <w:p w14:paraId="1A818B0F" w14:textId="24897174" w:rsidR="00A21C3C" w:rsidRPr="004A0212" w:rsidRDefault="635C6435" w:rsidP="00A83810">
      <w:pPr>
        <w:pStyle w:val="AllNumbparas"/>
        <w:rPr>
          <w:rStyle w:val="normaltextrun"/>
          <w:b/>
          <w:color w:val="3B5D1E" w:themeColor="accent4" w:themeShade="BF"/>
          <w:szCs w:val="28"/>
        </w:rPr>
      </w:pPr>
      <w:r w:rsidRPr="004A0212">
        <w:t xml:space="preserve">While Pacific </w:t>
      </w:r>
      <w:r w:rsidR="5C080823" w:rsidRPr="004A0212">
        <w:t xml:space="preserve">Peoples </w:t>
      </w:r>
      <w:r w:rsidRPr="004A0212">
        <w:t>took up the opportunity for a new life in Aotearoa New Zealand, some found the migration challenging. Economic hardship and racism made it hard to adjust to a new way of living</w:t>
      </w:r>
      <w:r w:rsidR="2154DFE4" w:rsidRPr="004A0212">
        <w:t xml:space="preserve"> </w:t>
      </w:r>
      <w:r w:rsidR="170C5FF9" w:rsidRPr="004A0212">
        <w:t xml:space="preserve">and </w:t>
      </w:r>
      <w:r w:rsidR="2154DFE4" w:rsidRPr="004A0212">
        <w:t xml:space="preserve">affected the ability of aiga or </w:t>
      </w:r>
      <w:proofErr w:type="spellStart"/>
      <w:r w:rsidR="2154DFE4" w:rsidRPr="004A0212">
        <w:t>k</w:t>
      </w:r>
      <w:r w:rsidR="006D779D">
        <w:t>ā</w:t>
      </w:r>
      <w:r w:rsidR="2154DFE4" w:rsidRPr="004A0212">
        <w:t>inga</w:t>
      </w:r>
      <w:proofErr w:type="spellEnd"/>
      <w:r w:rsidR="170C5FF9" w:rsidRPr="004A0212">
        <w:t xml:space="preserve"> (family)</w:t>
      </w:r>
      <w:r w:rsidR="2154DFE4" w:rsidRPr="004A0212">
        <w:t xml:space="preserve"> to enforce and uphold important cultural controls, values, supports and practices</w:t>
      </w:r>
      <w:r w:rsidRPr="004A0212">
        <w:t>.</w:t>
      </w:r>
      <w:r w:rsidR="001A5AB3" w:rsidRPr="004A0212">
        <w:rPr>
          <w:rStyle w:val="StyleFootnoteReferenceFagoFunotenzeichenFagoFunotenzeichen"/>
        </w:rPr>
        <w:footnoteReference w:id="223"/>
      </w:r>
      <w:r w:rsidRPr="004A0212">
        <w:t xml:space="preserve"> </w:t>
      </w:r>
    </w:p>
    <w:p w14:paraId="44E30ED5" w14:textId="0B4C3578" w:rsidR="00EC36E8" w:rsidRPr="00D125EE" w:rsidRDefault="054D0A42" w:rsidP="00EC36E8">
      <w:pPr>
        <w:pStyle w:val="Heading2"/>
        <w:rPr>
          <w:rStyle w:val="normaltextrun"/>
        </w:rPr>
      </w:pPr>
      <w:bookmarkStart w:id="289" w:name="_Toc1077635772"/>
      <w:bookmarkStart w:id="290" w:name="_Toc168638963"/>
      <w:r w:rsidRPr="00D125EE">
        <w:rPr>
          <w:rStyle w:val="normaltextrun"/>
        </w:rPr>
        <w:t xml:space="preserve">Ka </w:t>
      </w:r>
      <w:proofErr w:type="spellStart"/>
      <w:r w:rsidRPr="00D125EE">
        <w:rPr>
          <w:rStyle w:val="normaltextrun"/>
        </w:rPr>
        <w:t>tipu</w:t>
      </w:r>
      <w:proofErr w:type="spellEnd"/>
      <w:r w:rsidRPr="00D125EE">
        <w:rPr>
          <w:rStyle w:val="normaltextrun"/>
        </w:rPr>
        <w:t xml:space="preserve"> </w:t>
      </w:r>
      <w:proofErr w:type="spellStart"/>
      <w:r w:rsidRPr="00D125EE">
        <w:rPr>
          <w:rStyle w:val="normaltextrun"/>
        </w:rPr>
        <w:t>haere</w:t>
      </w:r>
      <w:proofErr w:type="spellEnd"/>
      <w:r w:rsidRPr="00D125EE">
        <w:rPr>
          <w:rStyle w:val="normaltextrun"/>
        </w:rPr>
        <w:t xml:space="preserve"> </w:t>
      </w:r>
      <w:proofErr w:type="spellStart"/>
      <w:r w:rsidRPr="00D125EE">
        <w:rPr>
          <w:rStyle w:val="normaltextrun"/>
        </w:rPr>
        <w:t>ngā</w:t>
      </w:r>
      <w:proofErr w:type="spellEnd"/>
      <w:r w:rsidRPr="00D125EE">
        <w:rPr>
          <w:rStyle w:val="normaltextrun"/>
        </w:rPr>
        <w:t xml:space="preserve"> </w:t>
      </w:r>
      <w:proofErr w:type="spellStart"/>
      <w:r w:rsidRPr="00D125EE">
        <w:rPr>
          <w:rStyle w:val="normaltextrun"/>
        </w:rPr>
        <w:t>mōtika</w:t>
      </w:r>
      <w:proofErr w:type="spellEnd"/>
      <w:r w:rsidRPr="00D125EE">
        <w:rPr>
          <w:rStyle w:val="normaltextrun"/>
        </w:rPr>
        <w:t xml:space="preserve"> tamariki </w:t>
      </w:r>
      <w:r w:rsidR="78490CBD" w:rsidRPr="00D125EE">
        <w:rPr>
          <w:rStyle w:val="normaltextrun"/>
        </w:rPr>
        <w:t xml:space="preserve">| </w:t>
      </w:r>
      <w:r w:rsidR="0D2BB316" w:rsidRPr="00D125EE">
        <w:rPr>
          <w:rStyle w:val="normaltextrun"/>
        </w:rPr>
        <w:t>Children’s</w:t>
      </w:r>
      <w:r w:rsidR="2942E724" w:rsidRPr="00D125EE">
        <w:rPr>
          <w:rStyle w:val="normaltextrun"/>
        </w:rPr>
        <w:t xml:space="preserve"> rights begin to increase</w:t>
      </w:r>
      <w:bookmarkEnd w:id="289"/>
      <w:bookmarkEnd w:id="290"/>
      <w:r w:rsidR="15A1A728" w:rsidRPr="00D125EE">
        <w:rPr>
          <w:rStyle w:val="normaltextrun"/>
        </w:rPr>
        <w:t xml:space="preserve"> </w:t>
      </w:r>
    </w:p>
    <w:p w14:paraId="48A8CB39" w14:textId="5381BF9B" w:rsidR="00EC36E8" w:rsidRPr="004A0212" w:rsidRDefault="2C618CEE" w:rsidP="007D73A6">
      <w:pPr>
        <w:pStyle w:val="AllNumbparas"/>
      </w:pPr>
      <w:r w:rsidRPr="004A0212">
        <w:t xml:space="preserve">From the late </w:t>
      </w:r>
      <w:r w:rsidR="271499E1" w:rsidRPr="004A0212">
        <w:t>19</w:t>
      </w:r>
      <w:r w:rsidR="271499E1" w:rsidRPr="004A0212">
        <w:rPr>
          <w:vertAlign w:val="superscript"/>
        </w:rPr>
        <w:t>th</w:t>
      </w:r>
      <w:r w:rsidRPr="004A0212">
        <w:t xml:space="preserve"> century </w:t>
      </w:r>
      <w:r w:rsidR="0AE8B551" w:rsidRPr="004A0212">
        <w:t xml:space="preserve">children increasingly became seen as </w:t>
      </w:r>
      <w:r w:rsidR="1DE0DB1C" w:rsidRPr="004A0212">
        <w:t>human beings in their own right and</w:t>
      </w:r>
      <w:r w:rsidR="0AE8B551" w:rsidRPr="004A0212">
        <w:t xml:space="preserve"> in need of protection</w:t>
      </w:r>
      <w:r w:rsidR="6BBC832A" w:rsidRPr="004A0212">
        <w:t xml:space="preserve">, and </w:t>
      </w:r>
      <w:r w:rsidRPr="004A0212">
        <w:t xml:space="preserve">the State </w:t>
      </w:r>
      <w:r w:rsidR="1DE0DB1C" w:rsidRPr="004A0212">
        <w:t xml:space="preserve">began to take </w:t>
      </w:r>
      <w:r w:rsidRPr="004A0212">
        <w:t>a more active role in child welfare</w:t>
      </w:r>
      <w:r w:rsidR="6BBC832A" w:rsidRPr="004A0212">
        <w:t>.</w:t>
      </w:r>
      <w:r w:rsidR="00EC36E8" w:rsidRPr="004A0212">
        <w:rPr>
          <w:rStyle w:val="StyleFootnoteReferenceFagoFunotenzeichenFagoFunotenzeichen"/>
        </w:rPr>
        <w:footnoteReference w:id="224"/>
      </w:r>
      <w:r w:rsidR="0AE8B551" w:rsidRPr="004A0212">
        <w:t xml:space="preserve"> </w:t>
      </w:r>
      <w:r w:rsidR="7CD6F58C" w:rsidRPr="004A0212">
        <w:t>By the early 20</w:t>
      </w:r>
      <w:r w:rsidR="7CD6F58C" w:rsidRPr="004A0212">
        <w:rPr>
          <w:vertAlign w:val="superscript"/>
        </w:rPr>
        <w:t>th</w:t>
      </w:r>
      <w:r w:rsidR="7CD6F58C" w:rsidRPr="004A0212">
        <w:t xml:space="preserve"> century </w:t>
      </w:r>
      <w:r w:rsidR="1881CE07" w:rsidRPr="004A0212">
        <w:t xml:space="preserve">there was general acceptance in Aotearoa New Zealand that the State had a role in </w:t>
      </w:r>
      <w:r w:rsidR="17610F5F" w:rsidRPr="004A0212">
        <w:t>intervening in families to p</w:t>
      </w:r>
      <w:r w:rsidR="4C55E1AC" w:rsidRPr="004A0212">
        <w:t>romote child welfare</w:t>
      </w:r>
      <w:r w:rsidR="54F1E460" w:rsidRPr="004A0212">
        <w:t>,</w:t>
      </w:r>
      <w:r w:rsidR="7CD77503" w:rsidRPr="004A0212">
        <w:t xml:space="preserve"> </w:t>
      </w:r>
      <w:r w:rsidRPr="004A0212">
        <w:t>resulting</w:t>
      </w:r>
      <w:r w:rsidR="16C3AD4F" w:rsidRPr="004A0212">
        <w:t xml:space="preserve"> in </w:t>
      </w:r>
      <w:r w:rsidR="54F1E460" w:rsidRPr="004A0212">
        <w:t>l</w:t>
      </w:r>
      <w:r w:rsidR="0AE8B551" w:rsidRPr="004A0212">
        <w:t>egislation that concerned children and their rights specifically, such as the Infant Life Protection Act 1908 and the Child Welfare Act 1925</w:t>
      </w:r>
      <w:r w:rsidR="78BBBAEA" w:rsidRPr="004A0212">
        <w:t>.</w:t>
      </w:r>
      <w:r w:rsidR="00FE7381" w:rsidRPr="004A0212">
        <w:t xml:space="preserve"> </w:t>
      </w:r>
    </w:p>
    <w:p w14:paraId="055FAAA9" w14:textId="77777777" w:rsidR="00197950" w:rsidRPr="004A0212" w:rsidRDefault="76417DBB" w:rsidP="00613A92">
      <w:pPr>
        <w:pStyle w:val="Heading2"/>
        <w:rPr>
          <w:rFonts w:cs="Arial"/>
        </w:rPr>
      </w:pPr>
      <w:bookmarkStart w:id="291" w:name="_Toc377193167"/>
      <w:bookmarkStart w:id="292" w:name="_Toc168638964"/>
      <w:proofErr w:type="spellStart"/>
      <w:r w:rsidRPr="004A0212">
        <w:rPr>
          <w:rFonts w:cs="Arial"/>
        </w:rPr>
        <w:t>Te</w:t>
      </w:r>
      <w:proofErr w:type="spellEnd"/>
      <w:r w:rsidRPr="004A0212">
        <w:rPr>
          <w:rFonts w:cs="Arial"/>
        </w:rPr>
        <w:t xml:space="preserve"> </w:t>
      </w:r>
      <w:proofErr w:type="spellStart"/>
      <w:r w:rsidRPr="004A0212">
        <w:rPr>
          <w:rFonts w:cs="Arial"/>
        </w:rPr>
        <w:t>mārama</w:t>
      </w:r>
      <w:proofErr w:type="spellEnd"/>
      <w:r w:rsidRPr="004A0212">
        <w:rPr>
          <w:rFonts w:cs="Arial"/>
        </w:rPr>
        <w:t xml:space="preserve"> </w:t>
      </w:r>
      <w:proofErr w:type="spellStart"/>
      <w:r w:rsidRPr="004A0212">
        <w:rPr>
          <w:rFonts w:cs="Arial"/>
        </w:rPr>
        <w:t>haere</w:t>
      </w:r>
      <w:proofErr w:type="spellEnd"/>
      <w:r w:rsidRPr="004A0212">
        <w:rPr>
          <w:rFonts w:cs="Arial"/>
        </w:rPr>
        <w:t xml:space="preserve"> ki </w:t>
      </w:r>
      <w:proofErr w:type="spellStart"/>
      <w:r w:rsidRPr="004A0212">
        <w:rPr>
          <w:rFonts w:cs="Arial"/>
        </w:rPr>
        <w:t>te</w:t>
      </w:r>
      <w:proofErr w:type="spellEnd"/>
      <w:r w:rsidRPr="004A0212">
        <w:rPr>
          <w:rFonts w:cs="Arial"/>
        </w:rPr>
        <w:t xml:space="preserve"> </w:t>
      </w:r>
      <w:proofErr w:type="spellStart"/>
      <w:r w:rsidRPr="004A0212">
        <w:rPr>
          <w:rFonts w:cs="Arial"/>
        </w:rPr>
        <w:t>whanaketanga</w:t>
      </w:r>
      <w:proofErr w:type="spellEnd"/>
      <w:r w:rsidRPr="004A0212">
        <w:rPr>
          <w:rFonts w:cs="Arial"/>
        </w:rPr>
        <w:t xml:space="preserve"> </w:t>
      </w:r>
      <w:proofErr w:type="spellStart"/>
      <w:r w:rsidRPr="004A0212">
        <w:rPr>
          <w:rFonts w:cs="Arial"/>
        </w:rPr>
        <w:t>tamariki</w:t>
      </w:r>
      <w:bookmarkStart w:id="293" w:name="_Toc147935398"/>
      <w:bookmarkStart w:id="294" w:name="_Toc148443579"/>
      <w:bookmarkStart w:id="295" w:name="_Toc150933134"/>
      <w:bookmarkStart w:id="296" w:name="_Toc150953451"/>
      <w:bookmarkStart w:id="297" w:name="_Toc140921331"/>
      <w:bookmarkEnd w:id="291"/>
      <w:bookmarkEnd w:id="292"/>
      <w:proofErr w:type="spellEnd"/>
      <w:r w:rsidR="78EE7605" w:rsidRPr="004A0212">
        <w:rPr>
          <w:rFonts w:cs="Arial"/>
        </w:rPr>
        <w:t xml:space="preserve"> </w:t>
      </w:r>
    </w:p>
    <w:p w14:paraId="3A119665" w14:textId="536FDC34" w:rsidR="007929AF" w:rsidRPr="004A0212" w:rsidRDefault="796E18B8" w:rsidP="00613A92">
      <w:pPr>
        <w:pStyle w:val="Heading2"/>
        <w:rPr>
          <w:rFonts w:cs="Arial"/>
        </w:rPr>
      </w:pPr>
      <w:bookmarkStart w:id="298" w:name="_Toc198295029"/>
      <w:bookmarkStart w:id="299" w:name="_Toc168638965"/>
      <w:r w:rsidRPr="004A0212">
        <w:rPr>
          <w:rFonts w:cs="Arial"/>
        </w:rPr>
        <w:t>Growth in the u</w:t>
      </w:r>
      <w:r w:rsidR="28F26AE9" w:rsidRPr="004A0212">
        <w:rPr>
          <w:rFonts w:cs="Arial"/>
        </w:rPr>
        <w:t>nderstanding</w:t>
      </w:r>
      <w:bookmarkEnd w:id="293"/>
      <w:bookmarkEnd w:id="294"/>
      <w:bookmarkEnd w:id="295"/>
      <w:bookmarkEnd w:id="296"/>
      <w:r w:rsidR="0DBCC0BC" w:rsidRPr="004A0212">
        <w:rPr>
          <w:rFonts w:cs="Arial"/>
        </w:rPr>
        <w:t xml:space="preserve"> of child development</w:t>
      </w:r>
      <w:bookmarkEnd w:id="298"/>
      <w:bookmarkEnd w:id="299"/>
      <w:r w:rsidR="00036674" w:rsidRPr="004A0212">
        <w:rPr>
          <w:rFonts w:cs="Arial"/>
        </w:rPr>
        <w:t xml:space="preserve"> </w:t>
      </w:r>
    </w:p>
    <w:p w14:paraId="07FD53A6" w14:textId="24577737" w:rsidR="00AA1DB8" w:rsidRPr="004A0212" w:rsidRDefault="3741313E" w:rsidP="007D73A6">
      <w:pPr>
        <w:pStyle w:val="AllNumbparas"/>
      </w:pPr>
      <w:r w:rsidRPr="004A0212">
        <w:t xml:space="preserve">During </w:t>
      </w:r>
      <w:r w:rsidR="35A776BD" w:rsidRPr="004A0212">
        <w:t>the Second</w:t>
      </w:r>
      <w:r w:rsidRPr="004A0212">
        <w:t xml:space="preserve"> World War,</w:t>
      </w:r>
      <w:r w:rsidRPr="004A0212" w:rsidDel="008202B2">
        <w:t xml:space="preserve"> </w:t>
      </w:r>
      <w:r w:rsidRPr="004A0212">
        <w:t>British psychiatrist</w:t>
      </w:r>
      <w:r w:rsidRPr="004A0212" w:rsidDel="008202B2">
        <w:t xml:space="preserve"> </w:t>
      </w:r>
      <w:r w:rsidRPr="004A0212">
        <w:t xml:space="preserve">John Bowlby studied what happened to children who were separated from their caregivers. His research showed the importance of the relationship between </w:t>
      </w:r>
      <w:r w:rsidR="046DBCC9" w:rsidRPr="004A0212">
        <w:t>children</w:t>
      </w:r>
      <w:r w:rsidRPr="004A0212">
        <w:t xml:space="preserve"> and their caregivers. He called this </w:t>
      </w:r>
      <w:r w:rsidR="572F4741" w:rsidRPr="004A0212">
        <w:t>‘</w:t>
      </w:r>
      <w:r w:rsidRPr="004A0212">
        <w:t>attachment theory</w:t>
      </w:r>
      <w:r w:rsidR="572F4741" w:rsidRPr="004A0212">
        <w:t>’</w:t>
      </w:r>
      <w:r w:rsidRPr="004A0212">
        <w:t xml:space="preserve"> and it helped people understand the bond between </w:t>
      </w:r>
      <w:r w:rsidR="15D45C8B" w:rsidRPr="004A0212">
        <w:t>children</w:t>
      </w:r>
      <w:r w:rsidRPr="004A0212">
        <w:t xml:space="preserve"> and their caregivers, including in </w:t>
      </w:r>
      <w:r w:rsidR="5C9984C8" w:rsidRPr="004A0212">
        <w:t xml:space="preserve">Aotearoa </w:t>
      </w:r>
      <w:r w:rsidRPr="004A0212">
        <w:t>New Zealand.</w:t>
      </w:r>
      <w:r w:rsidR="00AA1DB8" w:rsidRPr="004A0212">
        <w:rPr>
          <w:rStyle w:val="StyleFootnoteReferenceFagoFunotenzeichenFagoFunotenzeichen"/>
        </w:rPr>
        <w:footnoteReference w:id="225"/>
      </w:r>
      <w:r w:rsidRPr="004A0212">
        <w:t xml:space="preserve"> </w:t>
      </w:r>
    </w:p>
    <w:p w14:paraId="429CF5AD" w14:textId="7A709195" w:rsidR="00AA1DB8" w:rsidRPr="004A0212" w:rsidRDefault="3741313E" w:rsidP="007D73A6">
      <w:pPr>
        <w:pStyle w:val="AllNumbparas"/>
      </w:pPr>
      <w:r w:rsidRPr="004A0212">
        <w:t>Attachment is the bond (physical and psychologically) that babies develop with their caregivers, and helps the developing child feel safe and secure.</w:t>
      </w:r>
      <w:r w:rsidR="00AA1DB8" w:rsidRPr="004A0212">
        <w:rPr>
          <w:rStyle w:val="StyleFootnoteReferenceFagoFunotenzeichenFagoFunotenzeichen"/>
        </w:rPr>
        <w:footnoteReference w:id="226"/>
      </w:r>
      <w:r w:rsidRPr="004A0212">
        <w:t xml:space="preserve"> Attachment shapes early brain development and is so fundamental to human development that failure to develop, or loss of, these bonds can create distress in babies</w:t>
      </w:r>
      <w:r w:rsidR="31547C52" w:rsidRPr="004A0212">
        <w:t>,</w:t>
      </w:r>
      <w:r w:rsidRPr="004A0212">
        <w:t xml:space="preserve"> serious developmental delay and </w:t>
      </w:r>
      <w:r w:rsidR="579DC952" w:rsidRPr="004A0212">
        <w:t>heightened risk of</w:t>
      </w:r>
      <w:r w:rsidRPr="004A0212">
        <w:t xml:space="preserve"> long-term mental illness.</w:t>
      </w:r>
      <w:r w:rsidR="00AA1DB8" w:rsidRPr="004A0212">
        <w:rPr>
          <w:rStyle w:val="StyleFootnoteReferenceFagoFunotenzeichenFagoFunotenzeichen"/>
        </w:rPr>
        <w:footnoteReference w:id="227"/>
      </w:r>
      <w:r w:rsidRPr="004A0212">
        <w:t xml:space="preserve"> </w:t>
      </w:r>
    </w:p>
    <w:p w14:paraId="1A89C956" w14:textId="64CD7543" w:rsidR="00AA1DB8" w:rsidRPr="004A0212" w:rsidRDefault="3741313E" w:rsidP="007D73A6">
      <w:pPr>
        <w:pStyle w:val="AllNumbparas"/>
        <w:rPr>
          <w:sz w:val="20"/>
          <w:szCs w:val="20"/>
        </w:rPr>
      </w:pPr>
      <w:r w:rsidRPr="004A0212">
        <w:t xml:space="preserve">Attachment is expressed and understood differently across cultures. </w:t>
      </w:r>
      <w:r w:rsidR="22579425" w:rsidRPr="004A0212">
        <w:t>European</w:t>
      </w:r>
      <w:r w:rsidRPr="004A0212">
        <w:t xml:space="preserve"> approach</w:t>
      </w:r>
      <w:r w:rsidR="22579425" w:rsidRPr="004A0212">
        <w:t>es</w:t>
      </w:r>
      <w:r w:rsidRPr="004A0212">
        <w:t xml:space="preserve"> ha</w:t>
      </w:r>
      <w:r w:rsidR="22579425" w:rsidRPr="004A0212">
        <w:t>ve</w:t>
      </w:r>
      <w:r w:rsidRPr="004A0212">
        <w:t xml:space="preserve"> a more individualised view of the process of attachment, particularly </w:t>
      </w:r>
      <w:r w:rsidR="3258EBEA" w:rsidRPr="004A0212">
        <w:t>regarding</w:t>
      </w:r>
      <w:r w:rsidRPr="004A0212">
        <w:t xml:space="preserve"> the mother</w:t>
      </w:r>
      <w:r w:rsidR="65450EF6" w:rsidRPr="004A0212">
        <w:t>-</w:t>
      </w:r>
      <w:r w:rsidRPr="004A0212">
        <w:t>to</w:t>
      </w:r>
      <w:r w:rsidR="65450EF6" w:rsidRPr="004A0212">
        <w:t>-</w:t>
      </w:r>
      <w:r w:rsidRPr="004A0212">
        <w:t>child bond.</w:t>
      </w:r>
      <w:r w:rsidR="00AA1DB8" w:rsidRPr="004A0212">
        <w:rPr>
          <w:rStyle w:val="StyleFootnoteReferenceFagoFunotenzeichenFagoFunotenzeichen"/>
        </w:rPr>
        <w:footnoteReference w:id="228"/>
      </w:r>
      <w:r w:rsidRPr="004A0212">
        <w:t xml:space="preserve"> </w:t>
      </w:r>
    </w:p>
    <w:p w14:paraId="51B10DD1" w14:textId="431E83BA" w:rsidR="00A21C3C" w:rsidRPr="004A0212" w:rsidRDefault="3741313E" w:rsidP="00A83810">
      <w:pPr>
        <w:pStyle w:val="AllNumbparas"/>
      </w:pPr>
      <w:proofErr w:type="spellStart"/>
      <w:r w:rsidRPr="004A0212">
        <w:t>Te</w:t>
      </w:r>
      <w:proofErr w:type="spellEnd"/>
      <w:r w:rsidRPr="004A0212">
        <w:t xml:space="preserve"> </w:t>
      </w:r>
      <w:proofErr w:type="spellStart"/>
      <w:r w:rsidRPr="004A0212">
        <w:t>ao</w:t>
      </w:r>
      <w:proofErr w:type="spellEnd"/>
      <w:r w:rsidRPr="004A0212">
        <w:t xml:space="preserve"> Māori understandings of attachment are more collective. While parent to child attachments </w:t>
      </w:r>
      <w:proofErr w:type="gramStart"/>
      <w:r w:rsidRPr="004A0212">
        <w:t>are</w:t>
      </w:r>
      <w:proofErr w:type="gramEnd"/>
      <w:r w:rsidRPr="004A0212">
        <w:t xml:space="preserve"> integral, these are only some of many crucial relationships essential to developing a sense of self, including connection to wider whānau,</w:t>
      </w:r>
      <w:r w:rsidR="4C0D5A05" w:rsidRPr="004A0212">
        <w:t xml:space="preserve"> </w:t>
      </w:r>
      <w:r w:rsidR="4DF445C6" w:rsidRPr="004A0212">
        <w:t>hapū, iwi</w:t>
      </w:r>
      <w:r w:rsidRPr="004A0212">
        <w:t xml:space="preserve">, whenua and </w:t>
      </w:r>
      <w:proofErr w:type="spellStart"/>
      <w:r w:rsidRPr="004A0212">
        <w:t>wairuatanga</w:t>
      </w:r>
      <w:proofErr w:type="spellEnd"/>
      <w:r w:rsidR="09609EA6" w:rsidRPr="004A0212">
        <w:t xml:space="preserve"> (spirituality)</w:t>
      </w:r>
      <w:r w:rsidRPr="004A0212">
        <w:t xml:space="preserve">. </w:t>
      </w:r>
      <w:r w:rsidR="4DF445C6" w:rsidRPr="004A0212">
        <w:t xml:space="preserve">Pacific </w:t>
      </w:r>
      <w:r w:rsidR="2972A5B0" w:rsidRPr="004A0212">
        <w:t>people’s</w:t>
      </w:r>
      <w:r w:rsidR="4DF445C6" w:rsidRPr="004A0212">
        <w:t xml:space="preserve"> views of attachment are also m</w:t>
      </w:r>
      <w:r w:rsidR="7D019852" w:rsidRPr="004A0212">
        <w:t>o</w:t>
      </w:r>
      <w:r w:rsidR="4DF445C6" w:rsidRPr="004A0212">
        <w:t xml:space="preserve">re collective. </w:t>
      </w:r>
    </w:p>
    <w:p w14:paraId="331D6AF5" w14:textId="200B627C" w:rsidR="00C46814" w:rsidRPr="004A0212" w:rsidRDefault="3741313E" w:rsidP="007D73A6">
      <w:pPr>
        <w:pStyle w:val="AllNumbparas"/>
      </w:pPr>
      <w:r w:rsidRPr="004A0212">
        <w:t>The ability to form, develop and maintain key relationships is vital for any child’s healthy growth.</w:t>
      </w:r>
      <w:r w:rsidR="00AA1DB8" w:rsidRPr="004A0212">
        <w:rPr>
          <w:rStyle w:val="StyleFootnoteReferenceFagoFunotenzeichenFagoFunotenzeichen"/>
        </w:rPr>
        <w:footnoteReference w:id="229"/>
      </w:r>
      <w:r w:rsidRPr="004A0212">
        <w:t xml:space="preserve"> </w:t>
      </w:r>
      <w:r w:rsidR="2A21C91A" w:rsidRPr="004A0212">
        <w:t>By</w:t>
      </w:r>
      <w:r w:rsidRPr="004A0212">
        <w:t xml:space="preserve"> the 1950s, </w:t>
      </w:r>
      <w:r w:rsidR="5A9301B8" w:rsidRPr="004A0212">
        <w:t>State</w:t>
      </w:r>
      <w:r w:rsidRPr="004A0212" w:rsidDel="00516E78">
        <w:t xml:space="preserve"> </w:t>
      </w:r>
      <w:r w:rsidRPr="004A0212">
        <w:t xml:space="preserve">and other officials would have been aware of the theory that children needed secure, loving care from parents or other familiar caregivers. </w:t>
      </w:r>
      <w:r w:rsidR="55ABF935" w:rsidRPr="004A0212">
        <w:t xml:space="preserve">For example, </w:t>
      </w:r>
      <w:r w:rsidR="38CC785A" w:rsidRPr="004A0212">
        <w:t>even</w:t>
      </w:r>
      <w:r w:rsidR="55ABF935" w:rsidRPr="004A0212">
        <w:t xml:space="preserve"> </w:t>
      </w:r>
      <w:r w:rsidRPr="004A0212">
        <w:t xml:space="preserve">the </w:t>
      </w:r>
      <w:r w:rsidR="330AD6A7" w:rsidRPr="004A0212">
        <w:t xml:space="preserve">1954 </w:t>
      </w:r>
      <w:proofErr w:type="spellStart"/>
      <w:r w:rsidRPr="004A0212">
        <w:t>Mazengarb</w:t>
      </w:r>
      <w:proofErr w:type="spellEnd"/>
      <w:r w:rsidRPr="004A0212">
        <w:t xml:space="preserve"> </w:t>
      </w:r>
      <w:r w:rsidR="6770F6F7" w:rsidRPr="004A0212">
        <w:t>R</w:t>
      </w:r>
      <w:r w:rsidRPr="004A0212">
        <w:t>eport</w:t>
      </w:r>
      <w:r w:rsidR="38CC785A" w:rsidRPr="004A0212">
        <w:t xml:space="preserve">, which </w:t>
      </w:r>
      <w:r w:rsidR="60C7CA33" w:rsidRPr="004A0212">
        <w:t>was</w:t>
      </w:r>
      <w:r w:rsidR="38CC785A" w:rsidRPr="004A0212">
        <w:t xml:space="preserve"> </w:t>
      </w:r>
      <w:r w:rsidR="5D33776F" w:rsidRPr="004A0212">
        <w:t>very critical of</w:t>
      </w:r>
      <w:r w:rsidR="457B8919" w:rsidRPr="004A0212">
        <w:t xml:space="preserve"> children and young people</w:t>
      </w:r>
      <w:r w:rsidR="23EB4304" w:rsidRPr="004A0212">
        <w:t>’</w:t>
      </w:r>
      <w:r w:rsidR="457B8919" w:rsidRPr="004A0212">
        <w:t>s motivations and behaviour</w:t>
      </w:r>
      <w:r w:rsidR="330AD6A7" w:rsidRPr="004A0212">
        <w:t>,</w:t>
      </w:r>
      <w:r w:rsidR="007C666F" w:rsidRPr="004A0212">
        <w:rPr>
          <w:rStyle w:val="FootnoteReference"/>
        </w:rPr>
        <w:footnoteReference w:id="230"/>
      </w:r>
      <w:r w:rsidRPr="004A0212">
        <w:t xml:space="preserve"> noted the importance of the psychological link between mother and child.</w:t>
      </w:r>
      <w:r w:rsidR="00AA1DB8" w:rsidRPr="004A0212">
        <w:rPr>
          <w:rStyle w:val="StyleFootnoteReferenceFagoFunotenzeichenFagoFunotenzeichen"/>
        </w:rPr>
        <w:footnoteReference w:id="231"/>
      </w:r>
      <w:r w:rsidRPr="004A0212">
        <w:rPr>
          <w:vertAlign w:val="superscript"/>
        </w:rPr>
        <w:t xml:space="preserve"> </w:t>
      </w:r>
      <w:r w:rsidR="56391DD2" w:rsidRPr="004A0212">
        <w:rPr>
          <w:vertAlign w:val="superscript"/>
        </w:rPr>
        <w:t xml:space="preserve"> </w:t>
      </w:r>
      <w:r w:rsidR="4A5A54D9" w:rsidRPr="004A0212">
        <w:t>Despite this</w:t>
      </w:r>
      <w:r w:rsidR="4A5A54D9" w:rsidRPr="004A0212">
        <w:rPr>
          <w:vertAlign w:val="superscript"/>
        </w:rPr>
        <w:t xml:space="preserve"> </w:t>
      </w:r>
      <w:r w:rsidR="4A5A54D9" w:rsidRPr="004A0212">
        <w:t>understanding,</w:t>
      </w:r>
      <w:r w:rsidR="4A5A54D9" w:rsidRPr="004A0212">
        <w:rPr>
          <w:vertAlign w:val="superscript"/>
        </w:rPr>
        <w:t xml:space="preserve"> </w:t>
      </w:r>
      <w:r w:rsidR="4A5A54D9" w:rsidRPr="004A0212">
        <w:t xml:space="preserve">there was a sharp rise in the number of children and young people being removed from their families into care settings from the 1950s through to the 1980s. </w:t>
      </w:r>
      <w:r w:rsidR="4A5A54D9" w:rsidRPr="000C0692">
        <w:t>Parts 3 and 4</w:t>
      </w:r>
      <w:r w:rsidR="4A5A54D9" w:rsidRPr="004A0212">
        <w:t xml:space="preserve"> cover </w:t>
      </w:r>
      <w:r w:rsidR="1C8B59D1" w:rsidRPr="004A0212">
        <w:t xml:space="preserve"> the removal of child</w:t>
      </w:r>
      <w:r w:rsidR="6C28B1D1" w:rsidRPr="004A0212">
        <w:t>ren</w:t>
      </w:r>
      <w:r w:rsidR="7D5135A4" w:rsidRPr="004A0212">
        <w:t xml:space="preserve"> in Aotearoa</w:t>
      </w:r>
      <w:r w:rsidR="4A5A54D9" w:rsidRPr="004A0212">
        <w:t>.</w:t>
      </w:r>
    </w:p>
    <w:bookmarkEnd w:id="297"/>
    <w:p w14:paraId="4BF06A92" w14:textId="77777777" w:rsidR="00AA1DB8" w:rsidRPr="004A0212" w:rsidRDefault="00AA1DB8" w:rsidP="007D73A6">
      <w:pPr>
        <w:pStyle w:val="AllNumbparas"/>
        <w:numPr>
          <w:ilvl w:val="0"/>
          <w:numId w:val="0"/>
        </w:numPr>
        <w:ind w:left="851"/>
      </w:pPr>
    </w:p>
    <w:p w14:paraId="1F2FF5F7" w14:textId="755C9D18" w:rsidR="00A21C3C" w:rsidRPr="004A0212" w:rsidRDefault="00A21C3C" w:rsidP="002403AA">
      <w:pPr>
        <w:pStyle w:val="AllQuotes"/>
      </w:pPr>
      <w:bookmarkStart w:id="300" w:name="_Toc150933135"/>
      <w:bookmarkStart w:id="301" w:name="_Toc150953452"/>
      <w:r w:rsidRPr="004A0212">
        <w:br w:type="page"/>
      </w:r>
    </w:p>
    <w:p w14:paraId="265BB134" w14:textId="5EC85404" w:rsidR="0A27D6D4" w:rsidRPr="004A0212" w:rsidRDefault="00467001" w:rsidP="00AE0BB1">
      <w:pPr>
        <w:pStyle w:val="Heading1"/>
      </w:pPr>
      <w:bookmarkStart w:id="302" w:name="_Toc401082714"/>
      <w:bookmarkStart w:id="303" w:name="_Toc168638966"/>
      <w:proofErr w:type="spellStart"/>
      <w:r w:rsidRPr="004A0212">
        <w:t>Ū</w:t>
      </w:r>
      <w:r w:rsidR="2819B6DE" w:rsidRPr="004A0212">
        <w:t>poko</w:t>
      </w:r>
      <w:proofErr w:type="spellEnd"/>
      <w:r w:rsidR="2819B6DE" w:rsidRPr="004A0212">
        <w:t xml:space="preserve"> 6: 1950–1970 – </w:t>
      </w:r>
      <w:proofErr w:type="spellStart"/>
      <w:r w:rsidR="2819B6DE" w:rsidRPr="004A0212">
        <w:t>Te</w:t>
      </w:r>
      <w:proofErr w:type="spellEnd"/>
      <w:r w:rsidR="2819B6DE" w:rsidRPr="004A0212">
        <w:t xml:space="preserve"> </w:t>
      </w:r>
      <w:proofErr w:type="spellStart"/>
      <w:r w:rsidR="2819B6DE" w:rsidRPr="004A0212">
        <w:t>whakawehi</w:t>
      </w:r>
      <w:proofErr w:type="spellEnd"/>
      <w:r w:rsidR="2819B6DE" w:rsidRPr="004A0212">
        <w:t xml:space="preserve"> </w:t>
      </w:r>
      <w:proofErr w:type="spellStart"/>
      <w:r w:rsidR="2819B6DE" w:rsidRPr="004A0212">
        <w:t>matatika</w:t>
      </w:r>
      <w:proofErr w:type="spellEnd"/>
      <w:r w:rsidR="2819B6DE" w:rsidRPr="004A0212">
        <w:t xml:space="preserve"> me </w:t>
      </w:r>
      <w:proofErr w:type="spellStart"/>
      <w:r w:rsidR="2819B6DE" w:rsidRPr="004A0212">
        <w:t>te</w:t>
      </w:r>
      <w:proofErr w:type="spellEnd"/>
      <w:r w:rsidR="2819B6DE" w:rsidRPr="004A0212">
        <w:t xml:space="preserve"> </w:t>
      </w:r>
      <w:proofErr w:type="spellStart"/>
      <w:r w:rsidR="2819B6DE" w:rsidRPr="004A0212">
        <w:t>tupu</w:t>
      </w:r>
      <w:proofErr w:type="spellEnd"/>
      <w:r w:rsidR="2819B6DE" w:rsidRPr="004A0212">
        <w:t xml:space="preserve"> o </w:t>
      </w:r>
      <w:proofErr w:type="spellStart"/>
      <w:r w:rsidR="2819B6DE" w:rsidRPr="004A0212">
        <w:t>te</w:t>
      </w:r>
      <w:proofErr w:type="spellEnd"/>
      <w:r w:rsidR="2819B6DE" w:rsidRPr="004A0212">
        <w:t xml:space="preserve"> whenua </w:t>
      </w:r>
      <w:proofErr w:type="spellStart"/>
      <w:r w:rsidR="2819B6DE" w:rsidRPr="004A0212">
        <w:t>tokoora</w:t>
      </w:r>
      <w:bookmarkEnd w:id="302"/>
      <w:bookmarkEnd w:id="303"/>
      <w:proofErr w:type="spellEnd"/>
    </w:p>
    <w:p w14:paraId="3BC6513F" w14:textId="1C94491B" w:rsidR="00041DC9" w:rsidRPr="004A0212" w:rsidRDefault="689B9191" w:rsidP="00BE1068">
      <w:pPr>
        <w:pStyle w:val="Heading1"/>
      </w:pPr>
      <w:bookmarkStart w:id="304" w:name="_Toc2086767011"/>
      <w:bookmarkStart w:id="305" w:name="_Toc168638967"/>
      <w:r w:rsidRPr="004A0212">
        <w:t xml:space="preserve">Chapter 6: </w:t>
      </w:r>
      <w:r w:rsidR="1E8B142E" w:rsidRPr="004A0212">
        <w:t>19</w:t>
      </w:r>
      <w:r w:rsidR="0468D5FE" w:rsidRPr="004A0212">
        <w:t>50</w:t>
      </w:r>
      <w:r w:rsidR="5C5A9F58" w:rsidRPr="004A0212">
        <w:t>–</w:t>
      </w:r>
      <w:r w:rsidR="1E8B142E" w:rsidRPr="004A0212">
        <w:t>1</w:t>
      </w:r>
      <w:r w:rsidR="6A8C4C01" w:rsidRPr="004A0212">
        <w:t>9</w:t>
      </w:r>
      <w:r w:rsidR="0468D5FE" w:rsidRPr="004A0212">
        <w:t>7</w:t>
      </w:r>
      <w:r w:rsidR="0D284CA2" w:rsidRPr="004A0212">
        <w:t>0</w:t>
      </w:r>
      <w:bookmarkEnd w:id="300"/>
      <w:bookmarkEnd w:id="301"/>
      <w:r w:rsidR="33E8FAC6" w:rsidRPr="004A0212">
        <w:t xml:space="preserve"> </w:t>
      </w:r>
      <w:r w:rsidR="6C562315" w:rsidRPr="004A0212">
        <w:t>–</w:t>
      </w:r>
      <w:r w:rsidR="33E8FAC6" w:rsidRPr="004A0212">
        <w:t xml:space="preserve"> </w:t>
      </w:r>
      <w:r w:rsidR="796E18B8" w:rsidRPr="004A0212">
        <w:t>Moral panic and the growth of the welfare state</w:t>
      </w:r>
      <w:bookmarkEnd w:id="304"/>
      <w:bookmarkEnd w:id="305"/>
    </w:p>
    <w:p w14:paraId="67F252BD" w14:textId="3C845801" w:rsidR="009A3414" w:rsidRPr="004A0212" w:rsidRDefault="0A3CC98C" w:rsidP="007D73A6">
      <w:pPr>
        <w:pStyle w:val="AllNumbparas"/>
      </w:pPr>
      <w:r w:rsidRPr="004A0212">
        <w:t xml:space="preserve">The first 20 years of the </w:t>
      </w:r>
      <w:r w:rsidR="5FFF8F5F" w:rsidRPr="004A0212">
        <w:t>Inquiry</w:t>
      </w:r>
      <w:r w:rsidRPr="004A0212">
        <w:t xml:space="preserve"> period </w:t>
      </w:r>
      <w:r w:rsidR="47C6DD2E" w:rsidRPr="004A0212">
        <w:t xml:space="preserve">involved </w:t>
      </w:r>
      <w:r w:rsidR="35CA3408" w:rsidRPr="004A0212">
        <w:t>increased</w:t>
      </w:r>
      <w:r w:rsidRPr="004A0212">
        <w:t xml:space="preserve"> urban migration, assimilationist </w:t>
      </w:r>
      <w:r w:rsidR="75436633" w:rsidRPr="004A0212">
        <w:t xml:space="preserve">State </w:t>
      </w:r>
      <w:r w:rsidRPr="004A0212">
        <w:t xml:space="preserve">policies </w:t>
      </w:r>
      <w:r w:rsidR="35CA3408" w:rsidRPr="004A0212">
        <w:t>and</w:t>
      </w:r>
      <w:r w:rsidRPr="004A0212">
        <w:t xml:space="preserve"> the beginning of the modern care setting</w:t>
      </w:r>
      <w:r w:rsidR="3970D2F0" w:rsidRPr="004A0212">
        <w:t>s</w:t>
      </w:r>
      <w:r w:rsidRPr="004A0212">
        <w:t xml:space="preserve"> network</w:t>
      </w:r>
      <w:r w:rsidR="35CA3408" w:rsidRPr="004A0212">
        <w:t xml:space="preserve">. </w:t>
      </w:r>
      <w:r w:rsidR="45368C45" w:rsidRPr="004A0212">
        <w:t xml:space="preserve">This was </w:t>
      </w:r>
      <w:r w:rsidR="6A11E6F3" w:rsidRPr="004A0212">
        <w:t>during a period</w:t>
      </w:r>
      <w:r w:rsidR="45368C45" w:rsidRPr="004A0212">
        <w:t xml:space="preserve"> of</w:t>
      </w:r>
      <w:r w:rsidRPr="004A0212">
        <w:t xml:space="preserve"> relative economic and social stability</w:t>
      </w:r>
      <w:r w:rsidR="45368C45" w:rsidRPr="004A0212">
        <w:t xml:space="preserve"> with </w:t>
      </w:r>
      <w:r w:rsidR="0B808359" w:rsidRPr="004A0212">
        <w:t xml:space="preserve">strong </w:t>
      </w:r>
      <w:r w:rsidR="45368C45" w:rsidRPr="004A0212">
        <w:t xml:space="preserve">population growth due to the baby boom </w:t>
      </w:r>
      <w:r w:rsidR="3A72DB30" w:rsidRPr="004A0212">
        <w:t xml:space="preserve">following </w:t>
      </w:r>
      <w:r w:rsidR="35A776BD" w:rsidRPr="004A0212">
        <w:t>the Second</w:t>
      </w:r>
      <w:r w:rsidR="3A72DB30" w:rsidRPr="004A0212">
        <w:t xml:space="preserve"> </w:t>
      </w:r>
      <w:r w:rsidR="45368C45" w:rsidRPr="004A0212">
        <w:t>W</w:t>
      </w:r>
      <w:r w:rsidR="7B0D109B" w:rsidRPr="004A0212">
        <w:t xml:space="preserve">orld </w:t>
      </w:r>
      <w:r w:rsidR="45368C45" w:rsidRPr="004A0212">
        <w:t>W</w:t>
      </w:r>
      <w:r w:rsidR="7B0D109B" w:rsidRPr="004A0212">
        <w:t>ar</w:t>
      </w:r>
      <w:r w:rsidR="45368C45" w:rsidRPr="004A0212">
        <w:t>.</w:t>
      </w:r>
      <w:r w:rsidR="4F76D08E" w:rsidRPr="004A0212">
        <w:t xml:space="preserve"> Care settings grew </w:t>
      </w:r>
      <w:r w:rsidR="6891212B" w:rsidRPr="004A0212">
        <w:t>both in the range</w:t>
      </w:r>
      <w:r w:rsidR="4F76D08E" w:rsidRPr="004A0212">
        <w:t xml:space="preserve"> </w:t>
      </w:r>
      <w:r w:rsidR="6891212B" w:rsidRPr="004A0212">
        <w:t xml:space="preserve">of settings and the numbers of </w:t>
      </w:r>
      <w:r w:rsidR="3970D2F0" w:rsidRPr="004A0212">
        <w:t xml:space="preserve">children, young </w:t>
      </w:r>
      <w:r w:rsidR="6891212B" w:rsidRPr="004A0212">
        <w:t>people</w:t>
      </w:r>
      <w:r w:rsidR="75436633" w:rsidRPr="004A0212">
        <w:t xml:space="preserve"> and adults taken and</w:t>
      </w:r>
      <w:r w:rsidR="6891212B" w:rsidRPr="004A0212">
        <w:t xml:space="preserve"> placed in them. Māori and Pacific </w:t>
      </w:r>
      <w:r w:rsidR="6B87EF31" w:rsidRPr="004A0212">
        <w:t>P</w:t>
      </w:r>
      <w:r w:rsidR="6891212B" w:rsidRPr="004A0212">
        <w:t xml:space="preserve">eoples were increasingly </w:t>
      </w:r>
      <w:r w:rsidR="06777434" w:rsidRPr="004A0212">
        <w:t>placed</w:t>
      </w:r>
      <w:r w:rsidR="25DF8261" w:rsidRPr="004A0212">
        <w:t xml:space="preserve"> </w:t>
      </w:r>
      <w:r w:rsidR="6891212B" w:rsidRPr="004A0212">
        <w:t>in all care settings</w:t>
      </w:r>
      <w:r w:rsidR="25DF8261" w:rsidRPr="004A0212">
        <w:t>, becoming over-re</w:t>
      </w:r>
      <w:r w:rsidR="2EE2AFC6" w:rsidRPr="004A0212">
        <w:t>presented</w:t>
      </w:r>
      <w:r w:rsidR="310DFA5F" w:rsidRPr="004A0212">
        <w:t xml:space="preserve">. </w:t>
      </w:r>
    </w:p>
    <w:p w14:paraId="6D71E2C6" w14:textId="7FC55D15" w:rsidR="00B5599B" w:rsidRPr="004A0212" w:rsidRDefault="6228C394" w:rsidP="00B5599B">
      <w:pPr>
        <w:pStyle w:val="Heading2"/>
        <w:rPr>
          <w:rFonts w:cs="Arial"/>
        </w:rPr>
      </w:pPr>
      <w:bookmarkStart w:id="306" w:name="_Toc150933136"/>
      <w:bookmarkStart w:id="307" w:name="_Toc150953453"/>
      <w:bookmarkStart w:id="308" w:name="_Toc1186527818"/>
      <w:bookmarkStart w:id="309" w:name="_Toc168638968"/>
      <w:proofErr w:type="spellStart"/>
      <w:r w:rsidRPr="004A0212">
        <w:rPr>
          <w:rFonts w:cs="Arial"/>
        </w:rPr>
        <w:t>Te</w:t>
      </w:r>
      <w:proofErr w:type="spellEnd"/>
      <w:r w:rsidRPr="004A0212">
        <w:rPr>
          <w:rFonts w:cs="Arial"/>
        </w:rPr>
        <w:t xml:space="preserve"> </w:t>
      </w:r>
      <w:proofErr w:type="spellStart"/>
      <w:r w:rsidRPr="004A0212">
        <w:rPr>
          <w:rFonts w:cs="Arial"/>
        </w:rPr>
        <w:t>urutau</w:t>
      </w:r>
      <w:proofErr w:type="spellEnd"/>
      <w:r w:rsidRPr="004A0212">
        <w:rPr>
          <w:rFonts w:cs="Arial"/>
        </w:rPr>
        <w:t xml:space="preserve"> a </w:t>
      </w:r>
      <w:proofErr w:type="spellStart"/>
      <w:r w:rsidRPr="004A0212">
        <w:rPr>
          <w:rFonts w:cs="Arial"/>
        </w:rPr>
        <w:t>te</w:t>
      </w:r>
      <w:proofErr w:type="spellEnd"/>
      <w:r w:rsidRPr="004A0212">
        <w:rPr>
          <w:rFonts w:cs="Arial"/>
        </w:rPr>
        <w:t xml:space="preserve"> Māori ki </w:t>
      </w:r>
      <w:proofErr w:type="spellStart"/>
      <w:r w:rsidRPr="004A0212">
        <w:rPr>
          <w:rFonts w:cs="Arial"/>
        </w:rPr>
        <w:t>te</w:t>
      </w:r>
      <w:proofErr w:type="spellEnd"/>
      <w:r w:rsidRPr="004A0212">
        <w:rPr>
          <w:rFonts w:cs="Arial"/>
        </w:rPr>
        <w:t xml:space="preserve"> </w:t>
      </w:r>
      <w:proofErr w:type="spellStart"/>
      <w:r w:rsidRPr="004A0212">
        <w:rPr>
          <w:rFonts w:cs="Arial"/>
        </w:rPr>
        <w:t>noho</w:t>
      </w:r>
      <w:proofErr w:type="spellEnd"/>
      <w:r w:rsidRPr="004A0212">
        <w:rPr>
          <w:rFonts w:cs="Arial"/>
        </w:rPr>
        <w:t xml:space="preserve"> </w:t>
      </w:r>
      <w:proofErr w:type="spellStart"/>
      <w:r w:rsidRPr="004A0212">
        <w:rPr>
          <w:rFonts w:cs="Arial"/>
        </w:rPr>
        <w:t>t</w:t>
      </w:r>
      <w:r w:rsidR="6BD9C1BF" w:rsidRPr="004A0212">
        <w:rPr>
          <w:rFonts w:cs="Arial"/>
        </w:rPr>
        <w:t>ā</w:t>
      </w:r>
      <w:r w:rsidRPr="004A0212">
        <w:rPr>
          <w:rFonts w:cs="Arial"/>
        </w:rPr>
        <w:t>one</w:t>
      </w:r>
      <w:proofErr w:type="spellEnd"/>
      <w:r w:rsidRPr="004A0212">
        <w:rPr>
          <w:rFonts w:cs="Arial"/>
        </w:rPr>
        <w:t xml:space="preserve"> | </w:t>
      </w:r>
      <w:r w:rsidR="06813D53" w:rsidRPr="004A0212">
        <w:rPr>
          <w:rFonts w:cs="Arial"/>
        </w:rPr>
        <w:t xml:space="preserve">Māori adapting to </w:t>
      </w:r>
      <w:r w:rsidR="61FDB17B" w:rsidRPr="004A0212">
        <w:rPr>
          <w:rFonts w:cs="Arial"/>
        </w:rPr>
        <w:t>an urban way of life</w:t>
      </w:r>
      <w:bookmarkEnd w:id="306"/>
      <w:bookmarkEnd w:id="307"/>
      <w:bookmarkEnd w:id="308"/>
      <w:bookmarkEnd w:id="309"/>
    </w:p>
    <w:p w14:paraId="4AF13C03" w14:textId="2B4C568B" w:rsidR="001E25DF" w:rsidRPr="004A0212" w:rsidRDefault="0F212F61" w:rsidP="007D73A6">
      <w:pPr>
        <w:pStyle w:val="AllNumbparas"/>
      </w:pPr>
      <w:bookmarkStart w:id="310" w:name="_Toc117001329"/>
      <w:bookmarkStart w:id="311" w:name="_Toc147935411"/>
      <w:bookmarkStart w:id="312" w:name="_Toc148443594"/>
      <w:bookmarkStart w:id="313" w:name="_Toc148443588"/>
      <w:r w:rsidRPr="004A0212">
        <w:t xml:space="preserve">By 1966, 62 </w:t>
      </w:r>
      <w:r w:rsidR="453B5ECB" w:rsidRPr="004A0212">
        <w:t>percent</w:t>
      </w:r>
      <w:r w:rsidRPr="004A0212">
        <w:t xml:space="preserve"> of Māori lived in towns and cities compared to </w:t>
      </w:r>
      <w:r w:rsidR="6D3F4644" w:rsidRPr="004A0212">
        <w:t xml:space="preserve">9 </w:t>
      </w:r>
      <w:r w:rsidR="453B5ECB" w:rsidRPr="004A0212">
        <w:t>percent</w:t>
      </w:r>
      <w:r w:rsidRPr="004A0212">
        <w:t xml:space="preserve"> in 1929. Within a few decades, Māori had become “a predominately urban people”.</w:t>
      </w:r>
      <w:r w:rsidR="00B5599B" w:rsidRPr="004A0212">
        <w:rPr>
          <w:rStyle w:val="StyleFootnoteReferenceFagoFunotenzeichenFagoFunotenzeichen"/>
        </w:rPr>
        <w:footnoteReference w:id="232"/>
      </w:r>
      <w:r w:rsidRPr="004A0212">
        <w:t xml:space="preserve"> This was due to a combination of factors, including the impact of </w:t>
      </w:r>
      <w:r w:rsidR="7F45EB2A" w:rsidRPr="004A0212">
        <w:t xml:space="preserve">government </w:t>
      </w:r>
      <w:r w:rsidRPr="004A0212">
        <w:t>policy on Māori farming, growing numbers of jobs in the cities and, after 1962, encouragement from the State to move to the cities.</w:t>
      </w:r>
      <w:r w:rsidR="440AFCA9" w:rsidRPr="004A0212">
        <w:t xml:space="preserve"> </w:t>
      </w:r>
      <w:bookmarkEnd w:id="310"/>
      <w:bookmarkEnd w:id="311"/>
      <w:bookmarkEnd w:id="312"/>
      <w:bookmarkEnd w:id="313"/>
    </w:p>
    <w:p w14:paraId="23981137" w14:textId="51B9BEF2" w:rsidR="001E25DF" w:rsidRPr="004A0212" w:rsidRDefault="63B8D6A7" w:rsidP="007D73A6">
      <w:pPr>
        <w:pStyle w:val="AllNumbparas"/>
      </w:pPr>
      <w:r w:rsidRPr="004A0212">
        <w:t>Through</w:t>
      </w:r>
      <w:r w:rsidR="114AC3F3" w:rsidRPr="004A0212">
        <w:t>out</w:t>
      </w:r>
      <w:r w:rsidRPr="004A0212">
        <w:t xml:space="preserve"> the 1950s, many Māori raised issues with the way their mana and organisational capacities were being undermined by the</w:t>
      </w:r>
      <w:r w:rsidR="0050194D" w:rsidRPr="004A0212">
        <w:t xml:space="preserve"> </w:t>
      </w:r>
      <w:r w:rsidR="75436633" w:rsidRPr="004A0212">
        <w:t>State</w:t>
      </w:r>
      <w:r w:rsidRPr="004A0212">
        <w:t>.</w:t>
      </w:r>
      <w:r w:rsidR="001E25DF" w:rsidRPr="004A0212">
        <w:rPr>
          <w:rStyle w:val="StyleFootnoteReferenceFagoFunotenzeichenFagoFunotenzeichen"/>
        </w:rPr>
        <w:footnoteReference w:id="233"/>
      </w:r>
      <w:r w:rsidRPr="004A0212">
        <w:t xml:space="preserve"> At the same time, Māori were adapting </w:t>
      </w:r>
      <w:r w:rsidR="5A0DB9CE" w:rsidRPr="004A0212">
        <w:t xml:space="preserve">State </w:t>
      </w:r>
      <w:r w:rsidRPr="004A0212">
        <w:t>initiatives to their own ends. By mid-century</w:t>
      </w:r>
      <w:r w:rsidR="3EF233AF" w:rsidRPr="004A0212">
        <w:t>,</w:t>
      </w:r>
      <w:r w:rsidRPr="004A0212">
        <w:t xml:space="preserve"> the tribal committee system under the Māori Social and Economic Advancement Act </w:t>
      </w:r>
      <w:r w:rsidR="3344043D" w:rsidRPr="004A0212">
        <w:t xml:space="preserve">1945 </w:t>
      </w:r>
      <w:r w:rsidRPr="004A0212">
        <w:t xml:space="preserve">was achieving results in areas </w:t>
      </w:r>
      <w:r w:rsidR="114AC3F3" w:rsidRPr="004A0212">
        <w:t xml:space="preserve">such as </w:t>
      </w:r>
      <w:r w:rsidRPr="004A0212">
        <w:t>improvements to meeting houses, marae complexes, sports facilities and interactions with the Department of Māori Affairs.</w:t>
      </w:r>
      <w:r w:rsidR="001E25DF" w:rsidRPr="004A0212">
        <w:rPr>
          <w:rStyle w:val="StyleFootnoteReferenceFagoFunotenzeichenFagoFunotenzeichen"/>
        </w:rPr>
        <w:footnoteReference w:id="234"/>
      </w:r>
      <w:r w:rsidRPr="004A0212">
        <w:t xml:space="preserve"> </w:t>
      </w:r>
    </w:p>
    <w:p w14:paraId="1BD92175" w14:textId="43FCB778" w:rsidR="001E25DF" w:rsidRPr="004A0212" w:rsidRDefault="63B8D6A7" w:rsidP="00814720">
      <w:pPr>
        <w:pStyle w:val="AllNumbparas"/>
      </w:pPr>
      <w:r w:rsidRPr="004A0212">
        <w:t xml:space="preserve">The </w:t>
      </w:r>
      <w:r w:rsidR="5A0DB9CE" w:rsidRPr="004A0212">
        <w:t xml:space="preserve">1945 </w:t>
      </w:r>
      <w:r w:rsidRPr="004A0212">
        <w:t xml:space="preserve">Act also provided for Māori Wardens, volunteers who were authorised to enforce </w:t>
      </w:r>
      <w:r w:rsidR="23EB4304" w:rsidRPr="004A0212">
        <w:t>“</w:t>
      </w:r>
      <w:r w:rsidRPr="004A0212">
        <w:t>order and regularity</w:t>
      </w:r>
      <w:r w:rsidR="23EB4304" w:rsidRPr="004A0212">
        <w:t>”</w:t>
      </w:r>
      <w:r w:rsidRPr="004A0212">
        <w:t xml:space="preserve">. Wardens came to play a significant role in </w:t>
      </w:r>
      <w:r w:rsidR="024B8D2A" w:rsidRPr="004A0212">
        <w:t xml:space="preserve">the life of </w:t>
      </w:r>
      <w:r w:rsidR="3F9B3EB8" w:rsidRPr="004A0212">
        <w:t>whānau, hapū</w:t>
      </w:r>
      <w:r w:rsidR="123F2FEF" w:rsidRPr="004A0212">
        <w:t xml:space="preserve"> </w:t>
      </w:r>
      <w:r w:rsidR="3F9B3EB8" w:rsidRPr="004A0212">
        <w:t>iwi</w:t>
      </w:r>
      <w:r w:rsidR="024B8D2A" w:rsidRPr="004A0212">
        <w:t xml:space="preserve"> and </w:t>
      </w:r>
      <w:proofErr w:type="spellStart"/>
      <w:r w:rsidR="024B8D2A" w:rsidRPr="004A0212">
        <w:t>hāpori</w:t>
      </w:r>
      <w:proofErr w:type="spellEnd"/>
      <w:r w:rsidR="024B8D2A" w:rsidRPr="004A0212">
        <w:t xml:space="preserve"> </w:t>
      </w:r>
      <w:r w:rsidR="14C92281" w:rsidRPr="004A0212">
        <w:t>Māori by</w:t>
      </w:r>
      <w:r w:rsidR="00BE790D" w:rsidRPr="004A0212">
        <w:t>,</w:t>
      </w:r>
      <w:r w:rsidRPr="004A0212">
        <w:t xml:space="preserve"> organising events, acting as intermediaries</w:t>
      </w:r>
      <w:r w:rsidR="14C92281" w:rsidRPr="004A0212">
        <w:t xml:space="preserve"> </w:t>
      </w:r>
      <w:r w:rsidR="19F520CD" w:rsidRPr="004A0212">
        <w:t>with government</w:t>
      </w:r>
      <w:r w:rsidR="6B751780" w:rsidRPr="004A0212">
        <w:t xml:space="preserve"> </w:t>
      </w:r>
      <w:r w:rsidRPr="004A0212">
        <w:t>agencies and assisting with legal matters.</w:t>
      </w:r>
      <w:r w:rsidR="001E25DF" w:rsidRPr="004A0212">
        <w:rPr>
          <w:rStyle w:val="StyleFootnoteReferenceFagoFunotenzeichenFagoFunotenzeichen"/>
        </w:rPr>
        <w:footnoteReference w:id="235"/>
      </w:r>
      <w:r w:rsidRPr="004A0212">
        <w:t xml:space="preserve"> </w:t>
      </w:r>
    </w:p>
    <w:p w14:paraId="3C15635D" w14:textId="56088991" w:rsidR="001E25DF" w:rsidRPr="004A0212" w:rsidRDefault="25065E80" w:rsidP="007D73A6">
      <w:pPr>
        <w:pStyle w:val="AllNumbparas"/>
      </w:pPr>
      <w:r w:rsidRPr="004A0212">
        <w:t>T</w:t>
      </w:r>
      <w:r w:rsidR="114AC3F3" w:rsidRPr="004A0212">
        <w:t xml:space="preserve">he State </w:t>
      </w:r>
      <w:r w:rsidR="63B8D6A7" w:rsidRPr="004A0212">
        <w:t xml:space="preserve">encouraged organisations </w:t>
      </w:r>
      <w:r w:rsidR="114AC3F3" w:rsidRPr="004A0212">
        <w:t xml:space="preserve">such as </w:t>
      </w:r>
      <w:r w:rsidR="114AC3F3" w:rsidRPr="004A0212">
        <w:rPr>
          <w:color w:val="auto"/>
        </w:rPr>
        <w:t>M</w:t>
      </w:r>
      <w:r w:rsidR="281C225E" w:rsidRPr="004A0212">
        <w:rPr>
          <w:rStyle w:val="normaltextrun"/>
          <w:color w:val="auto"/>
          <w:bdr w:val="none" w:sz="0" w:space="0" w:color="auto" w:frame="1"/>
        </w:rPr>
        <w:t>ā</w:t>
      </w:r>
      <w:r w:rsidR="114AC3F3" w:rsidRPr="004A0212">
        <w:rPr>
          <w:color w:val="auto"/>
        </w:rPr>
        <w:t xml:space="preserve">ori Wardens </w:t>
      </w:r>
      <w:r w:rsidR="114AC3F3" w:rsidRPr="004A0212">
        <w:t xml:space="preserve">and the Māori Women’s Welfare League </w:t>
      </w:r>
      <w:r w:rsidR="63B8D6A7" w:rsidRPr="004A0212">
        <w:t xml:space="preserve">in part because </w:t>
      </w:r>
      <w:r w:rsidR="3344043D" w:rsidRPr="004A0212">
        <w:t xml:space="preserve">it </w:t>
      </w:r>
      <w:r w:rsidR="63B8D6A7" w:rsidRPr="004A0212">
        <w:t xml:space="preserve">saw them </w:t>
      </w:r>
      <w:proofErr w:type="gramStart"/>
      <w:r w:rsidR="63B8D6A7" w:rsidRPr="004A0212">
        <w:t>as a way to</w:t>
      </w:r>
      <w:proofErr w:type="gramEnd"/>
      <w:r w:rsidR="63B8D6A7" w:rsidRPr="004A0212">
        <w:t xml:space="preserve"> help Māori adjust to life in the city. Support could be withdrawn if they were considered to have gone outside their official briefs.</w:t>
      </w:r>
      <w:r w:rsidR="001E25DF" w:rsidRPr="004A0212">
        <w:rPr>
          <w:rStyle w:val="StyleFootnoteReferenceFagoFunotenzeichenFagoFunotenzeichen"/>
        </w:rPr>
        <w:footnoteReference w:id="236"/>
      </w:r>
      <w:r w:rsidR="63B8D6A7" w:rsidRPr="004A0212">
        <w:t xml:space="preserve"> </w:t>
      </w:r>
    </w:p>
    <w:p w14:paraId="1B91C413" w14:textId="238AC016" w:rsidR="001E25DF" w:rsidRPr="004A0212" w:rsidRDefault="1D7E31C8" w:rsidP="007D73A6">
      <w:pPr>
        <w:pStyle w:val="AllNumbparas"/>
      </w:pPr>
      <w:r w:rsidRPr="004A0212">
        <w:t xml:space="preserve">A </w:t>
      </w:r>
      <w:r w:rsidR="63B8D6A7" w:rsidRPr="004A0212">
        <w:t xml:space="preserve">wave of laws </w:t>
      </w:r>
      <w:proofErr w:type="gramStart"/>
      <w:r w:rsidRPr="004A0212">
        <w:t>were</w:t>
      </w:r>
      <w:proofErr w:type="gramEnd"/>
      <w:r w:rsidRPr="004A0212">
        <w:t xml:space="preserve"> </w:t>
      </w:r>
      <w:r w:rsidR="63B8D6A7" w:rsidRPr="004A0212">
        <w:t xml:space="preserve">passed </w:t>
      </w:r>
      <w:r w:rsidRPr="004A0212">
        <w:t xml:space="preserve">in the 1950s </w:t>
      </w:r>
      <w:r w:rsidR="63B8D6A7" w:rsidRPr="004A0212">
        <w:t>aimed at further assimilation. These included:</w:t>
      </w:r>
    </w:p>
    <w:p w14:paraId="1071516A" w14:textId="39E2A136" w:rsidR="00A21C3C" w:rsidRPr="004A0212" w:rsidRDefault="663A7139" w:rsidP="00370D96">
      <w:pPr>
        <w:pStyle w:val="Bulletpoints"/>
      </w:pPr>
      <w:r w:rsidRPr="004A0212">
        <w:t>the</w:t>
      </w:r>
      <w:r w:rsidR="58F5E364" w:rsidRPr="004A0212">
        <w:t xml:space="preserve"> Māori Purposes Act 1950, which allowed the leasing of any Māori lands considered unproductive</w:t>
      </w:r>
    </w:p>
    <w:p w14:paraId="3E81F178" w14:textId="0DFB1ABB" w:rsidR="001E25DF" w:rsidRPr="004A0212" w:rsidRDefault="663A7139" w:rsidP="00370D96">
      <w:pPr>
        <w:pStyle w:val="Bulletpoints"/>
      </w:pPr>
      <w:r w:rsidRPr="004A0212">
        <w:t>the</w:t>
      </w:r>
      <w:r w:rsidR="58F5E364" w:rsidRPr="004A0212">
        <w:t xml:space="preserve"> abolition of the Māori Land Boards, and the</w:t>
      </w:r>
      <w:r w:rsidR="005A77CE" w:rsidRPr="004A0212">
        <w:t xml:space="preserve"> introduction of the </w:t>
      </w:r>
      <w:r w:rsidR="58F5E364" w:rsidRPr="004A0212">
        <w:t>Māori Affairs Act</w:t>
      </w:r>
      <w:r w:rsidR="5479208D" w:rsidRPr="004A0212">
        <w:t xml:space="preserve"> 1953</w:t>
      </w:r>
      <w:r w:rsidR="58F5E364" w:rsidRPr="004A0212">
        <w:t xml:space="preserve">, which gave the Māori Trustee the power to buy interests in land which the </w:t>
      </w:r>
      <w:r w:rsidR="2E7DB52E" w:rsidRPr="004A0212">
        <w:t>S</w:t>
      </w:r>
      <w:r w:rsidR="58F5E364" w:rsidRPr="004A0212">
        <w:t>tate deemed to be uneconomic</w:t>
      </w:r>
      <w:r w:rsidR="001E25DF" w:rsidRPr="004A0212">
        <w:rPr>
          <w:rStyle w:val="StyleFootnoteReferenceFagoFunotenzeichenFagoFunotenzeichen"/>
        </w:rPr>
        <w:footnoteReference w:id="237"/>
      </w:r>
      <w:r w:rsidR="58F5E364" w:rsidRPr="004A0212">
        <w:t xml:space="preserve"> </w:t>
      </w:r>
    </w:p>
    <w:p w14:paraId="1A19680E" w14:textId="418B35FD" w:rsidR="001E25DF" w:rsidRPr="004A0212" w:rsidRDefault="58F5E364" w:rsidP="00370D96">
      <w:pPr>
        <w:pStyle w:val="Bulletpoints"/>
      </w:pPr>
      <w:r w:rsidRPr="004A0212">
        <w:t xml:space="preserve">Māori customary marriage </w:t>
      </w:r>
      <w:r w:rsidR="02A8D9F7" w:rsidRPr="004A0212">
        <w:t xml:space="preserve">being </w:t>
      </w:r>
      <w:r w:rsidRPr="004A0212">
        <w:t>invalidated in 1953</w:t>
      </w:r>
    </w:p>
    <w:p w14:paraId="5BB9A44C" w14:textId="4A40A414" w:rsidR="001E25DF" w:rsidRPr="004A0212" w:rsidRDefault="663A7139" w:rsidP="00370D96">
      <w:pPr>
        <w:pStyle w:val="Bulletpoints"/>
      </w:pPr>
      <w:r w:rsidRPr="004A0212">
        <w:t>the</w:t>
      </w:r>
      <w:r w:rsidR="58F5E364" w:rsidRPr="004A0212">
        <w:t xml:space="preserve"> Adoption Act 1955 weakened customary adoption (</w:t>
      </w:r>
      <w:proofErr w:type="spellStart"/>
      <w:r w:rsidR="58F5E364" w:rsidRPr="004A0212">
        <w:t>wh</w:t>
      </w:r>
      <w:r w:rsidR="66DCA480" w:rsidRPr="004A0212">
        <w:t>ā</w:t>
      </w:r>
      <w:r w:rsidR="58F5E364" w:rsidRPr="004A0212">
        <w:t>ngai</w:t>
      </w:r>
      <w:proofErr w:type="spellEnd"/>
      <w:r w:rsidR="58F5E364" w:rsidRPr="004A0212">
        <w:t xml:space="preserve">) by promoting secrecy about </w:t>
      </w:r>
      <w:r w:rsidR="66DCA480" w:rsidRPr="004A0212">
        <w:t xml:space="preserve">family origins </w:t>
      </w:r>
      <w:r w:rsidR="58F5E364" w:rsidRPr="004A0212">
        <w:t xml:space="preserve">and </w:t>
      </w:r>
      <w:r w:rsidR="004C2472" w:rsidRPr="004A0212">
        <w:t>legally severing any links between</w:t>
      </w:r>
      <w:r w:rsidR="58F5E364" w:rsidRPr="004A0212">
        <w:t xml:space="preserve"> birth and adoptive families</w:t>
      </w:r>
      <w:r w:rsidR="001E25DF" w:rsidRPr="004A0212">
        <w:rPr>
          <w:rStyle w:val="StyleFootnoteReferenceFagoFunotenzeichenFagoFunotenzeichen"/>
        </w:rPr>
        <w:footnoteReference w:id="238"/>
      </w:r>
      <w:r w:rsidR="58F5E364" w:rsidRPr="004A0212">
        <w:rPr>
          <w:vertAlign w:val="superscript"/>
        </w:rPr>
        <w:t> </w:t>
      </w:r>
    </w:p>
    <w:p w14:paraId="7BE0CED3" w14:textId="0B92E0A0" w:rsidR="001E25DF" w:rsidRPr="004A0212" w:rsidRDefault="663A7139" w:rsidP="00370D96">
      <w:pPr>
        <w:pStyle w:val="Bulletpoints"/>
      </w:pPr>
      <w:r w:rsidRPr="004A0212">
        <w:t>in</w:t>
      </w:r>
      <w:r w:rsidR="58F5E364" w:rsidRPr="004A0212">
        <w:t xml:space="preserve"> 1962 the Adoption Act was amended to remove the Māori Land Court’s jurisdiction in adoptions </w:t>
      </w:r>
      <w:r w:rsidR="02A8D9F7" w:rsidRPr="004A0212">
        <w:t xml:space="preserve">and </w:t>
      </w:r>
      <w:r w:rsidR="58F5E364" w:rsidRPr="004A0212">
        <w:t>applicants were forced to go to the more formal Magistrates’ Court.</w:t>
      </w:r>
      <w:r w:rsidR="001E25DF" w:rsidRPr="004A0212">
        <w:rPr>
          <w:rStyle w:val="StyleFootnoteReferenceFagoFunotenzeichenFagoFunotenzeichen"/>
        </w:rPr>
        <w:footnoteReference w:id="239"/>
      </w:r>
      <w:r w:rsidR="58F5E364" w:rsidRPr="004A0212">
        <w:t xml:space="preserve"> </w:t>
      </w:r>
    </w:p>
    <w:p w14:paraId="7A6B5EF9" w14:textId="512B8315" w:rsidR="001E25DF" w:rsidRPr="004A0212" w:rsidRDefault="63B8D6A7" w:rsidP="007D73A6">
      <w:pPr>
        <w:pStyle w:val="AllNumbparas"/>
      </w:pPr>
      <w:r w:rsidRPr="004A0212">
        <w:t>In 1960,</w:t>
      </w:r>
      <w:r w:rsidRPr="004A0212" w:rsidDel="00AD329B">
        <w:t xml:space="preserve"> </w:t>
      </w:r>
      <w:r w:rsidRPr="004A0212">
        <w:t xml:space="preserve">then Prime Minister Walter Nash asked the Department of Māori Welfare </w:t>
      </w:r>
      <w:r w:rsidR="164325FD" w:rsidRPr="004A0212">
        <w:t xml:space="preserve">to do </w:t>
      </w:r>
      <w:r w:rsidRPr="004A0212">
        <w:t xml:space="preserve">a stocktake of the state of </w:t>
      </w:r>
      <w:proofErr w:type="spellStart"/>
      <w:r w:rsidRPr="004A0212">
        <w:t>Māoridom</w:t>
      </w:r>
      <w:proofErr w:type="spellEnd"/>
      <w:r w:rsidRPr="004A0212">
        <w:t xml:space="preserve"> to inform future policy.</w:t>
      </w:r>
      <w:r w:rsidR="001E25DF" w:rsidRPr="004A0212">
        <w:rPr>
          <w:rStyle w:val="StyleFootnoteReferenceFagoFunotenzeichenFagoFunotenzeichen"/>
        </w:rPr>
        <w:footnoteReference w:id="240"/>
      </w:r>
      <w:r w:rsidRPr="004A0212">
        <w:t xml:space="preserve"> </w:t>
      </w:r>
      <w:r w:rsidR="6B87EF31" w:rsidRPr="004A0212">
        <w:t>T</w:t>
      </w:r>
      <w:r w:rsidRPr="004A0212">
        <w:t xml:space="preserve">he review was charged with recommending changes to assist departmental operations and the </w:t>
      </w:r>
      <w:r w:rsidR="58B0DF92" w:rsidRPr="004A0212">
        <w:t>State’s</w:t>
      </w:r>
      <w:r w:rsidRPr="004A0212">
        <w:t xml:space="preserve"> immediate, medium-term, and ultimate goals for Māori. </w:t>
      </w:r>
    </w:p>
    <w:p w14:paraId="04276D13" w14:textId="5265C3FA" w:rsidR="001E25DF" w:rsidRPr="004A0212" w:rsidRDefault="6499C7C0" w:rsidP="007D73A6">
      <w:pPr>
        <w:pStyle w:val="AllNumbparas"/>
      </w:pPr>
      <w:r w:rsidRPr="004A0212">
        <w:t xml:space="preserve">The resulting report, known as the Hunn Report, </w:t>
      </w:r>
      <w:r w:rsidR="63B8D6A7" w:rsidRPr="004A0212">
        <w:t>made it clear that Māori were essentially marginalised and continued to lag behind Pākehā in all socioeconomic indicators.</w:t>
      </w:r>
      <w:r w:rsidR="001E25DF" w:rsidRPr="004A0212">
        <w:rPr>
          <w:rStyle w:val="StyleFootnoteReferenceFagoFunotenzeichenFagoFunotenzeichen"/>
        </w:rPr>
        <w:footnoteReference w:id="241"/>
      </w:r>
      <w:r w:rsidR="63B8D6A7" w:rsidRPr="004A0212">
        <w:t xml:space="preserve"> The </w:t>
      </w:r>
      <w:r w:rsidR="58B0DF92" w:rsidRPr="004A0212">
        <w:t>State</w:t>
      </w:r>
      <w:r w:rsidR="63B8D6A7" w:rsidRPr="004A0212">
        <w:t xml:space="preserve"> saw increased attempts at assimilation and integration as the solution.</w:t>
      </w:r>
      <w:r w:rsidR="70B0F629" w:rsidRPr="004A0212">
        <w:t xml:space="preserve"> </w:t>
      </w:r>
      <w:proofErr w:type="gramStart"/>
      <w:r w:rsidR="70B0F629" w:rsidRPr="004A0212">
        <w:t>A number of</w:t>
      </w:r>
      <w:proofErr w:type="gramEnd"/>
      <w:r w:rsidR="70B0F629" w:rsidRPr="004A0212">
        <w:t xml:space="preserve"> M</w:t>
      </w:r>
      <w:r w:rsidR="155C7573" w:rsidRPr="004A0212">
        <w:t>ā</w:t>
      </w:r>
      <w:r w:rsidR="70B0F629" w:rsidRPr="004A0212">
        <w:t xml:space="preserve">ori commentators criticised the </w:t>
      </w:r>
      <w:r w:rsidR="6B87EF31" w:rsidRPr="004A0212">
        <w:t>Hunn R</w:t>
      </w:r>
      <w:r w:rsidR="70B0F629" w:rsidRPr="004A0212">
        <w:t xml:space="preserve">eport for failing to recognise </w:t>
      </w:r>
      <w:proofErr w:type="spellStart"/>
      <w:r w:rsidR="70B0F629" w:rsidRPr="004A0212">
        <w:t>tino</w:t>
      </w:r>
      <w:proofErr w:type="spellEnd"/>
      <w:r w:rsidR="70B0F629" w:rsidRPr="004A0212">
        <w:t xml:space="preserve"> rangatiratanga</w:t>
      </w:r>
      <w:r w:rsidR="6B87EF31" w:rsidRPr="004A0212">
        <w:t>. T</w:t>
      </w:r>
      <w:r w:rsidR="70B0F629" w:rsidRPr="004A0212">
        <w:t>he M</w:t>
      </w:r>
      <w:r w:rsidR="155C7573" w:rsidRPr="004A0212">
        <w:t>ā</w:t>
      </w:r>
      <w:r w:rsidR="70B0F629" w:rsidRPr="004A0212">
        <w:t xml:space="preserve">ori Synod of the </w:t>
      </w:r>
      <w:r w:rsidR="155C7573" w:rsidRPr="004A0212">
        <w:t>Presbyterian</w:t>
      </w:r>
      <w:r w:rsidR="70B0F629" w:rsidRPr="004A0212">
        <w:t xml:space="preserve"> Church </w:t>
      </w:r>
      <w:r w:rsidR="155C7573" w:rsidRPr="004A0212">
        <w:t>challenged the report</w:t>
      </w:r>
      <w:r w:rsidR="6B87EF31" w:rsidRPr="004A0212">
        <w:t>’</w:t>
      </w:r>
      <w:r w:rsidR="155C7573" w:rsidRPr="004A0212">
        <w:t xml:space="preserve">s assumption that </w:t>
      </w:r>
      <w:r w:rsidR="6B9A1241" w:rsidRPr="004A0212">
        <w:t xml:space="preserve">it was </w:t>
      </w:r>
      <w:r w:rsidR="155C7573" w:rsidRPr="004A0212">
        <w:t xml:space="preserve">Māori, rather than Pākehā, </w:t>
      </w:r>
      <w:r w:rsidR="6B9A1241" w:rsidRPr="004A0212">
        <w:t xml:space="preserve">who </w:t>
      </w:r>
      <w:r w:rsidR="155C7573" w:rsidRPr="004A0212">
        <w:t>needed to adjust.</w:t>
      </w:r>
      <w:r w:rsidR="00EF5130" w:rsidRPr="004A0212">
        <w:rPr>
          <w:rStyle w:val="FootnoteReference"/>
        </w:rPr>
        <w:footnoteReference w:id="242"/>
      </w:r>
    </w:p>
    <w:p w14:paraId="725D7F8D" w14:textId="2CE372F3" w:rsidR="75EBD1BA" w:rsidRPr="004A0212" w:rsidRDefault="3117420F" w:rsidP="30246B51">
      <w:pPr>
        <w:pStyle w:val="Heading2"/>
        <w:rPr>
          <w:rFonts w:cs="Arial"/>
        </w:rPr>
      </w:pPr>
      <w:bookmarkStart w:id="314" w:name="_Toc1330518631"/>
      <w:bookmarkStart w:id="315" w:name="_Toc168638969"/>
      <w:proofErr w:type="spellStart"/>
      <w:r w:rsidRPr="004A0212">
        <w:rPr>
          <w:rFonts w:cs="Arial"/>
        </w:rPr>
        <w:t>Te</w:t>
      </w:r>
      <w:proofErr w:type="spellEnd"/>
      <w:r w:rsidRPr="004A0212">
        <w:rPr>
          <w:rFonts w:cs="Arial"/>
        </w:rPr>
        <w:t xml:space="preserve"> </w:t>
      </w:r>
      <w:proofErr w:type="spellStart"/>
      <w:r w:rsidRPr="004A0212">
        <w:rPr>
          <w:rFonts w:cs="Arial"/>
        </w:rPr>
        <w:t>hunga</w:t>
      </w:r>
      <w:proofErr w:type="spellEnd"/>
      <w:r w:rsidRPr="004A0212">
        <w:rPr>
          <w:rFonts w:cs="Arial"/>
        </w:rPr>
        <w:t xml:space="preserve"> Turi, </w:t>
      </w:r>
      <w:proofErr w:type="spellStart"/>
      <w:r w:rsidRPr="004A0212">
        <w:rPr>
          <w:rFonts w:cs="Arial"/>
        </w:rPr>
        <w:t>whaikaha</w:t>
      </w:r>
      <w:proofErr w:type="spellEnd"/>
      <w:r w:rsidRPr="004A0212">
        <w:rPr>
          <w:rFonts w:cs="Arial"/>
        </w:rPr>
        <w:t xml:space="preserve"> me </w:t>
      </w:r>
      <w:proofErr w:type="spellStart"/>
      <w:r w:rsidRPr="004A0212">
        <w:rPr>
          <w:rFonts w:cs="Arial"/>
        </w:rPr>
        <w:t>te</w:t>
      </w:r>
      <w:proofErr w:type="spellEnd"/>
      <w:r w:rsidRPr="004A0212">
        <w:rPr>
          <w:rFonts w:cs="Arial"/>
        </w:rPr>
        <w:t xml:space="preserve"> </w:t>
      </w:r>
      <w:proofErr w:type="spellStart"/>
      <w:r w:rsidRPr="004A0212">
        <w:rPr>
          <w:rFonts w:cs="Arial"/>
        </w:rPr>
        <w:t>hunga</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rongo</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wairangitanga</w:t>
      </w:r>
      <w:bookmarkEnd w:id="314"/>
      <w:bookmarkEnd w:id="315"/>
      <w:proofErr w:type="spellEnd"/>
    </w:p>
    <w:p w14:paraId="32E0FF65" w14:textId="165CE4F2" w:rsidR="00FC12BA" w:rsidRPr="004A0212" w:rsidRDefault="7A174ABE" w:rsidP="00B5599B">
      <w:pPr>
        <w:pStyle w:val="Heading2"/>
        <w:rPr>
          <w:rFonts w:cs="Arial"/>
        </w:rPr>
      </w:pPr>
      <w:bookmarkStart w:id="316" w:name="_Toc198447905"/>
      <w:bookmarkStart w:id="317" w:name="_Toc168638970"/>
      <w:r w:rsidRPr="004A0212">
        <w:rPr>
          <w:rFonts w:cs="Arial"/>
        </w:rPr>
        <w:t>Deaf</w:t>
      </w:r>
      <w:r w:rsidR="0DFD0725" w:rsidRPr="004A0212">
        <w:rPr>
          <w:rFonts w:cs="Arial"/>
        </w:rPr>
        <w:t>,</w:t>
      </w:r>
      <w:r w:rsidRPr="004A0212">
        <w:rPr>
          <w:rFonts w:cs="Arial"/>
        </w:rPr>
        <w:t xml:space="preserve"> disabled </w:t>
      </w:r>
      <w:r w:rsidR="4D538813" w:rsidRPr="004A0212">
        <w:rPr>
          <w:rFonts w:cs="Arial"/>
        </w:rPr>
        <w:t xml:space="preserve">and people </w:t>
      </w:r>
      <w:r w:rsidR="7A003269" w:rsidRPr="004A0212">
        <w:rPr>
          <w:rFonts w:cs="Arial"/>
        </w:rPr>
        <w:t>who experienced</w:t>
      </w:r>
      <w:r w:rsidR="4D538813" w:rsidRPr="004A0212">
        <w:rPr>
          <w:rFonts w:cs="Arial"/>
        </w:rPr>
        <w:t xml:space="preserve"> mental distress</w:t>
      </w:r>
      <w:bookmarkEnd w:id="316"/>
      <w:bookmarkEnd w:id="317"/>
    </w:p>
    <w:p w14:paraId="66764C45" w14:textId="0DB6AFBC" w:rsidR="478462AE" w:rsidRPr="004A0212" w:rsidRDefault="478462AE" w:rsidP="02397200">
      <w:pPr>
        <w:pStyle w:val="Heading3"/>
      </w:pPr>
      <w:bookmarkStart w:id="318" w:name="_Toc168638971"/>
      <w:r w:rsidRPr="004A0212">
        <w:t>Te whaikaha</w:t>
      </w:r>
      <w:bookmarkEnd w:id="318"/>
    </w:p>
    <w:p w14:paraId="3E2AF175" w14:textId="0B2C7564" w:rsidR="009C673E" w:rsidRPr="004A0212" w:rsidRDefault="62DCF051" w:rsidP="00D668D0">
      <w:pPr>
        <w:pStyle w:val="Heading3"/>
      </w:pPr>
      <w:bookmarkStart w:id="319" w:name="_Toc559406012"/>
      <w:bookmarkStart w:id="320" w:name="_Toc168638972"/>
      <w:r w:rsidRPr="004A0212">
        <w:t>Disability</w:t>
      </w:r>
      <w:bookmarkEnd w:id="319"/>
      <w:bookmarkEnd w:id="320"/>
    </w:p>
    <w:p w14:paraId="28FD41A7" w14:textId="3AA3EF95" w:rsidR="005A74A0" w:rsidRPr="004A0212" w:rsidRDefault="58B0DF92" w:rsidP="007D73A6">
      <w:pPr>
        <w:pStyle w:val="AllNumbparas"/>
      </w:pPr>
      <w:r w:rsidRPr="004A0212">
        <w:t>From</w:t>
      </w:r>
      <w:r w:rsidR="7897FB76" w:rsidRPr="004A0212">
        <w:t xml:space="preserve"> the 1940s, </w:t>
      </w:r>
      <w:r w:rsidR="6C63E65B" w:rsidRPr="004A0212">
        <w:t>there was a</w:t>
      </w:r>
      <w:r w:rsidR="1150F9A5" w:rsidRPr="004A0212">
        <w:t xml:space="preserve"> growing public concern about </w:t>
      </w:r>
      <w:r w:rsidR="74A25643" w:rsidRPr="004A0212">
        <w:t xml:space="preserve">disabled </w:t>
      </w:r>
      <w:r w:rsidR="1150F9A5" w:rsidRPr="004A0212">
        <w:t>people entering institutions</w:t>
      </w:r>
      <w:r w:rsidR="59F399E7" w:rsidRPr="004A0212">
        <w:t xml:space="preserve"> both nationally and internationally</w:t>
      </w:r>
      <w:r w:rsidR="1150F9A5" w:rsidRPr="004A0212">
        <w:t xml:space="preserve">. In 1949, the Intellectually Disabled Children’s Parent’s Association was founded and advocated for schools and community facilities to keep their </w:t>
      </w:r>
      <w:r w:rsidR="10F420E4" w:rsidRPr="004A0212">
        <w:t xml:space="preserve">children and young people </w:t>
      </w:r>
      <w:r w:rsidR="1150F9A5" w:rsidRPr="004A0212">
        <w:t>out of institutions.</w:t>
      </w:r>
      <w:r w:rsidR="005A74A0" w:rsidRPr="004A0212">
        <w:rPr>
          <w:rStyle w:val="StyleFootnoteReferenceFagoFunotenzeichenFagoFunotenzeichen"/>
        </w:rPr>
        <w:footnoteReference w:id="243"/>
      </w:r>
      <w:r w:rsidR="1150F9A5" w:rsidRPr="004A0212">
        <w:rPr>
          <w:vertAlign w:val="superscript"/>
        </w:rPr>
        <w:t xml:space="preserve"> </w:t>
      </w:r>
    </w:p>
    <w:p w14:paraId="6C9FD633" w14:textId="60E550D9" w:rsidR="008D26F0" w:rsidRPr="004A0212" w:rsidRDefault="57CE4F5A" w:rsidP="007D73A6">
      <w:pPr>
        <w:pStyle w:val="AllNumbparas"/>
      </w:pPr>
      <w:r w:rsidRPr="004A0212">
        <w:t>T</w:t>
      </w:r>
      <w:r w:rsidR="27566E0C" w:rsidRPr="004A0212">
        <w:t xml:space="preserve">he </w:t>
      </w:r>
      <w:r w:rsidR="3B392578" w:rsidRPr="004A0212">
        <w:t>Minister of Education</w:t>
      </w:r>
      <w:r w:rsidR="2F4C138C" w:rsidRPr="004A0212">
        <w:t>, Hon Ron</w:t>
      </w:r>
      <w:r w:rsidR="7A65D1DD" w:rsidRPr="004A0212">
        <w:t>ald Algie,</w:t>
      </w:r>
      <w:r w:rsidR="3B392578" w:rsidRPr="004A0212">
        <w:t xml:space="preserve"> set up </w:t>
      </w:r>
      <w:r w:rsidR="7E0B4A79" w:rsidRPr="004A0212">
        <w:t xml:space="preserve">a </w:t>
      </w:r>
      <w:r w:rsidR="4631CCE2" w:rsidRPr="004A0212">
        <w:t>Consultative Committee</w:t>
      </w:r>
      <w:r w:rsidR="3B392578" w:rsidRPr="004A0212">
        <w:t xml:space="preserve"> </w:t>
      </w:r>
      <w:r w:rsidR="640E0686" w:rsidRPr="004A0212">
        <w:rPr>
          <w:color w:val="auto"/>
        </w:rPr>
        <w:t xml:space="preserve">in </w:t>
      </w:r>
      <w:r w:rsidR="247F7015" w:rsidRPr="004A0212">
        <w:rPr>
          <w:color w:val="auto"/>
        </w:rPr>
        <w:t xml:space="preserve">1951 </w:t>
      </w:r>
      <w:r w:rsidR="3B392578" w:rsidRPr="004A0212">
        <w:t xml:space="preserve">to review </w:t>
      </w:r>
      <w:r w:rsidR="640E0686" w:rsidRPr="004A0212">
        <w:t xml:space="preserve">education for disabled people. This was </w:t>
      </w:r>
      <w:r w:rsidR="4631CCE2" w:rsidRPr="004A0212">
        <w:t xml:space="preserve">led by </w:t>
      </w:r>
      <w:r w:rsidR="6C63E65B" w:rsidRPr="004A0212">
        <w:t>Dr Robert</w:t>
      </w:r>
      <w:r w:rsidR="4631CCE2" w:rsidRPr="004A0212">
        <w:t xml:space="preserve"> Aitken</w:t>
      </w:r>
      <w:r w:rsidR="640E0686" w:rsidRPr="004A0212">
        <w:t xml:space="preserve"> and </w:t>
      </w:r>
      <w:r w:rsidR="6B87EF31" w:rsidRPr="004A0212">
        <w:t xml:space="preserve">the resulting report </w:t>
      </w:r>
      <w:r w:rsidR="640E0686" w:rsidRPr="004A0212">
        <w:t xml:space="preserve">became known as the Aitken Report. </w:t>
      </w:r>
      <w:r w:rsidRPr="004A0212">
        <w:t xml:space="preserve">The Aitken </w:t>
      </w:r>
      <w:r w:rsidR="550CBCE6" w:rsidRPr="004A0212">
        <w:t>R</w:t>
      </w:r>
      <w:r w:rsidRPr="004A0212">
        <w:t xml:space="preserve">eport promoted putting disabled </w:t>
      </w:r>
      <w:r w:rsidR="550CBCE6" w:rsidRPr="004A0212">
        <w:t>children, young people</w:t>
      </w:r>
      <w:r w:rsidRPr="004A0212">
        <w:t xml:space="preserve"> and adults into large-scale </w:t>
      </w:r>
      <w:r w:rsidR="4AB91D16" w:rsidRPr="004A0212">
        <w:t>facilities</w:t>
      </w:r>
      <w:r w:rsidRPr="004A0212">
        <w:t xml:space="preserve"> (approximately 400 to 500 people) as the best model of care.</w:t>
      </w:r>
      <w:r w:rsidR="005E0F68" w:rsidRPr="004A0212">
        <w:rPr>
          <w:rStyle w:val="StyleFootnoteReferenceFagoFunotenzeichenFagoFunotenzeichen"/>
        </w:rPr>
        <w:footnoteReference w:id="244"/>
      </w:r>
      <w:r w:rsidRPr="004A0212">
        <w:t xml:space="preserve"> </w:t>
      </w:r>
    </w:p>
    <w:p w14:paraId="2CA44ACF" w14:textId="04C7DD87" w:rsidR="00082415" w:rsidRPr="004A0212" w:rsidRDefault="11F28808" w:rsidP="007D73A6">
      <w:pPr>
        <w:pStyle w:val="AllNumbparas"/>
      </w:pPr>
      <w:r w:rsidRPr="004A0212">
        <w:t xml:space="preserve">The New Zealand Branch of the British Medical Association released a report in 1959 (known as the Burns </w:t>
      </w:r>
      <w:r w:rsidR="4BE544A0" w:rsidRPr="004A0212">
        <w:t>R</w:t>
      </w:r>
      <w:r w:rsidRPr="004A0212">
        <w:t xml:space="preserve">eport) criticising the </w:t>
      </w:r>
      <w:r w:rsidR="4BE544A0" w:rsidRPr="004A0212">
        <w:t>State’s</w:t>
      </w:r>
      <w:r w:rsidRPr="004A0212">
        <w:t xml:space="preserve"> policy of putting people into institutions. The report instead advocated for community-based care. </w:t>
      </w:r>
    </w:p>
    <w:p w14:paraId="6DA1DCA0" w14:textId="54CBEA43" w:rsidR="002F5D00" w:rsidRPr="004A0212" w:rsidRDefault="11F28808" w:rsidP="007D73A6">
      <w:pPr>
        <w:pStyle w:val="AllNumbparas"/>
      </w:pPr>
      <w:r w:rsidRPr="004A0212">
        <w:t xml:space="preserve">The </w:t>
      </w:r>
      <w:r w:rsidR="4BE544A0" w:rsidRPr="004A0212">
        <w:t>Burns R</w:t>
      </w:r>
      <w:r w:rsidRPr="004A0212">
        <w:t xml:space="preserve">eport described the </w:t>
      </w:r>
      <w:r w:rsidR="2833AB41" w:rsidRPr="004A0212">
        <w:t>State’s</w:t>
      </w:r>
      <w:r w:rsidRPr="004A0212">
        <w:t xml:space="preserve"> policies towards children with learning disabilities as “based on outworn and outmoded ideas” and doing little to improve the lives of disabled people.</w:t>
      </w:r>
      <w:r w:rsidR="002F5D00" w:rsidRPr="004A0212">
        <w:rPr>
          <w:rStyle w:val="StyleFootnoteReferenceFagoFunotenzeichenFagoFunotenzeichen"/>
        </w:rPr>
        <w:footnoteReference w:id="245"/>
      </w:r>
      <w:r w:rsidRPr="004A0212">
        <w:t xml:space="preserve"> It was particularly critical of the practice of admitting very young children into institutions.</w:t>
      </w:r>
      <w:r w:rsidR="002F5D00" w:rsidRPr="004A0212">
        <w:rPr>
          <w:rStyle w:val="StyleFootnoteReferenceFagoFunotenzeichenFagoFunotenzeichen"/>
        </w:rPr>
        <w:footnoteReference w:id="246"/>
      </w:r>
      <w:r w:rsidRPr="004A0212">
        <w:rPr>
          <w:rStyle w:val="normaltextrun"/>
        </w:rPr>
        <w:t xml:space="preserve"> </w:t>
      </w:r>
    </w:p>
    <w:p w14:paraId="584ED174" w14:textId="77777777" w:rsidR="000A053C" w:rsidRPr="004A0212" w:rsidRDefault="009D05E4" w:rsidP="007D73A6">
      <w:pPr>
        <w:pStyle w:val="AllNumbparas"/>
      </w:pPr>
      <w:r w:rsidRPr="004A0212">
        <w:t>Despite this growing public and professional concern, h</w:t>
      </w:r>
      <w:r w:rsidR="00BE3836" w:rsidRPr="004A0212">
        <w:t xml:space="preserve">ealth policy for disabled people </w:t>
      </w:r>
      <w:r w:rsidR="00D55D25" w:rsidRPr="004A0212">
        <w:t>from</w:t>
      </w:r>
      <w:r w:rsidR="00BE3836" w:rsidRPr="004A0212">
        <w:t xml:space="preserve"> 1952 </w:t>
      </w:r>
      <w:r w:rsidR="00D55D25" w:rsidRPr="004A0212">
        <w:t>to</w:t>
      </w:r>
      <w:r w:rsidR="00BE3836" w:rsidRPr="004A0212">
        <w:t xml:space="preserve"> 1972 largely followed the direction of the Ai</w:t>
      </w:r>
      <w:r w:rsidR="00BE3836" w:rsidRPr="004A0212">
        <w:rPr>
          <w:rStyle w:val="normaltextrun"/>
        </w:rPr>
        <w:t xml:space="preserve">tken </w:t>
      </w:r>
      <w:r w:rsidR="00D55D25" w:rsidRPr="004A0212">
        <w:rPr>
          <w:rStyle w:val="normaltextrun"/>
        </w:rPr>
        <w:t>R</w:t>
      </w:r>
      <w:r w:rsidR="00FE161D" w:rsidRPr="004A0212">
        <w:rPr>
          <w:rStyle w:val="normaltextrun"/>
        </w:rPr>
        <w:t>eport</w:t>
      </w:r>
      <w:r w:rsidR="00BE3836" w:rsidRPr="004A0212">
        <w:rPr>
          <w:rStyle w:val="normaltextrun"/>
        </w:rPr>
        <w:t>.</w:t>
      </w:r>
      <w:r w:rsidR="00BE3836" w:rsidRPr="004A0212">
        <w:rPr>
          <w:rStyle w:val="StyleFootnoteReferenceFagoFunotenzeichenFagoFunotenzeichen"/>
        </w:rPr>
        <w:footnoteReference w:id="247"/>
      </w:r>
      <w:r w:rsidR="00BE3836" w:rsidRPr="004A0212">
        <w:rPr>
          <w:rStyle w:val="normaltextrun"/>
        </w:rPr>
        <w:t xml:space="preserve"> </w:t>
      </w:r>
      <w:r w:rsidRPr="004A0212">
        <w:t xml:space="preserve">Following </w:t>
      </w:r>
      <w:r w:rsidR="00ED4D50" w:rsidRPr="004A0212">
        <w:t>its</w:t>
      </w:r>
      <w:r w:rsidRPr="004A0212">
        <w:t xml:space="preserve"> publication, and until the early 1970s, large-scale institutions became the </w:t>
      </w:r>
      <w:r w:rsidR="00ED4D50" w:rsidRPr="004A0212">
        <w:t>S</w:t>
      </w:r>
      <w:r w:rsidRPr="004A0212">
        <w:t>tate’s preferred option for housing disabled people, particularly those with learning disabilit</w:t>
      </w:r>
      <w:r w:rsidR="00AB77DC" w:rsidRPr="004A0212">
        <w:t>ies</w:t>
      </w:r>
      <w:r w:rsidRPr="004A0212">
        <w:t>.</w:t>
      </w:r>
      <w:r w:rsidRPr="004A0212">
        <w:rPr>
          <w:rStyle w:val="StyleFootnoteReferenceFagoFunotenzeichenFagoFunotenzeichen"/>
        </w:rPr>
        <w:footnoteReference w:id="248"/>
      </w:r>
      <w:r w:rsidRPr="004A0212">
        <w:t xml:space="preserve"> </w:t>
      </w:r>
    </w:p>
    <w:p w14:paraId="19850CBD" w14:textId="1038F166" w:rsidR="003046AA" w:rsidRPr="004A0212" w:rsidRDefault="00183B3D" w:rsidP="003046AA">
      <w:pPr>
        <w:pStyle w:val="AllNumbparas"/>
      </w:pPr>
      <w:r w:rsidRPr="004A0212">
        <w:t>In 1967 the</w:t>
      </w:r>
      <w:r w:rsidRPr="004A0212" w:rsidDel="002C4AFE">
        <w:t xml:space="preserve"> </w:t>
      </w:r>
      <w:r w:rsidRPr="004A0212">
        <w:t>Government set up a royal commission of inquiry to look at developing a scheme to ensure people who acquired a disability had fair and equal access to income support, care and treatment.</w:t>
      </w:r>
      <w:r w:rsidRPr="004A0212">
        <w:rPr>
          <w:rStyle w:val="StyleFootnoteReferenceFagoFunotenzeichenFagoFunotenzeichen"/>
        </w:rPr>
        <w:footnoteReference w:id="249"/>
      </w:r>
      <w:r w:rsidRPr="004A0212">
        <w:rPr>
          <w:rStyle w:val="StyleFootnoteReferenceFagoFunotenzeichenFagoFunotenzeichen"/>
        </w:rPr>
        <w:t xml:space="preserve"> </w:t>
      </w:r>
      <w:r w:rsidRPr="004A0212">
        <w:t>The resulting report, known as the Woodhouse Report, recommended a public insurance scheme where people would get ongoing care and support from a single system, no matter how they acquired their impairment (whether through an accident or otherwise), what their age was, or whether they were working.</w:t>
      </w:r>
      <w:r w:rsidRPr="004A0212">
        <w:rPr>
          <w:rStyle w:val="StyleFootnoteReferenceFagoFunotenzeichenFagoFunotenzeichen"/>
        </w:rPr>
        <w:footnoteReference w:id="250"/>
      </w:r>
      <w:r w:rsidRPr="004A0212">
        <w:rPr>
          <w:rStyle w:val="StyleFootnoteReferenceFagoFunotenzeichenFagoFunotenzeichen"/>
        </w:rPr>
        <w:t xml:space="preserve"> </w:t>
      </w:r>
      <w:r w:rsidRPr="004A0212">
        <w:t>The Woodhouse Report eventually led to the establishment of the Accident Compensation Corporation (ACC) in 1974.</w:t>
      </w:r>
      <w:r w:rsidR="003046AA" w:rsidRPr="004A0212">
        <w:t xml:space="preserve">  The original recommendations in the Woodhouse Report were for the system to include support for people whose impairments did not result from an accident – these were never fully implemented, and the resulting system created ongoing inequities between people disabled by accident, and people with who acquired their disability in other ways.</w:t>
      </w:r>
      <w:r w:rsidR="003046AA" w:rsidRPr="004A0212">
        <w:rPr>
          <w:rStyle w:val="StyleFootnoteReferenceFagoFunotenzeichenFagoFunotenzeichen"/>
        </w:rPr>
        <w:footnoteReference w:id="251"/>
      </w:r>
      <w:r w:rsidR="003046AA" w:rsidRPr="004A0212">
        <w:t xml:space="preserve"> </w:t>
      </w:r>
    </w:p>
    <w:p w14:paraId="7272CAB2" w14:textId="3F908C35" w:rsidR="408CF183" w:rsidRPr="004A0212" w:rsidRDefault="408CF183" w:rsidP="005F479A">
      <w:pPr>
        <w:pStyle w:val="Heading3"/>
      </w:pPr>
      <w:bookmarkStart w:id="321" w:name="_Toc168638973"/>
      <w:proofErr w:type="spellStart"/>
      <w:r w:rsidRPr="004A0212">
        <w:t>Te</w:t>
      </w:r>
      <w:proofErr w:type="spellEnd"/>
      <w:r w:rsidRPr="004A0212">
        <w:t xml:space="preserve"> </w:t>
      </w:r>
      <w:proofErr w:type="spellStart"/>
      <w:r w:rsidRPr="004A0212">
        <w:t>wairangitanga</w:t>
      </w:r>
      <w:bookmarkEnd w:id="321"/>
      <w:proofErr w:type="spellEnd"/>
    </w:p>
    <w:p w14:paraId="2A2B4E86" w14:textId="295A3A83" w:rsidR="00187968" w:rsidRPr="004A0212" w:rsidRDefault="0DC92FA5" w:rsidP="00D668D0">
      <w:pPr>
        <w:pStyle w:val="Heading3"/>
      </w:pPr>
      <w:bookmarkStart w:id="322" w:name="_Toc1083863325"/>
      <w:bookmarkStart w:id="323" w:name="_Toc168638974"/>
      <w:r w:rsidRPr="004A0212">
        <w:t>Mental distress</w:t>
      </w:r>
      <w:bookmarkEnd w:id="322"/>
      <w:bookmarkEnd w:id="323"/>
    </w:p>
    <w:p w14:paraId="4D622436" w14:textId="77777777" w:rsidR="00FD7498" w:rsidRPr="004A0212" w:rsidRDefault="6643EE1A" w:rsidP="00FD7498">
      <w:pPr>
        <w:pStyle w:val="AllNumbparas"/>
      </w:pPr>
      <w:r w:rsidRPr="004A0212">
        <w:t>Rates of admissions to psychiatric hospitals peaked in Aotearoa New Zealand during the 1940s and the 1950s, a time when rates of institutionalisation for mental distress among non-Māori were among the highest in the world.</w:t>
      </w:r>
      <w:r w:rsidR="00FD7498" w:rsidRPr="004A0212">
        <w:rPr>
          <w:rStyle w:val="StyleFootnoteReferenceFagoFunotenzeichenFagoFunotenzeichen"/>
        </w:rPr>
        <w:footnoteReference w:id="252"/>
      </w:r>
      <w:r w:rsidRPr="004A0212">
        <w:t xml:space="preserve"> </w:t>
      </w:r>
    </w:p>
    <w:p w14:paraId="0A86ECA6" w14:textId="4CFB9E2B" w:rsidR="005F479A" w:rsidRPr="004A0212" w:rsidRDefault="1B35B5AB" w:rsidP="028A5F3E">
      <w:pPr>
        <w:pStyle w:val="AllNumbparas"/>
        <w:rPr>
          <w:sz w:val="28"/>
          <w:szCs w:val="28"/>
        </w:rPr>
      </w:pPr>
      <w:r w:rsidRPr="004A0212">
        <w:t xml:space="preserve">At the end of 1953, there was a combined total of 9,742 people in the country’s psychiatric hospitals </w:t>
      </w:r>
      <w:r w:rsidR="2BD9082D" w:rsidRPr="004A0212">
        <w:t>–</w:t>
      </w:r>
      <w:r w:rsidRPr="004A0212">
        <w:t xml:space="preserve"> a population average of 478 per 100,000 of population.</w:t>
      </w:r>
      <w:r w:rsidR="00FD7498" w:rsidRPr="004A0212">
        <w:rPr>
          <w:rStyle w:val="StyleFootnoteReferenceFagoFunotenzeichenFagoFunotenzeichen"/>
        </w:rPr>
        <w:footnoteReference w:id="253"/>
      </w:r>
      <w:r w:rsidRPr="004A0212">
        <w:t xml:space="preserve"> These numbers fell over the next few decades, partly due to the introduction of new and effective drugs to treat common conditions such as depression and schizophrenia, as well as the growing popularity of individual and group therapy.</w:t>
      </w:r>
      <w:r w:rsidR="00FD7498" w:rsidRPr="004A0212">
        <w:rPr>
          <w:rStyle w:val="StyleFootnoteReferenceFagoFunotenzeichenFagoFunotenzeichen"/>
        </w:rPr>
        <w:footnoteReference w:id="254"/>
      </w:r>
    </w:p>
    <w:p w14:paraId="6BEFC829" w14:textId="4CD17D4C" w:rsidR="00353BEB" w:rsidRPr="004A0212" w:rsidRDefault="00B0236A" w:rsidP="00B0236A">
      <w:pPr>
        <w:pStyle w:val="AllNumbparas"/>
        <w:numPr>
          <w:ilvl w:val="0"/>
          <w:numId w:val="0"/>
        </w:numPr>
        <w:ind w:left="851"/>
        <w:rPr>
          <w:sz w:val="28"/>
          <w:szCs w:val="28"/>
        </w:rPr>
      </w:pPr>
      <w:r>
        <w:t>[</w:t>
      </w:r>
      <w:r w:rsidR="00D06DDE">
        <w:rPr>
          <w:rStyle w:val="ui-provider"/>
        </w:rPr>
        <w:t xml:space="preserve">Thank goodness those places have gone but the issue remains the same – no one listens. We must listen to those with mental health issues." Ms OF, Māori Ngāti </w:t>
      </w:r>
      <w:proofErr w:type="spellStart"/>
      <w:r w:rsidR="00D06DDE">
        <w:rPr>
          <w:rStyle w:val="ui-provider"/>
        </w:rPr>
        <w:t>Kahungunu</w:t>
      </w:r>
      <w:proofErr w:type="spellEnd"/>
      <w:r>
        <w:t>]</w:t>
      </w:r>
    </w:p>
    <w:p w14:paraId="7379D62F" w14:textId="75314177" w:rsidR="00FD7498" w:rsidRPr="004A0212" w:rsidRDefault="26655D6E" w:rsidP="005F479A">
      <w:pPr>
        <w:pStyle w:val="Heading3"/>
      </w:pPr>
      <w:bookmarkStart w:id="324" w:name="_Toc168638975"/>
      <w:proofErr w:type="spellStart"/>
      <w:r w:rsidRPr="004A0212">
        <w:t>T</w:t>
      </w:r>
      <w:r w:rsidR="355903C6" w:rsidRPr="004A0212">
        <w:t>e</w:t>
      </w:r>
      <w:proofErr w:type="spellEnd"/>
      <w:r w:rsidR="355903C6" w:rsidRPr="004A0212">
        <w:t xml:space="preserve"> </w:t>
      </w:r>
      <w:proofErr w:type="spellStart"/>
      <w:r w:rsidR="355903C6" w:rsidRPr="004A0212">
        <w:t>hunga</w:t>
      </w:r>
      <w:proofErr w:type="spellEnd"/>
      <w:r w:rsidR="355903C6" w:rsidRPr="004A0212">
        <w:t xml:space="preserve"> Turi</w:t>
      </w:r>
      <w:bookmarkEnd w:id="324"/>
    </w:p>
    <w:p w14:paraId="53CC8C04" w14:textId="6EF2BFE0" w:rsidR="00187968" w:rsidRPr="004A0212" w:rsidRDefault="0DC92FA5" w:rsidP="00D668D0">
      <w:pPr>
        <w:pStyle w:val="Heading3"/>
      </w:pPr>
      <w:bookmarkStart w:id="325" w:name="_Toc825008280"/>
      <w:bookmarkStart w:id="326" w:name="_Toc168638976"/>
      <w:r w:rsidRPr="004A0212">
        <w:t>Deaf</w:t>
      </w:r>
      <w:bookmarkEnd w:id="325"/>
      <w:bookmarkEnd w:id="326"/>
    </w:p>
    <w:p w14:paraId="7A3D0B98" w14:textId="4D836453" w:rsidR="007C29D9" w:rsidRPr="004A0212" w:rsidRDefault="438AC2AB" w:rsidP="00536E67">
      <w:pPr>
        <w:pStyle w:val="AllNumbparas"/>
      </w:pPr>
      <w:r w:rsidRPr="004A0212">
        <w:t xml:space="preserve">Kelston School for Deaf </w:t>
      </w:r>
      <w:r w:rsidR="7A65D1DD" w:rsidRPr="004A0212">
        <w:t xml:space="preserve">children </w:t>
      </w:r>
      <w:r w:rsidRPr="004A0212">
        <w:t xml:space="preserve">was established in 1958 in </w:t>
      </w:r>
      <w:r w:rsidR="436BCCD3" w:rsidRPr="004A0212">
        <w:t xml:space="preserve">Tāmaki Makaurau </w:t>
      </w:r>
      <w:r w:rsidRPr="004A0212">
        <w:t>Auckland</w:t>
      </w:r>
      <w:r w:rsidR="68F9426B" w:rsidRPr="004A0212">
        <w:t>,</w:t>
      </w:r>
      <w:r w:rsidRPr="004A0212">
        <w:t xml:space="preserve"> replacing temporary State schools for Deaf </w:t>
      </w:r>
      <w:r w:rsidR="0F9C5C64" w:rsidRPr="004A0212">
        <w:t>children</w:t>
      </w:r>
      <w:r w:rsidR="5631D033" w:rsidRPr="004A0212">
        <w:t xml:space="preserve"> and young people</w:t>
      </w:r>
      <w:r w:rsidR="0F9C5C64" w:rsidRPr="004A0212">
        <w:t xml:space="preserve"> </w:t>
      </w:r>
      <w:r w:rsidRPr="004A0212">
        <w:t>at Mount Wellington and Titirangi (</w:t>
      </w:r>
      <w:proofErr w:type="spellStart"/>
      <w:r w:rsidRPr="004A0212">
        <w:t>Lopdell</w:t>
      </w:r>
      <w:proofErr w:type="spellEnd"/>
      <w:r w:rsidRPr="004A0212">
        <w:t xml:space="preserve"> House). </w:t>
      </w:r>
      <w:r w:rsidR="004731FE" w:rsidRPr="004A0212">
        <w:t>Like</w:t>
      </w:r>
      <w:r w:rsidR="2A8767A0" w:rsidRPr="004A0212">
        <w:t xml:space="preserve"> Sumner </w:t>
      </w:r>
      <w:r w:rsidR="7C8E501A" w:rsidRPr="004A0212">
        <w:t xml:space="preserve">in </w:t>
      </w:r>
      <w:proofErr w:type="spellStart"/>
      <w:r w:rsidR="5C666A80" w:rsidRPr="004A0212">
        <w:rPr>
          <w:color w:val="4D5156"/>
        </w:rPr>
        <w:t>Ō</w:t>
      </w:r>
      <w:r w:rsidR="7C8E501A" w:rsidRPr="004A0212">
        <w:t>t</w:t>
      </w:r>
      <w:r w:rsidR="004731FE" w:rsidRPr="004A0212">
        <w:t>a</w:t>
      </w:r>
      <w:r w:rsidR="7C8E501A" w:rsidRPr="004A0212">
        <w:t>utah</w:t>
      </w:r>
      <w:r w:rsidR="13ABD8E9" w:rsidRPr="004A0212">
        <w:t>i</w:t>
      </w:r>
      <w:proofErr w:type="spellEnd"/>
      <w:r w:rsidR="7C8E501A" w:rsidRPr="004A0212">
        <w:t xml:space="preserve"> Christchurch</w:t>
      </w:r>
      <w:r w:rsidR="16BF07A8" w:rsidRPr="004A0212">
        <w:t xml:space="preserve">, </w:t>
      </w:r>
      <w:r w:rsidR="6B20DB30" w:rsidRPr="004A0212">
        <w:t>(</w:t>
      </w:r>
      <w:r w:rsidR="5C666A80" w:rsidRPr="004A0212">
        <w:t>later named v</w:t>
      </w:r>
      <w:r w:rsidRPr="004A0212">
        <w:t>an Asch</w:t>
      </w:r>
      <w:r w:rsidR="6B20DB30" w:rsidRPr="004A0212">
        <w:t xml:space="preserve"> college </w:t>
      </w:r>
      <w:r w:rsidR="5C666A80" w:rsidRPr="004A0212">
        <w:t xml:space="preserve">and then Van Asch Deaf Education </w:t>
      </w:r>
      <w:proofErr w:type="spellStart"/>
      <w:r w:rsidR="5C666A80" w:rsidRPr="004A0212">
        <w:t>Center</w:t>
      </w:r>
      <w:proofErr w:type="spellEnd"/>
      <w:r w:rsidR="5C666A80" w:rsidRPr="004A0212">
        <w:t>)</w:t>
      </w:r>
      <w:r w:rsidRPr="004A0212">
        <w:t>, Kelston</w:t>
      </w:r>
      <w:r w:rsidR="5C666A80" w:rsidRPr="004A0212">
        <w:t xml:space="preserve"> School</w:t>
      </w:r>
      <w:r w:rsidRPr="004A0212">
        <w:t xml:space="preserve"> followed the oralist method of education. Two epidemics of maternal rubella in the 1960s increased Deaf student numbers, with maternal rubella thought to account for half of hearing loss in the 1960s.</w:t>
      </w:r>
      <w:r w:rsidR="24E6DD97" w:rsidRPr="004A0212">
        <w:t xml:space="preserve"> </w:t>
      </w:r>
      <w:r w:rsidR="0EE5AFA8" w:rsidRPr="004A0212">
        <w:t xml:space="preserve">Kelston School </w:t>
      </w:r>
      <w:r w:rsidR="24E6DD97" w:rsidRPr="004A0212">
        <w:t>had a high proportion of t</w:t>
      </w:r>
      <w:r w:rsidR="23EB4304" w:rsidRPr="004A0212">
        <w:t>ā</w:t>
      </w:r>
      <w:r w:rsidR="24E6DD97" w:rsidRPr="004A0212">
        <w:t xml:space="preserve">ngata </w:t>
      </w:r>
      <w:r w:rsidR="656B638A" w:rsidRPr="004A0212">
        <w:t>T</w:t>
      </w:r>
      <w:r w:rsidR="24E6DD97" w:rsidRPr="004A0212">
        <w:t>uri and Pacific students. In 1974, 35 percent of students at Kelston</w:t>
      </w:r>
      <w:r w:rsidR="64FE99C7" w:rsidRPr="004A0212">
        <w:t xml:space="preserve"> School</w:t>
      </w:r>
      <w:r w:rsidR="24E6DD97" w:rsidRPr="004A0212">
        <w:t xml:space="preserve"> were recorded as </w:t>
      </w:r>
      <w:r w:rsidR="15D0356D" w:rsidRPr="004A0212">
        <w:t>“</w:t>
      </w:r>
      <w:r w:rsidR="24E6DD97" w:rsidRPr="004A0212">
        <w:t>Polynesian</w:t>
      </w:r>
      <w:r w:rsidR="15D0356D" w:rsidRPr="004A0212">
        <w:t>”</w:t>
      </w:r>
      <w:r w:rsidR="24E6DD97" w:rsidRPr="004A0212">
        <w:t>.</w:t>
      </w:r>
      <w:r w:rsidR="004A3688" w:rsidRPr="004A0212">
        <w:rPr>
          <w:rStyle w:val="StyleFootnoteReferenceFagoFunotenzeichenFagoFunotenzeichen"/>
        </w:rPr>
        <w:footnoteReference w:id="255"/>
      </w:r>
      <w:r w:rsidR="24E6DD97" w:rsidRPr="004A0212">
        <w:rPr>
          <w:rStyle w:val="StyleFootnoteReferenceFagoFunotenzeichenFagoFunotenzeichen"/>
        </w:rPr>
        <w:t xml:space="preserve"> </w:t>
      </w:r>
      <w:r w:rsidR="24E6DD97" w:rsidRPr="004A0212">
        <w:t xml:space="preserve">As with </w:t>
      </w:r>
      <w:r w:rsidR="006D4663">
        <w:t>V</w:t>
      </w:r>
      <w:r w:rsidR="24E6DD97" w:rsidRPr="004A0212">
        <w:t>an Asch</w:t>
      </w:r>
      <w:r w:rsidR="5C666A80" w:rsidRPr="004A0212">
        <w:t xml:space="preserve"> </w:t>
      </w:r>
      <w:r w:rsidR="00D706EF">
        <w:t>C</w:t>
      </w:r>
      <w:r w:rsidR="5C666A80" w:rsidRPr="004A0212">
        <w:t>ollege</w:t>
      </w:r>
      <w:r w:rsidR="24E6DD97" w:rsidRPr="004A0212">
        <w:t xml:space="preserve">, </w:t>
      </w:r>
      <w:r w:rsidR="1844D0AC" w:rsidRPr="004A0212">
        <w:t>“</w:t>
      </w:r>
      <w:r w:rsidR="24E6DD97" w:rsidRPr="004A0212">
        <w:t>Polynesian</w:t>
      </w:r>
      <w:r w:rsidR="1844D0AC" w:rsidRPr="004A0212">
        <w:t>”</w:t>
      </w:r>
      <w:r w:rsidR="24E6DD97" w:rsidRPr="004A0212">
        <w:t xml:space="preserve"> was not defined.</w:t>
      </w:r>
    </w:p>
    <w:p w14:paraId="3F0AC3A7" w14:textId="54B74E53" w:rsidR="009F12D2" w:rsidRPr="004A0212" w:rsidRDefault="341E3D96" w:rsidP="009F12D2">
      <w:pPr>
        <w:pStyle w:val="Heading2"/>
        <w:rPr>
          <w:rFonts w:cs="Arial"/>
        </w:rPr>
      </w:pPr>
      <w:bookmarkStart w:id="327" w:name="_Toc1817107774"/>
      <w:bookmarkStart w:id="328" w:name="_Toc168638977"/>
      <w:r w:rsidRPr="004A0212">
        <w:rPr>
          <w:rFonts w:cs="Arial"/>
        </w:rPr>
        <w:t xml:space="preserve">I </w:t>
      </w:r>
      <w:r w:rsidR="4F50E5E5" w:rsidRPr="004A0212">
        <w:rPr>
          <w:rFonts w:cs="Arial"/>
        </w:rPr>
        <w:t xml:space="preserve">kaha </w:t>
      </w:r>
      <w:proofErr w:type="spellStart"/>
      <w:r w:rsidR="4F50E5E5" w:rsidRPr="004A0212">
        <w:rPr>
          <w:rFonts w:cs="Arial"/>
        </w:rPr>
        <w:t>te</w:t>
      </w:r>
      <w:proofErr w:type="spellEnd"/>
      <w:r w:rsidRPr="004A0212">
        <w:rPr>
          <w:rFonts w:cs="Arial"/>
        </w:rPr>
        <w:t xml:space="preserve"> </w:t>
      </w:r>
      <w:proofErr w:type="spellStart"/>
      <w:r w:rsidRPr="004A0212">
        <w:rPr>
          <w:rFonts w:cs="Arial"/>
        </w:rPr>
        <w:t>whāia</w:t>
      </w:r>
      <w:proofErr w:type="spellEnd"/>
      <w:r w:rsidRPr="004A0212">
        <w:rPr>
          <w:rFonts w:cs="Arial"/>
        </w:rPr>
        <w:t xml:space="preserve"> o </w:t>
      </w:r>
      <w:proofErr w:type="spellStart"/>
      <w:r w:rsidRPr="004A0212">
        <w:rPr>
          <w:rFonts w:cs="Arial"/>
        </w:rPr>
        <w:t>ngāi</w:t>
      </w:r>
      <w:proofErr w:type="spellEnd"/>
      <w:r w:rsidRPr="004A0212">
        <w:rPr>
          <w:rFonts w:cs="Arial"/>
        </w:rPr>
        <w:t xml:space="preserve"> Pasifika </w:t>
      </w:r>
      <w:r w:rsidR="49563B7C" w:rsidRPr="004A0212">
        <w:rPr>
          <w:rFonts w:cs="Arial"/>
        </w:rPr>
        <w:t>|</w:t>
      </w:r>
      <w:r w:rsidRPr="004A0212">
        <w:rPr>
          <w:rFonts w:cs="Arial"/>
        </w:rPr>
        <w:t xml:space="preserve"> </w:t>
      </w:r>
      <w:bookmarkStart w:id="329" w:name="_Toc150933140"/>
      <w:bookmarkStart w:id="330" w:name="_Toc150953457"/>
      <w:r w:rsidR="1898AFBA" w:rsidRPr="004A0212">
        <w:rPr>
          <w:rFonts w:cs="Arial"/>
        </w:rPr>
        <w:t xml:space="preserve">Pacific </w:t>
      </w:r>
      <w:r w:rsidR="76FDA03D" w:rsidRPr="004A0212">
        <w:rPr>
          <w:rFonts w:cs="Arial"/>
        </w:rPr>
        <w:t>P</w:t>
      </w:r>
      <w:r w:rsidR="52B73637" w:rsidRPr="004A0212">
        <w:rPr>
          <w:rFonts w:cs="Arial"/>
        </w:rPr>
        <w:t>eoples</w:t>
      </w:r>
      <w:r w:rsidR="25249169" w:rsidRPr="004A0212">
        <w:rPr>
          <w:rFonts w:cs="Arial"/>
        </w:rPr>
        <w:t xml:space="preserve"> increasingly </w:t>
      </w:r>
      <w:bookmarkEnd w:id="329"/>
      <w:bookmarkEnd w:id="330"/>
      <w:r w:rsidR="494FD4D3" w:rsidRPr="004A0212">
        <w:rPr>
          <w:rFonts w:cs="Arial"/>
        </w:rPr>
        <w:t>targeted</w:t>
      </w:r>
      <w:bookmarkEnd w:id="327"/>
      <w:bookmarkEnd w:id="328"/>
      <w:r w:rsidR="494FD4D3" w:rsidRPr="004A0212">
        <w:rPr>
          <w:rFonts w:cs="Arial"/>
        </w:rPr>
        <w:t xml:space="preserve"> </w:t>
      </w:r>
    </w:p>
    <w:p w14:paraId="5DC708F4" w14:textId="295C039B" w:rsidR="00A3037A" w:rsidRPr="004A0212" w:rsidRDefault="1898AFBA" w:rsidP="00814720">
      <w:pPr>
        <w:pStyle w:val="AllNumbparas"/>
        <w:rPr>
          <w:rStyle w:val="StyleFootnoteReferenceFagoFunotenzeichenFagoFunotenzeichen"/>
        </w:rPr>
      </w:pPr>
      <w:r w:rsidRPr="004A0212">
        <w:t xml:space="preserve">As more Pacific families migrated </w:t>
      </w:r>
      <w:r w:rsidR="405D9F12" w:rsidRPr="004A0212">
        <w:t xml:space="preserve">to Aotearoa New Zealand </w:t>
      </w:r>
      <w:r w:rsidRPr="004A0212">
        <w:t xml:space="preserve">and settled in urban areas, Pacific </w:t>
      </w:r>
      <w:r w:rsidR="0542A46F" w:rsidRPr="004A0212">
        <w:t xml:space="preserve">children </w:t>
      </w:r>
      <w:r w:rsidR="636ECD7B" w:rsidRPr="004A0212">
        <w:t>and</w:t>
      </w:r>
      <w:r w:rsidR="3115B082" w:rsidRPr="004A0212">
        <w:t xml:space="preserve"> young people </w:t>
      </w:r>
      <w:r w:rsidRPr="004A0212">
        <w:t>became more visible to authorities. Over</w:t>
      </w:r>
      <w:r w:rsidR="34FF9167" w:rsidRPr="004A0212">
        <w:t xml:space="preserve"> </w:t>
      </w:r>
      <w:r w:rsidRPr="004A0212">
        <w:t>surveillance led to increased court appearances and reports of abuse and neglect in Pacific families.</w:t>
      </w:r>
      <w:r w:rsidR="009F12D2" w:rsidRPr="004A0212">
        <w:rPr>
          <w:rStyle w:val="StyleFootnoteReferenceFagoFunotenzeichenFagoFunotenzeichen"/>
        </w:rPr>
        <w:footnoteReference w:id="256"/>
      </w:r>
      <w:r w:rsidR="7A35EE43" w:rsidRPr="004A0212">
        <w:rPr>
          <w:rStyle w:val="StyleFootnoteReferenceFagoFunotenzeichenFagoFunotenzeichen"/>
        </w:rPr>
        <w:t xml:space="preserve"> </w:t>
      </w:r>
      <w:r w:rsidR="7A35EE43" w:rsidRPr="004A0212">
        <w:t xml:space="preserve"> </w:t>
      </w:r>
      <w:r w:rsidR="5737B775" w:rsidRPr="004A0212">
        <w:t>Survivors told the Inquiry about their experiences during this time: ‘</w:t>
      </w:r>
      <w:r w:rsidR="6672E832" w:rsidRPr="004A0212">
        <w:t xml:space="preserve">it was not uncommon to walk down </w:t>
      </w:r>
      <w:proofErr w:type="spellStart"/>
      <w:r w:rsidR="6672E832" w:rsidRPr="004A0212">
        <w:t>Karangahape</w:t>
      </w:r>
      <w:proofErr w:type="spellEnd"/>
      <w:r w:rsidR="6672E832" w:rsidRPr="004A0212">
        <w:t xml:space="preserve"> Road and see Pacific Islanders being stopped randomly and questioned by the Police. It was not uncommon for Pacific Islanders to get picked up for no reason by the Police and be charged with idle and disorderly offences. Some of our children would be taken.’</w:t>
      </w:r>
      <w:r w:rsidR="00A3037A" w:rsidRPr="004A0212">
        <w:rPr>
          <w:rStyle w:val="StyleFootnoteReferenceFagoFunotenzeichenFagoFunotenzeichen"/>
        </w:rPr>
        <w:footnoteReference w:id="257"/>
      </w:r>
    </w:p>
    <w:p w14:paraId="63967911" w14:textId="633737DB" w:rsidR="00A21C3C" w:rsidRPr="004A0212" w:rsidRDefault="657D0EF4" w:rsidP="006D238A">
      <w:pPr>
        <w:pStyle w:val="AllNumbparas"/>
        <w:rPr>
          <w:b/>
          <w:color w:val="3B5D1E" w:themeColor="accent4" w:themeShade="BF"/>
          <w:szCs w:val="28"/>
        </w:rPr>
      </w:pPr>
      <w:r w:rsidRPr="004A0212" w:rsidDel="00696447">
        <w:t xml:space="preserve">Pacific </w:t>
      </w:r>
      <w:r w:rsidR="710F45A2" w:rsidRPr="004A0212">
        <w:t xml:space="preserve">children and young people </w:t>
      </w:r>
      <w:r w:rsidRPr="004A0212" w:rsidDel="00696447">
        <w:t xml:space="preserve">began appearing before the courts in increasing numbers from the 1960s. </w:t>
      </w:r>
      <w:proofErr w:type="gramStart"/>
      <w:r w:rsidRPr="004A0212" w:rsidDel="00696447">
        <w:t>Similar to</w:t>
      </w:r>
      <w:proofErr w:type="gramEnd"/>
      <w:r w:rsidRPr="004A0212" w:rsidDel="00696447">
        <w:t xml:space="preserve"> </w:t>
      </w:r>
      <w:r w:rsidR="61EA557B" w:rsidRPr="004A0212">
        <w:t xml:space="preserve">tamariki and rangatahi </w:t>
      </w:r>
      <w:r w:rsidRPr="004A0212" w:rsidDel="00696447">
        <w:t xml:space="preserve">Māori, Pacific </w:t>
      </w:r>
      <w:r w:rsidR="710F45A2" w:rsidRPr="004A0212">
        <w:t xml:space="preserve">children and young people </w:t>
      </w:r>
      <w:r w:rsidRPr="004A0212" w:rsidDel="00696447">
        <w:t xml:space="preserve">were more likely than non-Pacific </w:t>
      </w:r>
      <w:r w:rsidR="39702B41" w:rsidRPr="004A0212">
        <w:t xml:space="preserve">youth </w:t>
      </w:r>
      <w:r w:rsidRPr="004A0212" w:rsidDel="00696447">
        <w:t xml:space="preserve">to be targeted by </w:t>
      </w:r>
      <w:r w:rsidR="39702B41" w:rsidRPr="004A0212">
        <w:t>P</w:t>
      </w:r>
      <w:r w:rsidR="39702B41" w:rsidRPr="004A0212" w:rsidDel="00696447">
        <w:t xml:space="preserve">olice </w:t>
      </w:r>
      <w:r w:rsidRPr="004A0212" w:rsidDel="00696447">
        <w:t>and prosecuted.</w:t>
      </w:r>
      <w:r w:rsidR="0030139C" w:rsidRPr="004A0212">
        <w:rPr>
          <w:rStyle w:val="StyleFootnoteReferenceFagoFunotenzeichenFagoFunotenzeichen"/>
        </w:rPr>
        <w:footnoteReference w:id="258"/>
      </w:r>
      <w:r w:rsidR="03A422AC" w:rsidRPr="004A0212">
        <w:rPr>
          <w:rStyle w:val="CommentReference"/>
          <w:rFonts w:eastAsiaTheme="minorEastAsia" w:cs="Times New Roman"/>
          <w:color w:val="404040" w:themeColor="text1" w:themeTint="BF"/>
          <w:shd w:val="clear" w:color="auto" w:fill="auto"/>
          <w:lang w:eastAsia="en-US"/>
        </w:rPr>
        <w:t xml:space="preserve"> </w:t>
      </w:r>
      <w:bookmarkStart w:id="331" w:name="_Toc147935397"/>
      <w:bookmarkStart w:id="332" w:name="_Toc148443578"/>
      <w:bookmarkStart w:id="333" w:name="_Toc147935396"/>
      <w:bookmarkStart w:id="334" w:name="_Toc148443577"/>
    </w:p>
    <w:p w14:paraId="31375D98" w14:textId="52D769EF" w:rsidR="001E25DF" w:rsidRPr="004A0212" w:rsidRDefault="7DDB3DD2" w:rsidP="001E25DF">
      <w:pPr>
        <w:pStyle w:val="Heading2"/>
        <w:rPr>
          <w:rFonts w:cs="Arial"/>
        </w:rPr>
      </w:pPr>
      <w:bookmarkStart w:id="335" w:name="_Toc2000293573"/>
      <w:bookmarkStart w:id="336" w:name="_Toc168638978"/>
      <w:proofErr w:type="spellStart"/>
      <w:r w:rsidRPr="004A0212">
        <w:rPr>
          <w:rFonts w:cs="Arial"/>
        </w:rPr>
        <w:t>Te</w:t>
      </w:r>
      <w:proofErr w:type="spellEnd"/>
      <w:r w:rsidRPr="004A0212">
        <w:rPr>
          <w:rFonts w:cs="Arial"/>
        </w:rPr>
        <w:t xml:space="preserve"> </w:t>
      </w:r>
      <w:proofErr w:type="spellStart"/>
      <w:r w:rsidRPr="004A0212">
        <w:rPr>
          <w:rFonts w:cs="Arial"/>
        </w:rPr>
        <w:t>āmaimai</w:t>
      </w:r>
      <w:proofErr w:type="spellEnd"/>
      <w:r w:rsidRPr="004A0212">
        <w:rPr>
          <w:rFonts w:cs="Arial"/>
        </w:rPr>
        <w:t xml:space="preserve"> </w:t>
      </w:r>
      <w:proofErr w:type="spellStart"/>
      <w:r w:rsidRPr="004A0212">
        <w:rPr>
          <w:rFonts w:cs="Arial"/>
        </w:rPr>
        <w:t>mō</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taiharatanga</w:t>
      </w:r>
      <w:proofErr w:type="spellEnd"/>
      <w:r w:rsidRPr="004A0212">
        <w:rPr>
          <w:rFonts w:cs="Arial"/>
        </w:rPr>
        <w:t xml:space="preserve"> rangatahi </w:t>
      </w:r>
      <w:r w:rsidR="49563B7C" w:rsidRPr="004A0212">
        <w:rPr>
          <w:rFonts w:cs="Arial"/>
        </w:rPr>
        <w:t>|</w:t>
      </w:r>
      <w:r w:rsidRPr="004A0212">
        <w:rPr>
          <w:rFonts w:cs="Arial"/>
        </w:rPr>
        <w:t xml:space="preserve"> </w:t>
      </w:r>
      <w:r w:rsidR="494FD4D3" w:rsidRPr="004A0212">
        <w:rPr>
          <w:rFonts w:cs="Arial"/>
        </w:rPr>
        <w:t>Concern about juvenile delinquency</w:t>
      </w:r>
      <w:bookmarkEnd w:id="335"/>
      <w:bookmarkEnd w:id="336"/>
    </w:p>
    <w:p w14:paraId="42765678" w14:textId="5866AD37" w:rsidR="001E25DF" w:rsidRPr="004A0212" w:rsidRDefault="63B8D6A7" w:rsidP="007D73A6">
      <w:pPr>
        <w:pStyle w:val="AllNumbparas"/>
      </w:pPr>
      <w:r w:rsidRPr="004A0212">
        <w:t>In the 1950s there were heightened anxieties about juvenile delinquency. This was due to the increase in the country’s youth population</w:t>
      </w:r>
      <w:r w:rsidR="19E0AAAA" w:rsidRPr="004A0212">
        <w:t xml:space="preserve"> (</w:t>
      </w:r>
      <w:r w:rsidR="763256E8" w:rsidRPr="004A0212">
        <w:t>approximately</w:t>
      </w:r>
      <w:r w:rsidR="19E0AAAA" w:rsidRPr="004A0212">
        <w:t xml:space="preserve"> 13 – 19 years)</w:t>
      </w:r>
      <w:r w:rsidRPr="004A0212">
        <w:t xml:space="preserve"> and a separate youth culture developing in the main cities, combined with rising rates of youth crime.</w:t>
      </w:r>
      <w:r w:rsidRPr="004A0212">
        <w:rPr>
          <w:vertAlign w:val="superscript"/>
        </w:rPr>
        <w:t xml:space="preserve"> </w:t>
      </w:r>
      <w:r w:rsidR="001E25DF" w:rsidRPr="004A0212">
        <w:rPr>
          <w:rStyle w:val="StyleFootnoteReferenceFagoFunotenzeichenFagoFunotenzeichen"/>
        </w:rPr>
        <w:footnoteReference w:id="259"/>
      </w:r>
      <w:r w:rsidRPr="004A0212">
        <w:t xml:space="preserve"> Deepening fears about youth behaviour were part of wider social unease about how things were changing, including “adolescent independence, gendered social shifts and weakening family control”.</w:t>
      </w:r>
      <w:r w:rsidR="001E25DF" w:rsidRPr="004A0212">
        <w:rPr>
          <w:rStyle w:val="StyleFootnoteReferenceFagoFunotenzeichenFagoFunotenzeichen"/>
        </w:rPr>
        <w:footnoteReference w:id="260"/>
      </w:r>
      <w:r w:rsidRPr="004A0212">
        <w:t xml:space="preserve"> </w:t>
      </w:r>
    </w:p>
    <w:p w14:paraId="50E00665" w14:textId="6CF111D1" w:rsidR="001E25DF" w:rsidRPr="004A0212" w:rsidRDefault="63B8D6A7" w:rsidP="007D73A6">
      <w:pPr>
        <w:pStyle w:val="AllNumbparas"/>
      </w:pPr>
      <w:r w:rsidRPr="004A0212">
        <w:t xml:space="preserve">Two events in 1954 triggered these anxieties: the murder of </w:t>
      </w:r>
      <w:r w:rsidR="0369ED6B" w:rsidRPr="004A0212">
        <w:t xml:space="preserve">an </w:t>
      </w:r>
      <w:proofErr w:type="spellStart"/>
      <w:r w:rsidR="0369ED6B" w:rsidRPr="004A0212">
        <w:t>Ōtautahi</w:t>
      </w:r>
      <w:proofErr w:type="spellEnd"/>
      <w:r w:rsidR="0369ED6B" w:rsidRPr="004A0212">
        <w:t xml:space="preserve"> </w:t>
      </w:r>
      <w:r w:rsidRPr="004A0212">
        <w:t>Christchurch mother by two teenage girls, one of them her daughter,</w:t>
      </w:r>
      <w:r w:rsidR="001E25DF" w:rsidRPr="004A0212">
        <w:rPr>
          <w:rStyle w:val="StyleFootnoteReferenceFagoFunotenzeichenFagoFunotenzeichen"/>
        </w:rPr>
        <w:footnoteReference w:id="261"/>
      </w:r>
      <w:r w:rsidRPr="004A0212">
        <w:rPr>
          <w:vertAlign w:val="superscript"/>
        </w:rPr>
        <w:t xml:space="preserve"> </w:t>
      </w:r>
      <w:r w:rsidRPr="004A0212">
        <w:t xml:space="preserve">and the uncovering of a supposed “teenage sex ring” in </w:t>
      </w:r>
      <w:proofErr w:type="spellStart"/>
      <w:r w:rsidR="03D3B878" w:rsidRPr="004A0212">
        <w:t>Te</w:t>
      </w:r>
      <w:proofErr w:type="spellEnd"/>
      <w:r w:rsidR="03D3B878" w:rsidRPr="004A0212">
        <w:t xml:space="preserve"> </w:t>
      </w:r>
      <w:r w:rsidR="6166B060" w:rsidRPr="004A0212">
        <w:t xml:space="preserve">Awa </w:t>
      </w:r>
      <w:proofErr w:type="spellStart"/>
      <w:r w:rsidR="6166B060" w:rsidRPr="004A0212">
        <w:t>Kairangi</w:t>
      </w:r>
      <w:proofErr w:type="spellEnd"/>
      <w:r w:rsidR="6166B060" w:rsidRPr="004A0212">
        <w:t xml:space="preserve"> </w:t>
      </w:r>
      <w:r w:rsidR="50645035" w:rsidRPr="004A0212">
        <w:t>ki Tai</w:t>
      </w:r>
      <w:r w:rsidR="061FF841" w:rsidRPr="004A0212">
        <w:t xml:space="preserve"> Lower Hutt</w:t>
      </w:r>
      <w:r w:rsidRPr="004A0212">
        <w:t>.</w:t>
      </w:r>
      <w:r w:rsidR="001E25DF" w:rsidRPr="004A0212">
        <w:rPr>
          <w:rStyle w:val="StyleFootnoteReferenceFagoFunotenzeichenFagoFunotenzeichen"/>
        </w:rPr>
        <w:footnoteReference w:id="262"/>
      </w:r>
      <w:r w:rsidRPr="004A0212">
        <w:t xml:space="preserve"> Both attracted wide media coverage and fuelled a growing unease about teenage behaviour.</w:t>
      </w:r>
      <w:r w:rsidR="001E25DF" w:rsidRPr="004A0212">
        <w:rPr>
          <w:rStyle w:val="StyleFootnoteReferenceFagoFunotenzeichenFagoFunotenzeichen"/>
        </w:rPr>
        <w:footnoteReference w:id="263"/>
      </w:r>
      <w:r w:rsidRPr="004A0212">
        <w:t xml:space="preserve"> </w:t>
      </w:r>
    </w:p>
    <w:p w14:paraId="3D623180" w14:textId="62945DDD" w:rsidR="001E25DF" w:rsidRPr="004A0212" w:rsidRDefault="63B8D6A7" w:rsidP="007D73A6">
      <w:pPr>
        <w:pStyle w:val="AllNumbparas"/>
      </w:pPr>
      <w:r w:rsidRPr="004A0212">
        <w:t xml:space="preserve">The </w:t>
      </w:r>
      <w:r w:rsidR="2D4F4097" w:rsidRPr="004A0212">
        <w:t>State</w:t>
      </w:r>
      <w:r w:rsidRPr="004A0212">
        <w:t xml:space="preserve"> responded by appointing lawyer Oswald </w:t>
      </w:r>
      <w:proofErr w:type="spellStart"/>
      <w:r w:rsidRPr="004A0212">
        <w:t>Mazengarb</w:t>
      </w:r>
      <w:proofErr w:type="spellEnd"/>
      <w:r w:rsidRPr="004A0212">
        <w:t xml:space="preserve"> to chair a Special Committee on Moral Delinquency in Children and Adolescents. A few months later, after interviewing 145 witnesses and taking 120 written submissions, the </w:t>
      </w:r>
      <w:r w:rsidR="31179398" w:rsidRPr="004A0212">
        <w:t xml:space="preserve">Committee </w:t>
      </w:r>
      <w:r w:rsidRPr="004A0212">
        <w:t xml:space="preserve">released what is </w:t>
      </w:r>
      <w:r w:rsidR="39702B41" w:rsidRPr="004A0212">
        <w:t>known as</w:t>
      </w:r>
      <w:r w:rsidRPr="004A0212">
        <w:t xml:space="preserve"> the </w:t>
      </w:r>
      <w:proofErr w:type="spellStart"/>
      <w:r w:rsidRPr="004A0212">
        <w:t>Mazengarb</w:t>
      </w:r>
      <w:proofErr w:type="spellEnd"/>
      <w:r w:rsidRPr="004A0212">
        <w:t xml:space="preserve"> </w:t>
      </w:r>
      <w:r w:rsidR="2D4F4097" w:rsidRPr="004A0212">
        <w:t>R</w:t>
      </w:r>
      <w:r w:rsidRPr="004A0212">
        <w:t>eport</w:t>
      </w:r>
      <w:r w:rsidR="31179398" w:rsidRPr="004A0212">
        <w:t>. A</w:t>
      </w:r>
      <w:r w:rsidRPr="004A0212">
        <w:t xml:space="preserve"> copy of </w:t>
      </w:r>
      <w:r w:rsidR="31179398" w:rsidRPr="004A0212">
        <w:t xml:space="preserve">the report </w:t>
      </w:r>
      <w:r w:rsidRPr="004A0212">
        <w:t>was sent to every household in the country. This further fuelled public anxieties about young people.</w:t>
      </w:r>
      <w:r w:rsidR="001E25DF" w:rsidRPr="004A0212">
        <w:rPr>
          <w:rStyle w:val="StyleFootnoteReferenceFagoFunotenzeichenFagoFunotenzeichen"/>
        </w:rPr>
        <w:footnoteReference w:id="264"/>
      </w:r>
      <w:r w:rsidRPr="004A0212">
        <w:t xml:space="preserve"> </w:t>
      </w:r>
    </w:p>
    <w:p w14:paraId="131D689E" w14:textId="13F5077A" w:rsidR="008B0969" w:rsidRPr="004A0212" w:rsidRDefault="63B8D6A7" w:rsidP="007D73A6">
      <w:pPr>
        <w:pStyle w:val="AllNumbparas"/>
        <w:rPr>
          <w:b/>
          <w:lang w:eastAsia="en-US"/>
        </w:rPr>
      </w:pPr>
      <w:r w:rsidRPr="004A0212">
        <w:t>The report said, “juvenile immorality” was “uncertain in origin, insidious in growth, and [had] developed over a wide field”.</w:t>
      </w:r>
      <w:r w:rsidR="001E25DF" w:rsidRPr="004A0212">
        <w:rPr>
          <w:rStyle w:val="StyleFootnoteReferenceFagoFunotenzeichenFagoFunotenzeichen"/>
        </w:rPr>
        <w:footnoteReference w:id="265"/>
      </w:r>
      <w:r w:rsidRPr="004A0212">
        <w:t xml:space="preserve"> It </w:t>
      </w:r>
      <w:r w:rsidR="1687CD14" w:rsidRPr="004A0212">
        <w:t xml:space="preserve">particularly focussed on </w:t>
      </w:r>
      <w:r w:rsidR="347A8C64" w:rsidRPr="004A0212">
        <w:t xml:space="preserve">perceived promiscuity or immorality of girls as an </w:t>
      </w:r>
      <w:r w:rsidR="4831F2F6" w:rsidRPr="004A0212">
        <w:t>issue and</w:t>
      </w:r>
      <w:r w:rsidR="51249DD8" w:rsidRPr="004A0212">
        <w:t xml:space="preserve"> linked juvenile delinquency to girls being more open and confident </w:t>
      </w:r>
      <w:r w:rsidR="4831F2F6" w:rsidRPr="004A0212">
        <w:t>about their sexuality.</w:t>
      </w:r>
      <w:r w:rsidR="006D7677" w:rsidRPr="004A0212">
        <w:rPr>
          <w:rStyle w:val="FootnoteReference"/>
        </w:rPr>
        <w:footnoteReference w:id="266"/>
      </w:r>
      <w:r w:rsidR="4831F2F6" w:rsidRPr="004A0212">
        <w:t xml:space="preserve"> The report </w:t>
      </w:r>
      <w:r w:rsidR="32BDC371" w:rsidRPr="004A0212">
        <w:t>recommended</w:t>
      </w:r>
      <w:r w:rsidRPr="004A0212">
        <w:t xml:space="preserve"> broadening the Child Welfare Act </w:t>
      </w:r>
      <w:r w:rsidR="1DFF675D" w:rsidRPr="004A0212">
        <w:t>1925</w:t>
      </w:r>
      <w:r w:rsidRPr="004A0212">
        <w:t xml:space="preserve"> so </w:t>
      </w:r>
      <w:r w:rsidR="19E0AAAA" w:rsidRPr="004A0212">
        <w:t xml:space="preserve">State </w:t>
      </w:r>
      <w:r w:rsidRPr="004A0212">
        <w:t>authorities could undertake preventive work. Its recommendations were quickly enacted into law</w:t>
      </w:r>
      <w:r w:rsidR="6A5F7190" w:rsidRPr="004A0212">
        <w:t xml:space="preserve"> and</w:t>
      </w:r>
      <w:r w:rsidRPr="004A0212">
        <w:t xml:space="preserve"> included the addition of sexual acts between </w:t>
      </w:r>
      <w:r w:rsidR="2F72C53A" w:rsidRPr="004A0212">
        <w:t>children</w:t>
      </w:r>
      <w:r w:rsidRPr="004A0212">
        <w:t xml:space="preserve"> to the list of care and protection issues in the Act.</w:t>
      </w:r>
      <w:r w:rsidR="001E25DF" w:rsidRPr="004A0212">
        <w:rPr>
          <w:rStyle w:val="StyleFootnoteReferenceFagoFunotenzeichenFagoFunotenzeichen"/>
        </w:rPr>
        <w:footnoteReference w:id="267"/>
      </w:r>
    </w:p>
    <w:p w14:paraId="7CA515BB" w14:textId="17449AD3" w:rsidR="00180ABF" w:rsidRPr="004A0212" w:rsidRDefault="78BD52D3" w:rsidP="003342D8">
      <w:pPr>
        <w:pStyle w:val="Heading2"/>
        <w:rPr>
          <w:rFonts w:cs="Arial"/>
        </w:rPr>
      </w:pPr>
      <w:bookmarkStart w:id="337" w:name="_Toc1192252600"/>
      <w:bookmarkStart w:id="338" w:name="_Toc168638979"/>
      <w:r w:rsidRPr="004A0212">
        <w:rPr>
          <w:rFonts w:cs="Arial"/>
        </w:rPr>
        <w:t xml:space="preserve">Ka </w:t>
      </w:r>
      <w:proofErr w:type="spellStart"/>
      <w:r w:rsidRPr="004A0212">
        <w:rPr>
          <w:rFonts w:cs="Arial"/>
        </w:rPr>
        <w:t>whanake</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hauora</w:t>
      </w:r>
      <w:proofErr w:type="spellEnd"/>
      <w:r w:rsidRPr="004A0212">
        <w:rPr>
          <w:rFonts w:cs="Arial"/>
        </w:rPr>
        <w:t xml:space="preserve"> </w:t>
      </w:r>
      <w:proofErr w:type="spellStart"/>
      <w:r w:rsidRPr="004A0212">
        <w:rPr>
          <w:rFonts w:cs="Arial"/>
        </w:rPr>
        <w:t>hinengaro</w:t>
      </w:r>
      <w:proofErr w:type="spellEnd"/>
      <w:r w:rsidRPr="004A0212">
        <w:rPr>
          <w:rFonts w:cs="Arial"/>
        </w:rPr>
        <w:t xml:space="preserve"> tamariki </w:t>
      </w:r>
      <w:r w:rsidR="76EE2C62" w:rsidRPr="004A0212">
        <w:rPr>
          <w:rFonts w:cs="Arial"/>
        </w:rPr>
        <w:t xml:space="preserve">| </w:t>
      </w:r>
      <w:r w:rsidR="6AEEC61F" w:rsidRPr="004A0212">
        <w:rPr>
          <w:rFonts w:cs="Arial"/>
        </w:rPr>
        <w:t>Child psychiatry develops</w:t>
      </w:r>
      <w:bookmarkStart w:id="339" w:name="_Toc150933142"/>
      <w:bookmarkEnd w:id="337"/>
      <w:bookmarkEnd w:id="338"/>
    </w:p>
    <w:p w14:paraId="4D092329" w14:textId="22E75486" w:rsidR="00A21C3C" w:rsidRPr="004A0212" w:rsidRDefault="78ED2B55" w:rsidP="005864F8">
      <w:pPr>
        <w:pStyle w:val="AllNumbparas"/>
      </w:pPr>
      <w:r w:rsidRPr="004A0212">
        <w:t xml:space="preserve">At the beginning of the </w:t>
      </w:r>
      <w:r w:rsidR="5FFF8F5F" w:rsidRPr="004A0212">
        <w:t>Inquiry</w:t>
      </w:r>
      <w:r w:rsidRPr="004A0212">
        <w:t xml:space="preserve"> period, psychology was still a relatively new discipline and standards of care for </w:t>
      </w:r>
      <w:r w:rsidR="10F420E4" w:rsidRPr="004A0212">
        <w:t xml:space="preserve">children and young people </w:t>
      </w:r>
      <w:r w:rsidRPr="004A0212">
        <w:t>focused less on mental health and more on the importance of a healthy diet, routine, exercise, and fresh air.</w:t>
      </w:r>
      <w:r w:rsidR="003342D8" w:rsidRPr="004A0212">
        <w:rPr>
          <w:rStyle w:val="StyleFootnoteReferenceFagoFunotenzeichenFagoFunotenzeichen"/>
        </w:rPr>
        <w:footnoteReference w:id="268"/>
      </w:r>
      <w:r w:rsidRPr="004A0212">
        <w:t xml:space="preserve"> </w:t>
      </w:r>
    </w:p>
    <w:p w14:paraId="635F13F8" w14:textId="6130CA1F" w:rsidR="003342D8" w:rsidRPr="004A0212" w:rsidRDefault="78ED2B55" w:rsidP="007D73A6">
      <w:pPr>
        <w:pStyle w:val="AllNumbparas"/>
      </w:pPr>
      <w:r w:rsidRPr="004A0212">
        <w:t xml:space="preserve">Throughout the </w:t>
      </w:r>
      <w:r w:rsidR="5FFF8F5F" w:rsidRPr="004A0212">
        <w:t>Inquiry</w:t>
      </w:r>
      <w:r w:rsidRPr="004A0212">
        <w:t xml:space="preserve"> period, as research and understanding grew, people started to pay more attention to </w:t>
      </w:r>
      <w:r w:rsidR="46270D3E" w:rsidRPr="004A0212">
        <w:t>children</w:t>
      </w:r>
      <w:r w:rsidRPr="004A0212">
        <w:t xml:space="preserve"> and </w:t>
      </w:r>
      <w:r w:rsidR="46270D3E" w:rsidRPr="004A0212">
        <w:t>young peoples’</w:t>
      </w:r>
      <w:r w:rsidRPr="004A0212">
        <w:t xml:space="preserve"> emotional, as well as physical, wellbeing.</w:t>
      </w:r>
      <w:r w:rsidR="003342D8" w:rsidRPr="004A0212">
        <w:rPr>
          <w:rStyle w:val="StyleFootnoteReferenceFagoFunotenzeichenFagoFunotenzeichen"/>
        </w:rPr>
        <w:footnoteReference w:id="269"/>
      </w:r>
      <w:r w:rsidRPr="004A0212">
        <w:t xml:space="preserve"> </w:t>
      </w:r>
      <w:r w:rsidR="654DB98B" w:rsidRPr="004A0212">
        <w:t xml:space="preserve">Some physical discipline of </w:t>
      </w:r>
      <w:r w:rsidR="15800579" w:rsidRPr="004A0212">
        <w:t>children</w:t>
      </w:r>
      <w:r w:rsidR="654DB98B" w:rsidRPr="004A0212">
        <w:t xml:space="preserve"> and </w:t>
      </w:r>
      <w:r w:rsidR="15800579" w:rsidRPr="004A0212">
        <w:t>young people</w:t>
      </w:r>
      <w:r w:rsidR="654DB98B" w:rsidRPr="004A0212">
        <w:t xml:space="preserve"> was accepted for a large part of the </w:t>
      </w:r>
      <w:r w:rsidR="5FFF8F5F" w:rsidRPr="004A0212">
        <w:t>Inquiry</w:t>
      </w:r>
      <w:r w:rsidR="654DB98B" w:rsidRPr="004A0212">
        <w:t xml:space="preserve"> </w:t>
      </w:r>
      <w:proofErr w:type="gramStart"/>
      <w:r w:rsidR="654DB98B" w:rsidRPr="004A0212">
        <w:t>period</w:t>
      </w:r>
      <w:proofErr w:type="gramEnd"/>
      <w:r w:rsidR="654DB98B" w:rsidRPr="004A0212">
        <w:t xml:space="preserve"> but the law noted that this should be “reasonable force”.</w:t>
      </w:r>
      <w:r w:rsidR="654DB98B" w:rsidRPr="004A0212">
        <w:rPr>
          <w:rStyle w:val="FootnoteReference"/>
        </w:rPr>
        <w:t xml:space="preserve"> </w:t>
      </w:r>
      <w:r w:rsidR="00236594" w:rsidRPr="004A0212">
        <w:rPr>
          <w:rStyle w:val="StyleFootnoteReferenceFagoFunotenzeichenFagoFunotenzeichen"/>
        </w:rPr>
        <w:footnoteReference w:id="270"/>
      </w:r>
    </w:p>
    <w:p w14:paraId="11D6562E" w14:textId="2AFB3670" w:rsidR="00A36590" w:rsidRPr="004A0212" w:rsidRDefault="3D491BFA" w:rsidP="009574D1">
      <w:pPr>
        <w:pStyle w:val="Numbparas"/>
      </w:pPr>
      <w:r w:rsidRPr="004A0212">
        <w:t xml:space="preserve">Globally, the influence of culture on child development was well established by the 1950s, based on works </w:t>
      </w:r>
      <w:r w:rsidR="33A073F4" w:rsidRPr="004A0212">
        <w:t>such as</w:t>
      </w:r>
      <w:r w:rsidRPr="004A0212">
        <w:t xml:space="preserve"> those of </w:t>
      </w:r>
      <w:r w:rsidR="33A073F4" w:rsidRPr="004A0212">
        <w:t xml:space="preserve">cultural anthropologist </w:t>
      </w:r>
      <w:r w:rsidRPr="004A0212">
        <w:t xml:space="preserve">Margaret Mead, </w:t>
      </w:r>
      <w:r w:rsidR="512DA0CA" w:rsidRPr="004A0212">
        <w:t xml:space="preserve">Carl </w:t>
      </w:r>
      <w:r w:rsidRPr="004A0212">
        <w:t>Murchison</w:t>
      </w:r>
      <w:r w:rsidR="00C6DF26" w:rsidRPr="004A0212">
        <w:t>’</w:t>
      </w:r>
      <w:r w:rsidRPr="004A0212">
        <w:t xml:space="preserve">s Handbook of Child Psychology and </w:t>
      </w:r>
      <w:r w:rsidR="512DA0CA" w:rsidRPr="004A0212">
        <w:t xml:space="preserve">Leonard </w:t>
      </w:r>
      <w:r w:rsidRPr="004A0212">
        <w:t>Carmichael</w:t>
      </w:r>
      <w:r w:rsidR="00C6DF26" w:rsidRPr="004A0212">
        <w:t>’</w:t>
      </w:r>
      <w:r w:rsidRPr="004A0212">
        <w:t>s Manual of Child Psychology. B.F. Skinner’s experimental wor</w:t>
      </w:r>
      <w:r w:rsidR="72F2736A" w:rsidRPr="004A0212">
        <w:t xml:space="preserve">k, </w:t>
      </w:r>
      <w:r w:rsidRPr="004A0212">
        <w:t xml:space="preserve">and </w:t>
      </w:r>
      <w:r w:rsidR="72F2736A" w:rsidRPr="004A0212">
        <w:t xml:space="preserve">its </w:t>
      </w:r>
      <w:r w:rsidRPr="004A0212">
        <w:t>focus on observable behaviour and how it can be shaped using reward and punishment</w:t>
      </w:r>
      <w:r w:rsidR="1C8FAEA5" w:rsidRPr="004A0212">
        <w:t>,</w:t>
      </w:r>
      <w:r w:rsidRPr="004A0212">
        <w:t xml:space="preserve"> </w:t>
      </w:r>
      <w:r w:rsidR="61817757" w:rsidRPr="004A0212">
        <w:t xml:space="preserve">was </w:t>
      </w:r>
      <w:r w:rsidRPr="004A0212">
        <w:t xml:space="preserve">highly influential. </w:t>
      </w:r>
      <w:r w:rsidR="2F89172A" w:rsidRPr="004A0212">
        <w:t xml:space="preserve">John Bowlby’s attachment theory was further developed by </w:t>
      </w:r>
      <w:r w:rsidR="1DD8A67C" w:rsidRPr="004A0212">
        <w:t>researchers such as Mary Ainsworth</w:t>
      </w:r>
      <w:r w:rsidR="528DAD87" w:rsidRPr="004A0212">
        <w:t xml:space="preserve"> over the 1960s</w:t>
      </w:r>
      <w:r w:rsidR="1DD8A67C" w:rsidRPr="004A0212">
        <w:t>.</w:t>
      </w:r>
    </w:p>
    <w:p w14:paraId="5CE3155C" w14:textId="6381EF38" w:rsidR="00A96A49" w:rsidRPr="004A0212" w:rsidRDefault="10A6BCF6" w:rsidP="007D73A6">
      <w:pPr>
        <w:pStyle w:val="AllNumbparas"/>
      </w:pPr>
      <w:r w:rsidRPr="004A0212">
        <w:t xml:space="preserve">Child psychiatry developed as a separate branch of psychiatry after </w:t>
      </w:r>
      <w:r w:rsidR="35A776BD" w:rsidRPr="004A0212">
        <w:t xml:space="preserve">the Second </w:t>
      </w:r>
      <w:r w:rsidRPr="004A0212">
        <w:t>World War. In 1959, senior lecturer in psychiatry, Dr Wallace Ironside, wrote that child psychiatry was “an almost unknown specialty” in Aotearoa New Zealand.</w:t>
      </w:r>
      <w:r w:rsidR="00A96A49" w:rsidRPr="004A0212">
        <w:rPr>
          <w:rStyle w:val="StyleFootnoteReferenceFagoFunotenzeichenFagoFunotenzeichen"/>
        </w:rPr>
        <w:footnoteReference w:id="271"/>
      </w:r>
      <w:r w:rsidRPr="004A0212">
        <w:t xml:space="preserve"> </w:t>
      </w:r>
    </w:p>
    <w:p w14:paraId="5755D21F" w14:textId="41C9D01E" w:rsidR="00A36590" w:rsidRPr="004A0212" w:rsidRDefault="3D491BFA" w:rsidP="007D73A6">
      <w:pPr>
        <w:pStyle w:val="AllNumbparas"/>
      </w:pPr>
      <w:r w:rsidRPr="004A0212">
        <w:t>Psychologists based in Aotearoa New Zealand and elsewhere were researching and publishing on local child development issues from at least the late 1950s</w:t>
      </w:r>
      <w:r w:rsidR="10A6BCF6" w:rsidRPr="004A0212">
        <w:t>.</w:t>
      </w:r>
      <w:r w:rsidR="002D2428" w:rsidRPr="004A0212">
        <w:rPr>
          <w:rStyle w:val="StyleFootnoteReferenceFagoFunotenzeichenFagoFunotenzeichen"/>
        </w:rPr>
        <w:footnoteReference w:id="272"/>
      </w:r>
      <w:r w:rsidR="0FD82071" w:rsidRPr="004A0212">
        <w:t xml:space="preserve"> </w:t>
      </w:r>
      <w:r w:rsidRPr="004A0212">
        <w:t xml:space="preserve">At the end of the 1960s the Association for the Study of Childhood held a conference that included papers on the role of the family in personality, and intellectual </w:t>
      </w:r>
      <w:r w:rsidR="10A6BCF6" w:rsidRPr="004A0212">
        <w:t>d</w:t>
      </w:r>
      <w:r w:rsidRPr="004A0212">
        <w:t>evelopment.</w:t>
      </w:r>
      <w:r w:rsidR="00E42AD7" w:rsidRPr="004A0212">
        <w:rPr>
          <w:rStyle w:val="StyleFootnoteReferenceFagoFunotenzeichenFagoFunotenzeichen"/>
        </w:rPr>
        <w:footnoteReference w:id="273"/>
      </w:r>
    </w:p>
    <w:p w14:paraId="1F0A1AD1" w14:textId="4EB34C2C" w:rsidR="00A21C3C" w:rsidRPr="004A0212" w:rsidRDefault="1ABC8AFB" w:rsidP="005864F8">
      <w:pPr>
        <w:pStyle w:val="AllNumbparas"/>
        <w:rPr>
          <w:b/>
          <w:color w:val="3B5D1E" w:themeColor="accent4" w:themeShade="BF"/>
          <w:szCs w:val="28"/>
        </w:rPr>
      </w:pPr>
      <w:r w:rsidRPr="004A0212">
        <w:t>In the 1960s there was a high demand for mental health services for</w:t>
      </w:r>
      <w:r w:rsidR="1EC6E556" w:rsidRPr="004A0212">
        <w:t xml:space="preserve"> youths </w:t>
      </w:r>
      <w:r w:rsidRPr="004A0212">
        <w:t xml:space="preserve">but very few child psychiatrists. In 1972, it was estimated, based on population, that Aotearoa New Zealand needed at least 60 child psychiatrists to meet local need. </w:t>
      </w:r>
      <w:r w:rsidR="3453CFF2" w:rsidRPr="004A0212">
        <w:t>S</w:t>
      </w:r>
      <w:r w:rsidRPr="004A0212">
        <w:t>ix were available.</w:t>
      </w:r>
      <w:r w:rsidR="006F35CA" w:rsidRPr="004A0212">
        <w:rPr>
          <w:rStyle w:val="StyleFootnoteReferenceFagoFunotenzeichenFagoFunotenzeichen"/>
        </w:rPr>
        <w:footnoteReference w:id="274"/>
      </w:r>
      <w:r w:rsidR="6155A908" w:rsidRPr="004A0212">
        <w:t xml:space="preserve"> </w:t>
      </w:r>
      <w:r w:rsidR="624B4AD8" w:rsidRPr="004A0212">
        <w:t>M</w:t>
      </w:r>
      <w:r w:rsidR="6155A908" w:rsidRPr="004A0212">
        <w:t xml:space="preserve">ore information on child </w:t>
      </w:r>
      <w:r w:rsidR="472032D3" w:rsidRPr="004A0212">
        <w:t>psychiatry</w:t>
      </w:r>
      <w:r w:rsidR="6155A908" w:rsidRPr="004A0212">
        <w:t xml:space="preserve"> </w:t>
      </w:r>
      <w:r w:rsidR="624B4AD8" w:rsidRPr="004A0212">
        <w:t>is contained in</w:t>
      </w:r>
      <w:r w:rsidR="3453CFF2" w:rsidRPr="004A0212">
        <w:t xml:space="preserve"> </w:t>
      </w:r>
      <w:r w:rsidR="6155A908" w:rsidRPr="004A0212">
        <w:t xml:space="preserve">the Inquiry’s 2022 </w:t>
      </w:r>
      <w:r w:rsidR="1EC6E556" w:rsidRPr="004A0212">
        <w:t>interim</w:t>
      </w:r>
      <w:r w:rsidR="1DD8A67C" w:rsidRPr="004A0212">
        <w:t xml:space="preserve"> </w:t>
      </w:r>
      <w:r w:rsidR="6155A908" w:rsidRPr="004A0212">
        <w:t>report, Beautiful Children – Inquiry into the Lake Alice Child and Adolescent Unit.</w:t>
      </w:r>
      <w:r w:rsidR="00F83C89" w:rsidRPr="004A0212">
        <w:rPr>
          <w:rStyle w:val="StyleFootnoteReferenceFagoFunotenzeichenFagoFunotenzeichen"/>
        </w:rPr>
        <w:footnoteReference w:id="275"/>
      </w:r>
      <w:bookmarkStart w:id="340" w:name="_Toc150953459"/>
    </w:p>
    <w:p w14:paraId="445D5E63" w14:textId="77777777" w:rsidR="00345326" w:rsidRDefault="24E006F1" w:rsidP="028A5F3E">
      <w:pPr>
        <w:pStyle w:val="Heading2"/>
        <w:rPr>
          <w:rFonts w:cs="Arial"/>
        </w:rPr>
      </w:pPr>
      <w:bookmarkStart w:id="341" w:name="_Toc168638980"/>
      <w:bookmarkStart w:id="342" w:name="_Toc1177114535"/>
      <w:proofErr w:type="spellStart"/>
      <w:r w:rsidRPr="004A0212">
        <w:rPr>
          <w:rFonts w:cs="Arial"/>
        </w:rPr>
        <w:t>Te</w:t>
      </w:r>
      <w:proofErr w:type="spellEnd"/>
      <w:r w:rsidRPr="004A0212">
        <w:rPr>
          <w:rFonts w:cs="Arial"/>
        </w:rPr>
        <w:t xml:space="preserve"> </w:t>
      </w:r>
      <w:proofErr w:type="spellStart"/>
      <w:r w:rsidRPr="004A0212">
        <w:rPr>
          <w:rFonts w:cs="Arial"/>
        </w:rPr>
        <w:t>iti</w:t>
      </w:r>
      <w:proofErr w:type="spellEnd"/>
      <w:r w:rsidRPr="004A0212">
        <w:rPr>
          <w:rFonts w:cs="Arial"/>
        </w:rPr>
        <w:t xml:space="preserve"> o </w:t>
      </w:r>
      <w:proofErr w:type="spellStart"/>
      <w:r w:rsidRPr="004A0212">
        <w:rPr>
          <w:rFonts w:cs="Arial"/>
        </w:rPr>
        <w:t>te</w:t>
      </w:r>
      <w:proofErr w:type="spellEnd"/>
      <w:r w:rsidRPr="004A0212">
        <w:rPr>
          <w:rFonts w:cs="Arial"/>
        </w:rPr>
        <w:t xml:space="preserve"> </w:t>
      </w:r>
      <w:proofErr w:type="spellStart"/>
      <w:r w:rsidRPr="004A0212">
        <w:rPr>
          <w:rFonts w:cs="Arial"/>
        </w:rPr>
        <w:t>aroā</w:t>
      </w:r>
      <w:proofErr w:type="spellEnd"/>
      <w:r w:rsidRPr="004A0212">
        <w:rPr>
          <w:rFonts w:cs="Arial"/>
        </w:rPr>
        <w:t xml:space="preserve"> ki </w:t>
      </w:r>
      <w:proofErr w:type="spellStart"/>
      <w:r w:rsidRPr="004A0212">
        <w:rPr>
          <w:rFonts w:cs="Arial"/>
        </w:rPr>
        <w:t>te</w:t>
      </w:r>
      <w:proofErr w:type="spellEnd"/>
      <w:r w:rsidRPr="004A0212">
        <w:rPr>
          <w:rFonts w:cs="Arial"/>
        </w:rPr>
        <w:t xml:space="preserve"> </w:t>
      </w:r>
      <w:proofErr w:type="spellStart"/>
      <w:r w:rsidRPr="004A0212">
        <w:rPr>
          <w:rFonts w:cs="Arial"/>
        </w:rPr>
        <w:t>tūkino</w:t>
      </w:r>
      <w:proofErr w:type="spellEnd"/>
      <w:r w:rsidR="175372E2" w:rsidRPr="004A0212">
        <w:rPr>
          <w:rFonts w:cs="Arial"/>
        </w:rPr>
        <w:t xml:space="preserve"> </w:t>
      </w:r>
      <w:proofErr w:type="spellStart"/>
      <w:r w:rsidRPr="004A0212">
        <w:rPr>
          <w:rFonts w:cs="Arial"/>
        </w:rPr>
        <w:t>tamariki</w:t>
      </w:r>
      <w:bookmarkEnd w:id="341"/>
      <w:proofErr w:type="spellEnd"/>
    </w:p>
    <w:p w14:paraId="7B3D8D77" w14:textId="4CFAC3D2" w:rsidR="00236594" w:rsidRPr="004A0212" w:rsidDel="0016490E" w:rsidRDefault="00F80123" w:rsidP="028A5F3E">
      <w:pPr>
        <w:pStyle w:val="Heading2"/>
        <w:rPr>
          <w:rFonts w:cs="Arial"/>
        </w:rPr>
      </w:pPr>
      <w:bookmarkStart w:id="343" w:name="_Toc168638981"/>
      <w:r w:rsidRPr="004A0212">
        <w:rPr>
          <w:rFonts w:cs="Arial"/>
        </w:rPr>
        <w:t>Little awareness of child abuse and neglect</w:t>
      </w:r>
      <w:bookmarkEnd w:id="343"/>
    </w:p>
    <w:bookmarkEnd w:id="342"/>
    <w:p w14:paraId="3C19CAE5" w14:textId="2B7B9EAE" w:rsidR="00236594" w:rsidRPr="004A0212" w:rsidRDefault="654DB98B" w:rsidP="007D73A6">
      <w:pPr>
        <w:pStyle w:val="AllNumbparas"/>
      </w:pPr>
      <w:r w:rsidRPr="004A0212">
        <w:t>Data collection and published statistics on abuse varied over the Inquiry period, and it is not always easy to paint an accurate picture of its</w:t>
      </w:r>
      <w:r w:rsidR="10A6BCF6" w:rsidRPr="004A0212">
        <w:t xml:space="preserve"> frequency</w:t>
      </w:r>
      <w:r w:rsidRPr="004A0212">
        <w:t xml:space="preserve">. </w:t>
      </w:r>
    </w:p>
    <w:p w14:paraId="448982C4" w14:textId="77777777" w:rsidR="00236594" w:rsidRPr="004A0212" w:rsidRDefault="654DB98B" w:rsidP="007D73A6">
      <w:pPr>
        <w:pStyle w:val="AllNumbparas"/>
      </w:pPr>
      <w:r w:rsidRPr="004A0212">
        <w:t xml:space="preserve">During the early part of the Inquiry period, societal awareness of child abuse and child sexual abuse was often limited or, in the case of child discipline, was not considered abuse by many. Using physical force to correct bad behaviour in schools and the family environment was legal and socially acceptable for most of the Inquiry period. </w:t>
      </w:r>
    </w:p>
    <w:p w14:paraId="6A6A6F4B" w14:textId="3A42B33D" w:rsidR="00236594" w:rsidRPr="004A0212" w:rsidRDefault="654DB98B" w:rsidP="007D73A6">
      <w:pPr>
        <w:pStyle w:val="AllNumbparas"/>
      </w:pPr>
      <w:r w:rsidRPr="004A0212">
        <w:t xml:space="preserve">However, throughout the Inquiry period many of the forms of abuse </w:t>
      </w:r>
      <w:r w:rsidR="0075CBE4" w:rsidRPr="004A0212">
        <w:t>the Inquiry heard</w:t>
      </w:r>
      <w:r w:rsidRPr="004A0212">
        <w:t xml:space="preserve"> about were against the law. Under the Crimes Act 1961, which largely continued provisions under the Crimes Act 1908, it was a crime to:</w:t>
      </w:r>
    </w:p>
    <w:p w14:paraId="103C8523" w14:textId="77777777" w:rsidR="00236594" w:rsidRPr="004A0212" w:rsidRDefault="373E6D0A" w:rsidP="00370D96">
      <w:pPr>
        <w:pStyle w:val="Bulletpoints"/>
      </w:pPr>
      <w:r w:rsidRPr="004A0212">
        <w:t>rape or have unconsented, unlawful sexual connection with another person</w:t>
      </w:r>
      <w:r w:rsidR="00236594" w:rsidRPr="004A0212">
        <w:rPr>
          <w:rStyle w:val="StyleFootnoteReferenceFagoFunotenzeichenFagoFunotenzeichen"/>
        </w:rPr>
        <w:footnoteReference w:id="276"/>
      </w:r>
      <w:r w:rsidRPr="004A0212">
        <w:t> or to have sex with a child under the age of 16</w:t>
      </w:r>
      <w:r w:rsidR="00236594" w:rsidRPr="004A0212">
        <w:rPr>
          <w:rStyle w:val="StyleFootnoteReferenceFagoFunotenzeichenFagoFunotenzeichen"/>
        </w:rPr>
        <w:footnoteReference w:id="277"/>
      </w:r>
      <w:r w:rsidRPr="004A0212">
        <w:t> </w:t>
      </w:r>
    </w:p>
    <w:p w14:paraId="7CCC50F9" w14:textId="16DA2975" w:rsidR="00236594" w:rsidRPr="004A0212" w:rsidRDefault="373E6D0A" w:rsidP="00370D96">
      <w:pPr>
        <w:pStyle w:val="Bulletpoints"/>
      </w:pPr>
      <w:r w:rsidRPr="004A0212">
        <w:t>ill-treat or neglect a child</w:t>
      </w:r>
      <w:r w:rsidR="00236594" w:rsidRPr="004A0212">
        <w:rPr>
          <w:rStyle w:val="StyleFootnoteReferenceFagoFunotenzeichenFagoFunotenzeichen"/>
        </w:rPr>
        <w:footnoteReference w:id="278"/>
      </w:r>
      <w:r w:rsidRPr="004A0212">
        <w:t> </w:t>
      </w:r>
    </w:p>
    <w:p w14:paraId="454B68AD" w14:textId="77777777" w:rsidR="00236594" w:rsidRPr="004A0212" w:rsidRDefault="373E6D0A" w:rsidP="00370D96">
      <w:pPr>
        <w:pStyle w:val="Bulletpoints"/>
      </w:pPr>
      <w:r w:rsidRPr="004A0212">
        <w:t>wound, injure or assault anyone.</w:t>
      </w:r>
      <w:r w:rsidR="00236594" w:rsidRPr="004A0212">
        <w:rPr>
          <w:rStyle w:val="StyleFootnoteReferenceFagoFunotenzeichenFagoFunotenzeichen"/>
        </w:rPr>
        <w:footnoteReference w:id="279"/>
      </w:r>
    </w:p>
    <w:p w14:paraId="657FD719" w14:textId="221ED37F" w:rsidR="00BE1068" w:rsidRPr="004A0212" w:rsidRDefault="654DB98B" w:rsidP="007D73A6">
      <w:pPr>
        <w:pStyle w:val="AllNumbparas"/>
      </w:pPr>
      <w:r w:rsidRPr="004A0212">
        <w:t>In annual reports published by the Division of Child Welfare from 1950 to 1966</w:t>
      </w:r>
      <w:r w:rsidR="32BF4B83" w:rsidRPr="004A0212">
        <w:t>,</w:t>
      </w:r>
      <w:r w:rsidRPr="004A0212">
        <w:t xml:space="preserve"> there was little mention of child abuse, other than a more general reference to protecting </w:t>
      </w:r>
      <w:r w:rsidR="10F420E4" w:rsidRPr="004A0212">
        <w:t>children</w:t>
      </w:r>
      <w:r w:rsidRPr="004A0212">
        <w:t xml:space="preserve"> under the age of 6 in foster care from ill-treatment. </w:t>
      </w:r>
    </w:p>
    <w:p w14:paraId="78FB9760" w14:textId="66C461C9" w:rsidR="00236594" w:rsidRPr="004A0212" w:rsidRDefault="654DB98B" w:rsidP="007D73A6">
      <w:pPr>
        <w:pStyle w:val="AllNumbparas"/>
      </w:pPr>
      <w:r w:rsidRPr="004A0212">
        <w:t xml:space="preserve">At least some level of parental physical discipline was seen as acceptable by the </w:t>
      </w:r>
      <w:r w:rsidR="530FDE45" w:rsidRPr="004A0212">
        <w:t xml:space="preserve">Child Welfare </w:t>
      </w:r>
      <w:r w:rsidRPr="004A0212">
        <w:t xml:space="preserve">division during this time, although </w:t>
      </w:r>
      <w:r w:rsidR="3C9BA275" w:rsidRPr="004A0212">
        <w:t>it was</w:t>
      </w:r>
      <w:r w:rsidRPr="004A0212">
        <w:t xml:space="preserve"> acknowledge</w:t>
      </w:r>
      <w:r w:rsidR="3C9BA275" w:rsidRPr="004A0212">
        <w:t>d</w:t>
      </w:r>
      <w:r w:rsidRPr="004A0212">
        <w:t xml:space="preserve"> that there were better alternatives to disciplining a child than “thrashing”.</w:t>
      </w:r>
      <w:r w:rsidR="00236594" w:rsidRPr="004A0212">
        <w:rPr>
          <w:rStyle w:val="StyleFootnoteReferenceFagoFunotenzeichenFagoFunotenzeichen"/>
        </w:rPr>
        <w:footnoteReference w:id="280"/>
      </w:r>
      <w:r w:rsidRPr="004A0212">
        <w:t xml:space="preserve"> </w:t>
      </w:r>
    </w:p>
    <w:p w14:paraId="66EB389B" w14:textId="29896C33" w:rsidR="00236594" w:rsidRPr="004A0212" w:rsidRDefault="654DB98B" w:rsidP="007D73A6">
      <w:pPr>
        <w:pStyle w:val="AllNumbparas"/>
      </w:pPr>
      <w:r w:rsidRPr="004A0212">
        <w:t>The division’s research unit began collecting data on child abuse in the community from the early 1960s.</w:t>
      </w:r>
      <w:r w:rsidR="00236594" w:rsidRPr="004A0212">
        <w:rPr>
          <w:rStyle w:val="StyleFootnoteReferenceFagoFunotenzeichenFagoFunotenzeichen"/>
        </w:rPr>
        <w:footnoteReference w:id="281"/>
      </w:r>
      <w:r w:rsidRPr="004A0212">
        <w:t xml:space="preserve"> By the mid-1960s, division staff were investigating, on average, between 300 and 400 incidents of suspected abuse per year. </w:t>
      </w:r>
      <w:r w:rsidR="32779041" w:rsidRPr="004A0212">
        <w:t>C</w:t>
      </w:r>
      <w:r w:rsidRPr="004A0212">
        <w:t xml:space="preserve">hild welfare officers believed that the true scale was vastly underestimated due to </w:t>
      </w:r>
      <w:r w:rsidR="530FDE45" w:rsidRPr="004A0212">
        <w:t xml:space="preserve">the </w:t>
      </w:r>
      <w:r w:rsidRPr="004A0212">
        <w:t>lack of reporting.</w:t>
      </w:r>
      <w:r w:rsidR="00236594" w:rsidRPr="004A0212">
        <w:rPr>
          <w:rStyle w:val="StyleFootnoteReferenceFagoFunotenzeichenFagoFunotenzeichen"/>
        </w:rPr>
        <w:footnoteReference w:id="282"/>
      </w:r>
      <w:r w:rsidRPr="004A0212">
        <w:t xml:space="preserve"> </w:t>
      </w:r>
    </w:p>
    <w:p w14:paraId="3D0E07A8" w14:textId="52B90D82" w:rsidR="009D6747" w:rsidRPr="004A0212" w:rsidRDefault="4082FFEB" w:rsidP="006B176E">
      <w:pPr>
        <w:pStyle w:val="Numbparas"/>
      </w:pPr>
      <w:r w:rsidRPr="004A0212">
        <w:t>In 1967 the first nationwide survey of physical child abuse in</w:t>
      </w:r>
      <w:r w:rsidR="722B2369" w:rsidRPr="004A0212">
        <w:t xml:space="preserve"> Aotearoa</w:t>
      </w:r>
      <w:r w:rsidRPr="004A0212">
        <w:t xml:space="preserve"> New Zealand was conducted.</w:t>
      </w:r>
      <w:r w:rsidR="009D6747" w:rsidRPr="004A0212">
        <w:rPr>
          <w:rStyle w:val="StyleFootnoteReferenceFagoFunotenzeichenFagoFunotenzeichen"/>
        </w:rPr>
        <w:footnoteReference w:id="283"/>
      </w:r>
      <w:r w:rsidRPr="004A0212">
        <w:t xml:space="preserve"> The survey did not collect data on child sexual abuse</w:t>
      </w:r>
      <w:r w:rsidR="3492F11E" w:rsidRPr="004A0212">
        <w:t>.</w:t>
      </w:r>
    </w:p>
    <w:p w14:paraId="54D42814" w14:textId="29718C73" w:rsidR="00197950" w:rsidRPr="004A0212" w:rsidRDefault="6F2738CA" w:rsidP="00E51846">
      <w:pPr>
        <w:pStyle w:val="Heading2"/>
        <w:rPr>
          <w:rFonts w:cs="Arial"/>
        </w:rPr>
      </w:pPr>
      <w:bookmarkStart w:id="344" w:name="_Toc732902998"/>
      <w:bookmarkStart w:id="345" w:name="_Toc168638982"/>
      <w:proofErr w:type="spellStart"/>
      <w:r w:rsidRPr="004A0212">
        <w:rPr>
          <w:rFonts w:cs="Arial"/>
        </w:rPr>
        <w:t>Te</w:t>
      </w:r>
      <w:proofErr w:type="spellEnd"/>
      <w:r w:rsidRPr="004A0212">
        <w:rPr>
          <w:rFonts w:cs="Arial"/>
        </w:rPr>
        <w:t xml:space="preserve"> </w:t>
      </w:r>
      <w:proofErr w:type="spellStart"/>
      <w:r w:rsidRPr="004A0212">
        <w:rPr>
          <w:rFonts w:cs="Arial"/>
        </w:rPr>
        <w:t>haere</w:t>
      </w:r>
      <w:proofErr w:type="spellEnd"/>
      <w:r w:rsidRPr="004A0212">
        <w:rPr>
          <w:rFonts w:cs="Arial"/>
        </w:rPr>
        <w:t xml:space="preserve"> </w:t>
      </w:r>
      <w:proofErr w:type="spellStart"/>
      <w:r w:rsidRPr="004A0212">
        <w:rPr>
          <w:rFonts w:cs="Arial"/>
        </w:rPr>
        <w:t>tonutanga</w:t>
      </w:r>
      <w:proofErr w:type="spellEnd"/>
      <w:r w:rsidRPr="004A0212">
        <w:rPr>
          <w:rFonts w:cs="Arial"/>
        </w:rPr>
        <w:t xml:space="preserve"> </w:t>
      </w:r>
      <w:r w:rsidR="79762B21" w:rsidRPr="004A0212">
        <w:rPr>
          <w:rFonts w:cs="Arial"/>
        </w:rPr>
        <w:t xml:space="preserve">o </w:t>
      </w:r>
      <w:proofErr w:type="spellStart"/>
      <w:r w:rsidR="79762B21" w:rsidRPr="004A0212">
        <w:rPr>
          <w:rFonts w:cs="Arial"/>
        </w:rPr>
        <w:t>n</w:t>
      </w:r>
      <w:r w:rsidR="01120EAF" w:rsidRPr="004A0212">
        <w:rPr>
          <w:rFonts w:cs="Arial"/>
        </w:rPr>
        <w:t>gā</w:t>
      </w:r>
      <w:proofErr w:type="spellEnd"/>
      <w:r w:rsidR="6228C394" w:rsidRPr="004A0212">
        <w:rPr>
          <w:rFonts w:cs="Arial"/>
        </w:rPr>
        <w:t xml:space="preserve"> wero me </w:t>
      </w:r>
      <w:proofErr w:type="spellStart"/>
      <w:r w:rsidR="4FE23AEF" w:rsidRPr="004A0212">
        <w:rPr>
          <w:rFonts w:cs="Arial"/>
        </w:rPr>
        <w:t>ngā</w:t>
      </w:r>
      <w:proofErr w:type="spellEnd"/>
      <w:r w:rsidR="6228C394" w:rsidRPr="004A0212">
        <w:rPr>
          <w:rFonts w:cs="Arial"/>
        </w:rPr>
        <w:t xml:space="preserve"> </w:t>
      </w:r>
      <w:proofErr w:type="spellStart"/>
      <w:r w:rsidR="6228C394" w:rsidRPr="004A0212">
        <w:rPr>
          <w:rFonts w:cs="Arial"/>
        </w:rPr>
        <w:t>porotū</w:t>
      </w:r>
      <w:bookmarkEnd w:id="344"/>
      <w:bookmarkEnd w:id="345"/>
      <w:proofErr w:type="spellEnd"/>
      <w:r w:rsidR="6228C394" w:rsidRPr="004A0212">
        <w:rPr>
          <w:rFonts w:cs="Arial"/>
        </w:rPr>
        <w:t xml:space="preserve"> </w:t>
      </w:r>
    </w:p>
    <w:p w14:paraId="12BDB4E4" w14:textId="0C207925" w:rsidR="00E51846" w:rsidRPr="004A0212" w:rsidRDefault="450A34B5" w:rsidP="00E51846">
      <w:pPr>
        <w:pStyle w:val="Heading2"/>
        <w:rPr>
          <w:rFonts w:cs="Arial"/>
          <w:lang w:eastAsia="en-US"/>
        </w:rPr>
      </w:pPr>
      <w:bookmarkStart w:id="346" w:name="_Toc278059059"/>
      <w:bookmarkStart w:id="347" w:name="_Toc168638983"/>
      <w:r w:rsidRPr="004A0212">
        <w:rPr>
          <w:rFonts w:cs="Arial"/>
        </w:rPr>
        <w:t>Continuing challenges and activism</w:t>
      </w:r>
      <w:bookmarkEnd w:id="339"/>
      <w:bookmarkEnd w:id="340"/>
      <w:bookmarkEnd w:id="346"/>
      <w:bookmarkEnd w:id="347"/>
    </w:p>
    <w:p w14:paraId="4D3563B2" w14:textId="5BAF73A1" w:rsidR="003B47C9" w:rsidRPr="004A0212" w:rsidRDefault="60B2516F" w:rsidP="007D73A6">
      <w:pPr>
        <w:pStyle w:val="AllNumbparas"/>
      </w:pPr>
      <w:r w:rsidRPr="004A0212">
        <w:t xml:space="preserve">During the 1960s and 1970s, several groups, including </w:t>
      </w:r>
      <w:r w:rsidR="07479AD0" w:rsidRPr="004A0212">
        <w:t xml:space="preserve">Māori, </w:t>
      </w:r>
      <w:r w:rsidRPr="004A0212">
        <w:t>human rights, gay rights and disability rights activists</w:t>
      </w:r>
      <w:r w:rsidR="468A9C7D" w:rsidRPr="004A0212">
        <w:t xml:space="preserve"> and Pacific </w:t>
      </w:r>
      <w:r w:rsidR="2DC63C6C" w:rsidRPr="004A0212">
        <w:t>P</w:t>
      </w:r>
      <w:r w:rsidR="468A9C7D" w:rsidRPr="004A0212">
        <w:t>eoples</w:t>
      </w:r>
      <w:r w:rsidRPr="004A0212">
        <w:t xml:space="preserve"> </w:t>
      </w:r>
      <w:r w:rsidR="7F36AF6A" w:rsidRPr="004A0212">
        <w:t>placed</w:t>
      </w:r>
      <w:r w:rsidRPr="004A0212">
        <w:t xml:space="preserve"> the State’s care and protection system under increased scrutiny and broadly </w:t>
      </w:r>
      <w:r w:rsidR="32BF4B83" w:rsidRPr="004A0212">
        <w:t xml:space="preserve">challenged </w:t>
      </w:r>
      <w:r w:rsidRPr="004A0212">
        <w:t xml:space="preserve">the status quo. </w:t>
      </w:r>
    </w:p>
    <w:p w14:paraId="5F4C1C30" w14:textId="307B5AD4" w:rsidR="0067540C" w:rsidRPr="004A0212" w:rsidRDefault="0559191B" w:rsidP="0067540C">
      <w:pPr>
        <w:pStyle w:val="AllNumbparas"/>
      </w:pPr>
      <w:r w:rsidRPr="004A0212">
        <w:t xml:space="preserve">In the late 1960s, </w:t>
      </w:r>
      <w:proofErr w:type="gramStart"/>
      <w:r w:rsidRPr="004A0212">
        <w:t>a number of</w:t>
      </w:r>
      <w:proofErr w:type="gramEnd"/>
      <w:r w:rsidRPr="004A0212">
        <w:t xml:space="preserve"> emerging movements and ideas influenced M</w:t>
      </w:r>
      <w:r w:rsidR="3A5CCD2C" w:rsidRPr="004A0212">
        <w:t>ā</w:t>
      </w:r>
      <w:r w:rsidRPr="004A0212">
        <w:t xml:space="preserve">ori activism: </w:t>
      </w:r>
    </w:p>
    <w:p w14:paraId="05E250FB" w14:textId="5E0C37ED" w:rsidR="0067540C" w:rsidRPr="004A0212" w:rsidRDefault="0067540C" w:rsidP="005915BE">
      <w:pPr>
        <w:pStyle w:val="AllNumbparas"/>
        <w:numPr>
          <w:ilvl w:val="0"/>
          <w:numId w:val="31"/>
        </w:numPr>
        <w:ind w:left="1701" w:hanging="425"/>
        <w:mirrorIndents w:val="0"/>
      </w:pPr>
      <w:r w:rsidRPr="004A0212">
        <w:t>Pākeh</w:t>
      </w:r>
      <w:r w:rsidR="000168FA" w:rsidRPr="004A0212">
        <w:t>ā</w:t>
      </w:r>
      <w:r w:rsidRPr="004A0212">
        <w:t xml:space="preserve"> anti-racist groups and emerging </w:t>
      </w:r>
      <w:r w:rsidR="00CD3EB4" w:rsidRPr="004A0212">
        <w:t xml:space="preserve">Māori </w:t>
      </w:r>
      <w:r w:rsidRPr="004A0212">
        <w:t>protest movements joined together in response to the ban of M</w:t>
      </w:r>
      <w:r w:rsidR="00374560" w:rsidRPr="004A0212">
        <w:t>ā</w:t>
      </w:r>
      <w:r w:rsidRPr="004A0212">
        <w:t>ori rugby players from the 1960 All Black</w:t>
      </w:r>
      <w:r w:rsidR="00CD3EB4" w:rsidRPr="004A0212">
        <w:t>s</w:t>
      </w:r>
      <w:r w:rsidRPr="004A0212">
        <w:t xml:space="preserve"> tour of South Africa</w:t>
      </w:r>
      <w:r w:rsidRPr="004A0212">
        <w:rPr>
          <w:rStyle w:val="StyleFootnoteReferenceFagoFunotenzeichenFagoFunotenzeichen"/>
        </w:rPr>
        <w:footnoteReference w:id="284"/>
      </w:r>
    </w:p>
    <w:p w14:paraId="5649641B" w14:textId="330DD3E5" w:rsidR="0067540C" w:rsidRPr="004A0212" w:rsidRDefault="008C10E5" w:rsidP="005915BE">
      <w:pPr>
        <w:pStyle w:val="AllNumbparas"/>
        <w:numPr>
          <w:ilvl w:val="0"/>
          <w:numId w:val="31"/>
        </w:numPr>
        <w:ind w:left="1701" w:hanging="425"/>
        <w:mirrorIndents w:val="0"/>
      </w:pPr>
      <w:r w:rsidRPr="004A0212">
        <w:t xml:space="preserve">Māori </w:t>
      </w:r>
      <w:r w:rsidR="0067540C" w:rsidRPr="004A0212">
        <w:t>activists</w:t>
      </w:r>
      <w:r w:rsidRPr="004A0212">
        <w:t>, including</w:t>
      </w:r>
      <w:r w:rsidR="008F1AA5" w:rsidRPr="004A0212">
        <w:t xml:space="preserve"> </w:t>
      </w:r>
      <w:r w:rsidR="0067540C" w:rsidRPr="004A0212">
        <w:t xml:space="preserve">Ngahuia </w:t>
      </w:r>
      <w:proofErr w:type="spellStart"/>
      <w:r w:rsidR="0067540C" w:rsidRPr="004A0212">
        <w:t>Te</w:t>
      </w:r>
      <w:proofErr w:type="spellEnd"/>
      <w:r w:rsidR="0067540C" w:rsidRPr="004A0212">
        <w:t xml:space="preserve"> </w:t>
      </w:r>
      <w:proofErr w:type="spellStart"/>
      <w:r w:rsidR="0067540C" w:rsidRPr="004A0212">
        <w:t>Awekotuku</w:t>
      </w:r>
      <w:proofErr w:type="spellEnd"/>
      <w:r w:rsidR="0067540C" w:rsidRPr="004A0212">
        <w:t xml:space="preserve"> and Donna Awatere </w:t>
      </w:r>
      <w:r w:rsidRPr="004A0212">
        <w:t xml:space="preserve">Huata </w:t>
      </w:r>
      <w:r w:rsidR="0067540C" w:rsidRPr="004A0212">
        <w:t>advocated for</w:t>
      </w:r>
      <w:r w:rsidR="00A926D7" w:rsidRPr="004A0212">
        <w:t xml:space="preserve"> the</w:t>
      </w:r>
      <w:r w:rsidR="0067540C" w:rsidRPr="004A0212">
        <w:t xml:space="preserve"> </w:t>
      </w:r>
      <w:r w:rsidR="00A926D7" w:rsidRPr="004A0212">
        <w:t xml:space="preserve">rights of </w:t>
      </w:r>
      <w:proofErr w:type="spellStart"/>
      <w:r w:rsidR="00644902" w:rsidRPr="004A0212">
        <w:t>wāhine</w:t>
      </w:r>
      <w:proofErr w:type="spellEnd"/>
      <w:r w:rsidR="00644902" w:rsidRPr="004A0212">
        <w:t xml:space="preserve"> </w:t>
      </w:r>
      <w:r w:rsidR="0067540C" w:rsidRPr="004A0212">
        <w:t xml:space="preserve">Māori </w:t>
      </w:r>
      <w:r w:rsidR="0067540C" w:rsidRPr="004A0212">
        <w:rPr>
          <w:rStyle w:val="StyleFootnoteReferenceFagoFunotenzeichenFagoFunotenzeichen"/>
        </w:rPr>
        <w:footnoteReference w:id="285"/>
      </w:r>
    </w:p>
    <w:p w14:paraId="3D76CEBF" w14:textId="5A150584" w:rsidR="00D108E5" w:rsidRPr="004A0212" w:rsidRDefault="0067540C" w:rsidP="005915BE">
      <w:pPr>
        <w:pStyle w:val="AllNumbparas"/>
        <w:numPr>
          <w:ilvl w:val="0"/>
          <w:numId w:val="31"/>
        </w:numPr>
        <w:ind w:left="1701" w:hanging="425"/>
        <w:mirrorIndents w:val="0"/>
      </w:pPr>
      <w:r w:rsidRPr="004A0212">
        <w:t>the surge in strikes and class struggles influenced the political awareness of Māori workers. Te Hokioi and the Māori Organisation on Human Rights (MOOHR) aimed to unite Māori and working-class activism. They highlighted issues in housing, sports, employment, and Māori political rights, addressing Treaty of Waitangi concerns and advocating for a bicultural Aotearoa New Zealand.</w:t>
      </w:r>
      <w:r w:rsidRPr="004A0212">
        <w:rPr>
          <w:rStyle w:val="StyleFootnoteReferenceFagoFunotenzeichenFagoFunotenzeichen"/>
        </w:rPr>
        <w:footnoteReference w:id="286"/>
      </w:r>
    </w:p>
    <w:p w14:paraId="65A9937D" w14:textId="517BEFF4" w:rsidR="00A227EE" w:rsidRPr="004A0212" w:rsidRDefault="1487E4F3" w:rsidP="007D73A6">
      <w:pPr>
        <w:pStyle w:val="AllNumbparas"/>
      </w:pPr>
      <w:r w:rsidRPr="004A0212">
        <w:t>Blind people mobilised in response to the nature of the cradle-to-grave provi</w:t>
      </w:r>
      <w:r w:rsidR="350655BC" w:rsidRPr="004A0212">
        <w:t>sion</w:t>
      </w:r>
      <w:r w:rsidRPr="004A0212">
        <w:t xml:space="preserve"> of services to blind people, and the numerous allegations of sexual abuse of blind children.</w:t>
      </w:r>
      <w:r w:rsidR="006C6D2F" w:rsidRPr="004A0212">
        <w:rPr>
          <w:rStyle w:val="StyleFootnoteReferenceFagoFunotenzeichenFagoFunotenzeichen"/>
        </w:rPr>
        <w:footnoteReference w:id="287"/>
      </w:r>
      <w:r w:rsidRPr="004A0212">
        <w:t xml:space="preserve"> </w:t>
      </w:r>
      <w:r w:rsidR="2A594C7A" w:rsidRPr="004A0212">
        <w:t xml:space="preserve">Blind Citizens NZ was founded in 1945 </w:t>
      </w:r>
      <w:r w:rsidR="7E96F050" w:rsidRPr="004A0212">
        <w:t>(</w:t>
      </w:r>
      <w:r w:rsidR="000B00E2" w:rsidRPr="004A0212">
        <w:t xml:space="preserve">as </w:t>
      </w:r>
      <w:r w:rsidR="2C61CA3F" w:rsidRPr="004A0212">
        <w:t xml:space="preserve">the </w:t>
      </w:r>
      <w:r w:rsidR="000B00E2" w:rsidRPr="004A0212">
        <w:t>Dominion Association for the Blind</w:t>
      </w:r>
      <w:r w:rsidR="7E96F050" w:rsidRPr="004A0212">
        <w:t>)</w:t>
      </w:r>
      <w:r w:rsidR="000B00E2" w:rsidRPr="004A0212">
        <w:t xml:space="preserve"> </w:t>
      </w:r>
      <w:r w:rsidR="2A594C7A" w:rsidRPr="004A0212">
        <w:t>to advance the interests of blind people.</w:t>
      </w:r>
      <w:r w:rsidR="4502EA47" w:rsidRPr="004A0212">
        <w:t xml:space="preserve"> </w:t>
      </w:r>
      <w:r w:rsidR="2A594C7A" w:rsidRPr="004A0212">
        <w:t>Only blind people could be members. Its achievements included:</w:t>
      </w:r>
    </w:p>
    <w:p w14:paraId="358C10A1" w14:textId="77777777" w:rsidR="00A227EE" w:rsidRPr="004A0212" w:rsidRDefault="2BE3A1FC" w:rsidP="006B176E">
      <w:pPr>
        <w:pStyle w:val="Bulletpoints"/>
      </w:pPr>
      <w:r w:rsidRPr="004A0212">
        <w:t>the 1958 abolition of the means test for blind people applying for the invalid’s benefit</w:t>
      </w:r>
    </w:p>
    <w:p w14:paraId="37408AC3" w14:textId="77777777" w:rsidR="00A227EE" w:rsidRPr="004A0212" w:rsidRDefault="2BE3A1FC" w:rsidP="006B176E">
      <w:pPr>
        <w:pStyle w:val="Bulletpoints"/>
      </w:pPr>
      <w:r w:rsidRPr="004A0212">
        <w:t>beginning talking-book services, radio for the blind, and magazine taping</w:t>
      </w:r>
    </w:p>
    <w:p w14:paraId="58895D62" w14:textId="207157C3" w:rsidR="00A227EE" w:rsidRPr="00045FC7" w:rsidRDefault="2BE3A1FC" w:rsidP="4F7CD8E4">
      <w:pPr>
        <w:pStyle w:val="Bulletpoints"/>
        <w:rPr>
          <w:rStyle w:val="StyleFootnoteReferenceFagoFunotenzeichenFagoFunotenzeichen"/>
          <w:color w:val="222222"/>
          <w:vertAlign w:val="baseline"/>
        </w:rPr>
      </w:pPr>
      <w:r w:rsidRPr="004A0212">
        <w:t xml:space="preserve">training members to use speech and </w:t>
      </w:r>
      <w:r w:rsidR="4B95305F" w:rsidRPr="004A0212">
        <w:t>b</w:t>
      </w:r>
      <w:r w:rsidRPr="004A0212">
        <w:t>raille programmes on computers.</w:t>
      </w:r>
      <w:r w:rsidR="00A227EE" w:rsidRPr="004A0212">
        <w:rPr>
          <w:rStyle w:val="StyleFootnoteReferenceFagoFunotenzeichenFagoFunotenzeichen"/>
        </w:rPr>
        <w:footnoteReference w:id="288"/>
      </w:r>
    </w:p>
    <w:p w14:paraId="018A570C" w14:textId="5EF9AEB2" w:rsidR="000E7F2C" w:rsidRPr="004A0212" w:rsidRDefault="5A87511F" w:rsidP="007D73A6">
      <w:pPr>
        <w:pStyle w:val="AllNumbparas"/>
      </w:pPr>
      <w:r w:rsidRPr="004A0212">
        <w:t>Due to</w:t>
      </w:r>
      <w:r w:rsidRPr="004A0212" w:rsidDel="00893E13">
        <w:t xml:space="preserve"> </w:t>
      </w:r>
      <w:r w:rsidR="7E96F050" w:rsidRPr="004A0212">
        <w:t>the State</w:t>
      </w:r>
      <w:r w:rsidR="7A1A6DF2" w:rsidRPr="004A0212">
        <w:t xml:space="preserve"> </w:t>
      </w:r>
      <w:r w:rsidRPr="004A0212">
        <w:t xml:space="preserve">and society often devaluing Pacific </w:t>
      </w:r>
      <w:r w:rsidR="680058D3" w:rsidRPr="004A0212">
        <w:t>P</w:t>
      </w:r>
      <w:r w:rsidR="6568A6C9" w:rsidRPr="004A0212">
        <w:t>eoples</w:t>
      </w:r>
      <w:r w:rsidRPr="004A0212">
        <w:t>, they created their own support systems and communities to rely on</w:t>
      </w:r>
      <w:r w:rsidR="5E30A05A" w:rsidRPr="004A0212">
        <w:t>. C</w:t>
      </w:r>
      <w:r w:rsidRPr="004A0212">
        <w:t>hurches often became the heart</w:t>
      </w:r>
      <w:r w:rsidR="5E30A05A" w:rsidRPr="004A0212">
        <w:t>s</w:t>
      </w:r>
      <w:r w:rsidRPr="004A0212">
        <w:t xml:space="preserve"> of </w:t>
      </w:r>
      <w:r w:rsidR="5E30A05A" w:rsidRPr="004A0212">
        <w:t>Pacific</w:t>
      </w:r>
      <w:r w:rsidRPr="004A0212">
        <w:t xml:space="preserve"> communities.</w:t>
      </w:r>
      <w:r w:rsidR="000E7F2C" w:rsidRPr="004A0212">
        <w:rPr>
          <w:rStyle w:val="StyleFootnoteReferenceFagoFunotenzeichenFagoFunotenzeichen"/>
        </w:rPr>
        <w:footnoteReference w:id="289"/>
      </w:r>
      <w:r w:rsidRPr="004A0212">
        <w:t xml:space="preserve"> These support systems were often formed from the ground up and were community or worker focused</w:t>
      </w:r>
      <w:r w:rsidR="64909E2D" w:rsidRPr="004A0212">
        <w:t xml:space="preserve"> –</w:t>
      </w:r>
      <w:r w:rsidRPr="004A0212">
        <w:t xml:space="preserve"> </w:t>
      </w:r>
      <w:r w:rsidR="64909E2D" w:rsidRPr="004A0212">
        <w:t>for example,</w:t>
      </w:r>
      <w:r w:rsidRPr="004A0212">
        <w:t xml:space="preserve"> a community support group for immigrating Pacific teachers. </w:t>
      </w:r>
    </w:p>
    <w:p w14:paraId="41BB4542" w14:textId="6F562FB3" w:rsidR="00A21C3C" w:rsidRPr="004A0212" w:rsidRDefault="5A87511F" w:rsidP="00A83810">
      <w:pPr>
        <w:pStyle w:val="AllNumbparas"/>
      </w:pPr>
      <w:r w:rsidRPr="004A0212">
        <w:t xml:space="preserve">Pacific </w:t>
      </w:r>
      <w:r w:rsidR="680058D3" w:rsidRPr="004A0212">
        <w:t>P</w:t>
      </w:r>
      <w:r w:rsidR="6568A6C9" w:rsidRPr="004A0212">
        <w:t>eoples</w:t>
      </w:r>
      <w:r w:rsidRPr="004A0212">
        <w:t xml:space="preserve"> developed resilience in the face of racism</w:t>
      </w:r>
      <w:r w:rsidR="5E30A05A" w:rsidRPr="004A0212">
        <w:t>,</w:t>
      </w:r>
      <w:r w:rsidRPr="004A0212">
        <w:t xml:space="preserve"> and civil rights activists fought back against discrimination. In 1964</w:t>
      </w:r>
      <w:r w:rsidR="30F9E999" w:rsidRPr="004A0212">
        <w:t>,</w:t>
      </w:r>
      <w:r w:rsidRPr="004A0212">
        <w:t xml:space="preserve"> the Citizens Association for Racial Equality was established. It was made up of Māori and Pacific </w:t>
      </w:r>
      <w:r w:rsidR="680058D3" w:rsidRPr="004A0212">
        <w:t>P</w:t>
      </w:r>
      <w:r w:rsidR="6568A6C9" w:rsidRPr="004A0212">
        <w:t>eoples</w:t>
      </w:r>
      <w:r w:rsidRPr="004A0212">
        <w:t xml:space="preserve"> and aimed to devote equal attention to racial questions in </w:t>
      </w:r>
      <w:r w:rsidR="470938C5" w:rsidRPr="004A0212">
        <w:t xml:space="preserve">Aotearoa </w:t>
      </w:r>
      <w:r w:rsidRPr="004A0212">
        <w:t xml:space="preserve">New Zealand and abroad. They considered the problems faced by Māori and Pacific </w:t>
      </w:r>
      <w:r w:rsidR="1ACCA992" w:rsidRPr="004A0212">
        <w:t>P</w:t>
      </w:r>
      <w:r w:rsidR="6568A6C9" w:rsidRPr="004A0212">
        <w:t>eoples</w:t>
      </w:r>
      <w:r w:rsidRPr="004A0212">
        <w:t xml:space="preserve"> moving to the cities.</w:t>
      </w:r>
      <w:r w:rsidR="000E7F2C" w:rsidRPr="004A0212">
        <w:rPr>
          <w:rStyle w:val="StyleFootnoteReferenceFagoFunotenzeichenFagoFunotenzeichen"/>
        </w:rPr>
        <w:footnoteReference w:id="290"/>
      </w:r>
    </w:p>
    <w:p w14:paraId="31910A3B" w14:textId="35EC25CA" w:rsidR="008B7410" w:rsidRPr="004A0212" w:rsidRDefault="5AFDD121" w:rsidP="007D73A6">
      <w:pPr>
        <w:pStyle w:val="AllNumbparas"/>
      </w:pPr>
      <w:r w:rsidRPr="004A0212">
        <w:t xml:space="preserve">The </w:t>
      </w:r>
      <w:r w:rsidR="6C804120" w:rsidRPr="004A0212">
        <w:t>1960s</w:t>
      </w:r>
      <w:r w:rsidRPr="004A0212">
        <w:t xml:space="preserve"> saw the beginnings of </w:t>
      </w:r>
      <w:r w:rsidR="0AD9542C" w:rsidRPr="004A0212">
        <w:t xml:space="preserve">gradual change towards </w:t>
      </w:r>
      <w:r w:rsidR="4E0793A2" w:rsidRPr="004A0212">
        <w:t>the realisation of rights for Takat</w:t>
      </w:r>
      <w:r w:rsidR="5E30A05A" w:rsidRPr="004A0212">
        <w:t>ā</w:t>
      </w:r>
      <w:r w:rsidR="4E0793A2" w:rsidRPr="004A0212">
        <w:t xml:space="preserve">pui, Rainbow and MVPFAFF+ </w:t>
      </w:r>
      <w:r w:rsidR="1FE29525" w:rsidRPr="004A0212">
        <w:t>New Zealanders</w:t>
      </w:r>
      <w:r w:rsidR="6C804120" w:rsidRPr="004A0212">
        <w:t>.</w:t>
      </w:r>
      <w:r w:rsidR="1FE29525" w:rsidRPr="004A0212">
        <w:t xml:space="preserve"> The Dorian Society</w:t>
      </w:r>
      <w:r w:rsidR="5FF40C2F" w:rsidRPr="004A0212">
        <w:t>, Aotearoa New Zealand’s first social club for homosexual men, was formed in Te Whanganui-</w:t>
      </w:r>
      <w:r w:rsidR="0022296D">
        <w:t>a</w:t>
      </w:r>
      <w:r w:rsidR="5FF40C2F" w:rsidRPr="004A0212">
        <w:t>-Tara Wellington in 1962.</w:t>
      </w:r>
      <w:r w:rsidR="00697AA7" w:rsidRPr="004A0212">
        <w:rPr>
          <w:rStyle w:val="StyleFootnoteReferenceFagoFunotenzeichenFagoFunotenzeichen"/>
        </w:rPr>
        <w:footnoteReference w:id="291"/>
      </w:r>
      <w:r w:rsidR="6F06173E" w:rsidRPr="004A0212">
        <w:rPr>
          <w:rStyle w:val="FootnoteReference"/>
        </w:rPr>
        <w:t xml:space="preserve"> </w:t>
      </w:r>
      <w:r w:rsidR="5FF40C2F" w:rsidRPr="004A0212">
        <w:t xml:space="preserve"> </w:t>
      </w:r>
      <w:r w:rsidR="1FE29525" w:rsidRPr="004A0212">
        <w:t>I</w:t>
      </w:r>
      <w:r w:rsidR="2BAD8312" w:rsidRPr="004A0212">
        <w:t>n 1967</w:t>
      </w:r>
      <w:r w:rsidR="1FE29525" w:rsidRPr="004A0212">
        <w:t>, a group of lawyers formed</w:t>
      </w:r>
      <w:r w:rsidR="2BAD8312" w:rsidRPr="004A0212">
        <w:t xml:space="preserve"> the New Zealand Homosexual Law Reform Society. </w:t>
      </w:r>
      <w:r w:rsidR="1510981A" w:rsidRPr="004A0212">
        <w:t>It</w:t>
      </w:r>
      <w:r w:rsidR="2BAD8312" w:rsidRPr="004A0212">
        <w:t xml:space="preserve"> presented a petition to Parliament urging homosexual law reform in 1968.</w:t>
      </w:r>
      <w:r w:rsidR="00E740A8" w:rsidRPr="004A0212">
        <w:rPr>
          <w:rStyle w:val="StyleFootnoteReferenceFagoFunotenzeichenFagoFunotenzeichen"/>
        </w:rPr>
        <w:footnoteReference w:id="292"/>
      </w:r>
      <w:r w:rsidR="2BAD8312" w:rsidRPr="004A0212">
        <w:t xml:space="preserve"> Internationally, </w:t>
      </w:r>
      <w:r w:rsidR="25A9A7C2" w:rsidRPr="004A0212">
        <w:t xml:space="preserve">in 1969 homosexual men and women resisted arrest during the </w:t>
      </w:r>
      <w:r w:rsidR="51B4E245" w:rsidRPr="004A0212">
        <w:t>Stonewall Riots in New York</w:t>
      </w:r>
      <w:r w:rsidR="494D83F3" w:rsidRPr="004A0212">
        <w:t xml:space="preserve"> City</w:t>
      </w:r>
      <w:r w:rsidR="51B4E245" w:rsidRPr="004A0212">
        <w:t xml:space="preserve">. This is regarded as the start of the </w:t>
      </w:r>
      <w:r w:rsidR="494D83F3" w:rsidRPr="004A0212">
        <w:t>g</w:t>
      </w:r>
      <w:r w:rsidR="51B4E245" w:rsidRPr="004A0212">
        <w:t xml:space="preserve">ay </w:t>
      </w:r>
      <w:r w:rsidR="494D83F3" w:rsidRPr="004A0212">
        <w:t>l</w:t>
      </w:r>
      <w:r w:rsidR="51B4E245" w:rsidRPr="004A0212">
        <w:t>iberation</w:t>
      </w:r>
      <w:r w:rsidR="494D83F3" w:rsidRPr="004A0212">
        <w:t xml:space="preserve"> movement</w:t>
      </w:r>
      <w:r w:rsidR="25A9A7C2" w:rsidRPr="004A0212">
        <w:t>.</w:t>
      </w:r>
      <w:r w:rsidR="00E740A8" w:rsidRPr="004A0212">
        <w:rPr>
          <w:rStyle w:val="StyleFootnoteReferenceFagoFunotenzeichenFagoFunotenzeichen"/>
        </w:rPr>
        <w:footnoteReference w:id="293"/>
      </w:r>
      <w:r w:rsidR="2BAD8312" w:rsidRPr="004A0212">
        <w:rPr>
          <w:rStyle w:val="FootnoteReference"/>
        </w:rPr>
        <w:t xml:space="preserve"> </w:t>
      </w:r>
    </w:p>
    <w:p w14:paraId="4BAAEAA9" w14:textId="77777777" w:rsidR="00197950" w:rsidRPr="004A0212" w:rsidRDefault="05AF1E8E" w:rsidP="00D6367F">
      <w:pPr>
        <w:pStyle w:val="Heading2"/>
        <w:rPr>
          <w:rFonts w:cs="Arial"/>
        </w:rPr>
      </w:pPr>
      <w:bookmarkStart w:id="348" w:name="_Toc1724804516"/>
      <w:bookmarkStart w:id="349" w:name="_Toc168638984"/>
      <w:proofErr w:type="spellStart"/>
      <w:r w:rsidRPr="004A0212">
        <w:rPr>
          <w:rFonts w:cs="Arial"/>
        </w:rPr>
        <w:t>Kāore</w:t>
      </w:r>
      <w:proofErr w:type="spellEnd"/>
      <w:r w:rsidRPr="004A0212">
        <w:rPr>
          <w:rFonts w:cs="Arial"/>
        </w:rPr>
        <w:t xml:space="preserve"> he </w:t>
      </w:r>
      <w:proofErr w:type="spellStart"/>
      <w:r w:rsidRPr="004A0212">
        <w:rPr>
          <w:rFonts w:cs="Arial"/>
        </w:rPr>
        <w:t>tautoko</w:t>
      </w:r>
      <w:proofErr w:type="spellEnd"/>
      <w:r w:rsidRPr="004A0212">
        <w:rPr>
          <w:rFonts w:cs="Arial"/>
        </w:rPr>
        <w:t xml:space="preserve"> </w:t>
      </w:r>
      <w:proofErr w:type="spellStart"/>
      <w:r w:rsidRPr="004A0212">
        <w:rPr>
          <w:rFonts w:cs="Arial"/>
        </w:rPr>
        <w:t>tokoora</w:t>
      </w:r>
      <w:proofErr w:type="spellEnd"/>
      <w:r w:rsidRPr="004A0212">
        <w:rPr>
          <w:rFonts w:cs="Arial"/>
        </w:rPr>
        <w:t xml:space="preserve">, ka </w:t>
      </w:r>
      <w:proofErr w:type="spellStart"/>
      <w:r w:rsidRPr="004A0212">
        <w:rPr>
          <w:rFonts w:cs="Arial"/>
        </w:rPr>
        <w:t>heke</w:t>
      </w:r>
      <w:proofErr w:type="spellEnd"/>
      <w:r w:rsidRPr="004A0212">
        <w:rPr>
          <w:rFonts w:cs="Arial"/>
        </w:rPr>
        <w:t xml:space="preserve"> </w:t>
      </w:r>
      <w:proofErr w:type="spellStart"/>
      <w:r w:rsidRPr="004A0212">
        <w:rPr>
          <w:rFonts w:cs="Arial"/>
        </w:rPr>
        <w:t>ngā</w:t>
      </w:r>
      <w:proofErr w:type="spellEnd"/>
      <w:r w:rsidRPr="004A0212">
        <w:rPr>
          <w:rFonts w:cs="Arial"/>
        </w:rPr>
        <w:t xml:space="preserve"> </w:t>
      </w:r>
      <w:proofErr w:type="spellStart"/>
      <w:r w:rsidRPr="004A0212">
        <w:rPr>
          <w:rFonts w:cs="Arial"/>
        </w:rPr>
        <w:t>āhuatanga</w:t>
      </w:r>
      <w:proofErr w:type="spellEnd"/>
      <w:r w:rsidRPr="004A0212">
        <w:rPr>
          <w:rFonts w:cs="Arial"/>
        </w:rPr>
        <w:t xml:space="preserve"> </w:t>
      </w:r>
      <w:proofErr w:type="spellStart"/>
      <w:r w:rsidRPr="004A0212">
        <w:rPr>
          <w:rFonts w:cs="Arial"/>
        </w:rPr>
        <w:t>ohanga</w:t>
      </w:r>
      <w:bookmarkEnd w:id="348"/>
      <w:bookmarkEnd w:id="349"/>
      <w:proofErr w:type="spellEnd"/>
      <w:r w:rsidRPr="004A0212">
        <w:rPr>
          <w:rFonts w:cs="Arial"/>
        </w:rPr>
        <w:t xml:space="preserve"> </w:t>
      </w:r>
      <w:bookmarkStart w:id="350" w:name="_Toc147935399"/>
      <w:bookmarkStart w:id="351" w:name="_Toc148443580"/>
    </w:p>
    <w:p w14:paraId="02CE61AA" w14:textId="10313AD6" w:rsidR="006E7727" w:rsidRPr="004A0212" w:rsidRDefault="34940F34" w:rsidP="00D6367F">
      <w:pPr>
        <w:pStyle w:val="Heading2"/>
        <w:rPr>
          <w:rFonts w:cs="Arial"/>
        </w:rPr>
      </w:pPr>
      <w:bookmarkStart w:id="352" w:name="_Toc796836005"/>
      <w:bookmarkStart w:id="353" w:name="_Toc168638985"/>
      <w:r w:rsidRPr="004A0212">
        <w:rPr>
          <w:rFonts w:cs="Arial"/>
        </w:rPr>
        <w:t xml:space="preserve">No dedicated welfare support, </w:t>
      </w:r>
      <w:r w:rsidR="4736A46E" w:rsidRPr="004A0212">
        <w:rPr>
          <w:rFonts w:cs="Arial"/>
        </w:rPr>
        <w:t>economic conditions</w:t>
      </w:r>
      <w:r w:rsidRPr="004A0212">
        <w:rPr>
          <w:rFonts w:cs="Arial"/>
        </w:rPr>
        <w:t xml:space="preserve"> decline</w:t>
      </w:r>
      <w:bookmarkEnd w:id="352"/>
      <w:bookmarkEnd w:id="353"/>
    </w:p>
    <w:p w14:paraId="53A35EED" w14:textId="7E9CA1EC" w:rsidR="00291460" w:rsidRPr="004A0212" w:rsidRDefault="07921ADB" w:rsidP="007D73A6">
      <w:pPr>
        <w:pStyle w:val="AllNumbparas"/>
      </w:pPr>
      <w:r w:rsidRPr="004A0212">
        <w:t xml:space="preserve">Before the 1970s, there were </w:t>
      </w:r>
      <w:r w:rsidR="1B85DB90" w:rsidRPr="004A0212">
        <w:t xml:space="preserve">few </w:t>
      </w:r>
      <w:r w:rsidRPr="004A0212">
        <w:t>dedicated benefits for single parents or parents with disabled children under 16.</w:t>
      </w:r>
      <w:r w:rsidR="00D6367F" w:rsidRPr="004A0212">
        <w:rPr>
          <w:rStyle w:val="StyleFootnoteReferenceFagoFunotenzeichenFagoFunotenzeichen"/>
        </w:rPr>
        <w:footnoteReference w:id="294"/>
      </w:r>
      <w:r w:rsidRPr="004A0212">
        <w:t xml:space="preserve"> Those in households with no wage earner, or with additional needs, could find themselves dependent on a system of discretionary benefits</w:t>
      </w:r>
      <w:r w:rsidR="2739A1E4" w:rsidRPr="004A0212">
        <w:t>, tax abatements</w:t>
      </w:r>
      <w:r w:rsidRPr="004A0212">
        <w:t xml:space="preserve"> and welfare services.</w:t>
      </w:r>
      <w:r w:rsidR="00D6367F" w:rsidRPr="004A0212">
        <w:rPr>
          <w:rStyle w:val="StyleFootnoteReferenceFagoFunotenzeichenFagoFunotenzeichen"/>
        </w:rPr>
        <w:footnoteReference w:id="295"/>
      </w:r>
      <w:r w:rsidRPr="004A0212">
        <w:rPr>
          <w:rStyle w:val="FootnoteReference"/>
        </w:rPr>
        <w:t xml:space="preserve"> </w:t>
      </w:r>
    </w:p>
    <w:p w14:paraId="7228037E" w14:textId="59FCDDDC" w:rsidR="00D6367F" w:rsidRPr="004A0212" w:rsidRDefault="07921ADB" w:rsidP="007D73A6">
      <w:pPr>
        <w:pStyle w:val="AllNumbparas"/>
      </w:pPr>
      <w:r w:rsidRPr="004A0212">
        <w:t xml:space="preserve">Discretionary welfare included </w:t>
      </w:r>
      <w:r w:rsidR="1FCBEAFF" w:rsidRPr="004A0212">
        <w:t xml:space="preserve">assistance </w:t>
      </w:r>
      <w:r w:rsidR="494D83F3" w:rsidRPr="004A0212">
        <w:t xml:space="preserve">such as </w:t>
      </w:r>
      <w:r w:rsidRPr="004A0212">
        <w:t xml:space="preserve">food, blankets, cash grants and support with life stress </w:t>
      </w:r>
      <w:r w:rsidR="197076F7" w:rsidRPr="004A0212">
        <w:t>such as</w:t>
      </w:r>
      <w:r w:rsidRPr="004A0212">
        <w:t xml:space="preserve"> family relationships, children</w:t>
      </w:r>
      <w:r w:rsidR="5E30A05A" w:rsidRPr="004A0212">
        <w:t>’</w:t>
      </w:r>
      <w:r w:rsidRPr="004A0212">
        <w:t xml:space="preserve">s behaviour and parenting advice. The community in the form of family members, friends and neighbours were also a source of care and support to individuals in need. </w:t>
      </w:r>
    </w:p>
    <w:p w14:paraId="041AF190" w14:textId="3003899F" w:rsidR="00D6367F" w:rsidRPr="004A0212" w:rsidRDefault="5C6433CE" w:rsidP="007D73A6">
      <w:pPr>
        <w:pStyle w:val="AllNumbparas"/>
      </w:pPr>
      <w:r w:rsidRPr="004A0212">
        <w:t>In</w:t>
      </w:r>
      <w:r w:rsidR="07921ADB" w:rsidRPr="004A0212">
        <w:t xml:space="preserve"> 1967, Aotearoa New Zealand </w:t>
      </w:r>
      <w:r w:rsidRPr="004A0212">
        <w:t>faced a short</w:t>
      </w:r>
      <w:r w:rsidR="07921ADB" w:rsidRPr="004A0212">
        <w:t xml:space="preserve"> recession</w:t>
      </w:r>
      <w:r w:rsidRPr="004A0212">
        <w:t>.</w:t>
      </w:r>
      <w:r w:rsidR="00D6367F" w:rsidRPr="004A0212">
        <w:rPr>
          <w:rStyle w:val="StyleFootnoteReferenceFagoFunotenzeichenFagoFunotenzeichen"/>
        </w:rPr>
        <w:footnoteReference w:id="296"/>
      </w:r>
      <w:r w:rsidR="07921ADB" w:rsidRPr="004A0212">
        <w:rPr>
          <w:rStyle w:val="FootnoteReference"/>
        </w:rPr>
        <w:t xml:space="preserve"> </w:t>
      </w:r>
      <w:r w:rsidRPr="004A0212">
        <w:t>T</w:t>
      </w:r>
      <w:r w:rsidR="07921ADB" w:rsidRPr="004A0212">
        <w:t xml:space="preserve">hroughout the 1970s, </w:t>
      </w:r>
      <w:r w:rsidR="37F1FE5E" w:rsidRPr="004A0212">
        <w:t>issues such as the oil shocks</w:t>
      </w:r>
      <w:r w:rsidR="07921ADB" w:rsidRPr="004A0212">
        <w:t>, increasing prices and the rising costs of land and property reduced buying power.</w:t>
      </w:r>
      <w:r w:rsidR="00D6367F" w:rsidRPr="004A0212">
        <w:rPr>
          <w:rStyle w:val="StyleFootnoteReferenceFagoFunotenzeichenFagoFunotenzeichen"/>
        </w:rPr>
        <w:footnoteReference w:id="297"/>
      </w:r>
      <w:r w:rsidR="07921ADB" w:rsidRPr="004A0212">
        <w:t xml:space="preserve"> </w:t>
      </w:r>
      <w:r w:rsidR="48894282" w:rsidRPr="004A0212">
        <w:t>Families</w:t>
      </w:r>
      <w:r w:rsidR="07921ADB" w:rsidRPr="004A0212">
        <w:t xml:space="preserve"> receiving discretionary welfare support rose from </w:t>
      </w:r>
      <w:r w:rsidR="46494BBC" w:rsidRPr="004A0212">
        <w:t>7</w:t>
      </w:r>
      <w:r w:rsidR="5E30A05A" w:rsidRPr="004A0212">
        <w:t>,</w:t>
      </w:r>
      <w:r w:rsidR="46494BBC" w:rsidRPr="004A0212">
        <w:t xml:space="preserve">150 </w:t>
      </w:r>
      <w:r w:rsidR="07921ADB" w:rsidRPr="004A0212">
        <w:t xml:space="preserve">in 1950 to </w:t>
      </w:r>
      <w:r w:rsidR="065D8144" w:rsidRPr="004A0212">
        <w:t>39</w:t>
      </w:r>
      <w:r w:rsidR="07921ADB" w:rsidRPr="004A0212">
        <w:t>,</w:t>
      </w:r>
      <w:r w:rsidR="065D8144" w:rsidRPr="004A0212">
        <w:t xml:space="preserve">759 </w:t>
      </w:r>
      <w:r w:rsidR="07921ADB" w:rsidRPr="004A0212">
        <w:t>by 1965.</w:t>
      </w:r>
      <w:r w:rsidR="008B263B" w:rsidRPr="004A0212">
        <w:rPr>
          <w:rStyle w:val="StyleFootnoteReferenceFagoFunotenzeichenFagoFunotenzeichen"/>
        </w:rPr>
        <w:footnoteReference w:id="298"/>
      </w:r>
      <w:r w:rsidR="07921ADB" w:rsidRPr="004A0212">
        <w:t xml:space="preserve"> The universal family benefit, introduced in 1946 and payable to families for each child under 16, was not indexed to inflation and decreased in value over the period.</w:t>
      </w:r>
      <w:r w:rsidR="00D6367F" w:rsidRPr="004A0212">
        <w:rPr>
          <w:rStyle w:val="StyleFootnoteReferenceFagoFunotenzeichenFagoFunotenzeichen"/>
        </w:rPr>
        <w:footnoteReference w:id="299"/>
      </w:r>
      <w:r w:rsidR="07921ADB" w:rsidRPr="004A0212">
        <w:rPr>
          <w:rStyle w:val="FootnoteReference"/>
        </w:rPr>
        <w:t xml:space="preserve"> </w:t>
      </w:r>
    </w:p>
    <w:p w14:paraId="11789ED0" w14:textId="23539829" w:rsidR="002E49C1" w:rsidRPr="004A0212" w:rsidRDefault="62145155" w:rsidP="007F32D7">
      <w:pPr>
        <w:pStyle w:val="AllNumbparas"/>
      </w:pPr>
      <w:r w:rsidRPr="004A0212">
        <w:t>Women whose husbands had died were eligible for the Widow’s Benefit from 1911, with additional payments for dependent children.</w:t>
      </w:r>
      <w:r w:rsidR="002E49C1" w:rsidRPr="004A0212">
        <w:rPr>
          <w:rStyle w:val="StyleFootnoteReferenceFagoFunotenzeichenFagoFunotenzeichen"/>
        </w:rPr>
        <w:footnoteReference w:id="300"/>
      </w:r>
      <w:r w:rsidRPr="004A0212">
        <w:t xml:space="preserve"> There was also support available for women whose husbands had abandoned them.</w:t>
      </w:r>
      <w:r w:rsidR="002E49C1" w:rsidRPr="004A0212">
        <w:rPr>
          <w:rStyle w:val="StyleFootnoteReferenceFagoFunotenzeichenFagoFunotenzeichen"/>
        </w:rPr>
        <w:footnoteReference w:id="301"/>
      </w:r>
      <w:r w:rsidRPr="004A0212">
        <w:t xml:space="preserve"> There was no equivalent support for widowers or solo fathers</w:t>
      </w:r>
      <w:r w:rsidR="5E30A05A" w:rsidRPr="004A0212">
        <w:t>,</w:t>
      </w:r>
      <w:r w:rsidRPr="004A0212">
        <w:t xml:space="preserve"> creating a loophole in government policies that meant many solo </w:t>
      </w:r>
      <w:r w:rsidR="5E30A05A" w:rsidRPr="004A0212">
        <w:t xml:space="preserve">fathers </w:t>
      </w:r>
      <w:r w:rsidRPr="004A0212">
        <w:t>were unable to support their children at</w:t>
      </w:r>
      <w:r w:rsidR="62525F90" w:rsidRPr="004A0212">
        <w:t xml:space="preserve"> </w:t>
      </w:r>
      <w:r w:rsidRPr="004A0212">
        <w:t>home.  An unemployment benefit was available from 1938 for both men and women. Qualifying criteria included not being unemployed without a good reason, being available for work and taking reasonable steps to find employment.</w:t>
      </w:r>
      <w:r w:rsidR="002E49C1" w:rsidRPr="004A0212">
        <w:rPr>
          <w:rStyle w:val="StyleFootnoteReferenceFagoFunotenzeichenFagoFunotenzeichen"/>
        </w:rPr>
        <w:footnoteReference w:id="302"/>
      </w:r>
      <w:r w:rsidRPr="004A0212">
        <w:t xml:space="preserve"> In practice the Department of Social Security was reluctant to grant the unemployment benefit to unmarried mothers, partly out of concerns about creating long term welfare dependency.</w:t>
      </w:r>
      <w:r w:rsidR="002E49C1" w:rsidRPr="004A0212">
        <w:rPr>
          <w:rStyle w:val="StyleFootnoteReferenceFagoFunotenzeichenFagoFunotenzeichen"/>
        </w:rPr>
        <w:footnoteReference w:id="303"/>
      </w:r>
    </w:p>
    <w:p w14:paraId="1A065867" w14:textId="2F2F5E48" w:rsidR="00463743" w:rsidRPr="004A0212" w:rsidRDefault="11597642" w:rsidP="007753A7">
      <w:pPr>
        <w:pStyle w:val="Numbparas"/>
      </w:pPr>
      <w:r w:rsidRPr="004A0212">
        <w:t xml:space="preserve">During the </w:t>
      </w:r>
      <w:r w:rsidR="58EC773F" w:rsidRPr="004A0212">
        <w:t>Inquiry</w:t>
      </w:r>
      <w:r w:rsidRPr="004A0212">
        <w:t xml:space="preserve"> period</w:t>
      </w:r>
      <w:r w:rsidR="03990785" w:rsidRPr="004A0212">
        <w:t xml:space="preserve"> the </w:t>
      </w:r>
      <w:r w:rsidR="0085322B" w:rsidRPr="004A0212">
        <w:t>State</w:t>
      </w:r>
      <w:r w:rsidRPr="004A0212">
        <w:t xml:space="preserve"> funded many social services in New Zealand, but a significant quantity of social services was also funded by charities and </w:t>
      </w:r>
      <w:r w:rsidR="6C7AF13D" w:rsidRPr="004A0212">
        <w:t>church organisations</w:t>
      </w:r>
      <w:r w:rsidRPr="004A0212">
        <w:t xml:space="preserve">. </w:t>
      </w:r>
      <w:r w:rsidR="6B8CCB5B" w:rsidRPr="004A0212">
        <w:t>These and the available</w:t>
      </w:r>
      <w:r w:rsidR="4145FB4B" w:rsidRPr="004A0212">
        <w:t xml:space="preserve"> State </w:t>
      </w:r>
      <w:r w:rsidR="6B8CCB5B" w:rsidRPr="004A0212">
        <w:t>supports were</w:t>
      </w:r>
      <w:r w:rsidR="745D5B3E" w:rsidRPr="004A0212">
        <w:t xml:space="preserve"> </w:t>
      </w:r>
      <w:r w:rsidR="37518578" w:rsidRPr="004A0212">
        <w:t xml:space="preserve">uncoordinated and </w:t>
      </w:r>
      <w:r w:rsidR="1A7A3807" w:rsidRPr="004A0212">
        <w:t>offered</w:t>
      </w:r>
      <w:r w:rsidR="6B8CCB5B" w:rsidRPr="004A0212">
        <w:t xml:space="preserve"> mostly targeted assistance</w:t>
      </w:r>
      <w:r w:rsidR="1A7A3807" w:rsidRPr="004A0212">
        <w:t>. Targeted assistance</w:t>
      </w:r>
      <w:r w:rsidR="6B8CCB5B" w:rsidRPr="004A0212">
        <w:t xml:space="preserve"> often </w:t>
      </w:r>
      <w:r w:rsidR="1A7A3807" w:rsidRPr="004A0212">
        <w:t>fails to</w:t>
      </w:r>
      <w:r w:rsidR="6B8CCB5B" w:rsidRPr="004A0212">
        <w:t xml:space="preserve"> address the social and economic barriers that prevent the most disadvantaged from thriving</w:t>
      </w:r>
      <w:r w:rsidR="3493D8C3" w:rsidRPr="004A0212">
        <w:t xml:space="preserve"> and </w:t>
      </w:r>
      <w:r w:rsidR="05FC6EA6" w:rsidRPr="004A0212">
        <w:t>at best</w:t>
      </w:r>
      <w:r w:rsidR="3493D8C3" w:rsidRPr="004A0212">
        <w:t xml:space="preserve"> functions as a stop gap </w:t>
      </w:r>
      <w:r w:rsidR="05FC6EA6" w:rsidRPr="004A0212">
        <w:t xml:space="preserve">rather than a </w:t>
      </w:r>
      <w:proofErr w:type="gramStart"/>
      <w:r w:rsidR="05FC6EA6" w:rsidRPr="004A0212">
        <w:t>long term</w:t>
      </w:r>
      <w:proofErr w:type="gramEnd"/>
      <w:r w:rsidR="05FC6EA6" w:rsidRPr="004A0212">
        <w:t xml:space="preserve"> solution</w:t>
      </w:r>
      <w:r w:rsidR="6B8CCB5B" w:rsidRPr="004A0212">
        <w:t>.</w:t>
      </w:r>
      <w:r w:rsidR="15EB5DFB" w:rsidRPr="004A0212">
        <w:t xml:space="preserve"> </w:t>
      </w:r>
      <w:r w:rsidR="6B8CCB5B" w:rsidRPr="004A0212">
        <w:t>These barriers include factors such as the national economic framework, gender dynamics, power disparities, racial biases, political beliefs, and community influences.</w:t>
      </w:r>
    </w:p>
    <w:p w14:paraId="1F392D7F" w14:textId="69FB8CDD" w:rsidR="001F7027" w:rsidRPr="004A0212" w:rsidRDefault="7EABC967" w:rsidP="001F7027">
      <w:pPr>
        <w:pStyle w:val="Numbparas"/>
      </w:pPr>
      <w:r w:rsidRPr="004A0212">
        <w:t>Multiple</w:t>
      </w:r>
      <w:r w:rsidR="69865836" w:rsidRPr="004A0212">
        <w:t xml:space="preserve"> State agencies</w:t>
      </w:r>
      <w:r w:rsidR="3493D8C3" w:rsidRPr="004A0212">
        <w:t>,</w:t>
      </w:r>
      <w:r w:rsidRPr="004A0212">
        <w:t xml:space="preserve"> departments and charities could be involved with a family, each unaware of what the others were doing. </w:t>
      </w:r>
      <w:r w:rsidR="69865836" w:rsidRPr="004A0212">
        <w:t>T</w:t>
      </w:r>
      <w:r w:rsidR="23F7350A" w:rsidRPr="004A0212">
        <w:t xml:space="preserve">he </w:t>
      </w:r>
      <w:r w:rsidRPr="004A0212">
        <w:t xml:space="preserve">Child Welfare </w:t>
      </w:r>
      <w:r w:rsidR="06B8227D" w:rsidRPr="004A0212">
        <w:t>divi</w:t>
      </w:r>
      <w:r w:rsidR="23F7350A" w:rsidRPr="004A0212">
        <w:t>sion</w:t>
      </w:r>
      <w:r w:rsidR="06B8227D" w:rsidRPr="004A0212">
        <w:t xml:space="preserve"> of the </w:t>
      </w:r>
      <w:r w:rsidR="23F7350A" w:rsidRPr="004A0212">
        <w:t>Ministry</w:t>
      </w:r>
      <w:r w:rsidR="06B8227D" w:rsidRPr="004A0212">
        <w:t xml:space="preserve"> of </w:t>
      </w:r>
      <w:r w:rsidR="23F7350A" w:rsidRPr="004A0212">
        <w:t xml:space="preserve">Education </w:t>
      </w:r>
      <w:r w:rsidRPr="004A0212">
        <w:t>could be involved because of concerns with a child’s behaviour at school, Internal Affairs and the Justice Department</w:t>
      </w:r>
      <w:r w:rsidR="23F7350A" w:rsidRPr="004A0212">
        <w:t>s</w:t>
      </w:r>
      <w:r w:rsidRPr="004A0212">
        <w:t xml:space="preserve"> could be involved through the Family Guidance Council if marriage counselling was neede</w:t>
      </w:r>
      <w:r w:rsidR="23F7350A" w:rsidRPr="004A0212">
        <w:t>d. V</w:t>
      </w:r>
      <w:r w:rsidRPr="004A0212">
        <w:t xml:space="preserve">arious charities such as Catholic Social Services, </w:t>
      </w:r>
      <w:r w:rsidR="1139CD2C" w:rsidRPr="004A0212">
        <w:t>T</w:t>
      </w:r>
      <w:r w:rsidRPr="004A0212">
        <w:t>he Salvation Army, Rotary, Mayoral Relief Committees and the Society for the Protection of Women and Children might also be involved</w:t>
      </w:r>
      <w:r w:rsidR="72885317" w:rsidRPr="004A0212">
        <w:t xml:space="preserve"> too</w:t>
      </w:r>
      <w:r w:rsidRPr="004A0212">
        <w:t>.</w:t>
      </w:r>
      <w:r w:rsidR="001F7027" w:rsidRPr="004A0212">
        <w:rPr>
          <w:rStyle w:val="StyleFootnoteReferenceFagoFunotenzeichenFagoFunotenzeichen"/>
        </w:rPr>
        <w:footnoteReference w:id="304"/>
      </w:r>
    </w:p>
    <w:p w14:paraId="2880EEDE" w14:textId="311DC285" w:rsidR="007F32D7" w:rsidRPr="004A0212" w:rsidRDefault="7EABC967" w:rsidP="007F32D7">
      <w:pPr>
        <w:pStyle w:val="Numbparas"/>
      </w:pPr>
      <w:r w:rsidRPr="004A0212">
        <w:t>Author Margaret Mc</w:t>
      </w:r>
      <w:r w:rsidR="42AAC4CA" w:rsidRPr="004A0212">
        <w:t>C</w:t>
      </w:r>
      <w:r w:rsidRPr="004A0212">
        <w:t xml:space="preserve">lure summed up the </w:t>
      </w:r>
      <w:r w:rsidR="4763E0EC" w:rsidRPr="004A0212">
        <w:t xml:space="preserve">number of agencies </w:t>
      </w:r>
      <w:r w:rsidRPr="004A0212">
        <w:t xml:space="preserve">a family in need could </w:t>
      </w:r>
      <w:r w:rsidR="4763E0EC" w:rsidRPr="004A0212">
        <w:t xml:space="preserve">interact with </w:t>
      </w:r>
      <w:r w:rsidRPr="004A0212">
        <w:t>in seeking support with her example of the Rowlands family:</w:t>
      </w:r>
    </w:p>
    <w:p w14:paraId="2840DE96" w14:textId="5DBC2BFA" w:rsidR="00A21C3C" w:rsidRPr="004A0212" w:rsidRDefault="001F7027" w:rsidP="007F32D7">
      <w:pPr>
        <w:pStyle w:val="Numbparas"/>
        <w:numPr>
          <w:ilvl w:val="0"/>
          <w:numId w:val="0"/>
        </w:numPr>
        <w:ind w:left="1701"/>
        <w:mirrorIndents w:val="0"/>
      </w:pPr>
      <w:r w:rsidRPr="004A0212">
        <w:t xml:space="preserve">“While the father was away for five weeks the mother and family of five children lived and paid rent out of the family benefit alone.  When Mr Rowlands returned </w:t>
      </w:r>
      <w:proofErr w:type="gramStart"/>
      <w:r w:rsidRPr="004A0212">
        <w:t>home</w:t>
      </w:r>
      <w:proofErr w:type="gramEnd"/>
      <w:r w:rsidRPr="004A0212">
        <w:t xml:space="preserve"> he was arrested for failing to support his family.   His wife withdrew the charge when she realised that he would be imprisoned and unable to work…the maintenance officer refused to act for her in future if her husband left again, which would make her ineligible for a full deserted wives’ benefit.  The Social Security officer refused to grant help from the special assistance fund because the husband had returned home and had a job.  The Child Welfare officer suggested that in view of the father’s drinking…Child Welfare should support the family…claiming that short-term help could save the mother from </w:t>
      </w:r>
      <w:proofErr w:type="gramStart"/>
      <w:r w:rsidRPr="004A0212">
        <w:t>breakdown, and</w:t>
      </w:r>
      <w:proofErr w:type="gramEnd"/>
      <w:r w:rsidRPr="004A0212">
        <w:t xml:space="preserve"> was cheaper than the long-term institutionalisation of the children.”</w:t>
      </w:r>
      <w:r w:rsidRPr="004A0212">
        <w:rPr>
          <w:rStyle w:val="StyleFootnoteReferenceFagoFunotenzeichenFagoFunotenzeichen"/>
        </w:rPr>
        <w:footnoteReference w:id="305"/>
      </w:r>
    </w:p>
    <w:p w14:paraId="7CBA817B" w14:textId="2DA2C076" w:rsidR="00463743" w:rsidRPr="004A0212" w:rsidRDefault="11597642" w:rsidP="00912F3E">
      <w:pPr>
        <w:pStyle w:val="Numbparas"/>
      </w:pPr>
      <w:r w:rsidRPr="004A0212">
        <w:t xml:space="preserve">Government grants to the non-profit sector grew from the 1960s. By the late 1960s central government was providing around $3.9 million ($144 million in </w:t>
      </w:r>
      <w:r w:rsidR="3D56FC49" w:rsidRPr="004A0212">
        <w:t>2024</w:t>
      </w:r>
      <w:r w:rsidRPr="004A0212">
        <w:t>) to the non-governmental sector for services like churches’ work for Pacific migrants, kindergartens, Marriage Guidance, Prisoners’ Aid and Rehabilitation, the Māori Education Foundation and youth groups such like Girl Guides. By the mid-1980s</w:t>
      </w:r>
      <w:r w:rsidR="62525F90" w:rsidRPr="004A0212">
        <w:t>,</w:t>
      </w:r>
      <w:r w:rsidRPr="004A0212">
        <w:t xml:space="preserve"> 68</w:t>
      </w:r>
      <w:r w:rsidR="112DFE9A" w:rsidRPr="004A0212">
        <w:t xml:space="preserve"> percent</w:t>
      </w:r>
      <w:r w:rsidRPr="004A0212">
        <w:t xml:space="preserve"> of this funding was pre-allocated, meaning it rolled over to the same providers year on year.</w:t>
      </w:r>
      <w:r w:rsidR="009E78B1" w:rsidRPr="004A0212">
        <w:rPr>
          <w:rStyle w:val="StyleFootnoteReferenceFagoFunotenzeichenFagoFunotenzeichen"/>
        </w:rPr>
        <w:footnoteReference w:id="306"/>
      </w:r>
      <w:r w:rsidRPr="004A0212">
        <w:t xml:space="preserve"> This funding included grants to </w:t>
      </w:r>
      <w:r w:rsidR="3E6875C3" w:rsidRPr="004A0212">
        <w:t>faith-</w:t>
      </w:r>
      <w:r w:rsidRPr="004A0212">
        <w:t>based organisations providing care for tamariki and rangatahi who were in care or otherwise not living with their families.</w:t>
      </w:r>
    </w:p>
    <w:p w14:paraId="6DC169C0" w14:textId="77777777" w:rsidR="000A0287" w:rsidRPr="004A0212" w:rsidRDefault="000A0287">
      <w:pPr>
        <w:keepLines w:val="0"/>
        <w:rPr>
          <w:rFonts w:ascii="Arial" w:hAnsi="Arial" w:cs="Arial"/>
          <w:b/>
          <w:bCs/>
          <w:color w:val="4F7D29" w:themeColor="accent4"/>
          <w:sz w:val="36"/>
          <w:szCs w:val="36"/>
          <w:lang w:eastAsia="en-NZ"/>
        </w:rPr>
      </w:pPr>
      <w:bookmarkStart w:id="354" w:name="_Toc150933143"/>
      <w:bookmarkStart w:id="355" w:name="_Toc150953460"/>
      <w:r w:rsidRPr="004A0212">
        <w:br w:type="page"/>
      </w:r>
    </w:p>
    <w:p w14:paraId="26530003" w14:textId="755CEFD6" w:rsidR="09E25A0E" w:rsidRPr="004A0212" w:rsidRDefault="00467001" w:rsidP="0A27D6D4">
      <w:pPr>
        <w:pStyle w:val="Heading1"/>
      </w:pPr>
      <w:bookmarkStart w:id="356" w:name="_Toc2086040179"/>
      <w:bookmarkStart w:id="357" w:name="_Toc168638986"/>
      <w:proofErr w:type="spellStart"/>
      <w:r w:rsidRPr="004A0212">
        <w:t>Ū</w:t>
      </w:r>
      <w:r w:rsidR="4F93194A" w:rsidRPr="004A0212">
        <w:t>poko</w:t>
      </w:r>
      <w:proofErr w:type="spellEnd"/>
      <w:r w:rsidR="4F93194A" w:rsidRPr="004A0212">
        <w:t xml:space="preserve"> 7: 1970–1999 – </w:t>
      </w:r>
      <w:proofErr w:type="spellStart"/>
      <w:r w:rsidR="4F93194A" w:rsidRPr="004A0212">
        <w:t>Te</w:t>
      </w:r>
      <w:proofErr w:type="spellEnd"/>
      <w:r w:rsidR="4F93194A" w:rsidRPr="004A0212">
        <w:t xml:space="preserve"> </w:t>
      </w:r>
      <w:proofErr w:type="spellStart"/>
      <w:r w:rsidR="4F93194A" w:rsidRPr="004A0212">
        <w:t>akaakatanga</w:t>
      </w:r>
      <w:proofErr w:type="spellEnd"/>
      <w:r w:rsidR="70C38138" w:rsidRPr="004A0212">
        <w:t xml:space="preserve"> </w:t>
      </w:r>
      <w:r w:rsidR="4F93194A" w:rsidRPr="004A0212">
        <w:t>ā-</w:t>
      </w:r>
      <w:proofErr w:type="spellStart"/>
      <w:r w:rsidR="4F93194A" w:rsidRPr="004A0212">
        <w:t>ōhanga</w:t>
      </w:r>
      <w:proofErr w:type="spellEnd"/>
      <w:r w:rsidR="4F93194A" w:rsidRPr="004A0212">
        <w:t xml:space="preserve"> me </w:t>
      </w:r>
      <w:proofErr w:type="spellStart"/>
      <w:r w:rsidR="4F93194A" w:rsidRPr="004A0212">
        <w:t>te</w:t>
      </w:r>
      <w:proofErr w:type="spellEnd"/>
      <w:r w:rsidR="4F93194A" w:rsidRPr="004A0212">
        <w:t xml:space="preserve"> </w:t>
      </w:r>
      <w:proofErr w:type="spellStart"/>
      <w:r w:rsidR="4F93194A" w:rsidRPr="004A0212">
        <w:t>panonitanga</w:t>
      </w:r>
      <w:proofErr w:type="spellEnd"/>
      <w:r w:rsidR="4F93194A" w:rsidRPr="004A0212">
        <w:t xml:space="preserve"> </w:t>
      </w:r>
      <w:proofErr w:type="spellStart"/>
      <w:r w:rsidR="4F93194A" w:rsidRPr="004A0212">
        <w:t>pāpori</w:t>
      </w:r>
      <w:bookmarkEnd w:id="356"/>
      <w:bookmarkEnd w:id="357"/>
      <w:proofErr w:type="spellEnd"/>
    </w:p>
    <w:p w14:paraId="48323042" w14:textId="4644FA10" w:rsidR="00851454" w:rsidRPr="004A0212" w:rsidRDefault="058DD6D0" w:rsidP="00757F09">
      <w:pPr>
        <w:pStyle w:val="Heading1"/>
      </w:pPr>
      <w:bookmarkStart w:id="358" w:name="_Toc1686392604"/>
      <w:bookmarkStart w:id="359" w:name="_Toc168638987"/>
      <w:r w:rsidRPr="004A0212">
        <w:t xml:space="preserve">Chapter 7: </w:t>
      </w:r>
      <w:r w:rsidR="61EDF7F5" w:rsidRPr="004A0212">
        <w:t>197</w:t>
      </w:r>
      <w:r w:rsidR="0D284CA2" w:rsidRPr="004A0212">
        <w:t>0</w:t>
      </w:r>
      <w:r w:rsidR="73A10FD8" w:rsidRPr="004A0212">
        <w:t>–</w:t>
      </w:r>
      <w:r w:rsidR="27CFD698" w:rsidRPr="004A0212">
        <w:t>19</w:t>
      </w:r>
      <w:r w:rsidR="78A589D0" w:rsidRPr="004A0212">
        <w:t>99</w:t>
      </w:r>
      <w:bookmarkEnd w:id="354"/>
      <w:bookmarkEnd w:id="355"/>
      <w:r w:rsidR="04D988D8" w:rsidRPr="004A0212">
        <w:t xml:space="preserve"> – </w:t>
      </w:r>
      <w:r w:rsidR="33DE0498" w:rsidRPr="004A0212">
        <w:t>Economic upheaval</w:t>
      </w:r>
      <w:r w:rsidR="1CAA870A" w:rsidRPr="004A0212">
        <w:t xml:space="preserve"> </w:t>
      </w:r>
      <w:r w:rsidR="57D7326A" w:rsidRPr="004A0212">
        <w:t>and</w:t>
      </w:r>
      <w:r w:rsidR="04D988D8" w:rsidRPr="004A0212">
        <w:t xml:space="preserve"> social change</w:t>
      </w:r>
      <w:bookmarkEnd w:id="358"/>
      <w:bookmarkEnd w:id="359"/>
      <w:r w:rsidR="64FBE614" w:rsidRPr="004A0212">
        <w:t xml:space="preserve"> </w:t>
      </w:r>
    </w:p>
    <w:p w14:paraId="5CCC05EC" w14:textId="3215CF19" w:rsidR="0071705B" w:rsidRPr="004A0212" w:rsidRDefault="230BD2C3" w:rsidP="08C22B3F">
      <w:pPr>
        <w:pStyle w:val="AllNumbparas"/>
        <w:rPr>
          <w:rStyle w:val="normaltextrun"/>
          <w:color w:val="D13438"/>
          <w:u w:val="single"/>
        </w:rPr>
      </w:pPr>
      <w:r w:rsidRPr="004A0212">
        <w:rPr>
          <w:rStyle w:val="normaltextrun"/>
          <w:color w:val="000000" w:themeColor="text1"/>
        </w:rPr>
        <w:t>From the 1970s there was increasing pressure for Aotearoa New Zealand to become a more diverse and more accepting society. Across the last thirty years o</w:t>
      </w:r>
      <w:r w:rsidR="23F6FE9E" w:rsidRPr="004A0212">
        <w:rPr>
          <w:rStyle w:val="normaltextrun"/>
          <w:color w:val="000000" w:themeColor="text1"/>
        </w:rPr>
        <w:t>f</w:t>
      </w:r>
      <w:r w:rsidRPr="004A0212">
        <w:rPr>
          <w:rStyle w:val="normaltextrun"/>
          <w:color w:val="000000" w:themeColor="text1"/>
        </w:rPr>
        <w:t xml:space="preserve"> the Inquiry period there were advances in human rights</w:t>
      </w:r>
      <w:r w:rsidR="4490086F" w:rsidRPr="004A0212">
        <w:rPr>
          <w:rStyle w:val="normaltextrun"/>
          <w:color w:val="000000" w:themeColor="text1"/>
        </w:rPr>
        <w:t>, in line with international developments,</w:t>
      </w:r>
      <w:r w:rsidRPr="004A0212">
        <w:rPr>
          <w:rStyle w:val="normaltextrun"/>
          <w:color w:val="000000" w:themeColor="text1"/>
        </w:rPr>
        <w:t xml:space="preserve"> and </w:t>
      </w:r>
      <w:r w:rsidR="47AA125E" w:rsidRPr="004A0212">
        <w:rPr>
          <w:rStyle w:val="normaltextrun"/>
          <w:color w:val="000000" w:themeColor="text1"/>
        </w:rPr>
        <w:t>some</w:t>
      </w:r>
      <w:r w:rsidRPr="004A0212">
        <w:rPr>
          <w:rStyle w:val="normaltextrun"/>
          <w:color w:val="000000" w:themeColor="text1"/>
        </w:rPr>
        <w:t xml:space="preserve"> recognition of </w:t>
      </w:r>
      <w:proofErr w:type="spellStart"/>
      <w:r w:rsidR="00622883">
        <w:rPr>
          <w:rStyle w:val="normaltextrun"/>
          <w:color w:val="000000" w:themeColor="text1"/>
        </w:rPr>
        <w:t>t</w:t>
      </w:r>
      <w:r w:rsidRPr="004A0212">
        <w:rPr>
          <w:rStyle w:val="normaltextrun"/>
          <w:color w:val="000000" w:themeColor="text1"/>
        </w:rPr>
        <w:t>e</w:t>
      </w:r>
      <w:proofErr w:type="spellEnd"/>
      <w:r w:rsidRPr="004A0212">
        <w:rPr>
          <w:rStyle w:val="normaltextrun"/>
          <w:color w:val="000000" w:themeColor="text1"/>
        </w:rPr>
        <w:t xml:space="preserve"> </w:t>
      </w:r>
      <w:proofErr w:type="spellStart"/>
      <w:r w:rsidRPr="004A0212">
        <w:rPr>
          <w:rStyle w:val="normaltextrun"/>
          <w:color w:val="000000" w:themeColor="text1"/>
        </w:rPr>
        <w:t>Tiriti</w:t>
      </w:r>
      <w:proofErr w:type="spellEnd"/>
      <w:r w:rsidR="7DDFBAD9" w:rsidRPr="004A0212">
        <w:rPr>
          <w:rStyle w:val="normaltextrun"/>
          <w:color w:val="000000" w:themeColor="text1"/>
        </w:rPr>
        <w:t xml:space="preserve"> o Waitangi</w:t>
      </w:r>
      <w:r w:rsidRPr="004A0212">
        <w:rPr>
          <w:rStyle w:val="normaltextrun"/>
          <w:color w:val="000000" w:themeColor="text1"/>
        </w:rPr>
        <w:t xml:space="preserve">. </w:t>
      </w:r>
      <w:r w:rsidRPr="004A0212">
        <w:rPr>
          <w:color w:val="000000" w:themeColor="text1"/>
        </w:rPr>
        <w:t xml:space="preserve">Legislation </w:t>
      </w:r>
      <w:r w:rsidR="76ACC4C7" w:rsidRPr="004A0212">
        <w:t>was updated</w:t>
      </w:r>
      <w:r w:rsidRPr="004A0212">
        <w:t xml:space="preserve"> to </w:t>
      </w:r>
      <w:r w:rsidR="76ACC4C7" w:rsidRPr="004A0212">
        <w:t>recognise some</w:t>
      </w:r>
      <w:r w:rsidRPr="004A0212">
        <w:t xml:space="preserve"> rights and needs</w:t>
      </w:r>
      <w:r w:rsidR="0CB3B7AE" w:rsidRPr="004A0212">
        <w:t xml:space="preserve"> of </w:t>
      </w:r>
      <w:r w:rsidR="76ACC4C7" w:rsidRPr="004A0212">
        <w:t>people</w:t>
      </w:r>
      <w:r w:rsidRPr="004A0212">
        <w:rPr>
          <w:rStyle w:val="normaltextrun"/>
          <w:color w:val="D13438"/>
          <w:u w:val="single"/>
        </w:rPr>
        <w:t xml:space="preserve">. </w:t>
      </w:r>
    </w:p>
    <w:p w14:paraId="61EB13C0" w14:textId="56D32F92" w:rsidR="00BD1FBB" w:rsidRPr="004A0212" w:rsidRDefault="1A540CD0" w:rsidP="007D73A6">
      <w:pPr>
        <w:pStyle w:val="AllNumbparas"/>
      </w:pPr>
      <w:r w:rsidRPr="004A0212">
        <w:t>Th</w:t>
      </w:r>
      <w:r w:rsidR="3C2420DA" w:rsidRPr="004A0212">
        <w:t xml:space="preserve">e State </w:t>
      </w:r>
      <w:r w:rsidRPr="004A0212">
        <w:t>was reorganised along free market principles between 1984</w:t>
      </w:r>
      <w:r w:rsidR="587AC452" w:rsidRPr="004A0212">
        <w:t xml:space="preserve"> and 1</w:t>
      </w:r>
      <w:r w:rsidRPr="004A0212">
        <w:t>999</w:t>
      </w:r>
      <w:r w:rsidR="587AC452" w:rsidRPr="004A0212">
        <w:t xml:space="preserve">, and </w:t>
      </w:r>
      <w:r w:rsidRPr="004A0212">
        <w:t xml:space="preserve">increasingly sought to contract out services previously provided by the State. </w:t>
      </w:r>
    </w:p>
    <w:p w14:paraId="60F4CDD9" w14:textId="57BE2E68" w:rsidR="00D84F69" w:rsidRPr="004A0212" w:rsidRDefault="0C008F18" w:rsidP="007D73A6">
      <w:pPr>
        <w:pStyle w:val="AllNumbparas"/>
      </w:pPr>
      <w:r w:rsidRPr="004A0212">
        <w:t>It is also the period when understanding and awareness about abuse</w:t>
      </w:r>
      <w:r w:rsidR="6539F107" w:rsidRPr="004A0212">
        <w:t xml:space="preserve">, neglect and trauma </w:t>
      </w:r>
      <w:r w:rsidRPr="004A0212">
        <w:t xml:space="preserve">became better recognised and </w:t>
      </w:r>
      <w:r w:rsidR="5DC0B897" w:rsidRPr="004A0212">
        <w:t>understood.</w:t>
      </w:r>
      <w:r w:rsidR="464C1F8F" w:rsidRPr="004A0212">
        <w:t xml:space="preserve"> There were increasing numbers of reports drawing attention to abuse and neglect in care settings, and </w:t>
      </w:r>
      <w:r w:rsidR="27288051" w:rsidRPr="004A0212">
        <w:t>from the mid-1980s some of the large children’s homes and psychiatric institutions began to close.</w:t>
      </w:r>
    </w:p>
    <w:p w14:paraId="674CA6B9" w14:textId="77777777" w:rsidR="00197950" w:rsidRPr="004A0212" w:rsidRDefault="6E44827A" w:rsidP="001E10C4">
      <w:pPr>
        <w:pStyle w:val="Heading2"/>
        <w:rPr>
          <w:rFonts w:cs="Arial"/>
        </w:rPr>
      </w:pPr>
      <w:bookmarkStart w:id="360" w:name="_Toc657924182"/>
      <w:bookmarkStart w:id="361" w:name="_Toc168638988"/>
      <w:r w:rsidRPr="004A0212">
        <w:rPr>
          <w:rFonts w:cs="Arial"/>
        </w:rPr>
        <w:t>Ka</w:t>
      </w:r>
      <w:r w:rsidR="63886079" w:rsidRPr="004A0212">
        <w:rPr>
          <w:rFonts w:cs="Arial"/>
        </w:rPr>
        <w:t xml:space="preserve"> kaha</w:t>
      </w:r>
      <w:r w:rsidRPr="004A0212">
        <w:rPr>
          <w:rFonts w:cs="Arial"/>
        </w:rPr>
        <w:t xml:space="preserve"> </w:t>
      </w:r>
      <w:proofErr w:type="spellStart"/>
      <w:r w:rsidR="5D56F41B" w:rsidRPr="004A0212">
        <w:rPr>
          <w:rFonts w:cs="Arial"/>
        </w:rPr>
        <w:t>ake</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hononga</w:t>
      </w:r>
      <w:proofErr w:type="spellEnd"/>
      <w:r w:rsidRPr="004A0212">
        <w:rPr>
          <w:rFonts w:cs="Arial"/>
        </w:rPr>
        <w:t xml:space="preserve"> o </w:t>
      </w:r>
      <w:proofErr w:type="spellStart"/>
      <w:r w:rsidRPr="004A0212">
        <w:rPr>
          <w:rFonts w:cs="Arial"/>
        </w:rPr>
        <w:t>te</w:t>
      </w:r>
      <w:proofErr w:type="spellEnd"/>
      <w:r w:rsidRPr="004A0212">
        <w:rPr>
          <w:rFonts w:cs="Arial"/>
        </w:rPr>
        <w:t xml:space="preserve"> Māori me </w:t>
      </w:r>
      <w:proofErr w:type="spellStart"/>
      <w:r w:rsidRPr="004A0212">
        <w:rPr>
          <w:rFonts w:cs="Arial"/>
        </w:rPr>
        <w:t>te</w:t>
      </w:r>
      <w:proofErr w:type="spellEnd"/>
      <w:r w:rsidRPr="004A0212">
        <w:rPr>
          <w:rFonts w:cs="Arial"/>
        </w:rPr>
        <w:t xml:space="preserve"> </w:t>
      </w:r>
      <w:proofErr w:type="spellStart"/>
      <w:r w:rsidRPr="004A0212">
        <w:rPr>
          <w:rFonts w:cs="Arial"/>
        </w:rPr>
        <w:t>Karauna</w:t>
      </w:r>
      <w:bookmarkEnd w:id="360"/>
      <w:bookmarkEnd w:id="361"/>
      <w:proofErr w:type="spellEnd"/>
      <w:r w:rsidRPr="004A0212">
        <w:rPr>
          <w:rFonts w:cs="Arial"/>
        </w:rPr>
        <w:t xml:space="preserve"> </w:t>
      </w:r>
      <w:bookmarkStart w:id="362" w:name="_Toc150933144"/>
      <w:bookmarkStart w:id="363" w:name="_Toc150953461"/>
    </w:p>
    <w:p w14:paraId="22268194" w14:textId="63A90C60" w:rsidR="00F36817" w:rsidRPr="004A0212" w:rsidRDefault="4ED1E68E" w:rsidP="001E10C4">
      <w:pPr>
        <w:pStyle w:val="Heading2"/>
        <w:rPr>
          <w:rFonts w:cs="Arial"/>
        </w:rPr>
      </w:pPr>
      <w:bookmarkStart w:id="364" w:name="_Toc2010530241"/>
      <w:bookmarkStart w:id="365" w:name="_Toc168638989"/>
      <w:r w:rsidRPr="004A0212">
        <w:rPr>
          <w:rFonts w:cs="Arial"/>
        </w:rPr>
        <w:t>Māori</w:t>
      </w:r>
      <w:r w:rsidR="7006D4AA" w:rsidRPr="004A0212">
        <w:rPr>
          <w:rFonts w:cs="Arial"/>
        </w:rPr>
        <w:t>–</w:t>
      </w:r>
      <w:r w:rsidR="31403F13" w:rsidRPr="004A0212">
        <w:rPr>
          <w:rFonts w:cs="Arial"/>
        </w:rPr>
        <w:t>Crown relationship</w:t>
      </w:r>
      <w:bookmarkEnd w:id="362"/>
      <w:bookmarkEnd w:id="363"/>
      <w:r w:rsidR="31403F13" w:rsidRPr="004A0212">
        <w:rPr>
          <w:rFonts w:cs="Arial"/>
        </w:rPr>
        <w:t xml:space="preserve"> </w:t>
      </w:r>
      <w:r w:rsidR="1FAE054F" w:rsidRPr="004A0212">
        <w:rPr>
          <w:rFonts w:cs="Arial"/>
        </w:rPr>
        <w:t>grows</w:t>
      </w:r>
      <w:bookmarkEnd w:id="364"/>
      <w:bookmarkEnd w:id="365"/>
    </w:p>
    <w:p w14:paraId="04F0CBB2" w14:textId="641A1F4A" w:rsidR="00F36817" w:rsidRPr="004A0212" w:rsidRDefault="621C46C2" w:rsidP="007D73A6">
      <w:pPr>
        <w:pStyle w:val="AllNumbparas"/>
      </w:pPr>
      <w:r w:rsidRPr="004A0212">
        <w:t xml:space="preserve">The Māori Renaissance in the 1970s </w:t>
      </w:r>
      <w:r w:rsidR="0CBF69DD" w:rsidRPr="004A0212">
        <w:t xml:space="preserve">led to a </w:t>
      </w:r>
      <w:r w:rsidRPr="004A0212">
        <w:t xml:space="preserve">resurgence of Māori identity and autonomy. Activism among Māori and some </w:t>
      </w:r>
      <w:r w:rsidR="6B38123B" w:rsidRPr="004A0212">
        <w:t xml:space="preserve">Pākehā </w:t>
      </w:r>
      <w:r w:rsidRPr="004A0212">
        <w:t xml:space="preserve">was fuelled by events </w:t>
      </w:r>
      <w:r w:rsidR="13740851" w:rsidRPr="004A0212">
        <w:t>such as</w:t>
      </w:r>
      <w:r w:rsidRPr="004A0212">
        <w:t xml:space="preserve"> the eviction at Bastion Point</w:t>
      </w:r>
      <w:r w:rsidR="7DDFBAD9" w:rsidRPr="004A0212">
        <w:t xml:space="preserve"> in Tāmaki Makaurau Auckland</w:t>
      </w:r>
      <w:r w:rsidRPr="004A0212">
        <w:t>.</w:t>
      </w:r>
      <w:r w:rsidR="00F36817" w:rsidRPr="004A0212">
        <w:rPr>
          <w:rStyle w:val="StyleFootnoteReferenceFagoFunotenzeichenFagoFunotenzeichen"/>
        </w:rPr>
        <w:footnoteReference w:id="307"/>
      </w:r>
      <w:r w:rsidRPr="004A0212">
        <w:t xml:space="preserve"> In the 1970s and 1980s, significant changes were initiated, including the </w:t>
      </w:r>
      <w:r w:rsidR="394634F6" w:rsidRPr="004A0212">
        <w:t>revision of Māori land l</w:t>
      </w:r>
      <w:r w:rsidR="5F02EA4B" w:rsidRPr="004A0212">
        <w:t>aw</w:t>
      </w:r>
      <w:r w:rsidRPr="004A0212">
        <w:t xml:space="preserve"> and increased Māori community participation in planning and management of </w:t>
      </w:r>
      <w:r w:rsidR="13740851" w:rsidRPr="004A0212">
        <w:t>State</w:t>
      </w:r>
      <w:r w:rsidR="6B38123B" w:rsidRPr="004A0212">
        <w:t xml:space="preserve"> </w:t>
      </w:r>
      <w:r w:rsidRPr="004A0212">
        <w:t>program</w:t>
      </w:r>
      <w:r w:rsidR="6B38123B" w:rsidRPr="004A0212">
        <w:t>me</w:t>
      </w:r>
      <w:r w:rsidRPr="004A0212">
        <w:t>s.</w:t>
      </w:r>
    </w:p>
    <w:p w14:paraId="24C312C7" w14:textId="413E514C" w:rsidR="00F36817" w:rsidRPr="004A0212" w:rsidRDefault="621C46C2" w:rsidP="007D73A6">
      <w:pPr>
        <w:pStyle w:val="AllNumbparas"/>
      </w:pPr>
      <w:r w:rsidRPr="004A0212">
        <w:t xml:space="preserve">Kara </w:t>
      </w:r>
      <w:proofErr w:type="spellStart"/>
      <w:r w:rsidRPr="004A0212">
        <w:t>Puketapu</w:t>
      </w:r>
      <w:proofErr w:type="spellEnd"/>
      <w:r w:rsidRPr="004A0212">
        <w:t xml:space="preserve">, </w:t>
      </w:r>
      <w:r w:rsidR="225216B2" w:rsidRPr="004A0212">
        <w:rPr>
          <w:color w:val="auto"/>
        </w:rPr>
        <w:t>Secretary</w:t>
      </w:r>
      <w:r w:rsidR="225216B2" w:rsidRPr="004A0212">
        <w:t xml:space="preserve"> </w:t>
      </w:r>
      <w:r w:rsidRPr="004A0212">
        <w:t>of the Department of Māori Affairs from 1977</w:t>
      </w:r>
      <w:r w:rsidR="6B38123B" w:rsidRPr="004A0212">
        <w:t xml:space="preserve"> to </w:t>
      </w:r>
      <w:r w:rsidRPr="004A0212">
        <w:t xml:space="preserve">1983, initiated the </w:t>
      </w:r>
      <w:proofErr w:type="spellStart"/>
      <w:r w:rsidRPr="004A0212">
        <w:t>T</w:t>
      </w:r>
      <w:r w:rsidR="13740851" w:rsidRPr="004A0212">
        <w:t>ū</w:t>
      </w:r>
      <w:proofErr w:type="spellEnd"/>
      <w:r w:rsidRPr="004A0212">
        <w:t xml:space="preserve"> </w:t>
      </w:r>
      <w:proofErr w:type="spellStart"/>
      <w:r w:rsidRPr="004A0212">
        <w:t>Tangata</w:t>
      </w:r>
      <w:proofErr w:type="spellEnd"/>
      <w:r w:rsidRPr="004A0212">
        <w:t xml:space="preserve"> programme</w:t>
      </w:r>
      <w:r w:rsidR="7FA55EC6" w:rsidRPr="004A0212">
        <w:t>, which</w:t>
      </w:r>
      <w:r w:rsidRPr="004A0212">
        <w:t xml:space="preserve"> focused on community-based Māori development. The overall aim of the programme was to promote cultural and economic advancement through encouraging self-reliance and self-determination at community levels.</w:t>
      </w:r>
      <w:r w:rsidR="00F36817" w:rsidRPr="004A0212">
        <w:rPr>
          <w:rStyle w:val="StyleFootnoteReferenceFagoFunotenzeichenFagoFunotenzeichen"/>
        </w:rPr>
        <w:footnoteReference w:id="308"/>
      </w:r>
      <w:r w:rsidRPr="004A0212">
        <w:t xml:space="preserve"> The </w:t>
      </w:r>
      <w:r w:rsidR="1ABEEBFC" w:rsidRPr="004A0212">
        <w:t xml:space="preserve">1988 </w:t>
      </w:r>
      <w:proofErr w:type="spellStart"/>
      <w:r w:rsidR="50DA8429" w:rsidRPr="004A0212">
        <w:t>P</w:t>
      </w:r>
      <w:bookmarkStart w:id="366" w:name="_Hlk158995886"/>
      <w:r w:rsidR="50DA8429" w:rsidRPr="004A0212">
        <w:t>ū</w:t>
      </w:r>
      <w:bookmarkEnd w:id="366"/>
      <w:r w:rsidR="50DA8429" w:rsidRPr="004A0212">
        <w:t>ao-te-Āta-tū</w:t>
      </w:r>
      <w:proofErr w:type="spellEnd"/>
      <w:r w:rsidR="50DA8429" w:rsidRPr="004A0212">
        <w:t xml:space="preserve"> Report</w:t>
      </w:r>
      <w:r w:rsidRPr="004A0212">
        <w:t xml:space="preserve"> also resulted in an increased focus on biculturalism in the public sector.</w:t>
      </w:r>
      <w:r w:rsidR="00F36817" w:rsidRPr="004A0212">
        <w:rPr>
          <w:rStyle w:val="StyleFootnoteReferenceFagoFunotenzeichenFagoFunotenzeichen"/>
        </w:rPr>
        <w:footnoteReference w:id="309"/>
      </w:r>
    </w:p>
    <w:p w14:paraId="0FEB7A2E" w14:textId="360726D2" w:rsidR="002E795A" w:rsidRPr="004A0212" w:rsidRDefault="45D4CF36" w:rsidP="002E795A">
      <w:pPr>
        <w:pStyle w:val="Numbparas"/>
        <w:keepLines/>
        <w:spacing w:before="240"/>
        <w:jc w:val="both"/>
      </w:pPr>
      <w:r w:rsidRPr="004A0212">
        <w:t>Legislative references giving legal recognition to the Treaty began with the Treaty of Waitangi Act 1975, the State-Owned Enterprises Act 1986 and in early environmental law.</w:t>
      </w:r>
      <w:r w:rsidR="002E795A" w:rsidRPr="004A0212">
        <w:rPr>
          <w:rStyle w:val="StyleFootnoteReferenceFagoFunotenzeichenFagoFunotenzeichen"/>
        </w:rPr>
        <w:footnoteReference w:id="310"/>
      </w:r>
      <w:r w:rsidRPr="004A0212">
        <w:t xml:space="preserve"> These legislative provisions are commonly referred to as “Treaty clauses”</w:t>
      </w:r>
      <w:r w:rsidR="49F59555" w:rsidRPr="004A0212">
        <w:t>.</w:t>
      </w:r>
    </w:p>
    <w:p w14:paraId="0A422C78" w14:textId="7297D3BB" w:rsidR="004501DF" w:rsidRPr="004A0212" w:rsidRDefault="49F59555" w:rsidP="004501DF">
      <w:pPr>
        <w:pStyle w:val="AllNumbparas"/>
      </w:pPr>
      <w:r w:rsidRPr="004A0212">
        <w:t xml:space="preserve">In 1985 an amendment to the Treaty of Waitangi Act extended the jurisdiction of the Waitangi Tribunal to cover claims for </w:t>
      </w:r>
      <w:r w:rsidR="1B957AF6" w:rsidRPr="004A0212">
        <w:t xml:space="preserve">historical </w:t>
      </w:r>
      <w:r w:rsidRPr="004A0212">
        <w:t xml:space="preserve">breaches of </w:t>
      </w:r>
      <w:proofErr w:type="spellStart"/>
      <w:r w:rsidR="009D0846">
        <w:t>t</w:t>
      </w:r>
      <w:r w:rsidRPr="004A0212">
        <w:t>e</w:t>
      </w:r>
      <w:proofErr w:type="spellEnd"/>
      <w:r w:rsidRPr="004A0212">
        <w:t xml:space="preserve"> </w:t>
      </w:r>
      <w:proofErr w:type="spellStart"/>
      <w:r w:rsidRPr="004A0212">
        <w:t>Tiriti</w:t>
      </w:r>
      <w:proofErr w:type="spellEnd"/>
      <w:r w:rsidRPr="004A0212">
        <w:t xml:space="preserve"> from </w:t>
      </w:r>
      <w:r w:rsidR="6C1056DB" w:rsidRPr="004A0212">
        <w:t xml:space="preserve">6 February </w:t>
      </w:r>
      <w:r w:rsidRPr="004A0212">
        <w:t>1840</w:t>
      </w:r>
      <w:r w:rsidR="6C1056DB" w:rsidRPr="004A0212">
        <w:t xml:space="preserve"> onwards</w:t>
      </w:r>
      <w:r w:rsidRPr="004A0212">
        <w:t>.</w:t>
      </w:r>
      <w:r w:rsidR="004501DF" w:rsidRPr="004A0212">
        <w:rPr>
          <w:rStyle w:val="StyleFootnoteReferenceFagoFunotenzeichenFagoFunotenzeichen"/>
        </w:rPr>
        <w:footnoteReference w:id="311"/>
      </w:r>
      <w:r w:rsidRPr="004A0212">
        <w:t xml:space="preserve"> </w:t>
      </w:r>
      <w:r w:rsidR="7DDFBAD9" w:rsidRPr="004A0212">
        <w:t xml:space="preserve">Before this, its jurisdiction </w:t>
      </w:r>
      <w:r w:rsidR="1B957AF6" w:rsidRPr="004A0212">
        <w:t xml:space="preserve">had only </w:t>
      </w:r>
      <w:r w:rsidR="6C1056DB" w:rsidRPr="004A0212">
        <w:t xml:space="preserve">covered </w:t>
      </w:r>
      <w:r w:rsidR="1B957AF6" w:rsidRPr="004A0212">
        <w:t xml:space="preserve">contemporary </w:t>
      </w:r>
      <w:r w:rsidR="6C1056DB" w:rsidRPr="004A0212">
        <w:t xml:space="preserve">claims for breaches </w:t>
      </w:r>
      <w:r w:rsidR="1B957AF6" w:rsidRPr="004A0212">
        <w:t xml:space="preserve">of </w:t>
      </w:r>
      <w:proofErr w:type="spellStart"/>
      <w:r w:rsidR="009D0846">
        <w:t>t</w:t>
      </w:r>
      <w:r w:rsidR="1B957AF6" w:rsidRPr="004A0212">
        <w:t>e</w:t>
      </w:r>
      <w:proofErr w:type="spellEnd"/>
      <w:r w:rsidR="1B957AF6" w:rsidRPr="004A0212">
        <w:t xml:space="preserve"> </w:t>
      </w:r>
      <w:proofErr w:type="spellStart"/>
      <w:r w:rsidR="1B957AF6" w:rsidRPr="004A0212">
        <w:t>Tiriti</w:t>
      </w:r>
      <w:proofErr w:type="spellEnd"/>
      <w:r w:rsidR="6C1056DB" w:rsidRPr="004A0212">
        <w:t xml:space="preserve">. </w:t>
      </w:r>
      <w:r w:rsidRPr="004A0212">
        <w:t xml:space="preserve">The modern Treaty </w:t>
      </w:r>
      <w:r w:rsidR="1D4EFCAD" w:rsidRPr="004A0212">
        <w:t>s</w:t>
      </w:r>
      <w:r w:rsidRPr="004A0212">
        <w:t>ettlement</w:t>
      </w:r>
      <w:r w:rsidR="1D4EFCAD" w:rsidRPr="004A0212">
        <w:t>s</w:t>
      </w:r>
      <w:r w:rsidRPr="004A0212">
        <w:t xml:space="preserve"> era began in the 1990s. The first major settlements occurred in the 1990s with the Treaty of Waitangi (Fisheries Claims) Settlement Act in 1992 and the Waikato-Tainui and </w:t>
      </w:r>
      <w:proofErr w:type="spellStart"/>
      <w:r w:rsidRPr="004A0212">
        <w:t>Ngāi</w:t>
      </w:r>
      <w:proofErr w:type="spellEnd"/>
      <w:r w:rsidRPr="004A0212">
        <w:t xml:space="preserve"> Tahu settlements in 1995 and 1998.</w:t>
      </w:r>
    </w:p>
    <w:p w14:paraId="6476A4A3" w14:textId="77777777" w:rsidR="002E795A" w:rsidRPr="004A0212" w:rsidRDefault="45D4CF36" w:rsidP="002E795A">
      <w:pPr>
        <w:pStyle w:val="Numbparas"/>
        <w:keepLines/>
        <w:spacing w:before="240"/>
        <w:jc w:val="both"/>
      </w:pPr>
      <w:r w:rsidRPr="004A0212">
        <w:t xml:space="preserve">Treaty clauses have two common forms: </w:t>
      </w:r>
    </w:p>
    <w:p w14:paraId="71228407" w14:textId="77777777" w:rsidR="002E795A" w:rsidRPr="004A0212" w:rsidRDefault="002E795A" w:rsidP="005D2822">
      <w:pPr>
        <w:pStyle w:val="Bulletpoints"/>
      </w:pPr>
      <w:r w:rsidRPr="004A0212">
        <w:t>general, requiring decision makers or those exercising functions under an Act to consider or act in accordance with the Treaty principles</w:t>
      </w:r>
    </w:p>
    <w:p w14:paraId="58B04C4E" w14:textId="1157D211" w:rsidR="002E795A" w:rsidRPr="004A0212" w:rsidRDefault="002E795A" w:rsidP="005D2822">
      <w:pPr>
        <w:pStyle w:val="Bulletpoints"/>
      </w:pPr>
      <w:r w:rsidRPr="004A0212">
        <w:t>specific, referencing the Crown’s Treaty responsibilities and prescribing how these are given effect to in the Act.</w:t>
      </w:r>
      <w:r w:rsidRPr="004A0212">
        <w:rPr>
          <w:rStyle w:val="StyleFootnoteReferenceFagoFunotenzeichenFagoFunotenzeichen"/>
        </w:rPr>
        <w:footnoteReference w:id="312"/>
      </w:r>
      <w:r w:rsidRPr="004A0212">
        <w:t xml:space="preserve"> </w:t>
      </w:r>
    </w:p>
    <w:p w14:paraId="4B184164" w14:textId="4D72F950" w:rsidR="00695459" w:rsidRPr="004A0212" w:rsidRDefault="2FCD52CF" w:rsidP="00695459">
      <w:pPr>
        <w:pStyle w:val="AllNumbparas"/>
      </w:pPr>
      <w:r w:rsidRPr="004A0212">
        <w:t xml:space="preserve">Research shows that once tamariki and rangatahi Māori were brought to the attention of the State, they were more likely </w:t>
      </w:r>
      <w:r w:rsidR="6FA77319" w:rsidRPr="004A0212">
        <w:t xml:space="preserve">than non-Māori </w:t>
      </w:r>
      <w:r w:rsidRPr="004A0212">
        <w:t xml:space="preserve">to be taken into social welfare care. This was for both care and protection and youth justice purposes. </w:t>
      </w:r>
    </w:p>
    <w:p w14:paraId="38CD45D9" w14:textId="54AC0173" w:rsidR="00F36817" w:rsidRPr="004A0212" w:rsidRDefault="621C46C2" w:rsidP="007D73A6">
      <w:pPr>
        <w:pStyle w:val="AllNumbparas"/>
      </w:pPr>
      <w:r w:rsidRPr="004A0212">
        <w:t xml:space="preserve">While many of the efforts to recognise Māori culture and calls for self-determination were genuine, some commentators suggest that these only amounted to changes in the </w:t>
      </w:r>
      <w:r w:rsidR="08A496E0" w:rsidRPr="004A0212">
        <w:t>Stat</w:t>
      </w:r>
      <w:r w:rsidR="36B41DE9" w:rsidRPr="004A0212">
        <w:t>e</w:t>
      </w:r>
      <w:r w:rsidR="08A496E0" w:rsidRPr="004A0212">
        <w:t>’s</w:t>
      </w:r>
      <w:r w:rsidRPr="004A0212">
        <w:t xml:space="preserve"> strategies to achieve policy goals </w:t>
      </w:r>
      <w:r w:rsidR="0F4FA9DE" w:rsidRPr="004A0212">
        <w:t>“</w:t>
      </w:r>
      <w:r w:rsidRPr="004A0212">
        <w:t>that do not depart significantly from 19th-</w:t>
      </w:r>
      <w:r w:rsidR="5B86EBA0" w:rsidRPr="004A0212">
        <w:t>century</w:t>
      </w:r>
      <w:r w:rsidRPr="004A0212">
        <w:t xml:space="preserve"> assimilationist goals</w:t>
      </w:r>
      <w:r w:rsidR="0F4FA9DE" w:rsidRPr="004A0212">
        <w:t>”</w:t>
      </w:r>
      <w:r w:rsidRPr="004A0212">
        <w:t>.</w:t>
      </w:r>
      <w:r w:rsidR="00F36817" w:rsidRPr="004A0212">
        <w:rPr>
          <w:rStyle w:val="StyleFootnoteReferenceFagoFunotenzeichenFagoFunotenzeichen"/>
        </w:rPr>
        <w:footnoteReference w:id="313"/>
      </w:r>
      <w:r w:rsidR="0937A64D" w:rsidRPr="004A0212">
        <w:t xml:space="preserve"> </w:t>
      </w:r>
    </w:p>
    <w:p w14:paraId="35FD6735" w14:textId="577000E9" w:rsidR="00F36817" w:rsidRPr="004A0212" w:rsidRDefault="621C46C2" w:rsidP="00BF6F53">
      <w:pPr>
        <w:pStyle w:val="AllNumbparas"/>
      </w:pPr>
      <w:r w:rsidRPr="004A0212">
        <w:t xml:space="preserve">In 1989, the </w:t>
      </w:r>
      <w:r w:rsidR="50DA8429" w:rsidRPr="004A0212">
        <w:t>State</w:t>
      </w:r>
      <w:r w:rsidRPr="004A0212">
        <w:t xml:space="preserve"> proposed a partnership model with iwi, aimed at transforming the </w:t>
      </w:r>
      <w:r w:rsidR="6457BC97" w:rsidRPr="004A0212">
        <w:t>Māori–</w:t>
      </w:r>
      <w:r w:rsidRPr="004A0212">
        <w:t>Crown relationship and devolving social services to iwi.</w:t>
      </w:r>
      <w:r w:rsidR="00F36817" w:rsidRPr="004A0212">
        <w:rPr>
          <w:rStyle w:val="StyleFootnoteReferenceFagoFunotenzeichenFagoFunotenzeichen"/>
        </w:rPr>
        <w:footnoteReference w:id="314"/>
      </w:r>
      <w:r w:rsidRPr="004A0212">
        <w:t xml:space="preserve"> The newly formed Ministry of Māori Affairs was charged with encouraging Māori expression of rangatiratanga, although this expression would be subject to it enhancing </w:t>
      </w:r>
      <w:r w:rsidR="2D62375C" w:rsidRPr="004A0212">
        <w:t xml:space="preserve">Aotearoa </w:t>
      </w:r>
      <w:r w:rsidRPr="004A0212">
        <w:t>New Zealand</w:t>
      </w:r>
      <w:r w:rsidR="2D62375C" w:rsidRPr="004A0212">
        <w:t>’</w:t>
      </w:r>
      <w:r w:rsidRPr="004A0212">
        <w:t xml:space="preserve">s economic, social and cultural life as defined by the </w:t>
      </w:r>
      <w:r w:rsidR="4B7C70B7" w:rsidRPr="004A0212">
        <w:t>State</w:t>
      </w:r>
      <w:r w:rsidRPr="004A0212">
        <w:t>.</w:t>
      </w:r>
      <w:r w:rsidR="7AB79364" w:rsidRPr="004A0212">
        <w:t xml:space="preserve"> The Runanga Iwi Act 1990</w:t>
      </w:r>
      <w:r w:rsidR="0E1416FA" w:rsidRPr="004A0212">
        <w:t xml:space="preserve"> was enacted to provide for iwi</w:t>
      </w:r>
      <w:r w:rsidR="7AB79364" w:rsidRPr="004A0212">
        <w:t xml:space="preserve"> </w:t>
      </w:r>
      <w:r w:rsidR="33791494" w:rsidRPr="004A0212">
        <w:t xml:space="preserve">to become ‘authorised voices’ </w:t>
      </w:r>
      <w:r w:rsidR="2C3C3388" w:rsidRPr="004A0212">
        <w:t xml:space="preserve">enabled to exercise powers granted to them under the Act by the State to deliver </w:t>
      </w:r>
      <w:r w:rsidR="1B824479" w:rsidRPr="004A0212">
        <w:t>social, economic and cultural programmes</w:t>
      </w:r>
      <w:r w:rsidR="7AB79364" w:rsidRPr="004A0212">
        <w:t>.</w:t>
      </w:r>
      <w:r w:rsidR="00F36817" w:rsidRPr="004A0212">
        <w:rPr>
          <w:rStyle w:val="StyleFootnoteReferenceFagoFunotenzeichenFagoFunotenzeichen"/>
        </w:rPr>
        <w:footnoteReference w:id="315"/>
      </w:r>
    </w:p>
    <w:p w14:paraId="55827946" w14:textId="6A43D311" w:rsidR="00F36817" w:rsidRPr="004A0212" w:rsidRDefault="621C46C2" w:rsidP="007D73A6">
      <w:pPr>
        <w:pStyle w:val="AllNumbparas"/>
      </w:pPr>
      <w:r w:rsidRPr="004A0212">
        <w:t xml:space="preserve">Despite the proposals to devolve services, power was still in in </w:t>
      </w:r>
      <w:r w:rsidR="65479A29" w:rsidRPr="004A0212">
        <w:t xml:space="preserve">State </w:t>
      </w:r>
      <w:r w:rsidRPr="004A0212">
        <w:t>hands.</w:t>
      </w:r>
      <w:r w:rsidRPr="004A0212" w:rsidDel="005342B6">
        <w:t xml:space="preserve"> </w:t>
      </w:r>
      <w:r w:rsidRPr="004A0212">
        <w:t xml:space="preserve">Many saw this as institutional assimilation rather than the partnership the Crown claimed it was seeking with iwi; </w:t>
      </w:r>
      <w:r w:rsidR="3097926C" w:rsidRPr="004A0212">
        <w:t>“</w:t>
      </w:r>
      <w:r w:rsidRPr="004A0212">
        <w:t>‘a denial of rangatiratanga rather than progress towards it</w:t>
      </w:r>
      <w:r w:rsidR="3097926C" w:rsidRPr="004A0212">
        <w:t>”</w:t>
      </w:r>
      <w:r w:rsidRPr="004A0212">
        <w:t>.</w:t>
      </w:r>
      <w:r w:rsidR="00F36817" w:rsidRPr="004A0212">
        <w:rPr>
          <w:rStyle w:val="StyleFootnoteReferenceFagoFunotenzeichenFagoFunotenzeichen"/>
        </w:rPr>
        <w:footnoteReference w:id="316"/>
      </w:r>
      <w:r w:rsidRPr="004A0212">
        <w:t xml:space="preserve"> </w:t>
      </w:r>
      <w:r w:rsidR="25F5EC5E" w:rsidRPr="004A0212">
        <w:t>Others argued that making “provision for Māori cultural preferences…[as] an “extra”” within existing State frameworks was rooted in colonial notions of cultural superiority.</w:t>
      </w:r>
      <w:r w:rsidR="00CE4286" w:rsidRPr="004A0212">
        <w:rPr>
          <w:rStyle w:val="FootnoteReference"/>
        </w:rPr>
        <w:footnoteReference w:id="317"/>
      </w:r>
    </w:p>
    <w:p w14:paraId="031C9320" w14:textId="4486C6C0" w:rsidR="002B4B30" w:rsidRPr="004A0212" w:rsidRDefault="621C46C2" w:rsidP="002B4B30">
      <w:pPr>
        <w:pStyle w:val="AllNumbparas"/>
        <w:keepLines/>
        <w:tabs>
          <w:tab w:val="num" w:pos="1701"/>
        </w:tabs>
        <w:ind w:left="567" w:hanging="567"/>
        <w:mirrorIndents w:val="0"/>
      </w:pPr>
      <w:r w:rsidRPr="004A0212">
        <w:t xml:space="preserve">The move towards devolution was diverted </w:t>
      </w:r>
      <w:r w:rsidR="77EF9FEF" w:rsidRPr="004A0212">
        <w:t>in</w:t>
      </w:r>
      <w:r w:rsidRPr="004A0212">
        <w:t xml:space="preserve"> the 1990s, </w:t>
      </w:r>
      <w:r w:rsidR="69C59DCC" w:rsidRPr="004A0212">
        <w:t xml:space="preserve">with the </w:t>
      </w:r>
      <w:r w:rsidR="44F41452" w:rsidRPr="004A0212">
        <w:t xml:space="preserve">Government emphasising </w:t>
      </w:r>
      <w:r w:rsidRPr="004A0212">
        <w:t xml:space="preserve">mainstreaming </w:t>
      </w:r>
      <w:r w:rsidR="223DF1BD" w:rsidRPr="004A0212">
        <w:t xml:space="preserve">State </w:t>
      </w:r>
      <w:r w:rsidRPr="004A0212">
        <w:t>service delivery to Māori</w:t>
      </w:r>
      <w:r w:rsidR="44F41452" w:rsidRPr="004A0212">
        <w:t xml:space="preserve"> instead</w:t>
      </w:r>
      <w:r w:rsidRPr="004A0212">
        <w:t xml:space="preserve">. Services were organised around </w:t>
      </w:r>
      <w:r w:rsidR="4804B397" w:rsidRPr="004A0212">
        <w:t xml:space="preserve">supporting </w:t>
      </w:r>
      <w:r w:rsidRPr="004A0212">
        <w:t xml:space="preserve">the </w:t>
      </w:r>
      <w:r w:rsidR="7716B52A" w:rsidRPr="004A0212">
        <w:t xml:space="preserve">not-for-profit </w:t>
      </w:r>
      <w:r w:rsidRPr="004A0212">
        <w:t xml:space="preserve">sector </w:t>
      </w:r>
      <w:r w:rsidR="2D0536B0" w:rsidRPr="004A0212">
        <w:t>and providing for</w:t>
      </w:r>
      <w:r w:rsidRPr="004A0212">
        <w:t xml:space="preserve"> Māori entities </w:t>
      </w:r>
      <w:r w:rsidR="30D7F591" w:rsidRPr="004A0212">
        <w:t>to</w:t>
      </w:r>
      <w:r w:rsidRPr="004A0212">
        <w:t xml:space="preserve"> tender for Crown contracts.</w:t>
      </w:r>
      <w:r w:rsidR="00F36817" w:rsidRPr="004A0212">
        <w:rPr>
          <w:rStyle w:val="StyleFootnoteReferenceFagoFunotenzeichenFagoFunotenzeichen"/>
        </w:rPr>
        <w:footnoteReference w:id="318"/>
      </w:r>
      <w:r w:rsidRPr="004A0212">
        <w:t xml:space="preserve"> </w:t>
      </w:r>
      <w:r w:rsidR="6D0C1CE7" w:rsidRPr="004A0212">
        <w:rPr>
          <w:rStyle w:val="eop"/>
        </w:rPr>
        <w:t>Although</w:t>
      </w:r>
      <w:r w:rsidR="505E777A" w:rsidRPr="004A0212">
        <w:t xml:space="preserve"> the number of Māori service providers rose from “almost zero to more than a thousand”</w:t>
      </w:r>
      <w:r w:rsidR="6D0C1CE7" w:rsidRPr="004A0212">
        <w:t>,</w:t>
      </w:r>
      <w:r w:rsidR="002B4B30" w:rsidRPr="004A0212">
        <w:rPr>
          <w:rStyle w:val="FootnoteReference"/>
        </w:rPr>
        <w:footnoteReference w:id="319"/>
      </w:r>
      <w:r w:rsidR="505E777A" w:rsidRPr="004A0212">
        <w:t xml:space="preserve"> Māori argued that the </w:t>
      </w:r>
      <w:r w:rsidR="660FBB67" w:rsidRPr="004A0212">
        <w:t>State’s procurement rules</w:t>
      </w:r>
      <w:r w:rsidR="1FF0383C" w:rsidRPr="004A0212">
        <w:t xml:space="preserve"> constrained </w:t>
      </w:r>
      <w:r w:rsidR="3727758D" w:rsidRPr="004A0212">
        <w:t>t</w:t>
      </w:r>
      <w:r w:rsidR="153FBFFF" w:rsidRPr="004A0212">
        <w:t xml:space="preserve">he exercise </w:t>
      </w:r>
      <w:r w:rsidR="28FD22E2" w:rsidRPr="004A0212">
        <w:t xml:space="preserve">of </w:t>
      </w:r>
      <w:r w:rsidR="1FF0383C" w:rsidRPr="004A0212">
        <w:t>rangatiratanga,</w:t>
      </w:r>
      <w:r w:rsidR="505E777A" w:rsidRPr="004A0212">
        <w:t xml:space="preserve"> </w:t>
      </w:r>
      <w:r w:rsidR="775B2D81" w:rsidRPr="004A0212">
        <w:t>and thus</w:t>
      </w:r>
      <w:r w:rsidR="505E777A" w:rsidRPr="004A0212">
        <w:t xml:space="preserve"> fell short of the partnership required under the Treaty</w:t>
      </w:r>
      <w:r w:rsidR="153FBFFF" w:rsidRPr="004A0212">
        <w:t xml:space="preserve"> of Waitangi</w:t>
      </w:r>
      <w:r w:rsidR="775B2D81" w:rsidRPr="004A0212">
        <w:t>:</w:t>
      </w:r>
      <w:r w:rsidR="002B4B30" w:rsidRPr="004A0212">
        <w:rPr>
          <w:rStyle w:val="FootnoteReference"/>
        </w:rPr>
        <w:footnoteReference w:id="320"/>
      </w:r>
      <w:r w:rsidR="505E777A" w:rsidRPr="004A0212">
        <w:t xml:space="preserve">  </w:t>
      </w:r>
    </w:p>
    <w:p w14:paraId="0973630D" w14:textId="23928CD3" w:rsidR="00F36817" w:rsidRPr="004A0212" w:rsidRDefault="000F5598" w:rsidP="005B5357">
      <w:pPr>
        <w:pStyle w:val="AllQuotes"/>
      </w:pPr>
      <w:r w:rsidRPr="004A0212">
        <w:t>“</w:t>
      </w:r>
      <w:r w:rsidR="009525A9" w:rsidRPr="004A0212">
        <w:t>…</w:t>
      </w:r>
      <w:r w:rsidR="00796AAB" w:rsidRPr="004A0212">
        <w:t>a</w:t>
      </w:r>
      <w:r w:rsidR="00F36817" w:rsidRPr="004A0212">
        <w:t>ny resources or powers conceded to Māori communities could be taken back if the actions of the recipients displeased ministers or officials</w:t>
      </w:r>
      <w:r w:rsidR="00563B87" w:rsidRPr="004A0212">
        <w:t>”</w:t>
      </w:r>
      <w:r w:rsidR="00F36817" w:rsidRPr="004A0212">
        <w:t>.</w:t>
      </w:r>
      <w:r w:rsidR="00F36817" w:rsidRPr="004A0212">
        <w:rPr>
          <w:rStyle w:val="StyleFootnoteReferenceFagoFunotenzeichenFagoFunotenzeichen"/>
        </w:rPr>
        <w:footnoteReference w:id="321"/>
      </w:r>
    </w:p>
    <w:p w14:paraId="392C061B" w14:textId="77777777" w:rsidR="00197950" w:rsidRPr="004A0212" w:rsidRDefault="3A1FA789" w:rsidP="002A6C7D">
      <w:pPr>
        <w:pStyle w:val="Heading2"/>
        <w:rPr>
          <w:rFonts w:cs="Arial"/>
        </w:rPr>
      </w:pPr>
      <w:bookmarkStart w:id="367" w:name="_Toc459995009"/>
      <w:bookmarkStart w:id="368" w:name="_Toc168638990"/>
      <w:bookmarkStart w:id="369" w:name="_Toc150933145"/>
      <w:bookmarkStart w:id="370" w:name="_Toc150953462"/>
      <w:r w:rsidRPr="004A0212">
        <w:rPr>
          <w:rFonts w:cs="Arial"/>
        </w:rPr>
        <w:t xml:space="preserve">Ka </w:t>
      </w:r>
      <w:proofErr w:type="spellStart"/>
      <w:r w:rsidRPr="004A0212">
        <w:rPr>
          <w:rFonts w:cs="Arial"/>
        </w:rPr>
        <w:t>tīmata</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tino</w:t>
      </w:r>
      <w:proofErr w:type="spellEnd"/>
      <w:r w:rsidRPr="004A0212">
        <w:rPr>
          <w:rFonts w:cs="Arial"/>
        </w:rPr>
        <w:t xml:space="preserve"> kite </w:t>
      </w:r>
      <w:proofErr w:type="spellStart"/>
      <w:r w:rsidRPr="004A0212">
        <w:rPr>
          <w:rFonts w:cs="Arial"/>
        </w:rPr>
        <w:t>i</w:t>
      </w:r>
      <w:proofErr w:type="spellEnd"/>
      <w:r w:rsidRPr="004A0212">
        <w:rPr>
          <w:rFonts w:cs="Arial"/>
        </w:rPr>
        <w:t xml:space="preserve"> </w:t>
      </w:r>
      <w:proofErr w:type="spellStart"/>
      <w:r w:rsidRPr="004A0212">
        <w:rPr>
          <w:rFonts w:cs="Arial"/>
        </w:rPr>
        <w:t>te</w:t>
      </w:r>
      <w:proofErr w:type="spellEnd"/>
      <w:r w:rsidRPr="004A0212">
        <w:rPr>
          <w:rFonts w:cs="Arial"/>
        </w:rPr>
        <w:t xml:space="preserve"> Māori </w:t>
      </w:r>
      <w:proofErr w:type="spellStart"/>
      <w:r w:rsidRPr="004A0212">
        <w:rPr>
          <w:rFonts w:cs="Arial"/>
        </w:rPr>
        <w:t>i</w:t>
      </w:r>
      <w:proofErr w:type="spellEnd"/>
      <w:r w:rsidRPr="004A0212">
        <w:rPr>
          <w:rFonts w:cs="Arial"/>
        </w:rPr>
        <w:t xml:space="preserve"> </w:t>
      </w:r>
      <w:proofErr w:type="spellStart"/>
      <w:r w:rsidRPr="004A0212">
        <w:rPr>
          <w:rFonts w:cs="Arial"/>
        </w:rPr>
        <w:t>ngā</w:t>
      </w:r>
      <w:proofErr w:type="spellEnd"/>
      <w:r w:rsidRPr="004A0212">
        <w:rPr>
          <w:rFonts w:cs="Arial"/>
        </w:rPr>
        <w:t xml:space="preserve"> </w:t>
      </w:r>
      <w:proofErr w:type="spellStart"/>
      <w:r w:rsidRPr="004A0212">
        <w:rPr>
          <w:rFonts w:cs="Arial"/>
        </w:rPr>
        <w:t>pūnaha</w:t>
      </w:r>
      <w:proofErr w:type="spellEnd"/>
      <w:r w:rsidRPr="004A0212">
        <w:rPr>
          <w:rFonts w:cs="Arial"/>
        </w:rPr>
        <w:t xml:space="preserve"> </w:t>
      </w:r>
      <w:proofErr w:type="spellStart"/>
      <w:r w:rsidRPr="004A0212">
        <w:rPr>
          <w:rFonts w:cs="Arial"/>
        </w:rPr>
        <w:t>taurima</w:t>
      </w:r>
      <w:bookmarkEnd w:id="367"/>
      <w:bookmarkEnd w:id="368"/>
      <w:proofErr w:type="spellEnd"/>
      <w:r w:rsidR="22591FEF" w:rsidRPr="004A0212">
        <w:rPr>
          <w:rFonts w:cs="Arial"/>
        </w:rPr>
        <w:t xml:space="preserve"> </w:t>
      </w:r>
      <w:bookmarkEnd w:id="369"/>
      <w:bookmarkEnd w:id="370"/>
    </w:p>
    <w:p w14:paraId="6DCA1EA9" w14:textId="0D8EC519" w:rsidR="002A6C7D" w:rsidRPr="004A0212" w:rsidRDefault="79271BEB" w:rsidP="002A6C7D">
      <w:pPr>
        <w:pStyle w:val="Heading2"/>
        <w:rPr>
          <w:rFonts w:cs="Arial"/>
        </w:rPr>
      </w:pPr>
      <w:bookmarkStart w:id="371" w:name="_Toc64958091"/>
      <w:bookmarkStart w:id="372" w:name="_Toc168638991"/>
      <w:r w:rsidRPr="004A0212">
        <w:rPr>
          <w:rFonts w:cs="Arial"/>
        </w:rPr>
        <w:t>Māori beg</w:t>
      </w:r>
      <w:r w:rsidR="55AC308F" w:rsidRPr="004A0212">
        <w:rPr>
          <w:rFonts w:cs="Arial"/>
        </w:rPr>
        <w:t>i</w:t>
      </w:r>
      <w:r w:rsidRPr="004A0212">
        <w:rPr>
          <w:rFonts w:cs="Arial"/>
        </w:rPr>
        <w:t>n to be over-represented in care</w:t>
      </w:r>
      <w:bookmarkEnd w:id="371"/>
      <w:bookmarkEnd w:id="372"/>
    </w:p>
    <w:p w14:paraId="76EE8C41" w14:textId="1D5F4EE6" w:rsidR="002A6C7D" w:rsidRPr="004A0212" w:rsidRDefault="1B824479" w:rsidP="007D73A6">
      <w:pPr>
        <w:pStyle w:val="AllNumbparas"/>
      </w:pPr>
      <w:bookmarkStart w:id="373" w:name="_Hlk120191967"/>
      <w:r w:rsidRPr="004A0212">
        <w:t xml:space="preserve">During the Inquiry period, </w:t>
      </w:r>
      <w:r w:rsidR="041AD2FD" w:rsidRPr="004A0212">
        <w:t>o</w:t>
      </w:r>
      <w:r w:rsidR="3483F452" w:rsidRPr="004A0212">
        <w:t>nce tama</w:t>
      </w:r>
      <w:r w:rsidR="04245E73" w:rsidRPr="004A0212">
        <w:t>riki</w:t>
      </w:r>
      <w:r w:rsidR="3483F452" w:rsidRPr="004A0212">
        <w:t xml:space="preserve"> and rangatahi Māori were brought to the attention of the State, they were mo</w:t>
      </w:r>
      <w:r w:rsidR="3D412F86" w:rsidRPr="004A0212">
        <w:t xml:space="preserve">re likely </w:t>
      </w:r>
      <w:r w:rsidR="54EE785E" w:rsidRPr="004A0212">
        <w:t>than non</w:t>
      </w:r>
      <w:r w:rsidR="31A0B2EF" w:rsidRPr="004A0212">
        <w:t xml:space="preserve">-Māori children </w:t>
      </w:r>
      <w:r w:rsidR="3D412F86" w:rsidRPr="004A0212">
        <w:t xml:space="preserve">to be taken into social </w:t>
      </w:r>
      <w:r w:rsidR="04245E73" w:rsidRPr="004A0212">
        <w:t>welfare</w:t>
      </w:r>
      <w:r w:rsidR="3D412F86" w:rsidRPr="004A0212">
        <w:t xml:space="preserve"> care.</w:t>
      </w:r>
      <w:r w:rsidR="00C05E3E" w:rsidRPr="004A0212">
        <w:t xml:space="preserve"> </w:t>
      </w:r>
      <w:r w:rsidR="56D5A5FA" w:rsidRPr="004A0212">
        <w:t xml:space="preserve">Once in </w:t>
      </w:r>
      <w:r w:rsidR="04EDCB62" w:rsidRPr="004A0212">
        <w:t xml:space="preserve">social welfare </w:t>
      </w:r>
      <w:r w:rsidR="56D5A5FA" w:rsidRPr="004A0212">
        <w:t xml:space="preserve">care, </w:t>
      </w:r>
      <w:r w:rsidR="1B957AF6" w:rsidRPr="004A0212">
        <w:t xml:space="preserve">Māori </w:t>
      </w:r>
      <w:r w:rsidR="56D5A5FA" w:rsidRPr="004A0212">
        <w:t xml:space="preserve">were more likely to be criminalised </w:t>
      </w:r>
      <w:r w:rsidR="04EDCB62" w:rsidRPr="004A0212">
        <w:t xml:space="preserve">or </w:t>
      </w:r>
      <w:r w:rsidR="56D5A5FA" w:rsidRPr="004A0212">
        <w:t>placed in a harsher environment, and less likely to receive intensive support</w:t>
      </w:r>
      <w:r w:rsidR="1B957AF6" w:rsidRPr="004A0212">
        <w:t>, than non-Māori</w:t>
      </w:r>
      <w:r w:rsidR="56D5A5FA" w:rsidRPr="004A0212">
        <w:t>.</w:t>
      </w:r>
      <w:r w:rsidR="002A6C7D" w:rsidRPr="004A0212">
        <w:rPr>
          <w:rStyle w:val="StyleFootnoteReferenceFagoFunotenzeichenFagoFunotenzeichen"/>
        </w:rPr>
        <w:footnoteReference w:id="322"/>
      </w:r>
      <w:bookmarkEnd w:id="373"/>
    </w:p>
    <w:p w14:paraId="388789EE" w14:textId="24DFFD34" w:rsidR="002A6C7D" w:rsidRPr="004A0212" w:rsidRDefault="56D5A5FA" w:rsidP="007D73A6">
      <w:pPr>
        <w:pStyle w:val="AllNumbparas"/>
      </w:pPr>
      <w:r w:rsidRPr="004A0212">
        <w:t xml:space="preserve">At </w:t>
      </w:r>
      <w:r w:rsidR="1D616F95" w:rsidRPr="004A0212">
        <w:t>t</w:t>
      </w:r>
      <w:r w:rsidR="19989BAE" w:rsidRPr="004A0212">
        <w:t xml:space="preserve">he Inquiry’s </w:t>
      </w:r>
      <w:r w:rsidR="0425564D" w:rsidRPr="004A0212">
        <w:t>C</w:t>
      </w:r>
      <w:r w:rsidRPr="004A0212">
        <w:t xml:space="preserve">ontextual </w:t>
      </w:r>
      <w:r w:rsidR="0425564D" w:rsidRPr="004A0212">
        <w:t>H</w:t>
      </w:r>
      <w:r w:rsidRPr="004A0212">
        <w:t xml:space="preserve">earing, expert witnesses </w:t>
      </w:r>
      <w:r w:rsidR="64ADFB2B" w:rsidRPr="004A0212">
        <w:t xml:space="preserve">Dr </w:t>
      </w:r>
      <w:r w:rsidRPr="004A0212">
        <w:t xml:space="preserve">Moana Jackson and Dr Rawiri </w:t>
      </w:r>
      <w:proofErr w:type="spellStart"/>
      <w:r w:rsidRPr="004A0212">
        <w:t>Waretini</w:t>
      </w:r>
      <w:proofErr w:type="spellEnd"/>
      <w:r w:rsidRPr="004A0212">
        <w:t>-Karena highlighted this over</w:t>
      </w:r>
      <w:r w:rsidR="6AFDE889" w:rsidRPr="004A0212">
        <w:t>-</w:t>
      </w:r>
      <w:r w:rsidRPr="004A0212">
        <w:t>representation as an integral part of colonisation</w:t>
      </w:r>
      <w:r w:rsidR="4C751C8C" w:rsidRPr="004A0212">
        <w:t xml:space="preserve">, </w:t>
      </w:r>
      <w:r w:rsidR="041AD2FD" w:rsidRPr="004A0212">
        <w:t>assimilation,</w:t>
      </w:r>
      <w:r w:rsidRPr="004A0212">
        <w:t xml:space="preserve"> and racism in Aotearoa New Zealand.</w:t>
      </w:r>
      <w:r w:rsidR="002A6C7D" w:rsidRPr="004A0212">
        <w:rPr>
          <w:rStyle w:val="StyleFootnoteReferenceFagoFunotenzeichenFagoFunotenzeichen"/>
        </w:rPr>
        <w:footnoteReference w:id="323"/>
      </w:r>
      <w:r w:rsidRPr="004A0212">
        <w:t xml:space="preserve"> </w:t>
      </w:r>
    </w:p>
    <w:p w14:paraId="42C35417" w14:textId="11ECE70E" w:rsidR="002A6C7D" w:rsidRPr="004A0212" w:rsidRDefault="51EB9D5E" w:rsidP="007D73A6">
      <w:pPr>
        <w:pStyle w:val="AllNumbparas"/>
      </w:pPr>
      <w:r w:rsidRPr="004A0212">
        <w:t>I</w:t>
      </w:r>
      <w:r w:rsidR="3622DB8A" w:rsidRPr="004A0212">
        <w:t>n</w:t>
      </w:r>
      <w:r w:rsidRPr="004A0212">
        <w:t xml:space="preserve"> the </w:t>
      </w:r>
      <w:r w:rsidR="56D5A5FA" w:rsidRPr="004A0212">
        <w:t>1970s</w:t>
      </w:r>
      <w:r w:rsidRPr="004A0212">
        <w:t xml:space="preserve"> NZ Police</w:t>
      </w:r>
      <w:r w:rsidR="56D5A5FA" w:rsidRPr="004A0212">
        <w:t xml:space="preserve"> were more likely to apprehend and prosecute tamariki and rangatahi Māori than their Pākehā counterparts for similar offences.</w:t>
      </w:r>
      <w:r w:rsidR="002A6C7D" w:rsidRPr="004A0212">
        <w:rPr>
          <w:rStyle w:val="StyleFootnoteReferenceFagoFunotenzeichenFagoFunotenzeichen"/>
        </w:rPr>
        <w:footnoteReference w:id="324"/>
      </w:r>
      <w:r w:rsidR="56D5A5FA" w:rsidRPr="004A0212">
        <w:rPr>
          <w:rStyle w:val="FootnoteReference"/>
        </w:rPr>
        <w:t xml:space="preserve"> </w:t>
      </w:r>
      <w:r w:rsidR="56D5A5FA" w:rsidRPr="004A0212">
        <w:t xml:space="preserve">These biases also existed in the courts. </w:t>
      </w:r>
      <w:r w:rsidR="5EBB5ACB" w:rsidRPr="004A0212">
        <w:t xml:space="preserve">Mr </w:t>
      </w:r>
      <w:r w:rsidR="585AE85A" w:rsidRPr="004A0212">
        <w:t>SO</w:t>
      </w:r>
      <w:r w:rsidR="56D5A5FA" w:rsidRPr="004A0212">
        <w:t>, a social worker during the 1970s and 1980s, saw institutional racism in the courts’ treatment of Māori:</w:t>
      </w:r>
    </w:p>
    <w:p w14:paraId="5A7DCE05" w14:textId="77777777" w:rsidR="002A6C7D" w:rsidRPr="004A0212" w:rsidRDefault="002A6C7D" w:rsidP="002A6C7D">
      <w:pPr>
        <w:pStyle w:val="AllQuotes"/>
        <w:rPr>
          <w:rFonts w:cs="Arial"/>
        </w:rPr>
      </w:pPr>
      <w:r w:rsidRPr="004A0212">
        <w:rPr>
          <w:rFonts w:cs="Arial"/>
        </w:rPr>
        <w:tab/>
        <w:t>“The courts had an attitude, and the police had an attitude, too. The court acted differently to young Māori compared to young Pākehā offenders. The court was more willing to give second chances and lighter sentences to Pākehā offenders.”</w:t>
      </w:r>
      <w:r w:rsidRPr="004A0212">
        <w:rPr>
          <w:rFonts w:cs="Arial"/>
          <w:vertAlign w:val="superscript"/>
        </w:rPr>
        <w:t xml:space="preserve"> </w:t>
      </w:r>
      <w:r w:rsidRPr="004A0212">
        <w:rPr>
          <w:rStyle w:val="StyleFootnoteReferenceFagoFunotenzeichenFagoFunotenzeichen"/>
        </w:rPr>
        <w:footnoteReference w:id="325"/>
      </w:r>
      <w:r w:rsidRPr="004A0212">
        <w:rPr>
          <w:rFonts w:cs="Arial"/>
        </w:rPr>
        <w:t xml:space="preserve"> </w:t>
      </w:r>
    </w:p>
    <w:p w14:paraId="27558397" w14:textId="4868BFBB" w:rsidR="002A6C7D" w:rsidRPr="004A0212" w:rsidRDefault="56D5A5FA" w:rsidP="007D73A6">
      <w:pPr>
        <w:pStyle w:val="AllNumbparas"/>
        <w:rPr>
          <w:b/>
          <w:lang w:eastAsia="en-US"/>
        </w:rPr>
      </w:pPr>
      <w:r w:rsidRPr="004A0212">
        <w:t>Through</w:t>
      </w:r>
      <w:r w:rsidR="1D616F95" w:rsidRPr="004A0212">
        <w:t>out</w:t>
      </w:r>
      <w:r w:rsidRPr="004A0212">
        <w:t xml:space="preserve"> the 1970s and 1980s, there were increasing concerns about issues </w:t>
      </w:r>
      <w:r w:rsidR="1D616F95" w:rsidRPr="004A0212">
        <w:t>such as</w:t>
      </w:r>
      <w:r w:rsidRPr="004A0212">
        <w:t xml:space="preserve"> poor conditions, ill-treatment and racism in overcrowded </w:t>
      </w:r>
      <w:r w:rsidR="0D8F6112" w:rsidRPr="004A0212">
        <w:t xml:space="preserve">social welfare </w:t>
      </w:r>
      <w:r w:rsidR="27A2BF82" w:rsidRPr="004A0212">
        <w:t>institutions</w:t>
      </w:r>
      <w:r w:rsidRPr="004A0212">
        <w:t>.</w:t>
      </w:r>
      <w:r w:rsidR="002A6C7D" w:rsidRPr="004A0212">
        <w:rPr>
          <w:rStyle w:val="StyleFootnoteReferenceFagoFunotenzeichenFagoFunotenzeichen"/>
        </w:rPr>
        <w:footnoteReference w:id="326"/>
      </w:r>
      <w:r w:rsidRPr="004A0212">
        <w:t xml:space="preserve"> </w:t>
      </w:r>
    </w:p>
    <w:p w14:paraId="16A5EF4E" w14:textId="759032E3" w:rsidR="002A6C7D" w:rsidRPr="004A0212" w:rsidRDefault="56D5A5FA" w:rsidP="007D73A6">
      <w:pPr>
        <w:pStyle w:val="AllNumbparas"/>
        <w:rPr>
          <w:b/>
          <w:lang w:eastAsia="en-US"/>
        </w:rPr>
      </w:pPr>
      <w:r w:rsidRPr="004A0212">
        <w:t>There was also growing understanding that the care and protection and youth justice systems operated in direct opposition to Māori concepts of</w:t>
      </w:r>
      <w:r w:rsidR="118DE1B5" w:rsidRPr="004A0212">
        <w:t xml:space="preserve"> whānau</w:t>
      </w:r>
      <w:r w:rsidRPr="004A0212">
        <w:t xml:space="preserve"> and </w:t>
      </w:r>
      <w:proofErr w:type="spellStart"/>
      <w:r w:rsidRPr="004A0212">
        <w:t>tino</w:t>
      </w:r>
      <w:proofErr w:type="spellEnd"/>
      <w:r w:rsidRPr="004A0212">
        <w:t xml:space="preserve"> rangatiratanga.</w:t>
      </w:r>
      <w:r w:rsidR="002A6C7D" w:rsidRPr="004A0212">
        <w:rPr>
          <w:rStyle w:val="StyleFootnoteReferenceFagoFunotenzeichenFagoFunotenzeichen"/>
        </w:rPr>
        <w:footnoteReference w:id="327"/>
      </w:r>
    </w:p>
    <w:p w14:paraId="5F4FC060" w14:textId="68B66821" w:rsidR="00D6367F" w:rsidRPr="004A0212" w:rsidRDefault="40077C77" w:rsidP="0A27D6D4">
      <w:pPr>
        <w:pStyle w:val="Heading2"/>
        <w:rPr>
          <w:rFonts w:cs="Arial"/>
        </w:rPr>
      </w:pPr>
      <w:bookmarkStart w:id="374" w:name="_Toc1491496219"/>
      <w:bookmarkStart w:id="375" w:name="_Toc168638992"/>
      <w:bookmarkStart w:id="376" w:name="_Toc150933147"/>
      <w:bookmarkStart w:id="377" w:name="_Toc150953464"/>
      <w:proofErr w:type="spellStart"/>
      <w:r w:rsidRPr="004A0212">
        <w:rPr>
          <w:rFonts w:cs="Arial"/>
        </w:rPr>
        <w:t>Ngā</w:t>
      </w:r>
      <w:proofErr w:type="spellEnd"/>
      <w:r w:rsidRPr="004A0212">
        <w:rPr>
          <w:rFonts w:cs="Arial"/>
        </w:rPr>
        <w:t xml:space="preserve"> </w:t>
      </w:r>
      <w:proofErr w:type="spellStart"/>
      <w:r w:rsidRPr="004A0212">
        <w:rPr>
          <w:rFonts w:cs="Arial"/>
        </w:rPr>
        <w:t>pāpātanga</w:t>
      </w:r>
      <w:proofErr w:type="spellEnd"/>
      <w:r w:rsidRPr="004A0212">
        <w:rPr>
          <w:rFonts w:cs="Arial"/>
        </w:rPr>
        <w:t xml:space="preserve"> ki </w:t>
      </w:r>
      <w:proofErr w:type="spellStart"/>
      <w:r w:rsidRPr="004A0212">
        <w:rPr>
          <w:rFonts w:cs="Arial"/>
        </w:rPr>
        <w:t>ngā</w:t>
      </w:r>
      <w:proofErr w:type="spellEnd"/>
      <w:r w:rsidRPr="004A0212">
        <w:rPr>
          <w:rFonts w:cs="Arial"/>
        </w:rPr>
        <w:t xml:space="preserve"> iwi Pasifika </w:t>
      </w:r>
      <w:proofErr w:type="spellStart"/>
      <w:r w:rsidRPr="004A0212">
        <w:rPr>
          <w:rFonts w:cs="Arial"/>
        </w:rPr>
        <w:t>i</w:t>
      </w:r>
      <w:proofErr w:type="spellEnd"/>
      <w:r w:rsidRPr="004A0212">
        <w:rPr>
          <w:rFonts w:cs="Arial"/>
        </w:rPr>
        <w:t xml:space="preserve"> </w:t>
      </w:r>
      <w:proofErr w:type="spellStart"/>
      <w:r w:rsidRPr="004A0212">
        <w:rPr>
          <w:rFonts w:cs="Arial"/>
        </w:rPr>
        <w:t>ngā</w:t>
      </w:r>
      <w:proofErr w:type="spellEnd"/>
      <w:r w:rsidRPr="004A0212">
        <w:rPr>
          <w:rFonts w:cs="Arial"/>
        </w:rPr>
        <w:t xml:space="preserve"> </w:t>
      </w:r>
      <w:proofErr w:type="spellStart"/>
      <w:r w:rsidRPr="004A0212">
        <w:rPr>
          <w:rFonts w:cs="Arial"/>
        </w:rPr>
        <w:t>urutomotanga</w:t>
      </w:r>
      <w:proofErr w:type="spellEnd"/>
      <w:r w:rsidRPr="004A0212">
        <w:rPr>
          <w:rFonts w:cs="Arial"/>
        </w:rPr>
        <w:t xml:space="preserve"> </w:t>
      </w:r>
      <w:proofErr w:type="spellStart"/>
      <w:r w:rsidRPr="004A0212">
        <w:rPr>
          <w:rFonts w:cs="Arial"/>
        </w:rPr>
        <w:t>atatū</w:t>
      </w:r>
      <w:bookmarkEnd w:id="374"/>
      <w:bookmarkEnd w:id="375"/>
      <w:proofErr w:type="spellEnd"/>
      <w:r w:rsidRPr="004A0212">
        <w:rPr>
          <w:rFonts w:cs="Arial"/>
        </w:rPr>
        <w:t xml:space="preserve"> </w:t>
      </w:r>
    </w:p>
    <w:p w14:paraId="0298F345" w14:textId="70230D89" w:rsidR="00D6367F" w:rsidRPr="004A0212" w:rsidRDefault="57D7326A" w:rsidP="00D6367F">
      <w:pPr>
        <w:pStyle w:val="Heading2"/>
        <w:rPr>
          <w:rFonts w:cs="Arial"/>
        </w:rPr>
      </w:pPr>
      <w:bookmarkStart w:id="378" w:name="_Toc553577459"/>
      <w:bookmarkStart w:id="379" w:name="_Toc168638993"/>
      <w:r w:rsidRPr="004A0212">
        <w:rPr>
          <w:rFonts w:cs="Arial"/>
        </w:rPr>
        <w:t xml:space="preserve">Pacific Peoples </w:t>
      </w:r>
      <w:r w:rsidR="28C4C8BF" w:rsidRPr="004A0212">
        <w:rPr>
          <w:rFonts w:cs="Arial"/>
        </w:rPr>
        <w:t xml:space="preserve">impacted by </w:t>
      </w:r>
      <w:r w:rsidR="3A81DA3C" w:rsidRPr="004A0212">
        <w:rPr>
          <w:rFonts w:cs="Arial"/>
        </w:rPr>
        <w:t>D</w:t>
      </w:r>
      <w:r w:rsidR="2A4A67CC" w:rsidRPr="004A0212">
        <w:rPr>
          <w:rFonts w:cs="Arial"/>
        </w:rPr>
        <w:t xml:space="preserve">awn </w:t>
      </w:r>
      <w:r w:rsidR="3A81DA3C" w:rsidRPr="004A0212">
        <w:rPr>
          <w:rFonts w:cs="Arial"/>
        </w:rPr>
        <w:t>R</w:t>
      </w:r>
      <w:r w:rsidR="09023D8E" w:rsidRPr="004A0212">
        <w:rPr>
          <w:rFonts w:cs="Arial"/>
        </w:rPr>
        <w:t>aids</w:t>
      </w:r>
      <w:bookmarkEnd w:id="376"/>
      <w:bookmarkEnd w:id="377"/>
      <w:bookmarkEnd w:id="378"/>
      <w:bookmarkEnd w:id="379"/>
    </w:p>
    <w:p w14:paraId="40B94328" w14:textId="69D92334" w:rsidR="00D6367F" w:rsidRPr="004A0212" w:rsidRDefault="09AEE739" w:rsidP="007D73A6">
      <w:pPr>
        <w:pStyle w:val="AllNumbparas"/>
      </w:pPr>
      <w:r w:rsidRPr="004A0212">
        <w:t xml:space="preserve">As a relatively wealthy country with educational and economic opportunities, Aotearoa New Zealand was known </w:t>
      </w:r>
      <w:r w:rsidR="5E77B44C" w:rsidRPr="004A0212">
        <w:t xml:space="preserve">to some people in the Pacific </w:t>
      </w:r>
      <w:r w:rsidR="008550F3">
        <w:t>I</w:t>
      </w:r>
      <w:r w:rsidR="5E77B44C" w:rsidRPr="004A0212">
        <w:t xml:space="preserve">slands </w:t>
      </w:r>
      <w:r w:rsidRPr="004A0212">
        <w:t xml:space="preserve">as </w:t>
      </w:r>
      <w:r w:rsidR="1C2B8965" w:rsidRPr="004A0212">
        <w:t>“</w:t>
      </w:r>
      <w:r w:rsidRPr="004A0212">
        <w:t>the land of milk and honey</w:t>
      </w:r>
      <w:r w:rsidR="1C2B8965" w:rsidRPr="004A0212">
        <w:t>”</w:t>
      </w:r>
      <w:r w:rsidR="07921ADB" w:rsidRPr="004A0212">
        <w:t>.</w:t>
      </w:r>
      <w:r w:rsidR="00D6367F" w:rsidRPr="004A0212">
        <w:rPr>
          <w:rStyle w:val="StyleFootnoteReferenceFagoFunotenzeichenFagoFunotenzeichen"/>
        </w:rPr>
        <w:footnoteReference w:id="328"/>
      </w:r>
      <w:r w:rsidR="07921ADB" w:rsidRPr="004A0212">
        <w:t xml:space="preserve"> For New Zealanders, the Pacific </w:t>
      </w:r>
      <w:r w:rsidR="008550F3">
        <w:t>I</w:t>
      </w:r>
      <w:r w:rsidR="07921ADB" w:rsidRPr="004A0212">
        <w:t>slands represented a source of cheap labour.</w:t>
      </w:r>
      <w:r w:rsidR="00D6367F" w:rsidRPr="004A0212">
        <w:rPr>
          <w:rStyle w:val="StyleFootnoteReferenceFagoFunotenzeichenFagoFunotenzeichen"/>
        </w:rPr>
        <w:footnoteReference w:id="329"/>
      </w:r>
      <w:r w:rsidR="07921ADB" w:rsidRPr="004A0212">
        <w:t xml:space="preserve"> </w:t>
      </w:r>
    </w:p>
    <w:p w14:paraId="1E522C01" w14:textId="4292756A" w:rsidR="00D6367F" w:rsidRPr="004A0212" w:rsidRDefault="07921ADB" w:rsidP="007D73A6">
      <w:pPr>
        <w:pStyle w:val="AllNumbparas"/>
      </w:pPr>
      <w:r w:rsidRPr="004A0212">
        <w:t xml:space="preserve">The economic </w:t>
      </w:r>
      <w:r w:rsidR="13F9451D" w:rsidRPr="004A0212">
        <w:t>downtur</w:t>
      </w:r>
      <w:r w:rsidR="0CD39178" w:rsidRPr="004A0212">
        <w:t>n</w:t>
      </w:r>
      <w:r w:rsidRPr="004A0212">
        <w:t xml:space="preserve"> of the 1970s led to a </w:t>
      </w:r>
      <w:r w:rsidR="656CB54F" w:rsidRPr="004A0212">
        <w:t>State</w:t>
      </w:r>
      <w:r w:rsidRPr="004A0212">
        <w:t xml:space="preserve"> focus on Pacific </w:t>
      </w:r>
      <w:r w:rsidR="1ACCA992" w:rsidRPr="004A0212">
        <w:t>P</w:t>
      </w:r>
      <w:r w:rsidR="6568A6C9" w:rsidRPr="004A0212">
        <w:t>eoples</w:t>
      </w:r>
      <w:r w:rsidRPr="004A0212">
        <w:t xml:space="preserve"> </w:t>
      </w:r>
      <w:r w:rsidR="5AC75B28" w:rsidRPr="004A0212">
        <w:t>and</w:t>
      </w:r>
      <w:r w:rsidRPr="004A0212">
        <w:t xml:space="preserve"> made </w:t>
      </w:r>
      <w:r w:rsidR="56ECA16C" w:rsidRPr="004A0212">
        <w:t>their</w:t>
      </w:r>
      <w:r w:rsidRPr="004A0212">
        <w:t xml:space="preserve"> “place in Aotearoa New Zealand both difficult and precarious”.</w:t>
      </w:r>
      <w:r w:rsidR="00D6367F" w:rsidRPr="004A0212">
        <w:rPr>
          <w:rStyle w:val="StyleFootnoteReferenceFagoFunotenzeichenFagoFunotenzeichen"/>
        </w:rPr>
        <w:footnoteReference w:id="330"/>
      </w:r>
      <w:r w:rsidRPr="004A0212">
        <w:t xml:space="preserve"> </w:t>
      </w:r>
      <w:r w:rsidR="56ECA16C" w:rsidRPr="004A0212">
        <w:t xml:space="preserve">Pacific Peoples faced increasing discrimination and backlash. </w:t>
      </w:r>
      <w:r w:rsidRPr="004A0212">
        <w:t xml:space="preserve">The </w:t>
      </w:r>
      <w:r w:rsidR="656CB54F" w:rsidRPr="004A0212">
        <w:t>State</w:t>
      </w:r>
      <w:r w:rsidRPr="004A0212">
        <w:t xml:space="preserve"> </w:t>
      </w:r>
      <w:r w:rsidR="1E395495" w:rsidRPr="004A0212">
        <w:t>falsely</w:t>
      </w:r>
      <w:r w:rsidR="033F10A6" w:rsidRPr="004A0212">
        <w:t xml:space="preserve"> </w:t>
      </w:r>
      <w:r w:rsidRPr="004A0212">
        <w:t xml:space="preserve">accused “overstaying” Pacific </w:t>
      </w:r>
      <w:r w:rsidR="680058D3" w:rsidRPr="004A0212">
        <w:t>P</w:t>
      </w:r>
      <w:r w:rsidR="6568A6C9" w:rsidRPr="004A0212">
        <w:t>eoples</w:t>
      </w:r>
      <w:r w:rsidRPr="004A0212">
        <w:t xml:space="preserve"> of both taking New Zealanders’ jobs and being a burden on society through unemployment.</w:t>
      </w:r>
      <w:r w:rsidR="00D6367F" w:rsidRPr="004A0212">
        <w:rPr>
          <w:rStyle w:val="StyleFootnoteReferenceFagoFunotenzeichenFagoFunotenzeichen"/>
        </w:rPr>
        <w:footnoteReference w:id="331"/>
      </w:r>
      <w:r w:rsidRPr="004A0212">
        <w:t xml:space="preserve"> </w:t>
      </w:r>
    </w:p>
    <w:p w14:paraId="516EDE01" w14:textId="02CF77AB" w:rsidR="00D6367F" w:rsidRPr="004A0212" w:rsidRDefault="07921ADB" w:rsidP="007D73A6">
      <w:pPr>
        <w:pStyle w:val="AllNumbparas"/>
      </w:pPr>
      <w:r w:rsidRPr="004A0212">
        <w:t xml:space="preserve">This led to what is now known as the </w:t>
      </w:r>
      <w:r w:rsidR="242716F7" w:rsidRPr="004A0212">
        <w:t>D</w:t>
      </w:r>
      <w:r w:rsidRPr="004A0212">
        <w:t xml:space="preserve">awn </w:t>
      </w:r>
      <w:r w:rsidR="242716F7" w:rsidRPr="004A0212">
        <w:t>R</w:t>
      </w:r>
      <w:r w:rsidRPr="004A0212">
        <w:t xml:space="preserve">aids, </w:t>
      </w:r>
      <w:r w:rsidR="656CB54F" w:rsidRPr="004A0212">
        <w:t xml:space="preserve">which </w:t>
      </w:r>
      <w:r w:rsidRPr="004A0212">
        <w:t xml:space="preserve">involved </w:t>
      </w:r>
      <w:r w:rsidR="72D2C680" w:rsidRPr="004A0212">
        <w:t>NZ P</w:t>
      </w:r>
      <w:r w:rsidRPr="004A0212">
        <w:t>olice</w:t>
      </w:r>
      <w:r w:rsidR="2C7CBF6F" w:rsidRPr="004A0212">
        <w:t xml:space="preserve"> </w:t>
      </w:r>
      <w:r w:rsidRPr="004A0212">
        <w:t>raiding</w:t>
      </w:r>
      <w:r w:rsidR="7171F80B" w:rsidRPr="004A0212">
        <w:t xml:space="preserve"> the</w:t>
      </w:r>
      <w:r w:rsidRPr="004A0212">
        <w:t xml:space="preserve"> homes and workplaces </w:t>
      </w:r>
      <w:r w:rsidR="2C7CBF6F" w:rsidRPr="004A0212">
        <w:t>of Pacific Peoples</w:t>
      </w:r>
      <w:r w:rsidR="16005B0A" w:rsidRPr="004A0212">
        <w:t>,</w:t>
      </w:r>
      <w:r w:rsidR="7171F80B" w:rsidRPr="004A0212">
        <w:t xml:space="preserve"> often</w:t>
      </w:r>
      <w:r w:rsidR="2C7CBF6F" w:rsidRPr="004A0212">
        <w:t xml:space="preserve"> </w:t>
      </w:r>
      <w:r w:rsidRPr="004A0212">
        <w:t xml:space="preserve">in the early hours of the morning, </w:t>
      </w:r>
      <w:r w:rsidR="16005B0A" w:rsidRPr="004A0212">
        <w:t xml:space="preserve">and </w:t>
      </w:r>
      <w:r w:rsidRPr="004A0212">
        <w:t>“</w:t>
      </w:r>
      <w:r w:rsidR="16005B0A" w:rsidRPr="004A0212">
        <w:t>…</w:t>
      </w:r>
      <w:r w:rsidRPr="004A0212">
        <w:t>employing aggressive or intimidatory tactics” to find overstayers with expired work permits.</w:t>
      </w:r>
      <w:r w:rsidR="00D6367F" w:rsidRPr="004A0212">
        <w:rPr>
          <w:rStyle w:val="StyleFootnoteReferenceFagoFunotenzeichenFagoFunotenzeichen"/>
        </w:rPr>
        <w:footnoteReference w:id="332"/>
      </w:r>
      <w:r w:rsidRPr="004A0212">
        <w:t xml:space="preserve"> </w:t>
      </w:r>
    </w:p>
    <w:p w14:paraId="2547BCAF" w14:textId="5ACF31DC" w:rsidR="00D6367F" w:rsidRPr="004A0212" w:rsidRDefault="07921ADB" w:rsidP="007D73A6">
      <w:pPr>
        <w:pStyle w:val="AllNumbparas"/>
      </w:pPr>
      <w:r w:rsidRPr="004A0212">
        <w:t xml:space="preserve">The </w:t>
      </w:r>
      <w:r w:rsidR="242716F7" w:rsidRPr="004A0212">
        <w:t>D</w:t>
      </w:r>
      <w:r w:rsidR="3AAE7069" w:rsidRPr="004A0212">
        <w:t xml:space="preserve">awn </w:t>
      </w:r>
      <w:r w:rsidR="242716F7" w:rsidRPr="004A0212">
        <w:t>R</w:t>
      </w:r>
      <w:r w:rsidRPr="004A0212">
        <w:t>aids began in 1974 under the Labour Government</w:t>
      </w:r>
      <w:r w:rsidR="14D7256E" w:rsidRPr="004A0212">
        <w:t xml:space="preserve">. </w:t>
      </w:r>
      <w:r w:rsidR="13536163" w:rsidRPr="004A0212">
        <w:t xml:space="preserve">A </w:t>
      </w:r>
      <w:r w:rsidR="4B684BC2" w:rsidRPr="004A0212">
        <w:t>new series of Dawn Raids</w:t>
      </w:r>
      <w:r w:rsidRPr="004A0212">
        <w:t xml:space="preserve"> </w:t>
      </w:r>
      <w:r w:rsidR="4316E835" w:rsidRPr="004A0212">
        <w:t>occurred in 1976</w:t>
      </w:r>
      <w:r w:rsidRPr="004A0212">
        <w:t xml:space="preserve"> after the National Government was elected in 1975</w:t>
      </w:r>
      <w:r w:rsidR="6A6BE028" w:rsidRPr="004A0212">
        <w:t xml:space="preserve"> and had</w:t>
      </w:r>
      <w:r w:rsidR="0FA3C71B" w:rsidRPr="004A0212">
        <w:t xml:space="preserve"> drawn on a </w:t>
      </w:r>
      <w:proofErr w:type="gramStart"/>
      <w:r w:rsidR="173F59E3" w:rsidRPr="004A0212">
        <w:t>racist</w:t>
      </w:r>
      <w:r w:rsidR="003B68E7" w:rsidRPr="004A0212">
        <w:t xml:space="preserve"> stereotypes</w:t>
      </w:r>
      <w:proofErr w:type="gramEnd"/>
      <w:r w:rsidR="6BB07C4E" w:rsidRPr="004A0212">
        <w:t xml:space="preserve"> to </w:t>
      </w:r>
      <w:r w:rsidR="68E6C69A" w:rsidRPr="004A0212">
        <w:t>distort</w:t>
      </w:r>
      <w:r w:rsidR="6BB07C4E" w:rsidRPr="004A0212">
        <w:t xml:space="preserve"> societal views of </w:t>
      </w:r>
      <w:r w:rsidR="033F10A6" w:rsidRPr="004A0212">
        <w:t>Pacific</w:t>
      </w:r>
      <w:r w:rsidR="6BB07C4E" w:rsidRPr="004A0212">
        <w:t xml:space="preserve"> Peoples</w:t>
      </w:r>
      <w:r w:rsidRPr="004A0212">
        <w:t>.</w:t>
      </w:r>
      <w:r w:rsidR="00D6367F" w:rsidRPr="004A0212">
        <w:rPr>
          <w:rStyle w:val="StyleFootnoteReferenceFagoFunotenzeichenFagoFunotenzeichen"/>
        </w:rPr>
        <w:footnoteReference w:id="333"/>
      </w:r>
      <w:r w:rsidRPr="004A0212">
        <w:t xml:space="preserve"> The</w:t>
      </w:r>
      <w:r w:rsidR="3590BD5A" w:rsidRPr="004A0212">
        <w:t>se</w:t>
      </w:r>
      <w:r w:rsidRPr="004A0212">
        <w:t xml:space="preserve"> raids</w:t>
      </w:r>
      <w:r w:rsidR="199A9EDB" w:rsidRPr="004A0212">
        <w:t xml:space="preserve"> were </w:t>
      </w:r>
      <w:r w:rsidR="4E049ADD" w:rsidRPr="004A0212">
        <w:t>carried out at any</w:t>
      </w:r>
      <w:r w:rsidR="01049A03" w:rsidRPr="004A0212">
        <w:t xml:space="preserve"> </w:t>
      </w:r>
      <w:r w:rsidR="4E049ADD" w:rsidRPr="004A0212">
        <w:t>time of the day or night b</w:t>
      </w:r>
      <w:r w:rsidR="033F10A6" w:rsidRPr="004A0212">
        <w:t>y NZ Police</w:t>
      </w:r>
      <w:r w:rsidRPr="004A0212">
        <w:t xml:space="preserve"> specifically targeted Pacific </w:t>
      </w:r>
      <w:r w:rsidR="680058D3" w:rsidRPr="004A0212">
        <w:t>P</w:t>
      </w:r>
      <w:r w:rsidR="6568A6C9" w:rsidRPr="004A0212">
        <w:t>eoples</w:t>
      </w:r>
      <w:r w:rsidRPr="004A0212">
        <w:t xml:space="preserve"> rather than other groups of workers who had also overstayed their visas.</w:t>
      </w:r>
      <w:r w:rsidR="00D6367F" w:rsidRPr="004A0212">
        <w:rPr>
          <w:rStyle w:val="StyleFootnoteReferenceFagoFunotenzeichenFagoFunotenzeichen"/>
        </w:rPr>
        <w:footnoteReference w:id="334"/>
      </w:r>
      <w:r w:rsidRPr="004A0212">
        <w:t xml:space="preserve"> </w:t>
      </w:r>
    </w:p>
    <w:p w14:paraId="4C1E43C4" w14:textId="3F00289E" w:rsidR="00D6367F" w:rsidRPr="004A0212" w:rsidRDefault="07921ADB" w:rsidP="00CF1376">
      <w:pPr>
        <w:pStyle w:val="AllNumbparas"/>
      </w:pPr>
      <w:r w:rsidRPr="004A0212">
        <w:t>Pacific communities were distressed by the raids. Imprisonment and deportation disrupted families’ and individuals’ lives.</w:t>
      </w:r>
      <w:r w:rsidR="36846533" w:rsidRPr="004A0212">
        <w:t xml:space="preserve"> </w:t>
      </w:r>
      <w:r w:rsidR="656CB54F" w:rsidRPr="004A0212">
        <w:t xml:space="preserve">Children and young people </w:t>
      </w:r>
      <w:r w:rsidR="36846533" w:rsidRPr="004A0212">
        <w:t>could find themselves al</w:t>
      </w:r>
      <w:r w:rsidR="50A23A87" w:rsidRPr="004A0212">
        <w:t>one</w:t>
      </w:r>
      <w:r w:rsidR="36846533" w:rsidRPr="004A0212">
        <w:t xml:space="preserve"> while parents and caregivers were processed as overstayers.</w:t>
      </w:r>
      <w:r w:rsidR="00A7599D" w:rsidRPr="004A0212">
        <w:rPr>
          <w:rStyle w:val="StyleFootnoteReferenceFagoFunotenzeichenFagoFunotenzeichen"/>
        </w:rPr>
        <w:footnoteReference w:id="335"/>
      </w:r>
      <w:r w:rsidR="4AD21426" w:rsidRPr="004A0212">
        <w:t xml:space="preserve"> </w:t>
      </w:r>
      <w:r w:rsidRPr="004A0212">
        <w:t xml:space="preserve">Some enduring effects of the </w:t>
      </w:r>
      <w:r w:rsidR="728CF147" w:rsidRPr="004A0212">
        <w:t>D</w:t>
      </w:r>
      <w:r w:rsidRPr="004A0212">
        <w:t xml:space="preserve">awn </w:t>
      </w:r>
      <w:r w:rsidR="728CF147" w:rsidRPr="004A0212">
        <w:t>R</w:t>
      </w:r>
      <w:r w:rsidRPr="004A0212">
        <w:t xml:space="preserve">aids included Pacific </w:t>
      </w:r>
      <w:r w:rsidR="680058D3" w:rsidRPr="004A0212">
        <w:t>P</w:t>
      </w:r>
      <w:r w:rsidR="6568A6C9" w:rsidRPr="004A0212">
        <w:t>eoples</w:t>
      </w:r>
      <w:r w:rsidRPr="004A0212">
        <w:t xml:space="preserve"> and the term overstayer being seen as one and the same, and </w:t>
      </w:r>
      <w:r w:rsidR="2AD50D19" w:rsidRPr="004A0212">
        <w:t>experiences of ongoing and</w:t>
      </w:r>
      <w:r w:rsidRPr="004A0212">
        <w:t xml:space="preserve"> widespread racism. </w:t>
      </w:r>
    </w:p>
    <w:p w14:paraId="401A86E7" w14:textId="63EE9C27" w:rsidR="00D6367F" w:rsidRPr="004A0212" w:rsidRDefault="07921ADB" w:rsidP="007D73A6">
      <w:pPr>
        <w:pStyle w:val="AllNumbparas"/>
      </w:pPr>
      <w:r w:rsidRPr="004A0212">
        <w:t xml:space="preserve">The </w:t>
      </w:r>
      <w:r w:rsidR="242716F7" w:rsidRPr="004A0212">
        <w:t>D</w:t>
      </w:r>
      <w:r w:rsidR="25ACAA26" w:rsidRPr="004A0212">
        <w:t xml:space="preserve">awn </w:t>
      </w:r>
      <w:r w:rsidR="242716F7" w:rsidRPr="004A0212">
        <w:t>R</w:t>
      </w:r>
      <w:r w:rsidRPr="004A0212">
        <w:t xml:space="preserve">aids also affected Pacific </w:t>
      </w:r>
      <w:r w:rsidR="680058D3" w:rsidRPr="004A0212">
        <w:t>P</w:t>
      </w:r>
      <w:r w:rsidR="6568A6C9" w:rsidRPr="004A0212">
        <w:t>eoples</w:t>
      </w:r>
      <w:r w:rsidR="4316E835" w:rsidRPr="004A0212">
        <w:t>’</w:t>
      </w:r>
      <w:r w:rsidRPr="004A0212">
        <w:t xml:space="preserve"> relationships with authorities. The </w:t>
      </w:r>
      <w:r w:rsidR="2115A621" w:rsidRPr="004A0212">
        <w:t>D</w:t>
      </w:r>
      <w:r w:rsidRPr="004A0212">
        <w:t xml:space="preserve">awn </w:t>
      </w:r>
      <w:r w:rsidR="2115A621" w:rsidRPr="004A0212">
        <w:t>R</w:t>
      </w:r>
      <w:r w:rsidRPr="004A0212">
        <w:t>aids lasted until 1976, only stopping after strong community protests and criticism.</w:t>
      </w:r>
      <w:r w:rsidR="00D6367F" w:rsidRPr="004A0212">
        <w:rPr>
          <w:rStyle w:val="StyleFootnoteReferenceFagoFunotenzeichenFagoFunotenzeichen"/>
        </w:rPr>
        <w:footnoteReference w:id="336"/>
      </w:r>
      <w:r w:rsidRPr="004A0212">
        <w:t xml:space="preserve"> </w:t>
      </w:r>
    </w:p>
    <w:p w14:paraId="032D2FD1" w14:textId="1D35AA92" w:rsidR="0068717F" w:rsidRPr="004A0212" w:rsidRDefault="07921ADB" w:rsidP="00021C43">
      <w:pPr>
        <w:pStyle w:val="AllNumbparas"/>
      </w:pPr>
      <w:r w:rsidRPr="004A0212">
        <w:t xml:space="preserve">Despite the challenges they faced, Pacific </w:t>
      </w:r>
      <w:r w:rsidR="680058D3" w:rsidRPr="004A0212">
        <w:t>P</w:t>
      </w:r>
      <w:r w:rsidR="6568A6C9" w:rsidRPr="004A0212">
        <w:t>eoples</w:t>
      </w:r>
      <w:r w:rsidRPr="004A0212">
        <w:t xml:space="preserve"> remained resilient and built their own support systems. Pacific churches became</w:t>
      </w:r>
      <w:r w:rsidR="40F53341" w:rsidRPr="004A0212">
        <w:t xml:space="preserve"> both </w:t>
      </w:r>
      <w:r w:rsidRPr="004A0212">
        <w:t>spiritual and community hubs. For many, churches replaced the village structures of their previous homes.</w:t>
      </w:r>
      <w:r w:rsidR="00D6367F" w:rsidRPr="004A0212">
        <w:rPr>
          <w:rStyle w:val="StyleFootnoteReferenceFagoFunotenzeichenFagoFunotenzeichen"/>
        </w:rPr>
        <w:footnoteReference w:id="337"/>
      </w:r>
      <w:r w:rsidRPr="004A0212">
        <w:t xml:space="preserve"> The significance of the church to Pacific </w:t>
      </w:r>
      <w:r w:rsidR="680058D3" w:rsidRPr="004A0212">
        <w:t>P</w:t>
      </w:r>
      <w:r w:rsidR="6568A6C9" w:rsidRPr="004A0212">
        <w:t>eoples</w:t>
      </w:r>
      <w:r w:rsidRPr="004A0212">
        <w:t xml:space="preserve"> increased the number of pastoral care relationships between clergy and young people. </w:t>
      </w:r>
    </w:p>
    <w:p w14:paraId="056E59FE" w14:textId="77777777" w:rsidR="00197950" w:rsidRPr="004A0212" w:rsidRDefault="650D0A27" w:rsidP="002A2265">
      <w:pPr>
        <w:pStyle w:val="Heading2"/>
      </w:pPr>
      <w:bookmarkStart w:id="380" w:name="_Toc429024528"/>
      <w:bookmarkStart w:id="381" w:name="_Toc168638994"/>
      <w:proofErr w:type="spellStart"/>
      <w:r w:rsidRPr="004A0212">
        <w:t>Ngā</w:t>
      </w:r>
      <w:proofErr w:type="spellEnd"/>
      <w:r w:rsidRPr="004A0212">
        <w:t xml:space="preserve"> </w:t>
      </w:r>
      <w:proofErr w:type="spellStart"/>
      <w:r w:rsidRPr="004A0212">
        <w:t>panonitanga</w:t>
      </w:r>
      <w:proofErr w:type="spellEnd"/>
      <w:r w:rsidRPr="004A0212">
        <w:t xml:space="preserve"> ki </w:t>
      </w:r>
      <w:proofErr w:type="spellStart"/>
      <w:r w:rsidRPr="004A0212">
        <w:t>ngā</w:t>
      </w:r>
      <w:proofErr w:type="spellEnd"/>
      <w:r w:rsidRPr="004A0212">
        <w:t xml:space="preserve"> </w:t>
      </w:r>
      <w:proofErr w:type="spellStart"/>
      <w:r w:rsidRPr="004A0212">
        <w:t>penihana</w:t>
      </w:r>
      <w:proofErr w:type="spellEnd"/>
      <w:r w:rsidRPr="004A0212">
        <w:t xml:space="preserve"> </w:t>
      </w:r>
      <w:proofErr w:type="spellStart"/>
      <w:r w:rsidRPr="004A0212">
        <w:t>tokoora</w:t>
      </w:r>
      <w:proofErr w:type="spellEnd"/>
      <w:r w:rsidRPr="004A0212">
        <w:t xml:space="preserve"> me </w:t>
      </w:r>
      <w:proofErr w:type="spellStart"/>
      <w:r w:rsidRPr="004A0212">
        <w:t>te</w:t>
      </w:r>
      <w:proofErr w:type="spellEnd"/>
      <w:r w:rsidRPr="004A0212">
        <w:t xml:space="preserve"> </w:t>
      </w:r>
      <w:proofErr w:type="spellStart"/>
      <w:r w:rsidRPr="004A0212">
        <w:t>whakahouhia</w:t>
      </w:r>
      <w:proofErr w:type="spellEnd"/>
      <w:r w:rsidRPr="004A0212">
        <w:t xml:space="preserve"> </w:t>
      </w:r>
      <w:proofErr w:type="spellStart"/>
      <w:r w:rsidRPr="004A0212">
        <w:t>ōhanga</w:t>
      </w:r>
      <w:bookmarkEnd w:id="380"/>
      <w:bookmarkEnd w:id="381"/>
      <w:proofErr w:type="spellEnd"/>
      <w:r w:rsidRPr="004A0212">
        <w:t xml:space="preserve"> </w:t>
      </w:r>
    </w:p>
    <w:p w14:paraId="3FB3D5D6" w14:textId="69D0AC49" w:rsidR="005C258D" w:rsidRPr="004A0212" w:rsidRDefault="388D4319" w:rsidP="002A2265">
      <w:pPr>
        <w:pStyle w:val="Heading2"/>
      </w:pPr>
      <w:bookmarkStart w:id="382" w:name="_Toc1318293317"/>
      <w:bookmarkStart w:id="383" w:name="_Toc168638995"/>
      <w:r w:rsidRPr="004A0212">
        <w:t>Changes to welfare benefits and economic restructuring</w:t>
      </w:r>
      <w:bookmarkEnd w:id="382"/>
      <w:bookmarkEnd w:id="383"/>
    </w:p>
    <w:p w14:paraId="31DE0E48" w14:textId="58CE7A21" w:rsidR="009E523D" w:rsidRPr="004A0212" w:rsidRDefault="4831EFA8" w:rsidP="007F47AE">
      <w:pPr>
        <w:pStyle w:val="Heading3"/>
        <w:rPr>
          <w:rFonts w:cs="Arial"/>
        </w:rPr>
      </w:pPr>
      <w:bookmarkStart w:id="384" w:name="_Toc170068517"/>
      <w:bookmarkStart w:id="385" w:name="_Toc168638996"/>
      <w:r w:rsidRPr="004A0212">
        <w:rPr>
          <w:rFonts w:cs="Arial"/>
        </w:rPr>
        <w:t xml:space="preserve">Ka </w:t>
      </w:r>
      <w:proofErr w:type="spellStart"/>
      <w:r w:rsidRPr="004A0212">
        <w:rPr>
          <w:rFonts w:cs="Arial"/>
        </w:rPr>
        <w:t>whaka</w:t>
      </w:r>
      <w:r w:rsidR="660ACD35" w:rsidRPr="004A0212">
        <w:rPr>
          <w:rFonts w:cs="Arial"/>
        </w:rPr>
        <w:t>uruhia</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penihana</w:t>
      </w:r>
      <w:proofErr w:type="spellEnd"/>
      <w:r w:rsidRPr="004A0212">
        <w:rPr>
          <w:rFonts w:cs="Arial"/>
        </w:rPr>
        <w:t xml:space="preserve"> take </w:t>
      </w:r>
      <w:proofErr w:type="spellStart"/>
      <w:r w:rsidRPr="004A0212">
        <w:rPr>
          <w:rFonts w:cs="Arial"/>
        </w:rPr>
        <w:t>kāinga</w:t>
      </w:r>
      <w:proofErr w:type="spellEnd"/>
      <w:r w:rsidRPr="004A0212">
        <w:rPr>
          <w:rFonts w:cs="Arial"/>
        </w:rPr>
        <w:t xml:space="preserve"> </w:t>
      </w:r>
      <w:r w:rsidR="1207A44E" w:rsidRPr="004A0212">
        <w:rPr>
          <w:rFonts w:cs="Arial"/>
        </w:rPr>
        <w:t>|</w:t>
      </w:r>
      <w:r w:rsidRPr="004A0212">
        <w:rPr>
          <w:rFonts w:cs="Arial"/>
        </w:rPr>
        <w:t xml:space="preserve"> </w:t>
      </w:r>
      <w:r w:rsidR="39AABBEE" w:rsidRPr="004A0212">
        <w:rPr>
          <w:rFonts w:cs="Arial"/>
        </w:rPr>
        <w:t>Domestic Purposes Benefit introduced</w:t>
      </w:r>
      <w:bookmarkEnd w:id="384"/>
      <w:bookmarkEnd w:id="385"/>
      <w:r w:rsidR="6BE98E28" w:rsidRPr="004A0212">
        <w:rPr>
          <w:rFonts w:cs="Arial"/>
        </w:rPr>
        <w:t xml:space="preserve"> </w:t>
      </w:r>
    </w:p>
    <w:p w14:paraId="5F43B9B5" w14:textId="0E6D1121" w:rsidR="003B2030" w:rsidRPr="004A0212" w:rsidRDefault="24CD2177" w:rsidP="007D73A6">
      <w:pPr>
        <w:pStyle w:val="AllNumbparas"/>
      </w:pPr>
      <w:r w:rsidRPr="004A0212">
        <w:t>By the 1970s, social attitudes towards single motherhood were changing and more babies born to unmarried mothers stayed with their mothers than were placed up for adoption.</w:t>
      </w:r>
      <w:r w:rsidR="003B2030" w:rsidRPr="004A0212">
        <w:rPr>
          <w:rStyle w:val="StyleFootnoteReferenceFagoFunotenzeichenFagoFunotenzeichen"/>
        </w:rPr>
        <w:footnoteReference w:id="338"/>
      </w:r>
      <w:r w:rsidRPr="004A0212">
        <w:rPr>
          <w:rStyle w:val="FootnoteReference"/>
        </w:rPr>
        <w:t xml:space="preserve"> </w:t>
      </w:r>
    </w:p>
    <w:p w14:paraId="44384B24" w14:textId="4D359FC9" w:rsidR="003B2030" w:rsidRPr="004A0212" w:rsidRDefault="24CD2177" w:rsidP="007D73A6">
      <w:pPr>
        <w:pStyle w:val="AllNumbparas"/>
      </w:pPr>
      <w:r w:rsidRPr="004A0212">
        <w:t xml:space="preserve">The 1973 introduction of the </w:t>
      </w:r>
      <w:r w:rsidR="2A267039" w:rsidRPr="004A0212">
        <w:t>Domestic Purposes Benefit</w:t>
      </w:r>
      <w:r w:rsidRPr="004A0212">
        <w:t xml:space="preserve">, for which unmarried mothers </w:t>
      </w:r>
      <w:r w:rsidR="35BE3395" w:rsidRPr="004A0212">
        <w:t>and other sole parents</w:t>
      </w:r>
      <w:r w:rsidRPr="004A0212">
        <w:t xml:space="preserve"> were eligible, was a sign of </w:t>
      </w:r>
      <w:r w:rsidR="7F281AFF" w:rsidRPr="004A0212">
        <w:t>some</w:t>
      </w:r>
      <w:r w:rsidRPr="004A0212">
        <w:t xml:space="preserve"> relax</w:t>
      </w:r>
      <w:r w:rsidR="16598B08" w:rsidRPr="004A0212">
        <w:t xml:space="preserve">ation of </w:t>
      </w:r>
      <w:r w:rsidRPr="004A0212">
        <w:t>social attitudes towards sex outside of marriage and made it easier for single women to keep their babies</w:t>
      </w:r>
      <w:r w:rsidR="5FFE3F55" w:rsidRPr="004A0212">
        <w:t>.</w:t>
      </w:r>
      <w:r w:rsidR="003B2030" w:rsidRPr="004A0212">
        <w:rPr>
          <w:rStyle w:val="StyleFootnoteReferenceFagoFunotenzeichenFagoFunotenzeichen"/>
        </w:rPr>
        <w:footnoteReference w:id="339"/>
      </w:r>
      <w:r w:rsidRPr="004A0212">
        <w:rPr>
          <w:vertAlign w:val="superscript"/>
        </w:rPr>
        <w:t xml:space="preserve"> </w:t>
      </w:r>
      <w:r w:rsidRPr="004A0212">
        <w:t xml:space="preserve">Both single parents and women leaving relationships benefited from the </w:t>
      </w:r>
      <w:r w:rsidRPr="004A0212">
        <w:rPr>
          <w:rStyle w:val="eop"/>
        </w:rPr>
        <w:t>DPB</w:t>
      </w:r>
      <w:r w:rsidRPr="004A0212">
        <w:t xml:space="preserve"> once it was introduced.</w:t>
      </w:r>
      <w:r w:rsidRPr="004A0212">
        <w:rPr>
          <w:vertAlign w:val="superscript"/>
        </w:rPr>
        <w:t xml:space="preserve"> </w:t>
      </w:r>
    </w:p>
    <w:p w14:paraId="75B78E5D" w14:textId="75EE5894" w:rsidR="00BE049B" w:rsidRPr="004A0212" w:rsidRDefault="71DB34AA" w:rsidP="007D73A6">
      <w:pPr>
        <w:pStyle w:val="AllNumbparas"/>
      </w:pPr>
      <w:r w:rsidRPr="004A0212">
        <w:t>These changes came out of the recommendations of the Royal Commission of Inquiry into Social Security. Established in 1969, the Commission reported back in 1972 with the core principle that the State should “ensure ... that everyone is able to enjoy a standard of living much like that of the rest of the community and thus is able to feel a sense of participation and belonging to the community”.</w:t>
      </w:r>
      <w:r w:rsidR="00BE049B" w:rsidRPr="004A0212">
        <w:rPr>
          <w:rStyle w:val="StyleFootnoteReferenceFagoFunotenzeichenFagoFunotenzeichen"/>
        </w:rPr>
        <w:footnoteReference w:id="340"/>
      </w:r>
      <w:r w:rsidRPr="004A0212">
        <w:t xml:space="preserve"> Other changes included an increase in the Family Benefit from $3 to $6 a week,</w:t>
      </w:r>
      <w:r w:rsidR="00BE049B" w:rsidRPr="004A0212">
        <w:rPr>
          <w:rStyle w:val="StyleFootnoteReferenceFagoFunotenzeichenFagoFunotenzeichen"/>
        </w:rPr>
        <w:footnoteReference w:id="341"/>
      </w:r>
      <w:r w:rsidRPr="004A0212">
        <w:t xml:space="preserve"> equivalent to around $80 in 2024.</w:t>
      </w:r>
      <w:r w:rsidR="00BE049B" w:rsidRPr="004A0212">
        <w:rPr>
          <w:rStyle w:val="StyleFootnoteReferenceFagoFunotenzeichenFagoFunotenzeichen"/>
        </w:rPr>
        <w:footnoteReference w:id="342"/>
      </w:r>
    </w:p>
    <w:p w14:paraId="4FCA0E5B" w14:textId="77777777" w:rsidR="00197950" w:rsidRPr="004A0212" w:rsidRDefault="12B5270F" w:rsidP="00D6367F">
      <w:pPr>
        <w:pStyle w:val="Heading3"/>
        <w:rPr>
          <w:rFonts w:cs="Arial"/>
        </w:rPr>
      </w:pPr>
      <w:bookmarkStart w:id="386" w:name="_Toc64416865"/>
      <w:bookmarkStart w:id="387" w:name="_Toc168638997"/>
      <w:bookmarkStart w:id="388" w:name="_Toc150953466"/>
      <w:r w:rsidRPr="004A0212">
        <w:rPr>
          <w:rFonts w:cs="Arial"/>
        </w:rPr>
        <w:t xml:space="preserve">Ka </w:t>
      </w:r>
      <w:proofErr w:type="spellStart"/>
      <w:r w:rsidRPr="004A0212">
        <w:rPr>
          <w:rFonts w:cs="Arial"/>
        </w:rPr>
        <w:t>whakauruhia</w:t>
      </w:r>
      <w:proofErr w:type="spellEnd"/>
      <w:r w:rsidRPr="004A0212">
        <w:rPr>
          <w:rFonts w:cs="Arial"/>
        </w:rPr>
        <w:t xml:space="preserve"> </w:t>
      </w:r>
      <w:r w:rsidR="0751C666" w:rsidRPr="004A0212">
        <w:rPr>
          <w:rFonts w:cs="Arial"/>
        </w:rPr>
        <w:t>h</w:t>
      </w:r>
      <w:r w:rsidRPr="004A0212">
        <w:rPr>
          <w:rFonts w:cs="Arial"/>
        </w:rPr>
        <w:t xml:space="preserve">e </w:t>
      </w:r>
      <w:proofErr w:type="spellStart"/>
      <w:r w:rsidRPr="004A0212">
        <w:rPr>
          <w:rFonts w:cs="Arial"/>
        </w:rPr>
        <w:t>t</w:t>
      </w:r>
      <w:r w:rsidR="6228C394" w:rsidRPr="004A0212">
        <w:rPr>
          <w:rFonts w:cs="Arial"/>
        </w:rPr>
        <w:t>autoko</w:t>
      </w:r>
      <w:proofErr w:type="spellEnd"/>
      <w:r w:rsidR="6228C394" w:rsidRPr="004A0212">
        <w:rPr>
          <w:rFonts w:cs="Arial"/>
        </w:rPr>
        <w:t xml:space="preserve"> </w:t>
      </w:r>
      <w:proofErr w:type="spellStart"/>
      <w:r w:rsidR="6228C394" w:rsidRPr="004A0212">
        <w:rPr>
          <w:rFonts w:cs="Arial"/>
        </w:rPr>
        <w:t>mō</w:t>
      </w:r>
      <w:proofErr w:type="spellEnd"/>
      <w:r w:rsidR="6228C394" w:rsidRPr="004A0212">
        <w:rPr>
          <w:rFonts w:cs="Arial"/>
        </w:rPr>
        <w:t xml:space="preserve"> </w:t>
      </w:r>
      <w:proofErr w:type="spellStart"/>
      <w:r w:rsidR="6228C394" w:rsidRPr="004A0212">
        <w:rPr>
          <w:rFonts w:cs="Arial"/>
        </w:rPr>
        <w:t>te</w:t>
      </w:r>
      <w:proofErr w:type="spellEnd"/>
      <w:r w:rsidR="6228C394" w:rsidRPr="004A0212">
        <w:rPr>
          <w:rFonts w:cs="Arial"/>
        </w:rPr>
        <w:t xml:space="preserve"> </w:t>
      </w:r>
      <w:proofErr w:type="spellStart"/>
      <w:r w:rsidR="6228C394" w:rsidRPr="004A0212">
        <w:rPr>
          <w:rFonts w:cs="Arial"/>
        </w:rPr>
        <w:t>hunga</w:t>
      </w:r>
      <w:proofErr w:type="spellEnd"/>
      <w:r w:rsidR="6228C394" w:rsidRPr="004A0212">
        <w:rPr>
          <w:rFonts w:cs="Arial"/>
        </w:rPr>
        <w:t xml:space="preserve"> </w:t>
      </w:r>
      <w:proofErr w:type="spellStart"/>
      <w:r w:rsidR="6228C394" w:rsidRPr="004A0212">
        <w:rPr>
          <w:rFonts w:cs="Arial"/>
        </w:rPr>
        <w:t>whaikaha</w:t>
      </w:r>
      <w:bookmarkEnd w:id="386"/>
      <w:bookmarkEnd w:id="387"/>
      <w:proofErr w:type="spellEnd"/>
      <w:r w:rsidR="6228C394" w:rsidRPr="004A0212">
        <w:rPr>
          <w:rFonts w:cs="Arial"/>
        </w:rPr>
        <w:t xml:space="preserve"> </w:t>
      </w:r>
      <w:bookmarkEnd w:id="388"/>
    </w:p>
    <w:p w14:paraId="098D4C5F" w14:textId="463A9099" w:rsidR="003079D6" w:rsidRPr="004A0212" w:rsidRDefault="19F8FBA0" w:rsidP="00D6367F">
      <w:pPr>
        <w:pStyle w:val="Heading3"/>
        <w:rPr>
          <w:rFonts w:cs="Arial"/>
        </w:rPr>
      </w:pPr>
      <w:bookmarkStart w:id="389" w:name="_Toc260035783"/>
      <w:bookmarkStart w:id="390" w:name="_Toc168638998"/>
      <w:r w:rsidRPr="004A0212">
        <w:rPr>
          <w:rFonts w:cs="Arial"/>
        </w:rPr>
        <w:t>Support for disabled people introduced</w:t>
      </w:r>
      <w:bookmarkEnd w:id="389"/>
      <w:bookmarkEnd w:id="390"/>
    </w:p>
    <w:p w14:paraId="1EAFA612" w14:textId="1FBF71DF" w:rsidR="00581904" w:rsidRPr="004A0212" w:rsidRDefault="5B032480" w:rsidP="007D73A6">
      <w:pPr>
        <w:pStyle w:val="AllNumbparas"/>
      </w:pPr>
      <w:r w:rsidRPr="004A0212">
        <w:t xml:space="preserve">The </w:t>
      </w:r>
      <w:r w:rsidR="3BEB4254" w:rsidRPr="004A0212">
        <w:t xml:space="preserve">1967 </w:t>
      </w:r>
      <w:r w:rsidRPr="004A0212">
        <w:t xml:space="preserve">Woodhouse </w:t>
      </w:r>
      <w:r w:rsidR="656CB54F" w:rsidRPr="004A0212">
        <w:t>R</w:t>
      </w:r>
      <w:r w:rsidRPr="004A0212">
        <w:t>eport</w:t>
      </w:r>
      <w:r w:rsidR="7B746B20" w:rsidRPr="004A0212">
        <w:t>, which had recommended a public insurance scheme for people with impairments,</w:t>
      </w:r>
      <w:r w:rsidRPr="004A0212">
        <w:t xml:space="preserve"> </w:t>
      </w:r>
      <w:r w:rsidR="7B746B20" w:rsidRPr="004A0212">
        <w:t>was the foundation for</w:t>
      </w:r>
      <w:r w:rsidRPr="004A0212">
        <w:t xml:space="preserve"> the </w:t>
      </w:r>
      <w:r w:rsidR="49E4355D" w:rsidRPr="004A0212">
        <w:t xml:space="preserve">passage of the Accident Compensation Act 1972 and the </w:t>
      </w:r>
      <w:r w:rsidRPr="004A0212">
        <w:t>establishment of</w:t>
      </w:r>
      <w:r w:rsidR="450786F7" w:rsidRPr="004A0212">
        <w:t xml:space="preserve"> </w:t>
      </w:r>
      <w:r w:rsidR="4227154F" w:rsidRPr="004A0212">
        <w:t xml:space="preserve">the Accident Compensation </w:t>
      </w:r>
      <w:r w:rsidR="648BD74C" w:rsidRPr="004A0212">
        <w:t xml:space="preserve">Commission (later Corporation), </w:t>
      </w:r>
      <w:r w:rsidR="450786F7" w:rsidRPr="004A0212">
        <w:t>ACC</w:t>
      </w:r>
      <w:r w:rsidR="648BD74C" w:rsidRPr="004A0212">
        <w:t>,</w:t>
      </w:r>
      <w:r w:rsidR="2722018C" w:rsidRPr="004A0212">
        <w:t xml:space="preserve"> in 1974</w:t>
      </w:r>
      <w:r w:rsidR="7A0B201D" w:rsidRPr="004A0212">
        <w:t xml:space="preserve">. </w:t>
      </w:r>
      <w:r w:rsidR="47385A69" w:rsidRPr="004A0212">
        <w:t>The</w:t>
      </w:r>
      <w:r w:rsidR="450786F7" w:rsidRPr="004A0212">
        <w:t xml:space="preserve"> </w:t>
      </w:r>
      <w:r w:rsidR="3344C2CA" w:rsidRPr="004A0212">
        <w:t xml:space="preserve">new </w:t>
      </w:r>
      <w:r w:rsidR="2848C8CE" w:rsidRPr="004A0212">
        <w:t xml:space="preserve">ACC </w:t>
      </w:r>
      <w:r w:rsidR="5742D41D" w:rsidRPr="004A0212">
        <w:t>system</w:t>
      </w:r>
      <w:r w:rsidR="450786F7" w:rsidRPr="004A0212">
        <w:t xml:space="preserve"> </w:t>
      </w:r>
      <w:r w:rsidR="3344C2CA" w:rsidRPr="004A0212">
        <w:t>removed</w:t>
      </w:r>
      <w:r w:rsidR="450786F7" w:rsidRPr="004A0212">
        <w:t xml:space="preserve"> an individual’s right to sue an individual or organisation</w:t>
      </w:r>
      <w:r w:rsidR="4BD21674" w:rsidRPr="004A0212">
        <w:t xml:space="preserve"> </w:t>
      </w:r>
      <w:r w:rsidR="4BD21674" w:rsidRPr="004A0212">
        <w:rPr>
          <w:color w:val="auto"/>
        </w:rPr>
        <w:t>in relation to injuries caused by accident</w:t>
      </w:r>
      <w:r w:rsidR="450786F7" w:rsidRPr="004A0212">
        <w:rPr>
          <w:color w:val="auto"/>
        </w:rPr>
        <w:t xml:space="preserve"> </w:t>
      </w:r>
      <w:r w:rsidR="450786F7" w:rsidRPr="004A0212">
        <w:t xml:space="preserve">and replaced it with public funding for the costs of living and rehabilitation. </w:t>
      </w:r>
    </w:p>
    <w:p w14:paraId="6D080478" w14:textId="6935CD8B" w:rsidR="0068717F" w:rsidRPr="004A0212" w:rsidRDefault="0CC2C04B" w:rsidP="00A83810">
      <w:pPr>
        <w:pStyle w:val="AllNumbparas"/>
        <w:rPr>
          <w:bCs w:val="0"/>
        </w:rPr>
      </w:pPr>
      <w:r w:rsidRPr="004A0212">
        <w:t>T</w:t>
      </w:r>
      <w:r w:rsidR="450786F7" w:rsidRPr="004A0212">
        <w:t xml:space="preserve">he ACC system only covered people whose impairment had been </w:t>
      </w:r>
      <w:r w:rsidR="55E80769" w:rsidRPr="004A0212">
        <w:t>acquire</w:t>
      </w:r>
      <w:r w:rsidR="450786F7" w:rsidRPr="004A0212">
        <w:t>d by an accident or certain criminal acts</w:t>
      </w:r>
      <w:r w:rsidR="67B4EF61" w:rsidRPr="004A0212">
        <w:t xml:space="preserve">. People who were </w:t>
      </w:r>
      <w:r w:rsidR="329CD61E" w:rsidRPr="004A0212">
        <w:t>congen</w:t>
      </w:r>
      <w:r w:rsidR="3A5B4A87" w:rsidRPr="004A0212">
        <w:t xml:space="preserve">itally </w:t>
      </w:r>
      <w:r w:rsidR="67B4EF61" w:rsidRPr="004A0212">
        <w:t xml:space="preserve">Deaf </w:t>
      </w:r>
      <w:r w:rsidR="3A5B4A87" w:rsidRPr="004A0212">
        <w:t xml:space="preserve">or </w:t>
      </w:r>
      <w:r w:rsidR="2800B25A" w:rsidRPr="004A0212">
        <w:t xml:space="preserve">born with </w:t>
      </w:r>
      <w:r w:rsidR="39EFCE27" w:rsidRPr="004A0212">
        <w:t xml:space="preserve">a disability </w:t>
      </w:r>
      <w:r w:rsidR="450786F7" w:rsidRPr="004A0212">
        <w:t>were excluded.</w:t>
      </w:r>
      <w:r w:rsidR="00581904" w:rsidRPr="004A0212">
        <w:rPr>
          <w:rStyle w:val="StyleFootnoteReferenceFagoFunotenzeichenFagoFunotenzeichen"/>
        </w:rPr>
        <w:footnoteReference w:id="343"/>
      </w:r>
      <w:r w:rsidR="450786F7" w:rsidRPr="004A0212">
        <w:t xml:space="preserve"> </w:t>
      </w:r>
    </w:p>
    <w:p w14:paraId="5D095808" w14:textId="2BC14F9E" w:rsidR="00581904" w:rsidRPr="004A0212" w:rsidRDefault="450786F7" w:rsidP="007D73A6">
      <w:pPr>
        <w:pStyle w:val="AllNumbparas"/>
      </w:pPr>
      <w:r w:rsidRPr="004A0212">
        <w:t xml:space="preserve">The original </w:t>
      </w:r>
      <w:r w:rsidR="7053B0E3" w:rsidRPr="004A0212">
        <w:t xml:space="preserve">recommendations in the Woodhouse Report </w:t>
      </w:r>
      <w:r w:rsidR="1998CA48" w:rsidRPr="004A0212">
        <w:t>were</w:t>
      </w:r>
      <w:r w:rsidRPr="004A0212">
        <w:t xml:space="preserve"> </w:t>
      </w:r>
      <w:r w:rsidR="7053B0E3" w:rsidRPr="004A0212">
        <w:t>for the system</w:t>
      </w:r>
      <w:r w:rsidRPr="004A0212">
        <w:t xml:space="preserve"> to include support for people whose impairments did not result from an accident, and a later attempt was made to extend the scope of ACC.</w:t>
      </w:r>
      <w:r w:rsidR="00581904" w:rsidRPr="004A0212">
        <w:rPr>
          <w:rStyle w:val="StyleFootnoteReferenceFagoFunotenzeichenFagoFunotenzeichen"/>
        </w:rPr>
        <w:footnoteReference w:id="344"/>
      </w:r>
      <w:r w:rsidRPr="004A0212">
        <w:t xml:space="preserve"> </w:t>
      </w:r>
      <w:r w:rsidR="53E1F22C" w:rsidRPr="004A0212">
        <w:t>T</w:t>
      </w:r>
      <w:r w:rsidRPr="004A0212">
        <w:t xml:space="preserve">he </w:t>
      </w:r>
      <w:r w:rsidR="6E863FEB" w:rsidRPr="004A0212">
        <w:t xml:space="preserve">system </w:t>
      </w:r>
      <w:r w:rsidRPr="004A0212">
        <w:t xml:space="preserve">created ongoing inequities between people disabled by accident, and people with </w:t>
      </w:r>
      <w:r w:rsidR="59FF5B17" w:rsidRPr="004A0212">
        <w:t>who acquired their disability in other ways</w:t>
      </w:r>
      <w:r w:rsidRPr="004A0212">
        <w:t xml:space="preserve">, who </w:t>
      </w:r>
      <w:r w:rsidR="18F077FC" w:rsidRPr="004A0212">
        <w:t>we</w:t>
      </w:r>
      <w:r w:rsidRPr="004A0212">
        <w:t xml:space="preserve">re not covered by </w:t>
      </w:r>
      <w:r w:rsidR="6E863FEB" w:rsidRPr="004A0212">
        <w:t>ACC</w:t>
      </w:r>
      <w:r w:rsidRPr="004A0212">
        <w:t>.</w:t>
      </w:r>
      <w:r w:rsidR="00581904" w:rsidRPr="004A0212">
        <w:rPr>
          <w:rStyle w:val="StyleFootnoteReferenceFagoFunotenzeichenFagoFunotenzeichen"/>
        </w:rPr>
        <w:footnoteReference w:id="345"/>
      </w:r>
      <w:r w:rsidRPr="004A0212">
        <w:t xml:space="preserve"> </w:t>
      </w:r>
    </w:p>
    <w:p w14:paraId="4A830D70" w14:textId="53DB2098" w:rsidR="00581904" w:rsidRPr="004A0212" w:rsidRDefault="450786F7" w:rsidP="007D73A6">
      <w:pPr>
        <w:pStyle w:val="AllNumbparas"/>
      </w:pPr>
      <w:r w:rsidRPr="004A0212">
        <w:t xml:space="preserve">The Disabled Persons Community Welfare Act 1975 was introduced to further promote </w:t>
      </w:r>
      <w:r w:rsidR="34ADAC93" w:rsidRPr="004A0212">
        <w:t xml:space="preserve">access to community-based supports and services </w:t>
      </w:r>
      <w:r w:rsidR="107BAC1B" w:rsidRPr="004A0212">
        <w:t>for disabled people</w:t>
      </w:r>
      <w:r w:rsidRPr="004A0212">
        <w:t>.</w:t>
      </w:r>
      <w:r w:rsidR="00581904" w:rsidRPr="004A0212">
        <w:rPr>
          <w:rStyle w:val="StyleFootnoteReferenceFagoFunotenzeichenFagoFunotenzeichen"/>
        </w:rPr>
        <w:footnoteReference w:id="346"/>
      </w:r>
      <w:r w:rsidRPr="004A0212">
        <w:t xml:space="preserve"> It provided some support and assistance for disabled people not covered by </w:t>
      </w:r>
      <w:r w:rsidR="00E5CEDB" w:rsidRPr="004A0212">
        <w:t>ACC</w:t>
      </w:r>
      <w:r w:rsidRPr="004A0212">
        <w:t xml:space="preserve">. </w:t>
      </w:r>
    </w:p>
    <w:p w14:paraId="4E9D4528" w14:textId="0412ADE6" w:rsidR="00581904" w:rsidRPr="004A0212" w:rsidRDefault="450786F7" w:rsidP="007D73A6">
      <w:pPr>
        <w:pStyle w:val="AllNumbparas"/>
      </w:pPr>
      <w:r w:rsidRPr="004A0212">
        <w:t>It introduced accessible building standards and provided for home alterations, motor vehicle purchase and vehicle modification and other financial assistance. This was to increase accessibility for disabled people within the community.</w:t>
      </w:r>
      <w:r w:rsidR="08E88745" w:rsidRPr="004A0212">
        <w:t xml:space="preserve"> </w:t>
      </w:r>
      <w:r w:rsidRPr="004A0212">
        <w:t>Under this regime, training facilities for people with learning disabilities and short-term care for disabled children w</w:t>
      </w:r>
      <w:r w:rsidR="79D547A3" w:rsidRPr="004A0212">
        <w:t>ere</w:t>
      </w:r>
      <w:r w:rsidRPr="004A0212">
        <w:t xml:space="preserve"> provided.</w:t>
      </w:r>
      <w:r w:rsidR="00581904" w:rsidRPr="004A0212">
        <w:rPr>
          <w:rStyle w:val="StyleFootnoteReferenceFagoFunotenzeichenFagoFunotenzeichen"/>
        </w:rPr>
        <w:footnoteReference w:id="347"/>
      </w:r>
      <w:r w:rsidRPr="004A0212">
        <w:t xml:space="preserve"> </w:t>
      </w:r>
    </w:p>
    <w:p w14:paraId="442C77A1" w14:textId="77777777" w:rsidR="009A44EE" w:rsidRPr="004A0212" w:rsidRDefault="770F943F" w:rsidP="00BA1007">
      <w:pPr>
        <w:pStyle w:val="AllNumbparas"/>
      </w:pPr>
      <w:r w:rsidRPr="004A0212">
        <w:t>A Handicapped Child Allowance was introduced in 1978 for people looking after children with a severe physical or mental disability. Initially set at $8 per week, it was later increased to $14.50 per week.</w:t>
      </w:r>
      <w:r w:rsidR="00BA1007" w:rsidRPr="004A0212">
        <w:rPr>
          <w:rStyle w:val="StyleFootnoteReferenceFagoFunotenzeichenFagoFunotenzeichen"/>
        </w:rPr>
        <w:footnoteReference w:id="348"/>
      </w:r>
      <w:r w:rsidR="12195889" w:rsidRPr="004A0212">
        <w:t xml:space="preserve"> </w:t>
      </w:r>
    </w:p>
    <w:p w14:paraId="1910CB6C" w14:textId="5BD12F6A" w:rsidR="00BA1007" w:rsidRPr="004A0212" w:rsidRDefault="12195889" w:rsidP="00BA1007">
      <w:pPr>
        <w:pStyle w:val="AllNumbparas"/>
      </w:pPr>
      <w:r w:rsidRPr="004A0212">
        <w:t>Despite these changes, many disabled people “had considerable difficulties in proving their eligibility to access services and other resources, and therefore were unable to access adequate supports to be able to fully participate in their community</w:t>
      </w:r>
      <w:r w:rsidR="008F24B4" w:rsidRPr="004A0212">
        <w:t>.</w:t>
      </w:r>
      <w:r w:rsidRPr="004A0212">
        <w:t>”</w:t>
      </w:r>
      <w:r w:rsidR="009A44EE" w:rsidRPr="004A0212">
        <w:rPr>
          <w:rStyle w:val="StyleFootnoteReferenceFagoFunotenzeichenFagoFunotenzeichen"/>
        </w:rPr>
        <w:footnoteReference w:id="349"/>
      </w:r>
    </w:p>
    <w:p w14:paraId="2152FCCD" w14:textId="3B9C6A8B" w:rsidR="00D6367F" w:rsidRPr="004A0212" w:rsidRDefault="6228C394" w:rsidP="00D6367F">
      <w:pPr>
        <w:pStyle w:val="Heading3"/>
        <w:rPr>
          <w:rFonts w:cs="Arial"/>
        </w:rPr>
      </w:pPr>
      <w:bookmarkStart w:id="391" w:name="_Toc948261518"/>
      <w:bookmarkStart w:id="392" w:name="_Toc168638999"/>
      <w:proofErr w:type="spellStart"/>
      <w:r w:rsidRPr="004A0212">
        <w:rPr>
          <w:rFonts w:cs="Arial"/>
        </w:rPr>
        <w:t>Ngā</w:t>
      </w:r>
      <w:proofErr w:type="spellEnd"/>
      <w:r w:rsidRPr="004A0212">
        <w:rPr>
          <w:rFonts w:cs="Arial"/>
        </w:rPr>
        <w:t xml:space="preserve"> </w:t>
      </w:r>
      <w:proofErr w:type="spellStart"/>
      <w:r w:rsidRPr="004A0212">
        <w:rPr>
          <w:rFonts w:cs="Arial"/>
        </w:rPr>
        <w:t>whakahoutanga</w:t>
      </w:r>
      <w:proofErr w:type="spellEnd"/>
      <w:r w:rsidRPr="004A0212">
        <w:rPr>
          <w:rFonts w:cs="Arial"/>
        </w:rPr>
        <w:t xml:space="preserve"> o </w:t>
      </w:r>
      <w:proofErr w:type="spellStart"/>
      <w:r w:rsidRPr="004A0212">
        <w:rPr>
          <w:rFonts w:cs="Arial"/>
        </w:rPr>
        <w:t>ngā</w:t>
      </w:r>
      <w:proofErr w:type="spellEnd"/>
      <w:r w:rsidRPr="004A0212">
        <w:rPr>
          <w:rFonts w:cs="Arial"/>
        </w:rPr>
        <w:t xml:space="preserve"> tau 1980 | </w:t>
      </w:r>
      <w:r w:rsidR="4736A46E" w:rsidRPr="004A0212">
        <w:rPr>
          <w:rFonts w:cs="Arial"/>
        </w:rPr>
        <w:t>1980s reforms</w:t>
      </w:r>
      <w:bookmarkEnd w:id="391"/>
      <w:bookmarkEnd w:id="392"/>
    </w:p>
    <w:p w14:paraId="4568303C" w14:textId="5D96A3AB" w:rsidR="005426E8" w:rsidRPr="004A0212" w:rsidRDefault="6CA02FD5" w:rsidP="007F55CE">
      <w:pPr>
        <w:pStyle w:val="AllNumbparas"/>
        <w:rPr>
          <w:rStyle w:val="normaltextrun"/>
          <w:color w:val="000000" w:themeColor="text1"/>
        </w:rPr>
      </w:pPr>
      <w:r w:rsidRPr="004A0212">
        <w:rPr>
          <w:rStyle w:val="normaltextrun"/>
          <w:color w:val="000000" w:themeColor="text1"/>
        </w:rPr>
        <w:t>In 1984 the new Labour Government began restructuring the economy and transforming how the State sector was run. This restructure was influenced by neoliberal ideas and was an attempt to address long-standing issues with the structure and performance of Aotearoa New Zealand’s economy.</w:t>
      </w:r>
      <w:r w:rsidR="005426E8" w:rsidRPr="004A0212">
        <w:rPr>
          <w:rStyle w:val="StyleFootnoteReferenceFagoFunotenzeichenFagoFunotenzeichen"/>
        </w:rPr>
        <w:footnoteReference w:id="350"/>
      </w:r>
    </w:p>
    <w:p w14:paraId="112CF404" w14:textId="321817C6" w:rsidR="0068717F" w:rsidRPr="004A0212" w:rsidRDefault="27A4B720" w:rsidP="007F55CE">
      <w:pPr>
        <w:pStyle w:val="AllNumbparas"/>
        <w:rPr>
          <w:rStyle w:val="eop"/>
        </w:rPr>
      </w:pPr>
      <w:r w:rsidRPr="004A0212">
        <w:rPr>
          <w:rStyle w:val="eop"/>
        </w:rPr>
        <w:t xml:space="preserve">The restructure </w:t>
      </w:r>
      <w:r w:rsidR="4B6AEFBB" w:rsidRPr="004A0212">
        <w:rPr>
          <w:rStyle w:val="eop"/>
        </w:rPr>
        <w:t>h</w:t>
      </w:r>
      <w:r w:rsidR="30C9ECFB" w:rsidRPr="004A0212">
        <w:rPr>
          <w:rStyle w:val="eop"/>
        </w:rPr>
        <w:t xml:space="preserve">ad an immediate social effect. </w:t>
      </w:r>
      <w:r w:rsidR="07921ADB" w:rsidRPr="004A0212">
        <w:rPr>
          <w:rStyle w:val="eop"/>
        </w:rPr>
        <w:t xml:space="preserve">State sector restructuring alone added 40,000 unemployed to the benefit queue, while major manufacturing industries </w:t>
      </w:r>
      <w:r w:rsidR="656CB54F" w:rsidRPr="004A0212">
        <w:rPr>
          <w:rStyle w:val="eop"/>
        </w:rPr>
        <w:t>such as</w:t>
      </w:r>
      <w:r w:rsidR="07921ADB" w:rsidRPr="004A0212">
        <w:rPr>
          <w:rStyle w:val="eop"/>
        </w:rPr>
        <w:t xml:space="preserve"> forestry declined by 67 </w:t>
      </w:r>
      <w:r w:rsidR="453B5ECB" w:rsidRPr="004A0212">
        <w:rPr>
          <w:rStyle w:val="eop"/>
        </w:rPr>
        <w:t>percent</w:t>
      </w:r>
      <w:r w:rsidR="07921ADB" w:rsidRPr="004A0212">
        <w:rPr>
          <w:rStyle w:val="eop"/>
        </w:rPr>
        <w:t>.</w:t>
      </w:r>
      <w:r w:rsidR="00D6367F" w:rsidRPr="004A0212">
        <w:rPr>
          <w:rStyle w:val="StyleFootnoteReferenceFagoFunotenzeichenFagoFunotenzeichen"/>
        </w:rPr>
        <w:footnoteReference w:id="351"/>
      </w:r>
    </w:p>
    <w:p w14:paraId="6288ECF8" w14:textId="6154C352" w:rsidR="00D6367F" w:rsidRPr="004A0212" w:rsidRDefault="07921ADB" w:rsidP="007D73A6">
      <w:pPr>
        <w:pStyle w:val="AllNumbparas"/>
        <w:rPr>
          <w:rStyle w:val="eop"/>
        </w:rPr>
      </w:pPr>
      <w:r w:rsidRPr="004A0212">
        <w:rPr>
          <w:rStyle w:val="eop"/>
        </w:rPr>
        <w:t>All of this had a disproportionately negative impact on social and economic outcomes for Māori</w:t>
      </w:r>
      <w:r w:rsidR="5E744FBC" w:rsidRPr="004A0212">
        <w:rPr>
          <w:rStyle w:val="eop"/>
        </w:rPr>
        <w:t xml:space="preserve"> and Pacific</w:t>
      </w:r>
      <w:r w:rsidR="6DD0E356" w:rsidRPr="004A0212">
        <w:rPr>
          <w:rStyle w:val="eop"/>
        </w:rPr>
        <w:t xml:space="preserve"> Peoples</w:t>
      </w:r>
      <w:r w:rsidRPr="004A0212">
        <w:rPr>
          <w:rStyle w:val="eop"/>
        </w:rPr>
        <w:t>.</w:t>
      </w:r>
      <w:r w:rsidR="00D6367F" w:rsidRPr="004A0212">
        <w:rPr>
          <w:rStyle w:val="StyleFootnoteReferenceFagoFunotenzeichenFagoFunotenzeichen"/>
        </w:rPr>
        <w:footnoteReference w:id="352"/>
      </w:r>
      <w:r w:rsidRPr="004A0212">
        <w:t xml:space="preserve"> </w:t>
      </w:r>
      <w:r w:rsidRPr="004A0212">
        <w:rPr>
          <w:rStyle w:val="eop"/>
        </w:rPr>
        <w:t>Māori have been described as the “shock absorbers” of these reforms, bearing the brunt as many worked in the industries most affected by the economic restructure</w:t>
      </w:r>
      <w:r w:rsidR="18AC6A73" w:rsidRPr="004A0212">
        <w:rPr>
          <w:rStyle w:val="eop"/>
        </w:rPr>
        <w:t xml:space="preserve"> as well as </w:t>
      </w:r>
      <w:r w:rsidR="4D8A4D59" w:rsidRPr="004A0212">
        <w:rPr>
          <w:rStyle w:val="eop"/>
        </w:rPr>
        <w:t>government jobs in forestry, the post office</w:t>
      </w:r>
      <w:r w:rsidR="2596DA36" w:rsidRPr="004A0212">
        <w:rPr>
          <w:rStyle w:val="eop"/>
        </w:rPr>
        <w:t xml:space="preserve"> and the railways that were </w:t>
      </w:r>
      <w:r w:rsidR="1D63AFEE" w:rsidRPr="004A0212">
        <w:rPr>
          <w:rStyle w:val="eop"/>
        </w:rPr>
        <w:t>disestablished in the restructures</w:t>
      </w:r>
      <w:r w:rsidRPr="004A0212">
        <w:rPr>
          <w:rStyle w:val="eop"/>
        </w:rPr>
        <w:t>.</w:t>
      </w:r>
      <w:r w:rsidR="00D6367F" w:rsidRPr="004A0212">
        <w:rPr>
          <w:rStyle w:val="StyleFootnoteReferenceFagoFunotenzeichenFagoFunotenzeichen"/>
        </w:rPr>
        <w:footnoteReference w:id="353"/>
      </w:r>
      <w:r w:rsidRPr="004A0212">
        <w:rPr>
          <w:rStyle w:val="eop"/>
        </w:rPr>
        <w:t xml:space="preserve"> The resulting unemployment levels for Māori increased educational, health and socioeconomic disparities between Māori and non-Māori.</w:t>
      </w:r>
      <w:r w:rsidR="00D6367F" w:rsidRPr="004A0212">
        <w:rPr>
          <w:rStyle w:val="StyleFootnoteReferenceFagoFunotenzeichenFagoFunotenzeichen"/>
        </w:rPr>
        <w:footnoteReference w:id="354"/>
      </w:r>
      <w:r w:rsidRPr="004A0212">
        <w:rPr>
          <w:rStyle w:val="eop"/>
        </w:rPr>
        <w:t xml:space="preserve"> </w:t>
      </w:r>
      <w:r w:rsidR="5FD62C2B" w:rsidRPr="004A0212">
        <w:rPr>
          <w:rStyle w:val="eop"/>
        </w:rPr>
        <w:t xml:space="preserve">It also made them more </w:t>
      </w:r>
      <w:r w:rsidR="17732B9E" w:rsidRPr="004A0212">
        <w:rPr>
          <w:rStyle w:val="eop"/>
        </w:rPr>
        <w:t>likely to experience State intervention in their family life.</w:t>
      </w:r>
      <w:r w:rsidR="00F70146" w:rsidRPr="004A0212">
        <w:rPr>
          <w:rStyle w:val="StyleFootnoteReferenceFagoFunotenzeichenFagoFunotenzeichen"/>
        </w:rPr>
        <w:footnoteReference w:id="355"/>
      </w:r>
      <w:r w:rsidR="25A2F4CE" w:rsidRPr="004A0212">
        <w:rPr>
          <w:rStyle w:val="eop"/>
        </w:rPr>
        <w:t xml:space="preserve">  There was a corresponding negative impact social and economic outcomes for Pacific people.</w:t>
      </w:r>
    </w:p>
    <w:p w14:paraId="35381639" w14:textId="77777777" w:rsidR="00197950" w:rsidRPr="004A0212" w:rsidRDefault="6228C394" w:rsidP="00D6367F">
      <w:pPr>
        <w:pStyle w:val="Heading3"/>
        <w:rPr>
          <w:rFonts w:cs="Arial"/>
        </w:rPr>
      </w:pPr>
      <w:bookmarkStart w:id="393" w:name="_Toc89875136"/>
      <w:bookmarkStart w:id="394" w:name="_Toc168639000"/>
      <w:bookmarkStart w:id="395" w:name="_Toc147935403"/>
      <w:bookmarkStart w:id="396" w:name="_Toc148443584"/>
      <w:bookmarkStart w:id="397" w:name="_Toc150933155"/>
      <w:bookmarkStart w:id="398" w:name="_Toc150953473"/>
      <w:bookmarkStart w:id="399" w:name="_Toc150953467"/>
      <w:proofErr w:type="spellStart"/>
      <w:r w:rsidRPr="004A0212">
        <w:rPr>
          <w:rFonts w:cs="Arial"/>
        </w:rPr>
        <w:t>Ngā</w:t>
      </w:r>
      <w:proofErr w:type="spellEnd"/>
      <w:r w:rsidRPr="004A0212">
        <w:rPr>
          <w:rFonts w:cs="Arial"/>
        </w:rPr>
        <w:t xml:space="preserve"> </w:t>
      </w:r>
      <w:proofErr w:type="spellStart"/>
      <w:r w:rsidRPr="004A0212">
        <w:rPr>
          <w:rFonts w:cs="Arial"/>
        </w:rPr>
        <w:t>awenga</w:t>
      </w:r>
      <w:proofErr w:type="spellEnd"/>
      <w:r w:rsidRPr="004A0212">
        <w:rPr>
          <w:rFonts w:cs="Arial"/>
        </w:rPr>
        <w:t xml:space="preserve"> o </w:t>
      </w:r>
      <w:proofErr w:type="spellStart"/>
      <w:r w:rsidRPr="004A0212">
        <w:rPr>
          <w:rFonts w:cs="Arial"/>
        </w:rPr>
        <w:t>te</w:t>
      </w:r>
      <w:proofErr w:type="spellEnd"/>
      <w:r w:rsidRPr="004A0212">
        <w:rPr>
          <w:rFonts w:cs="Arial"/>
        </w:rPr>
        <w:t xml:space="preserve"> </w:t>
      </w:r>
      <w:proofErr w:type="spellStart"/>
      <w:r w:rsidRPr="004A0212">
        <w:rPr>
          <w:rFonts w:cs="Arial"/>
        </w:rPr>
        <w:t>paheketanga</w:t>
      </w:r>
      <w:proofErr w:type="spellEnd"/>
      <w:r w:rsidRPr="004A0212">
        <w:rPr>
          <w:rFonts w:cs="Arial"/>
        </w:rPr>
        <w:t xml:space="preserve"> </w:t>
      </w:r>
      <w:proofErr w:type="spellStart"/>
      <w:r w:rsidR="02AAEF28" w:rsidRPr="004A0212">
        <w:rPr>
          <w:rFonts w:cs="Arial"/>
        </w:rPr>
        <w:t>ō</w:t>
      </w:r>
      <w:r w:rsidRPr="004A0212">
        <w:rPr>
          <w:rFonts w:cs="Arial"/>
        </w:rPr>
        <w:t>hanga</w:t>
      </w:r>
      <w:proofErr w:type="spellEnd"/>
      <w:r w:rsidRPr="004A0212">
        <w:rPr>
          <w:rFonts w:cs="Arial"/>
        </w:rPr>
        <w:t xml:space="preserve"> </w:t>
      </w:r>
      <w:proofErr w:type="spellStart"/>
      <w:r w:rsidRPr="004A0212">
        <w:rPr>
          <w:rFonts w:cs="Arial"/>
        </w:rPr>
        <w:t>i</w:t>
      </w:r>
      <w:proofErr w:type="spellEnd"/>
      <w:r w:rsidRPr="004A0212">
        <w:rPr>
          <w:rFonts w:cs="Arial"/>
        </w:rPr>
        <w:t xml:space="preserve"> </w:t>
      </w:r>
      <w:proofErr w:type="spellStart"/>
      <w:r w:rsidRPr="004A0212">
        <w:rPr>
          <w:rFonts w:cs="Arial"/>
        </w:rPr>
        <w:t>ngā</w:t>
      </w:r>
      <w:proofErr w:type="spellEnd"/>
      <w:r w:rsidRPr="004A0212">
        <w:rPr>
          <w:rFonts w:cs="Arial"/>
        </w:rPr>
        <w:t xml:space="preserve"> tau 1990</w:t>
      </w:r>
      <w:bookmarkEnd w:id="393"/>
      <w:bookmarkEnd w:id="394"/>
      <w:r w:rsidRPr="004A0212">
        <w:rPr>
          <w:rFonts w:cs="Arial"/>
        </w:rPr>
        <w:t xml:space="preserve"> </w:t>
      </w:r>
    </w:p>
    <w:p w14:paraId="5CE7066D" w14:textId="165E282D" w:rsidR="00D6367F" w:rsidRPr="004A0212" w:rsidRDefault="4736A46E" w:rsidP="00D6367F">
      <w:pPr>
        <w:pStyle w:val="Heading3"/>
        <w:rPr>
          <w:rFonts w:cs="Arial"/>
        </w:rPr>
      </w:pPr>
      <w:bookmarkStart w:id="400" w:name="_Toc2135288591"/>
      <w:bookmarkStart w:id="401" w:name="_Toc168639001"/>
      <w:r w:rsidRPr="004A0212">
        <w:rPr>
          <w:rFonts w:cs="Arial"/>
        </w:rPr>
        <w:t>Impacts of recession</w:t>
      </w:r>
      <w:bookmarkEnd w:id="395"/>
      <w:r w:rsidRPr="004A0212">
        <w:rPr>
          <w:rFonts w:cs="Arial"/>
        </w:rPr>
        <w:t xml:space="preserve"> in the 1990s</w:t>
      </w:r>
      <w:bookmarkEnd w:id="396"/>
      <w:bookmarkEnd w:id="397"/>
      <w:bookmarkEnd w:id="398"/>
      <w:bookmarkEnd w:id="400"/>
      <w:bookmarkEnd w:id="401"/>
    </w:p>
    <w:p w14:paraId="3971162C" w14:textId="7E979056" w:rsidR="004F0D11" w:rsidRPr="004A0212" w:rsidRDefault="49DA8250" w:rsidP="007D73A6">
      <w:pPr>
        <w:pStyle w:val="AllNumbparas"/>
        <w:rPr>
          <w:rFonts w:eastAsia="Segoe UI"/>
          <w:color w:val="333333"/>
          <w:sz w:val="18"/>
          <w:szCs w:val="18"/>
        </w:rPr>
      </w:pPr>
      <w:r w:rsidRPr="004A0212">
        <w:t xml:space="preserve">The economic reforms </w:t>
      </w:r>
      <w:r w:rsidR="04915AF3" w:rsidRPr="004A0212">
        <w:t>begun</w:t>
      </w:r>
      <w:r w:rsidRPr="004A0212">
        <w:t xml:space="preserve"> in 1984 under the </w:t>
      </w:r>
      <w:r w:rsidR="1466398E" w:rsidRPr="004A0212">
        <w:t xml:space="preserve">fourth </w:t>
      </w:r>
      <w:r w:rsidRPr="004A0212">
        <w:t xml:space="preserve">Labour </w:t>
      </w:r>
      <w:r w:rsidR="656CB54F" w:rsidRPr="004A0212">
        <w:t>G</w:t>
      </w:r>
      <w:r w:rsidRPr="004A0212">
        <w:t xml:space="preserve">overnment </w:t>
      </w:r>
      <w:r w:rsidR="4B979170" w:rsidRPr="004A0212">
        <w:t xml:space="preserve">and </w:t>
      </w:r>
      <w:r w:rsidRPr="004A0212">
        <w:t xml:space="preserve">continued into the 1990s under </w:t>
      </w:r>
      <w:r w:rsidR="04915AF3" w:rsidRPr="004A0212">
        <w:t xml:space="preserve">the fourth </w:t>
      </w:r>
      <w:r w:rsidRPr="004A0212">
        <w:t xml:space="preserve">National Government. In 1991, the </w:t>
      </w:r>
      <w:r w:rsidR="656CB54F" w:rsidRPr="004A0212">
        <w:t>State</w:t>
      </w:r>
      <w:r w:rsidRPr="004A0212">
        <w:t xml:space="preserve"> </w:t>
      </w:r>
      <w:r w:rsidR="61DBA0D8" w:rsidRPr="004A0212">
        <w:t xml:space="preserve">began a programme of </w:t>
      </w:r>
      <w:r w:rsidR="76024330" w:rsidRPr="004A0212">
        <w:t xml:space="preserve">economic and </w:t>
      </w:r>
      <w:r w:rsidRPr="004A0212">
        <w:t xml:space="preserve">welfare </w:t>
      </w:r>
      <w:r w:rsidR="61DBA0D8" w:rsidRPr="004A0212">
        <w:t>reform</w:t>
      </w:r>
      <w:r w:rsidRPr="004A0212">
        <w:t>.</w:t>
      </w:r>
      <w:r w:rsidR="004F0D11" w:rsidRPr="004A0212">
        <w:rPr>
          <w:rStyle w:val="StyleFootnoteReferenceFagoFunotenzeichenFagoFunotenzeichen"/>
        </w:rPr>
        <w:footnoteReference w:id="356"/>
      </w:r>
      <w:r w:rsidRPr="004A0212">
        <w:t xml:space="preserve"> This negatively impacted all children</w:t>
      </w:r>
      <w:r w:rsidR="6827BA37" w:rsidRPr="004A0212">
        <w:t xml:space="preserve"> and</w:t>
      </w:r>
      <w:r w:rsidR="4B9B5F50" w:rsidRPr="004A0212">
        <w:t xml:space="preserve"> young people</w:t>
      </w:r>
      <w:r w:rsidRPr="004A0212">
        <w:t>, but disproportionately affected Māori and Pacific children</w:t>
      </w:r>
      <w:r w:rsidR="4B9B5F50" w:rsidRPr="004A0212">
        <w:t xml:space="preserve"> and young people</w:t>
      </w:r>
      <w:r w:rsidRPr="004A0212">
        <w:t>.</w:t>
      </w:r>
      <w:r w:rsidR="004F0D11" w:rsidRPr="004A0212">
        <w:rPr>
          <w:rStyle w:val="StyleFootnoteReferenceFagoFunotenzeichenFagoFunotenzeichen"/>
        </w:rPr>
        <w:footnoteReference w:id="357"/>
      </w:r>
    </w:p>
    <w:p w14:paraId="04D5D9FF" w14:textId="7593DFA2" w:rsidR="004F0D11" w:rsidRPr="004A0212" w:rsidRDefault="49DA8250" w:rsidP="007D73A6">
      <w:pPr>
        <w:pStyle w:val="AllNumbparas"/>
      </w:pPr>
      <w:r w:rsidRPr="004A0212">
        <w:t xml:space="preserve">The reforms </w:t>
      </w:r>
      <w:r w:rsidR="76024330" w:rsidRPr="004A0212">
        <w:t>increased unemployment</w:t>
      </w:r>
      <w:r w:rsidRPr="004A0212">
        <w:t xml:space="preserve"> </w:t>
      </w:r>
      <w:r w:rsidR="727454F8" w:rsidRPr="004A0212">
        <w:t xml:space="preserve">and </w:t>
      </w:r>
      <w:r w:rsidRPr="004A0212">
        <w:t xml:space="preserve">widened the gap between rich and poor. </w:t>
      </w:r>
      <w:r w:rsidR="656CB54F" w:rsidRPr="004A0212">
        <w:t>From</w:t>
      </w:r>
      <w:r w:rsidRPr="004A0212">
        <w:t xml:space="preserve"> the mid-1980s </w:t>
      </w:r>
      <w:r w:rsidR="656CB54F" w:rsidRPr="004A0212">
        <w:t>to</w:t>
      </w:r>
      <w:r w:rsidRPr="004A0212">
        <w:t xml:space="preserve"> mid-2000s, the increase in inequality in Aotearoa New Zealand was the greatest recorded anywhere in the developed world.</w:t>
      </w:r>
      <w:r w:rsidR="004F0D11" w:rsidRPr="004A0212">
        <w:rPr>
          <w:rStyle w:val="StyleFootnoteReferenceFagoFunotenzeichenFagoFunotenzeichen"/>
        </w:rPr>
        <w:footnoteReference w:id="358"/>
      </w:r>
    </w:p>
    <w:p w14:paraId="548A01CF" w14:textId="0969D849" w:rsidR="00197950" w:rsidRPr="004A0212" w:rsidRDefault="3E48432B" w:rsidP="00D6367F">
      <w:pPr>
        <w:pStyle w:val="Heading2"/>
        <w:rPr>
          <w:rFonts w:cs="Arial"/>
        </w:rPr>
      </w:pPr>
      <w:bookmarkStart w:id="402" w:name="_Toc614990353"/>
      <w:bookmarkStart w:id="403" w:name="_Toc168639002"/>
      <w:bookmarkEnd w:id="399"/>
      <w:r w:rsidRPr="004A0212">
        <w:rPr>
          <w:rFonts w:cs="Arial"/>
        </w:rPr>
        <w:t>K</w:t>
      </w:r>
      <w:r w:rsidRPr="000C0692">
        <w:rPr>
          <w:rFonts w:cs="Arial"/>
        </w:rPr>
        <w:t xml:space="preserve">a </w:t>
      </w:r>
      <w:proofErr w:type="spellStart"/>
      <w:r w:rsidRPr="000C0692">
        <w:rPr>
          <w:rFonts w:cs="Arial"/>
        </w:rPr>
        <w:t>kapi</w:t>
      </w:r>
      <w:proofErr w:type="spellEnd"/>
      <w:r w:rsidRPr="004A0212">
        <w:rPr>
          <w:rFonts w:cs="Arial"/>
        </w:rPr>
        <w:t xml:space="preserve"> </w:t>
      </w:r>
      <w:proofErr w:type="spellStart"/>
      <w:r w:rsidRPr="004A0212">
        <w:rPr>
          <w:rFonts w:cs="Arial"/>
        </w:rPr>
        <w:t>haere</w:t>
      </w:r>
      <w:proofErr w:type="spellEnd"/>
      <w:r w:rsidRPr="004A0212">
        <w:rPr>
          <w:rFonts w:cs="Arial"/>
        </w:rPr>
        <w:t xml:space="preserve"> </w:t>
      </w:r>
      <w:proofErr w:type="spellStart"/>
      <w:r w:rsidRPr="004A0212">
        <w:rPr>
          <w:rFonts w:cs="Arial"/>
        </w:rPr>
        <w:t>ngā</w:t>
      </w:r>
      <w:proofErr w:type="spellEnd"/>
      <w:r w:rsidRPr="004A0212">
        <w:rPr>
          <w:rFonts w:cs="Arial"/>
        </w:rPr>
        <w:t xml:space="preserve"> </w:t>
      </w:r>
      <w:proofErr w:type="spellStart"/>
      <w:r w:rsidRPr="004A0212">
        <w:rPr>
          <w:rFonts w:cs="Arial"/>
        </w:rPr>
        <w:t>whare</w:t>
      </w:r>
      <w:proofErr w:type="spellEnd"/>
      <w:r w:rsidRPr="004A0212">
        <w:rPr>
          <w:rFonts w:cs="Arial"/>
        </w:rPr>
        <w:t xml:space="preserve"> </w:t>
      </w:r>
      <w:proofErr w:type="spellStart"/>
      <w:r w:rsidRPr="004A0212">
        <w:rPr>
          <w:rFonts w:cs="Arial"/>
        </w:rPr>
        <w:t>hauora</w:t>
      </w:r>
      <w:proofErr w:type="spellEnd"/>
      <w:r w:rsidRPr="004A0212">
        <w:rPr>
          <w:rFonts w:cs="Arial"/>
        </w:rPr>
        <w:t xml:space="preserve"> </w:t>
      </w:r>
      <w:proofErr w:type="spellStart"/>
      <w:proofErr w:type="gramStart"/>
      <w:r w:rsidRPr="004A0212">
        <w:rPr>
          <w:rFonts w:cs="Arial"/>
        </w:rPr>
        <w:t>hinengaro</w:t>
      </w:r>
      <w:r w:rsidR="567C8A35" w:rsidRPr="004A0212">
        <w:rPr>
          <w:rFonts w:cs="Arial"/>
        </w:rPr>
        <w:t>,</w:t>
      </w:r>
      <w:r w:rsidRPr="004A0212">
        <w:rPr>
          <w:rFonts w:cs="Arial"/>
        </w:rPr>
        <w:t>hauora</w:t>
      </w:r>
      <w:proofErr w:type="spellEnd"/>
      <w:proofErr w:type="gramEnd"/>
      <w:r w:rsidRPr="004A0212">
        <w:rPr>
          <w:rFonts w:cs="Arial"/>
        </w:rPr>
        <w:t xml:space="preserve"> </w:t>
      </w:r>
      <w:proofErr w:type="spellStart"/>
      <w:r w:rsidRPr="004A0212">
        <w:rPr>
          <w:rFonts w:cs="Arial"/>
        </w:rPr>
        <w:t>hinengaro</w:t>
      </w:r>
      <w:proofErr w:type="spellEnd"/>
      <w:r w:rsidRPr="004A0212">
        <w:rPr>
          <w:rFonts w:cs="Arial"/>
        </w:rPr>
        <w:t xml:space="preserve"> </w:t>
      </w:r>
      <w:proofErr w:type="spellStart"/>
      <w:r w:rsidRPr="004A0212">
        <w:rPr>
          <w:rFonts w:cs="Arial"/>
        </w:rPr>
        <w:t>tamariki</w:t>
      </w:r>
      <w:bookmarkEnd w:id="402"/>
      <w:proofErr w:type="spellEnd"/>
      <w:r w:rsidRPr="004A0212">
        <w:rPr>
          <w:rFonts w:cs="Arial"/>
        </w:rPr>
        <w:t xml:space="preserve"> </w:t>
      </w:r>
      <w:proofErr w:type="spellStart"/>
      <w:r w:rsidR="3C8B8091" w:rsidRPr="004A0212">
        <w:rPr>
          <w:rFonts w:cs="Arial"/>
        </w:rPr>
        <w:t>hoki</w:t>
      </w:r>
      <w:bookmarkEnd w:id="403"/>
      <w:proofErr w:type="spellEnd"/>
    </w:p>
    <w:p w14:paraId="0CFDE108" w14:textId="4A55B192" w:rsidR="00BC1440" w:rsidRPr="004A0212" w:rsidRDefault="0DAC389A" w:rsidP="00D6367F">
      <w:pPr>
        <w:pStyle w:val="Heading2"/>
        <w:rPr>
          <w:rFonts w:cs="Arial"/>
        </w:rPr>
      </w:pPr>
      <w:bookmarkStart w:id="404" w:name="_Toc162166504"/>
      <w:bookmarkStart w:id="405" w:name="_Toc168639003"/>
      <w:r w:rsidRPr="004A0212">
        <w:rPr>
          <w:rFonts w:cs="Arial"/>
        </w:rPr>
        <w:t xml:space="preserve">Psychiatric and psychopaedic </w:t>
      </w:r>
      <w:r w:rsidR="69DED0F1" w:rsidRPr="004A0212">
        <w:rPr>
          <w:rFonts w:cs="Arial"/>
        </w:rPr>
        <w:t>hospitals</w:t>
      </w:r>
      <w:r w:rsidRPr="004A0212">
        <w:rPr>
          <w:rFonts w:cs="Arial"/>
        </w:rPr>
        <w:t xml:space="preserve"> begin to close</w:t>
      </w:r>
      <w:bookmarkEnd w:id="404"/>
      <w:bookmarkEnd w:id="405"/>
      <w:r w:rsidR="3F2FDA5A" w:rsidRPr="004A0212">
        <w:rPr>
          <w:rFonts w:cs="Arial"/>
        </w:rPr>
        <w:t xml:space="preserve"> </w:t>
      </w:r>
    </w:p>
    <w:p w14:paraId="66B286D6" w14:textId="536E2448" w:rsidR="00D4656F" w:rsidRPr="004A0212" w:rsidRDefault="698F7402" w:rsidP="007D73A6">
      <w:pPr>
        <w:pStyle w:val="AllNumbparas"/>
        <w:rPr>
          <w:rStyle w:val="normaltextrun"/>
          <w:color w:val="000000" w:themeColor="text1"/>
        </w:rPr>
      </w:pPr>
      <w:r w:rsidRPr="004A0212">
        <w:rPr>
          <w:rStyle w:val="normaltextrun"/>
          <w:color w:val="000000" w:themeColor="text1"/>
        </w:rPr>
        <w:t>The Mental Health Foundation was established in</w:t>
      </w:r>
      <w:r w:rsidR="003F599E" w:rsidRPr="004A0212">
        <w:rPr>
          <w:rStyle w:val="normaltextrun"/>
          <w:color w:val="000000" w:themeColor="text1"/>
        </w:rPr>
        <w:t xml:space="preserve"> </w:t>
      </w:r>
      <w:r w:rsidRPr="004A0212">
        <w:rPr>
          <w:rStyle w:val="normaltextrun"/>
          <w:color w:val="000000" w:themeColor="text1"/>
        </w:rPr>
        <w:t xml:space="preserve">1977, at a time when mental distress was not generally spoken about openly.  The Foundation had its roots in the belief that early developmental experiences are critical to people’s lifelong mental </w:t>
      </w:r>
      <w:r w:rsidR="46528B8E" w:rsidRPr="004A0212">
        <w:rPr>
          <w:rStyle w:val="normaltextrun"/>
          <w:color w:val="000000" w:themeColor="text1"/>
        </w:rPr>
        <w:t>health and</w:t>
      </w:r>
      <w:r w:rsidRPr="004A0212">
        <w:rPr>
          <w:rStyle w:val="normaltextrun"/>
          <w:color w:val="000000" w:themeColor="text1"/>
        </w:rPr>
        <w:t xml:space="preserve"> was formed to promote the mental health and wellbeing of all New Zealanders.</w:t>
      </w:r>
      <w:r w:rsidR="00D4656F" w:rsidRPr="004A0212">
        <w:rPr>
          <w:rStyle w:val="StyleFootnoteReferenceFagoFunotenzeichenFagoFunotenzeichen"/>
        </w:rPr>
        <w:footnoteReference w:id="359"/>
      </w:r>
    </w:p>
    <w:p w14:paraId="1734C639" w14:textId="1265CE93" w:rsidR="00BC1440" w:rsidRPr="004A0212" w:rsidRDefault="2E73812A" w:rsidP="007D73A6">
      <w:pPr>
        <w:pStyle w:val="AllNumbparas"/>
      </w:pPr>
      <w:r w:rsidRPr="004A0212">
        <w:t>Th</w:t>
      </w:r>
      <w:r w:rsidR="60333FDD" w:rsidRPr="004A0212">
        <w:t>e</w:t>
      </w:r>
      <w:r w:rsidRPr="004A0212">
        <w:t xml:space="preserve"> </w:t>
      </w:r>
      <w:r w:rsidR="656CB54F" w:rsidRPr="004A0212">
        <w:t xml:space="preserve">public’s </w:t>
      </w:r>
      <w:r w:rsidRPr="004A0212">
        <w:t xml:space="preserve">fear of mental distress continued throughout the 1980s and 1990s. The 1988 Mason </w:t>
      </w:r>
      <w:r w:rsidR="656CB54F" w:rsidRPr="004A0212">
        <w:t>R</w:t>
      </w:r>
      <w:r w:rsidRPr="004A0212">
        <w:t>eport stated that:</w:t>
      </w:r>
    </w:p>
    <w:p w14:paraId="1FA018F0" w14:textId="298FE0A4" w:rsidR="0068717F" w:rsidRPr="004A0212" w:rsidRDefault="00BC1440" w:rsidP="004071A1">
      <w:pPr>
        <w:pStyle w:val="AllQuotes"/>
        <w:rPr>
          <w:rFonts w:eastAsia="Calibri" w:cs="Arial"/>
          <w:bCs/>
          <w:color w:val="222222"/>
          <w:szCs w:val="22"/>
          <w:shd w:val="clear" w:color="auto" w:fill="FFFFFF"/>
        </w:rPr>
      </w:pPr>
      <w:r w:rsidRPr="004A0212">
        <w:rPr>
          <w:rFonts w:cs="Arial"/>
        </w:rPr>
        <w:t>“The general population appears to have a very distorted image of psychiatric patients. This image is influenced by a lack of education and knowledge of the major psychiatric disorders and a misconception that psychiatric illness is inextricably linked with dangerousness.”</w:t>
      </w:r>
      <w:r w:rsidRPr="004A0212">
        <w:rPr>
          <w:rStyle w:val="StyleFootnoteReferenceFagoFunotenzeichenFagoFunotenzeichen"/>
        </w:rPr>
        <w:footnoteReference w:id="360"/>
      </w:r>
      <w:r w:rsidRPr="004A0212">
        <w:rPr>
          <w:rFonts w:cs="Arial"/>
        </w:rPr>
        <w:t xml:space="preserve"> </w:t>
      </w:r>
    </w:p>
    <w:p w14:paraId="03DBBEE3" w14:textId="62E105A5" w:rsidR="00BC1440" w:rsidRPr="004A0212" w:rsidRDefault="2E73812A" w:rsidP="007D73A6">
      <w:pPr>
        <w:pStyle w:val="AllNumbparas"/>
      </w:pPr>
      <w:r w:rsidRPr="004A0212">
        <w:t xml:space="preserve">The 1980s and 1990s also </w:t>
      </w:r>
      <w:r w:rsidR="656CB54F" w:rsidRPr="004A0212">
        <w:t xml:space="preserve">featured </w:t>
      </w:r>
      <w:r w:rsidR="0D3A9C1A" w:rsidRPr="004A0212">
        <w:t xml:space="preserve">increased </w:t>
      </w:r>
      <w:r w:rsidRPr="004A0212">
        <w:t xml:space="preserve">recognition of the lack of appropriate care and resourcing for people </w:t>
      </w:r>
      <w:r w:rsidR="7AA967C1" w:rsidRPr="004A0212">
        <w:t>who experienced</w:t>
      </w:r>
      <w:r w:rsidRPr="004A0212">
        <w:t xml:space="preserve"> mental distress. </w:t>
      </w:r>
      <w:r w:rsidR="0D3A9C1A" w:rsidRPr="004A0212">
        <w:t>including i</w:t>
      </w:r>
      <w:r w:rsidRPr="004A0212">
        <w:t>nquiries into the mental health system in the mid-1980s and 1990s.</w:t>
      </w:r>
      <w:r w:rsidR="00BC1440" w:rsidRPr="004A0212">
        <w:rPr>
          <w:rStyle w:val="StyleFootnoteReferenceFagoFunotenzeichenFagoFunotenzeichen"/>
        </w:rPr>
        <w:footnoteReference w:id="361"/>
      </w:r>
      <w:r w:rsidRPr="004A0212">
        <w:t xml:space="preserve"> </w:t>
      </w:r>
    </w:p>
    <w:p w14:paraId="2036AAE9" w14:textId="0A27775A" w:rsidR="00BC1440" w:rsidRPr="004A0212" w:rsidRDefault="2E73812A" w:rsidP="007D73A6">
      <w:pPr>
        <w:pStyle w:val="AllNumbparas"/>
      </w:pPr>
      <w:r w:rsidRPr="004A0212">
        <w:t>The Mental Health Act 1992 provided a new definition of mental disorder and set out patients’ rights and processes, reviews and inquiries to protect them.</w:t>
      </w:r>
      <w:r w:rsidR="00BC1440" w:rsidRPr="004A0212">
        <w:rPr>
          <w:rStyle w:val="StyleFootnoteReferenceFagoFunotenzeichenFagoFunotenzeichen"/>
        </w:rPr>
        <w:footnoteReference w:id="362"/>
      </w:r>
      <w:r w:rsidRPr="004A0212">
        <w:t xml:space="preserve"> The intent was to provide compulsory treatment in the least intrusive and restrictive </w:t>
      </w:r>
      <w:r w:rsidRPr="004A0212" w:rsidDel="00884A50">
        <w:t>way</w:t>
      </w:r>
      <w:r w:rsidRPr="004A0212">
        <w:t>, but medical professionals could still require compulsory treatment and incarceration.</w:t>
      </w:r>
    </w:p>
    <w:p w14:paraId="6C477912" w14:textId="2281BB21" w:rsidR="00BC1440" w:rsidRPr="004A0212" w:rsidRDefault="2E73812A" w:rsidP="007D73A6">
      <w:pPr>
        <w:pStyle w:val="AllNumbparas"/>
      </w:pPr>
      <w:r w:rsidRPr="004A0212">
        <w:t xml:space="preserve">The State set up an </w:t>
      </w:r>
      <w:r w:rsidR="58EC773F" w:rsidRPr="004A0212">
        <w:t>Inquiry</w:t>
      </w:r>
      <w:r w:rsidRPr="004A0212">
        <w:t xml:space="preserve"> in 1995 to investigate serious shortcomings in the mental health system. The </w:t>
      </w:r>
      <w:r w:rsidR="7B14BF8B" w:rsidRPr="004A0212">
        <w:t>resulting</w:t>
      </w:r>
      <w:r w:rsidRPr="004A0212">
        <w:t xml:space="preserve"> second Mason </w:t>
      </w:r>
      <w:r w:rsidR="656CB54F" w:rsidRPr="004A0212">
        <w:t>R</w:t>
      </w:r>
      <w:r w:rsidRPr="004A0212">
        <w:t>eport was released in 1996 and highlighted issues with funding, discrimination and the workforce.</w:t>
      </w:r>
      <w:r w:rsidR="00BC1440" w:rsidRPr="004A0212">
        <w:rPr>
          <w:rStyle w:val="StyleFootnoteReferenceFagoFunotenzeichenFagoFunotenzeichen"/>
        </w:rPr>
        <w:footnoteReference w:id="363"/>
      </w:r>
      <w:r w:rsidRPr="004A0212">
        <w:t xml:space="preserve"> </w:t>
      </w:r>
    </w:p>
    <w:p w14:paraId="75E954C0" w14:textId="634BBB23" w:rsidR="006B353B" w:rsidRPr="004A0212" w:rsidRDefault="00BC1440" w:rsidP="00BC1440">
      <w:pPr>
        <w:pStyle w:val="AllQuotes"/>
        <w:rPr>
          <w:rFonts w:cs="Arial"/>
        </w:rPr>
      </w:pPr>
      <w:r w:rsidRPr="004A0212">
        <w:rPr>
          <w:rFonts w:cs="Arial"/>
        </w:rPr>
        <w:t xml:space="preserve">“The Mental Health strategy is basically a </w:t>
      </w:r>
      <w:proofErr w:type="gramStart"/>
      <w:r w:rsidRPr="004A0212">
        <w:rPr>
          <w:rFonts w:cs="Arial"/>
        </w:rPr>
        <w:t>fairly good</w:t>
      </w:r>
      <w:proofErr w:type="gramEnd"/>
      <w:r w:rsidRPr="004A0212">
        <w:rPr>
          <w:rFonts w:cs="Arial"/>
        </w:rPr>
        <w:t xml:space="preserve"> document, but it has no legs. If it remains standing still it is nothing more than a vision statement.”</w:t>
      </w:r>
      <w:r w:rsidRPr="004A0212">
        <w:rPr>
          <w:rStyle w:val="StyleFootnoteReferenceFagoFunotenzeichenFagoFunotenzeichen"/>
        </w:rPr>
        <w:footnoteReference w:id="364"/>
      </w:r>
    </w:p>
    <w:p w14:paraId="4F8EA5E1" w14:textId="1A820DAF" w:rsidR="00BC1440" w:rsidRPr="004A0212" w:rsidRDefault="2E73812A" w:rsidP="007D73A6">
      <w:pPr>
        <w:pStyle w:val="AllNumbparas"/>
      </w:pPr>
      <w:r w:rsidRPr="004A0212">
        <w:t xml:space="preserve">Following the </w:t>
      </w:r>
      <w:r w:rsidR="656CB54F" w:rsidRPr="004A0212">
        <w:t xml:space="preserve">second </w:t>
      </w:r>
      <w:r w:rsidRPr="004A0212">
        <w:t xml:space="preserve">Mason </w:t>
      </w:r>
      <w:r w:rsidR="656CB54F" w:rsidRPr="004A0212">
        <w:t>R</w:t>
      </w:r>
      <w:r w:rsidRPr="004A0212">
        <w:t xml:space="preserve">eport, the Mental Health Commission was established in 1996 and the State increased funding for community mental health support services. The Mason </w:t>
      </w:r>
      <w:r w:rsidR="656CB54F" w:rsidRPr="004A0212">
        <w:t>R</w:t>
      </w:r>
      <w:r w:rsidRPr="004A0212">
        <w:t>eport advised that the Mental Health Commission should be a single organisation responsible for mental health planning, including policy, purchases and service provision.</w:t>
      </w:r>
      <w:r w:rsidR="00BC1440" w:rsidRPr="004A0212">
        <w:rPr>
          <w:rStyle w:val="StyleFootnoteReferenceFagoFunotenzeichenFagoFunotenzeichen"/>
        </w:rPr>
        <w:footnoteReference w:id="365"/>
      </w:r>
    </w:p>
    <w:p w14:paraId="2E7E8799" w14:textId="6722C3B2" w:rsidR="00BC1440" w:rsidRPr="004A0212" w:rsidRDefault="2E73812A" w:rsidP="007D73A6">
      <w:pPr>
        <w:pStyle w:val="AllNumbparas"/>
      </w:pPr>
      <w:r w:rsidRPr="004A0212">
        <w:t>The State did not implement this advice but tasked the Commission to monitor the national men</w:t>
      </w:r>
      <w:r w:rsidR="656CB54F" w:rsidRPr="004A0212">
        <w:t>tal health strategy. The Mason R</w:t>
      </w:r>
      <w:r w:rsidRPr="004A0212">
        <w:t>eport’s support for an anti-stigma campaign led to the establishment of the Like Minds – Like Mine programme in 1997.</w:t>
      </w:r>
      <w:r w:rsidR="00BC1440" w:rsidRPr="004A0212">
        <w:rPr>
          <w:rStyle w:val="StyleFootnoteReferenceFagoFunotenzeichenFagoFunotenzeichen"/>
        </w:rPr>
        <w:footnoteReference w:id="366"/>
      </w:r>
      <w:r w:rsidRPr="004A0212">
        <w:t xml:space="preserve"> </w:t>
      </w:r>
    </w:p>
    <w:p w14:paraId="270FDC2D" w14:textId="33442388" w:rsidR="0068717F" w:rsidRPr="004A0212" w:rsidRDefault="2702228E" w:rsidP="007F55CE">
      <w:pPr>
        <w:pStyle w:val="Numbparas"/>
      </w:pPr>
      <w:r w:rsidRPr="004A0212">
        <w:rPr>
          <w:rStyle w:val="normaltextrun"/>
          <w:rFonts w:cs="Calibri"/>
          <w:color w:val="000000" w:themeColor="text1"/>
        </w:rPr>
        <w:t xml:space="preserve">From the 1970s to the </w:t>
      </w:r>
      <w:r w:rsidR="12B69367" w:rsidRPr="004A0212">
        <w:rPr>
          <w:rStyle w:val="normaltextrun"/>
          <w:rFonts w:cs="Calibri"/>
          <w:color w:val="000000" w:themeColor="text1"/>
        </w:rPr>
        <w:t>1990s</w:t>
      </w:r>
      <w:r w:rsidRPr="004A0212">
        <w:rPr>
          <w:rStyle w:val="normaltextrun"/>
          <w:rFonts w:cs="Calibri"/>
          <w:color w:val="000000" w:themeColor="text1"/>
        </w:rPr>
        <w:t xml:space="preserve">, large scale institutions </w:t>
      </w:r>
      <w:r w:rsidR="41BA7580" w:rsidRPr="004A0212">
        <w:rPr>
          <w:rStyle w:val="normaltextrun"/>
          <w:rFonts w:cs="Calibri"/>
          <w:color w:val="000000" w:themeColor="text1"/>
        </w:rPr>
        <w:t xml:space="preserve">were slowly replaced </w:t>
      </w:r>
      <w:r w:rsidRPr="004A0212">
        <w:rPr>
          <w:rStyle w:val="normaltextrun"/>
          <w:rFonts w:cs="Calibri"/>
          <w:color w:val="000000" w:themeColor="text1"/>
        </w:rPr>
        <w:t>with smaller group settings.</w:t>
      </w:r>
      <w:r w:rsidRPr="004A0212">
        <w:rPr>
          <w:rFonts w:asciiTheme="minorHAnsi" w:hAnsiTheme="minorHAnsi" w:cstheme="minorBidi"/>
        </w:rPr>
        <w:t xml:space="preserve"> </w:t>
      </w:r>
      <w:r w:rsidR="6E84DE6B" w:rsidRPr="004A0212">
        <w:t xml:space="preserve">By 1996, almost all psychopaedic and psychiatric hospitals had closed. </w:t>
      </w:r>
    </w:p>
    <w:p w14:paraId="26F5717D" w14:textId="5BE97A90" w:rsidR="00CA7FBF" w:rsidRPr="004A0212" w:rsidRDefault="15D2FDF7" w:rsidP="007D73A6">
      <w:pPr>
        <w:pStyle w:val="AllNumbparas"/>
      </w:pPr>
      <w:r w:rsidRPr="004A0212">
        <w:t>By the early 1990s, IHC was providing residential and other forms of disability support to 10,500 adults with learning disabilities</w:t>
      </w:r>
      <w:r w:rsidR="11DF6127" w:rsidRPr="004A0212">
        <w:t>.</w:t>
      </w:r>
      <w:r w:rsidR="00076784" w:rsidRPr="004A0212">
        <w:rPr>
          <w:rStyle w:val="StyleFootnoteReferenceFagoFunotenzeichenFagoFunotenzeichen"/>
        </w:rPr>
        <w:footnoteReference w:id="367"/>
      </w:r>
    </w:p>
    <w:p w14:paraId="0DAFF521" w14:textId="4084EC66" w:rsidR="0048407E" w:rsidRPr="004A0212" w:rsidRDefault="3B3587B9" w:rsidP="007D73A6">
      <w:pPr>
        <w:pStyle w:val="AllNumbparas"/>
      </w:pPr>
      <w:r w:rsidRPr="004A0212">
        <w:t>Mental</w:t>
      </w:r>
      <w:r w:rsidR="20FBF292" w:rsidRPr="004A0212">
        <w:t xml:space="preserve"> health services </w:t>
      </w:r>
      <w:r w:rsidRPr="004A0212">
        <w:t xml:space="preserve">were largely </w:t>
      </w:r>
      <w:r w:rsidR="20FBF292" w:rsidRPr="004A0212">
        <w:t xml:space="preserve">devolved to a range of </w:t>
      </w:r>
      <w:r w:rsidR="346880E1" w:rsidRPr="004A0212">
        <w:t>outpatient</w:t>
      </w:r>
      <w:r w:rsidR="20FBF292" w:rsidRPr="004A0212">
        <w:t xml:space="preserve"> services and community providers</w:t>
      </w:r>
      <w:r w:rsidR="7B8CC80D" w:rsidRPr="004A0212">
        <w:t>.</w:t>
      </w:r>
      <w:r w:rsidR="00490590" w:rsidRPr="004A0212">
        <w:rPr>
          <w:rStyle w:val="StyleFootnoteReferenceFagoFunotenzeichenFagoFunotenzeichen"/>
        </w:rPr>
        <w:footnoteReference w:id="368"/>
      </w:r>
    </w:p>
    <w:p w14:paraId="0BDEB6A9" w14:textId="704388ED" w:rsidR="00191704" w:rsidRPr="004A0212" w:rsidRDefault="7908807C" w:rsidP="00191704">
      <w:pPr>
        <w:pStyle w:val="AllNumbparas"/>
      </w:pPr>
      <w:r w:rsidRPr="004A0212">
        <w:t>Despite shifting towards smaller scale care, many of the same issue</w:t>
      </w:r>
      <w:r w:rsidR="46528B8E" w:rsidRPr="004A0212">
        <w:t>s</w:t>
      </w:r>
      <w:r w:rsidRPr="004A0212">
        <w:t xml:space="preserve"> experienced in large institutions were the same in these new care settings, including</w:t>
      </w:r>
      <w:r w:rsidR="1D2919F1" w:rsidRPr="004A0212">
        <w:t xml:space="preserve"> a regimented routine,</w:t>
      </w:r>
      <w:r w:rsidRPr="004A0212">
        <w:t xml:space="preserve"> isolation, discrimination</w:t>
      </w:r>
      <w:r w:rsidR="63459276" w:rsidRPr="004A0212">
        <w:t>, disablis</w:t>
      </w:r>
      <w:r w:rsidR="2FFAC553" w:rsidRPr="004A0212">
        <w:t>m,</w:t>
      </w:r>
      <w:r w:rsidRPr="004A0212">
        <w:t xml:space="preserve"> ableism</w:t>
      </w:r>
      <w:r w:rsidR="2FFAC553" w:rsidRPr="004A0212">
        <w:t xml:space="preserve"> and a lack of self-determination.</w:t>
      </w:r>
    </w:p>
    <w:p w14:paraId="6973CCC6" w14:textId="77777777" w:rsidR="00584310" w:rsidRDefault="00584310" w:rsidP="00584310">
      <w:pPr>
        <w:pStyle w:val="Numbparas"/>
        <w:numPr>
          <w:ilvl w:val="0"/>
          <w:numId w:val="0"/>
        </w:numPr>
        <w:ind w:left="851"/>
      </w:pPr>
    </w:p>
    <w:p w14:paraId="236B6996" w14:textId="677E0ADE" w:rsidR="00584310" w:rsidRPr="00571526" w:rsidRDefault="00584310" w:rsidP="00584310">
      <w:pPr>
        <w:pStyle w:val="Numbparas"/>
        <w:numPr>
          <w:ilvl w:val="0"/>
          <w:numId w:val="0"/>
        </w:numPr>
        <w:ind w:left="851"/>
      </w:pPr>
      <w:r w:rsidRPr="00571526">
        <w:t>[survivor quote]</w:t>
      </w:r>
    </w:p>
    <w:p w14:paraId="6ABE6E2A" w14:textId="77777777" w:rsidR="00584310" w:rsidRPr="00584310" w:rsidRDefault="00584310" w:rsidP="00584310">
      <w:pPr>
        <w:pStyle w:val="AllQuotes"/>
        <w:rPr>
          <w:b/>
        </w:rPr>
      </w:pPr>
      <w:r w:rsidRPr="00584310">
        <w:rPr>
          <w:b/>
        </w:rPr>
        <w:t>“Due to how and what I was taught at Kelston, I was alienated from both the Deaf and the M</w:t>
      </w:r>
      <w:r w:rsidRPr="00584310">
        <w:rPr>
          <w:rFonts w:hint="eastAsia"/>
          <w:b/>
        </w:rPr>
        <w:t>ā</w:t>
      </w:r>
      <w:r w:rsidRPr="00584310">
        <w:rPr>
          <w:b/>
        </w:rPr>
        <w:t>ori communities.”</w:t>
      </w:r>
    </w:p>
    <w:p w14:paraId="269536D2" w14:textId="5BB5AABA" w:rsidR="00584310" w:rsidRPr="00584310" w:rsidRDefault="00584310" w:rsidP="00584310">
      <w:pPr>
        <w:pStyle w:val="AllQuotes"/>
        <w:rPr>
          <w:b/>
        </w:rPr>
      </w:pPr>
      <w:r w:rsidRPr="00584310">
        <w:rPr>
          <w:b/>
        </w:rPr>
        <w:t xml:space="preserve">Whiti </w:t>
      </w:r>
      <w:proofErr w:type="spellStart"/>
      <w:r w:rsidRPr="00584310">
        <w:rPr>
          <w:b/>
        </w:rPr>
        <w:t>Ronaki</w:t>
      </w:r>
      <w:proofErr w:type="spellEnd"/>
    </w:p>
    <w:p w14:paraId="4564EFE7" w14:textId="77777777" w:rsidR="00584310" w:rsidRPr="00584310" w:rsidRDefault="00584310" w:rsidP="00584310">
      <w:pPr>
        <w:pStyle w:val="AllQuotes"/>
        <w:rPr>
          <w:b/>
        </w:rPr>
      </w:pPr>
      <w:r w:rsidRPr="00584310">
        <w:rPr>
          <w:b/>
        </w:rPr>
        <w:t>M</w:t>
      </w:r>
      <w:r w:rsidRPr="00584310">
        <w:rPr>
          <w:rFonts w:hint="eastAsia"/>
          <w:b/>
        </w:rPr>
        <w:t>ā</w:t>
      </w:r>
      <w:r w:rsidRPr="00584310">
        <w:rPr>
          <w:b/>
        </w:rPr>
        <w:t>ori (Te Arawa)</w:t>
      </w:r>
    </w:p>
    <w:p w14:paraId="69E8CF73" w14:textId="77777777" w:rsidR="00584310" w:rsidRPr="004A0212" w:rsidRDefault="00584310" w:rsidP="00584310">
      <w:pPr>
        <w:pStyle w:val="AllNumbparas"/>
        <w:numPr>
          <w:ilvl w:val="0"/>
          <w:numId w:val="0"/>
        </w:numPr>
        <w:ind w:left="851" w:hanging="851"/>
      </w:pPr>
    </w:p>
    <w:p w14:paraId="56441B3B" w14:textId="7ABDA5D6" w:rsidR="005D6A9B" w:rsidRPr="004A0212" w:rsidRDefault="152D7416" w:rsidP="00D6367F">
      <w:pPr>
        <w:pStyle w:val="Heading2"/>
        <w:rPr>
          <w:rFonts w:cs="Arial"/>
        </w:rPr>
      </w:pPr>
      <w:bookmarkStart w:id="406" w:name="_Toc410094406"/>
      <w:bookmarkStart w:id="407" w:name="_Toc168639004"/>
      <w:r w:rsidRPr="004A0212">
        <w:rPr>
          <w:rFonts w:cs="Arial"/>
        </w:rPr>
        <w:t xml:space="preserve">Ka </w:t>
      </w:r>
      <w:r w:rsidR="3A607347" w:rsidRPr="004A0212">
        <w:rPr>
          <w:rFonts w:cs="Arial"/>
        </w:rPr>
        <w:t>piki</w:t>
      </w:r>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aroā</w:t>
      </w:r>
      <w:proofErr w:type="spellEnd"/>
      <w:r w:rsidRPr="004A0212">
        <w:rPr>
          <w:rFonts w:cs="Arial"/>
        </w:rPr>
        <w:t xml:space="preserve"> ki </w:t>
      </w:r>
      <w:proofErr w:type="spellStart"/>
      <w:r w:rsidRPr="004A0212">
        <w:rPr>
          <w:rFonts w:cs="Arial"/>
        </w:rPr>
        <w:t>te</w:t>
      </w:r>
      <w:proofErr w:type="spellEnd"/>
      <w:r w:rsidRPr="004A0212">
        <w:rPr>
          <w:rFonts w:cs="Arial"/>
        </w:rPr>
        <w:t xml:space="preserve"> </w:t>
      </w:r>
      <w:proofErr w:type="spellStart"/>
      <w:r w:rsidRPr="004A0212">
        <w:rPr>
          <w:rFonts w:cs="Arial"/>
        </w:rPr>
        <w:t>whanaketanga</w:t>
      </w:r>
      <w:proofErr w:type="spellEnd"/>
      <w:r w:rsidR="006720F9" w:rsidRPr="004A0212">
        <w:rPr>
          <w:rFonts w:cs="Arial"/>
        </w:rPr>
        <w:t xml:space="preserve"> </w:t>
      </w:r>
      <w:r w:rsidR="006720F9" w:rsidRPr="000C0692">
        <w:rPr>
          <w:rFonts w:cs="Arial"/>
        </w:rPr>
        <w:t>me</w:t>
      </w:r>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tūkinotanga</w:t>
      </w:r>
      <w:proofErr w:type="spellEnd"/>
      <w:r w:rsidRPr="004A0212">
        <w:rPr>
          <w:rFonts w:cs="Arial"/>
        </w:rPr>
        <w:t xml:space="preserve"> tamarik</w:t>
      </w:r>
      <w:bookmarkStart w:id="408" w:name="_Toc150933150"/>
      <w:bookmarkStart w:id="409" w:name="_Toc150953468"/>
      <w:r w:rsidR="3A9FC55D" w:rsidRPr="004A0212">
        <w:rPr>
          <w:rFonts w:cs="Arial"/>
        </w:rPr>
        <w:t>i</w:t>
      </w:r>
      <w:bookmarkEnd w:id="406"/>
      <w:bookmarkEnd w:id="407"/>
    </w:p>
    <w:p w14:paraId="7833392F" w14:textId="2C4460D8" w:rsidR="00600149" w:rsidRPr="004A0212" w:rsidRDefault="0E0CBA84" w:rsidP="00D6367F">
      <w:pPr>
        <w:pStyle w:val="Heading2"/>
        <w:rPr>
          <w:rFonts w:cs="Arial"/>
        </w:rPr>
      </w:pPr>
      <w:bookmarkStart w:id="410" w:name="_Toc854484898"/>
      <w:bookmarkStart w:id="411" w:name="_Toc168639005"/>
      <w:r w:rsidRPr="004A0212">
        <w:rPr>
          <w:rFonts w:cs="Arial"/>
        </w:rPr>
        <w:t>Increasing a</w:t>
      </w:r>
      <w:r w:rsidR="03909C4C" w:rsidRPr="004A0212">
        <w:rPr>
          <w:rFonts w:cs="Arial"/>
        </w:rPr>
        <w:t>wareness of</w:t>
      </w:r>
      <w:r w:rsidR="236050D7" w:rsidRPr="004A0212">
        <w:rPr>
          <w:rFonts w:cs="Arial"/>
        </w:rPr>
        <w:t xml:space="preserve"> child development</w:t>
      </w:r>
      <w:r w:rsidR="0E3D62B1" w:rsidRPr="004A0212">
        <w:rPr>
          <w:rFonts w:cs="Arial"/>
        </w:rPr>
        <w:t>, abuse and trauma</w:t>
      </w:r>
      <w:bookmarkEnd w:id="408"/>
      <w:bookmarkEnd w:id="409"/>
      <w:bookmarkEnd w:id="410"/>
      <w:bookmarkEnd w:id="411"/>
    </w:p>
    <w:p w14:paraId="1C8C8A57" w14:textId="77777777" w:rsidR="0039721A" w:rsidRPr="004A0212" w:rsidRDefault="46C21DC1" w:rsidP="00896BF8">
      <w:pPr>
        <w:pStyle w:val="Heading3"/>
        <w:rPr>
          <w:rFonts w:cs="Arial"/>
        </w:rPr>
      </w:pPr>
      <w:bookmarkStart w:id="412" w:name="_Toc1041033079"/>
      <w:bookmarkStart w:id="413" w:name="_Toc168639006"/>
      <w:proofErr w:type="spellStart"/>
      <w:r w:rsidRPr="004A0212">
        <w:rPr>
          <w:rFonts w:cs="Arial"/>
        </w:rPr>
        <w:t>Te</w:t>
      </w:r>
      <w:proofErr w:type="spellEnd"/>
      <w:r w:rsidRPr="004A0212">
        <w:rPr>
          <w:rFonts w:cs="Arial"/>
        </w:rPr>
        <w:t xml:space="preserve"> </w:t>
      </w:r>
      <w:proofErr w:type="spellStart"/>
      <w:r w:rsidRPr="004A0212">
        <w:rPr>
          <w:rFonts w:cs="Arial"/>
        </w:rPr>
        <w:t>whakapiki</w:t>
      </w:r>
      <w:proofErr w:type="spellEnd"/>
      <w:r w:rsidRPr="004A0212">
        <w:rPr>
          <w:rFonts w:cs="Arial"/>
        </w:rPr>
        <w:t xml:space="preserve"> </w:t>
      </w:r>
      <w:proofErr w:type="spellStart"/>
      <w:r w:rsidRPr="004A0212">
        <w:rPr>
          <w:rFonts w:cs="Arial"/>
        </w:rPr>
        <w:t>mātauranga</w:t>
      </w:r>
      <w:proofErr w:type="spellEnd"/>
      <w:r w:rsidRPr="004A0212">
        <w:rPr>
          <w:rFonts w:cs="Arial"/>
        </w:rPr>
        <w:t xml:space="preserve"> o </w:t>
      </w:r>
      <w:proofErr w:type="spellStart"/>
      <w:r w:rsidRPr="004A0212">
        <w:rPr>
          <w:rFonts w:cs="Arial"/>
        </w:rPr>
        <w:t>te</w:t>
      </w:r>
      <w:proofErr w:type="spellEnd"/>
      <w:r w:rsidRPr="004A0212">
        <w:rPr>
          <w:rFonts w:cs="Arial"/>
        </w:rPr>
        <w:t xml:space="preserve"> </w:t>
      </w:r>
      <w:proofErr w:type="spellStart"/>
      <w:r w:rsidRPr="004A0212">
        <w:rPr>
          <w:rFonts w:cs="Arial"/>
        </w:rPr>
        <w:t>whanaketanga</w:t>
      </w:r>
      <w:proofErr w:type="spellEnd"/>
      <w:r w:rsidRPr="004A0212">
        <w:rPr>
          <w:rFonts w:cs="Arial"/>
        </w:rPr>
        <w:t xml:space="preserve"> </w:t>
      </w:r>
      <w:proofErr w:type="spellStart"/>
      <w:r w:rsidRPr="004A0212">
        <w:rPr>
          <w:rFonts w:cs="Arial"/>
        </w:rPr>
        <w:t>tamariki</w:t>
      </w:r>
      <w:bookmarkEnd w:id="412"/>
      <w:bookmarkEnd w:id="413"/>
      <w:proofErr w:type="spellEnd"/>
      <w:r w:rsidRPr="004A0212">
        <w:rPr>
          <w:rFonts w:cs="Arial"/>
        </w:rPr>
        <w:t xml:space="preserve"> </w:t>
      </w:r>
    </w:p>
    <w:p w14:paraId="49EE9290" w14:textId="58003F62" w:rsidR="00896BF8" w:rsidRPr="004A0212" w:rsidRDefault="7251FABC" w:rsidP="00896BF8">
      <w:pPr>
        <w:pStyle w:val="Heading3"/>
        <w:rPr>
          <w:rFonts w:cs="Arial"/>
        </w:rPr>
      </w:pPr>
      <w:bookmarkStart w:id="414" w:name="_Toc1938508584"/>
      <w:bookmarkStart w:id="415" w:name="_Toc168639007"/>
      <w:r w:rsidRPr="004A0212">
        <w:rPr>
          <w:rFonts w:cs="Arial"/>
        </w:rPr>
        <w:t xml:space="preserve">Increasing knowledge of child </w:t>
      </w:r>
      <w:r w:rsidR="19F8C2FE" w:rsidRPr="004A0212">
        <w:rPr>
          <w:rFonts w:cs="Arial"/>
        </w:rPr>
        <w:t>development</w:t>
      </w:r>
      <w:bookmarkEnd w:id="414"/>
      <w:bookmarkEnd w:id="415"/>
    </w:p>
    <w:p w14:paraId="21660BDE" w14:textId="77604908" w:rsidR="00896BF8" w:rsidRPr="004A0212" w:rsidRDefault="2A3140CC" w:rsidP="007D73A6">
      <w:pPr>
        <w:pStyle w:val="AllNumbparas"/>
      </w:pPr>
      <w:r w:rsidRPr="004A0212">
        <w:t xml:space="preserve">Ideas and understandings of child development continued to grow during this period. </w:t>
      </w:r>
      <w:r w:rsidR="4681C718" w:rsidRPr="004A0212">
        <w:t xml:space="preserve">During the 1970s Albert Bandura’s social learning theory </w:t>
      </w:r>
      <w:r w:rsidR="23B48E09" w:rsidRPr="004A0212">
        <w:t xml:space="preserve">integrated </w:t>
      </w:r>
      <w:r w:rsidR="769DECA4" w:rsidRPr="004A0212">
        <w:t>behavioural and cognitive approaches by focusing on the impact of</w:t>
      </w:r>
      <w:r w:rsidR="4681C718" w:rsidRPr="004A0212">
        <w:t xml:space="preserve"> observing others’ behaviour and its consequences. In the late 1970s</w:t>
      </w:r>
      <w:r w:rsidR="656CB54F" w:rsidRPr="004A0212">
        <w:t xml:space="preserve">, Russian psychologist L. S. </w:t>
      </w:r>
      <w:r w:rsidR="4681C718" w:rsidRPr="004A0212">
        <w:t xml:space="preserve">Vygotsky’s Mind in Society </w:t>
      </w:r>
      <w:r w:rsidR="769DECA4" w:rsidRPr="004A0212">
        <w:t>proposed</w:t>
      </w:r>
      <w:r w:rsidR="4681C718" w:rsidRPr="004A0212">
        <w:t xml:space="preserve"> that society </w:t>
      </w:r>
      <w:r w:rsidR="35196C84" w:rsidRPr="004A0212">
        <w:t xml:space="preserve">shapes </w:t>
      </w:r>
      <w:r w:rsidR="4681C718" w:rsidRPr="004A0212">
        <w:t>the mind</w:t>
      </w:r>
      <w:r w:rsidR="35196C84" w:rsidRPr="004A0212">
        <w:t xml:space="preserve">’s </w:t>
      </w:r>
      <w:r w:rsidR="4681C718" w:rsidRPr="004A0212">
        <w:t xml:space="preserve">internal processes, influencing </w:t>
      </w:r>
      <w:r w:rsidR="35196C84" w:rsidRPr="004A0212">
        <w:t>perception, memory and interaction with the world</w:t>
      </w:r>
      <w:r w:rsidR="4681C718" w:rsidRPr="004A0212">
        <w:t xml:space="preserve">. </w:t>
      </w:r>
      <w:r w:rsidR="656CB54F" w:rsidRPr="004A0212">
        <w:t xml:space="preserve">Russian-American psychologist </w:t>
      </w:r>
      <w:r w:rsidR="4681C718" w:rsidRPr="004A0212">
        <w:t xml:space="preserve">Urie Bronfenbrenner published The Ecology of Human Development, </w:t>
      </w:r>
      <w:r w:rsidR="3F7CFCE8" w:rsidRPr="004A0212">
        <w:t>critiquing traditional</w:t>
      </w:r>
      <w:r w:rsidR="4681C718" w:rsidRPr="004A0212">
        <w:t xml:space="preserve"> developmental research </w:t>
      </w:r>
      <w:r w:rsidR="3F7CFCE8" w:rsidRPr="004A0212">
        <w:t>and introducing an</w:t>
      </w:r>
      <w:r w:rsidR="4681C718" w:rsidRPr="004A0212">
        <w:t xml:space="preserve"> ecological systems theory </w:t>
      </w:r>
      <w:r w:rsidR="3F7CFCE8" w:rsidRPr="004A0212">
        <w:t>that focused on</w:t>
      </w:r>
      <w:r w:rsidR="4681C718" w:rsidRPr="004A0212">
        <w:t xml:space="preserve"> development and behaviour within the context of </w:t>
      </w:r>
      <w:r w:rsidR="3F7CFCE8" w:rsidRPr="004A0212">
        <w:t xml:space="preserve">different </w:t>
      </w:r>
      <w:r w:rsidR="4681C718" w:rsidRPr="004A0212">
        <w:t>social systems.</w:t>
      </w:r>
      <w:r w:rsidR="3F7CFCE8" w:rsidRPr="004A0212">
        <w:rPr>
          <w:rStyle w:val="FootnoteReference"/>
        </w:rPr>
        <w:t xml:space="preserve"> </w:t>
      </w:r>
      <w:r w:rsidR="00F31E79" w:rsidRPr="004A0212">
        <w:rPr>
          <w:rStyle w:val="StyleFootnoteReferenceFagoFunotenzeichenFagoFunotenzeichen"/>
        </w:rPr>
        <w:footnoteReference w:id="369"/>
      </w:r>
      <w:r w:rsidR="4681C718" w:rsidRPr="004A0212">
        <w:t xml:space="preserve"> </w:t>
      </w:r>
      <w:r w:rsidR="58F69AC2" w:rsidRPr="004A0212">
        <w:t xml:space="preserve">From the </w:t>
      </w:r>
      <w:r w:rsidR="473A78F8" w:rsidRPr="004A0212">
        <w:t>1970s</w:t>
      </w:r>
      <w:r w:rsidR="1821C42E" w:rsidRPr="004A0212">
        <w:t>,</w:t>
      </w:r>
      <w:r w:rsidR="473A78F8" w:rsidRPr="004A0212">
        <w:t xml:space="preserve"> </w:t>
      </w:r>
      <w:r w:rsidR="4374A7D1" w:rsidRPr="004A0212">
        <w:t xml:space="preserve">James and Jane Richie, </w:t>
      </w:r>
      <w:r w:rsidR="6A38E948" w:rsidRPr="004A0212">
        <w:t xml:space="preserve">psychologists </w:t>
      </w:r>
      <w:r w:rsidR="6D570D7B" w:rsidRPr="004A0212">
        <w:t>teaching</w:t>
      </w:r>
      <w:r w:rsidR="1821C42E" w:rsidRPr="004A0212">
        <w:t xml:space="preserve"> at</w:t>
      </w:r>
      <w:r w:rsidR="6A38E948" w:rsidRPr="004A0212">
        <w:t xml:space="preserve"> </w:t>
      </w:r>
      <w:r w:rsidR="7B14BF8B" w:rsidRPr="004A0212">
        <w:t xml:space="preserve">the University of </w:t>
      </w:r>
      <w:r w:rsidR="6A38E948" w:rsidRPr="004A0212">
        <w:t>Waikato</w:t>
      </w:r>
      <w:r w:rsidR="6D570D7B" w:rsidRPr="004A0212">
        <w:t>,</w:t>
      </w:r>
      <w:r w:rsidR="6A38E948" w:rsidRPr="004A0212">
        <w:t xml:space="preserve"> </w:t>
      </w:r>
      <w:r w:rsidR="185C3E1C" w:rsidRPr="004A0212">
        <w:t xml:space="preserve">argued for physical discipline of children to be made illegal and </w:t>
      </w:r>
      <w:r w:rsidR="22BA482C" w:rsidRPr="004A0212">
        <w:t>that i</w:t>
      </w:r>
      <w:r w:rsidR="6D570D7B" w:rsidRPr="004A0212">
        <w:t>t</w:t>
      </w:r>
      <w:r w:rsidR="22BA482C" w:rsidRPr="004A0212">
        <w:t xml:space="preserve"> was damaging both to children and society.</w:t>
      </w:r>
      <w:r w:rsidR="00204FC4" w:rsidRPr="004A0212">
        <w:rPr>
          <w:rStyle w:val="FootnoteReference"/>
        </w:rPr>
        <w:footnoteReference w:id="370"/>
      </w:r>
    </w:p>
    <w:p w14:paraId="59C0F70A" w14:textId="2211D7A2" w:rsidR="00B94895" w:rsidRPr="004A0212" w:rsidRDefault="1C5E6C12" w:rsidP="007D73A6">
      <w:pPr>
        <w:pStyle w:val="AllNumbparas"/>
      </w:pPr>
      <w:proofErr w:type="spellStart"/>
      <w:r w:rsidRPr="004A0212">
        <w:t>Te</w:t>
      </w:r>
      <w:proofErr w:type="spellEnd"/>
      <w:r w:rsidRPr="004A0212">
        <w:t xml:space="preserve"> </w:t>
      </w:r>
      <w:proofErr w:type="spellStart"/>
      <w:r w:rsidRPr="004A0212">
        <w:t>ao</w:t>
      </w:r>
      <w:proofErr w:type="spellEnd"/>
      <w:r w:rsidRPr="004A0212">
        <w:t xml:space="preserve"> Māori concepts in child development and the </w:t>
      </w:r>
      <w:r w:rsidR="656CB54F" w:rsidRPr="004A0212">
        <w:t>k</w:t>
      </w:r>
      <w:r w:rsidRPr="004A0212">
        <w:t xml:space="preserve">ōhanga </w:t>
      </w:r>
      <w:proofErr w:type="spellStart"/>
      <w:r w:rsidR="656CB54F" w:rsidRPr="004A0212">
        <w:t>r</w:t>
      </w:r>
      <w:r w:rsidRPr="004A0212">
        <w:t>eo</w:t>
      </w:r>
      <w:proofErr w:type="spellEnd"/>
      <w:r w:rsidRPr="004A0212">
        <w:t xml:space="preserve"> movement played an important part</w:t>
      </w:r>
      <w:r w:rsidR="3CBA925B" w:rsidRPr="004A0212">
        <w:t xml:space="preserve"> in understandings of child development </w:t>
      </w:r>
      <w:r w:rsidR="12EC6167" w:rsidRPr="004A0212">
        <w:t>in the 1980s and 1990s</w:t>
      </w:r>
      <w:r w:rsidRPr="004A0212">
        <w:t xml:space="preserve">. </w:t>
      </w:r>
      <w:r w:rsidR="08200CD0" w:rsidRPr="004A0212">
        <w:t xml:space="preserve">Dr </w:t>
      </w:r>
      <w:proofErr w:type="spellStart"/>
      <w:r w:rsidRPr="004A0212">
        <w:t>Arapera</w:t>
      </w:r>
      <w:proofErr w:type="spellEnd"/>
      <w:r w:rsidRPr="004A0212">
        <w:t xml:space="preserve"> Royal Tangaere described Māori theory of child development and learning in 1993, likening the concepts behind the </w:t>
      </w:r>
      <w:proofErr w:type="spellStart"/>
      <w:r w:rsidRPr="004A0212">
        <w:t>poutama</w:t>
      </w:r>
      <w:proofErr w:type="spellEnd"/>
      <w:r w:rsidRPr="004A0212">
        <w:t xml:space="preserve"> steps design</w:t>
      </w:r>
      <w:r w:rsidR="08200CD0" w:rsidRPr="004A0212">
        <w:t xml:space="preserve"> </w:t>
      </w:r>
      <w:r w:rsidR="160C7C87" w:rsidRPr="004A0212">
        <w:t>–</w:t>
      </w:r>
      <w:r w:rsidR="08200CD0" w:rsidRPr="004A0212">
        <w:t xml:space="preserve"> </w:t>
      </w:r>
      <w:r w:rsidRPr="004A0212">
        <w:t>commonly found in tukutuku panels</w:t>
      </w:r>
      <w:r w:rsidR="08200CD0" w:rsidRPr="004A0212">
        <w:t xml:space="preserve"> </w:t>
      </w:r>
      <w:r w:rsidR="160C7C87" w:rsidRPr="004A0212">
        <w:t>–</w:t>
      </w:r>
      <w:r w:rsidR="08200CD0" w:rsidRPr="004A0212">
        <w:t xml:space="preserve"> </w:t>
      </w:r>
      <w:r w:rsidRPr="004A0212">
        <w:t xml:space="preserve">to Vygotsky’s zone of proximal development, and the </w:t>
      </w:r>
      <w:proofErr w:type="spellStart"/>
      <w:r w:rsidRPr="004A0212">
        <w:t>tuakana</w:t>
      </w:r>
      <w:r w:rsidR="7E933B96" w:rsidRPr="004A0212">
        <w:t>-</w:t>
      </w:r>
      <w:r w:rsidRPr="004A0212">
        <w:t>teina</w:t>
      </w:r>
      <w:proofErr w:type="spellEnd"/>
      <w:r w:rsidRPr="004A0212">
        <w:t xml:space="preserve"> concept to the concept of scaffolding in </w:t>
      </w:r>
      <w:r w:rsidR="08200CD0" w:rsidRPr="004A0212">
        <w:t>W</w:t>
      </w:r>
      <w:r w:rsidRPr="004A0212">
        <w:t>estern learning and development theory.</w:t>
      </w:r>
      <w:r w:rsidR="00D52856" w:rsidRPr="004A0212">
        <w:rPr>
          <w:rStyle w:val="StyleFootnoteReferenceFagoFunotenzeichenFagoFunotenzeichen"/>
        </w:rPr>
        <w:footnoteReference w:id="371"/>
      </w:r>
      <w:r w:rsidRPr="004A0212">
        <w:t xml:space="preserve"> </w:t>
      </w:r>
    </w:p>
    <w:p w14:paraId="43FEFA44" w14:textId="183FDCA6" w:rsidR="006F1554" w:rsidRPr="004A0212" w:rsidRDefault="3613B9E7" w:rsidP="005864F8">
      <w:pPr>
        <w:pStyle w:val="AllNumbparas"/>
        <w:rPr>
          <w:color w:val="3B5D1E" w:themeColor="accent4" w:themeShade="BF"/>
          <w:szCs w:val="26"/>
        </w:rPr>
      </w:pPr>
      <w:proofErr w:type="spellStart"/>
      <w:r w:rsidRPr="004A0212">
        <w:t>Dr.</w:t>
      </w:r>
      <w:proofErr w:type="spellEnd"/>
      <w:r w:rsidRPr="004A0212">
        <w:t xml:space="preserve"> </w:t>
      </w:r>
      <w:r w:rsidR="1C5E6C12" w:rsidRPr="004A0212">
        <w:t xml:space="preserve">Tangaere also related Bronfenbrenner’s ecological systems theory to </w:t>
      </w:r>
      <w:r w:rsidR="08200CD0" w:rsidRPr="004A0212">
        <w:t xml:space="preserve">Rangimarie </w:t>
      </w:r>
      <w:proofErr w:type="spellStart"/>
      <w:r w:rsidR="08200CD0" w:rsidRPr="004A0212">
        <w:t>Turuki</w:t>
      </w:r>
      <w:proofErr w:type="spellEnd"/>
      <w:r w:rsidR="08200CD0" w:rsidRPr="004A0212">
        <w:t xml:space="preserve"> (Rose) Pere’s </w:t>
      </w:r>
      <w:r w:rsidR="1C5E6C12" w:rsidRPr="004A0212">
        <w:t xml:space="preserve">conception of Mai </w:t>
      </w:r>
      <w:proofErr w:type="spellStart"/>
      <w:r w:rsidR="35855479" w:rsidRPr="004A0212">
        <w:t>i</w:t>
      </w:r>
      <w:proofErr w:type="spellEnd"/>
      <w:r w:rsidR="35855479" w:rsidRPr="004A0212">
        <w:t xml:space="preserve"> </w:t>
      </w:r>
      <w:proofErr w:type="spellStart"/>
      <w:r w:rsidR="1C5E6C12" w:rsidRPr="004A0212">
        <w:t>Rangiatea</w:t>
      </w:r>
      <w:proofErr w:type="spellEnd"/>
      <w:r w:rsidR="1C5E6C12" w:rsidRPr="004A0212">
        <w:t>, emphasising the importance of learning mātauranga Māori to child development</w:t>
      </w:r>
      <w:r w:rsidR="33BF3956" w:rsidRPr="004A0212">
        <w:t>:</w:t>
      </w:r>
    </w:p>
    <w:p w14:paraId="5D06E99A" w14:textId="4BE4EC38" w:rsidR="0068717F" w:rsidRPr="004A0212" w:rsidRDefault="00B94895" w:rsidP="001142DD">
      <w:pPr>
        <w:pStyle w:val="AllQuotes"/>
        <w:rPr>
          <w:color w:val="3B5D1E" w:themeColor="accent4" w:themeShade="BF"/>
          <w:szCs w:val="26"/>
        </w:rPr>
      </w:pPr>
      <w:r w:rsidRPr="004A0212">
        <w:t xml:space="preserve">“In doing so, the internalisation process depicts the way the child will interact in relation to the spiritual world, to people, to the land, and to the environment. </w:t>
      </w:r>
      <w:proofErr w:type="spellStart"/>
      <w:r w:rsidRPr="004A0212">
        <w:t>Te</w:t>
      </w:r>
      <w:proofErr w:type="spellEnd"/>
      <w:r w:rsidRPr="004A0212">
        <w:t xml:space="preserve"> </w:t>
      </w:r>
      <w:proofErr w:type="spellStart"/>
      <w:r w:rsidRPr="004A0212">
        <w:t>reo</w:t>
      </w:r>
      <w:proofErr w:type="spellEnd"/>
      <w:r w:rsidRPr="004A0212">
        <w:t xml:space="preserve"> Māori is the key to this knowledge.”</w:t>
      </w:r>
      <w:r w:rsidR="00BE7603" w:rsidRPr="004A0212">
        <w:rPr>
          <w:rStyle w:val="StyleFootnoteReferenceFagoFunotenzeichenFagoFunotenzeichen"/>
        </w:rPr>
        <w:footnoteReference w:id="372"/>
      </w:r>
      <w:r w:rsidRPr="004A0212">
        <w:rPr>
          <w:rStyle w:val="FootnoteReference"/>
          <w:rFonts w:eastAsiaTheme="minorEastAsia"/>
        </w:rPr>
        <w:t xml:space="preserve"> </w:t>
      </w:r>
      <w:bookmarkStart w:id="416" w:name="_Toc150933151"/>
      <w:bookmarkStart w:id="417" w:name="_Toc150953469"/>
    </w:p>
    <w:p w14:paraId="6025AF7E" w14:textId="041CB3C8" w:rsidR="00600149" w:rsidRPr="004A0212" w:rsidRDefault="40B13426" w:rsidP="007243B9">
      <w:pPr>
        <w:pStyle w:val="Heading3"/>
        <w:rPr>
          <w:rFonts w:cs="Arial"/>
        </w:rPr>
      </w:pPr>
      <w:bookmarkStart w:id="418" w:name="_Toc1757669011"/>
      <w:bookmarkStart w:id="419" w:name="_Toc168639008"/>
      <w:r w:rsidRPr="004A0212">
        <w:rPr>
          <w:rFonts w:cs="Arial"/>
        </w:rPr>
        <w:t xml:space="preserve">Ka </w:t>
      </w:r>
      <w:proofErr w:type="spellStart"/>
      <w:r w:rsidRPr="004A0212">
        <w:rPr>
          <w:rFonts w:cs="Arial"/>
        </w:rPr>
        <w:t>nui</w:t>
      </w:r>
      <w:proofErr w:type="spellEnd"/>
      <w:r w:rsidRPr="004A0212">
        <w:rPr>
          <w:rFonts w:cs="Arial"/>
        </w:rPr>
        <w:t xml:space="preserve"> </w:t>
      </w:r>
      <w:proofErr w:type="spellStart"/>
      <w:r w:rsidRPr="004A0212">
        <w:rPr>
          <w:rFonts w:cs="Arial"/>
        </w:rPr>
        <w:t>haere</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Pr="004A0212">
        <w:rPr>
          <w:rFonts w:cs="Arial"/>
        </w:rPr>
        <w:t>aroā</w:t>
      </w:r>
      <w:proofErr w:type="spellEnd"/>
      <w:r w:rsidRPr="004A0212">
        <w:rPr>
          <w:rFonts w:cs="Arial"/>
        </w:rPr>
        <w:t xml:space="preserve"> ki </w:t>
      </w:r>
      <w:proofErr w:type="spellStart"/>
      <w:r w:rsidRPr="004A0212">
        <w:rPr>
          <w:rFonts w:cs="Arial"/>
        </w:rPr>
        <w:t>te</w:t>
      </w:r>
      <w:proofErr w:type="spellEnd"/>
      <w:r w:rsidRPr="004A0212">
        <w:rPr>
          <w:rFonts w:cs="Arial"/>
        </w:rPr>
        <w:t xml:space="preserve"> </w:t>
      </w:r>
      <w:proofErr w:type="spellStart"/>
      <w:r w:rsidRPr="004A0212">
        <w:rPr>
          <w:rFonts w:cs="Arial"/>
        </w:rPr>
        <w:t>tūkinotanga</w:t>
      </w:r>
      <w:proofErr w:type="spellEnd"/>
      <w:r w:rsidRPr="004A0212">
        <w:rPr>
          <w:rFonts w:cs="Arial"/>
        </w:rPr>
        <w:t xml:space="preserve"> </w:t>
      </w:r>
      <w:proofErr w:type="spellStart"/>
      <w:r w:rsidRPr="004A0212">
        <w:rPr>
          <w:rFonts w:cs="Arial"/>
        </w:rPr>
        <w:t>tamariki</w:t>
      </w:r>
      <w:proofErr w:type="spellEnd"/>
      <w:r w:rsidRPr="004A0212">
        <w:rPr>
          <w:rFonts w:cs="Arial"/>
        </w:rPr>
        <w:t xml:space="preserve"> </w:t>
      </w:r>
      <w:r w:rsidR="6181D7E5" w:rsidRPr="004A0212">
        <w:rPr>
          <w:rFonts w:cs="Arial"/>
        </w:rPr>
        <w:t>|</w:t>
      </w:r>
      <w:r w:rsidRPr="004A0212">
        <w:rPr>
          <w:rFonts w:cs="Arial"/>
        </w:rPr>
        <w:t xml:space="preserve"> </w:t>
      </w:r>
      <w:r w:rsidR="0DAC389A" w:rsidRPr="004A0212">
        <w:rPr>
          <w:rFonts w:cs="Arial"/>
        </w:rPr>
        <w:t xml:space="preserve">Greater awareness </w:t>
      </w:r>
      <w:r w:rsidR="04090829" w:rsidRPr="004A0212">
        <w:rPr>
          <w:rFonts w:cs="Arial"/>
        </w:rPr>
        <w:t>of</w:t>
      </w:r>
      <w:r w:rsidR="236050D7" w:rsidRPr="004A0212">
        <w:rPr>
          <w:rFonts w:cs="Arial"/>
        </w:rPr>
        <w:t xml:space="preserve"> child abuse</w:t>
      </w:r>
      <w:bookmarkEnd w:id="416"/>
      <w:bookmarkEnd w:id="417"/>
      <w:bookmarkEnd w:id="418"/>
      <w:bookmarkEnd w:id="419"/>
      <w:r w:rsidR="236050D7" w:rsidRPr="004A0212">
        <w:rPr>
          <w:rFonts w:cs="Arial"/>
        </w:rPr>
        <w:t xml:space="preserve"> </w:t>
      </w:r>
    </w:p>
    <w:p w14:paraId="6A511876" w14:textId="02B6A518" w:rsidR="00600149" w:rsidRPr="004A0212" w:rsidRDefault="500E9742" w:rsidP="007D73A6">
      <w:pPr>
        <w:pStyle w:val="AllNumbparas"/>
      </w:pPr>
      <w:r w:rsidRPr="004A0212">
        <w:t xml:space="preserve">Throughout the 1970s, a growing societal awareness of abuse led to more suspected cases </w:t>
      </w:r>
      <w:r w:rsidR="1D9CD491" w:rsidRPr="004A0212">
        <w:t xml:space="preserve">of </w:t>
      </w:r>
      <w:r w:rsidR="7086F385" w:rsidRPr="004A0212">
        <w:t xml:space="preserve">child abuse </w:t>
      </w:r>
      <w:r w:rsidRPr="004A0212">
        <w:t xml:space="preserve">being reported. The number of notifications </w:t>
      </w:r>
      <w:r w:rsidR="2929719D" w:rsidRPr="004A0212">
        <w:t xml:space="preserve">to </w:t>
      </w:r>
      <w:r w:rsidR="4716A90E" w:rsidRPr="004A0212">
        <w:t>the Department of So</w:t>
      </w:r>
      <w:r w:rsidR="7E78BBD6" w:rsidRPr="004A0212">
        <w:t xml:space="preserve">cial </w:t>
      </w:r>
      <w:r w:rsidR="4716A90E" w:rsidRPr="004A0212">
        <w:t>W</w:t>
      </w:r>
      <w:r w:rsidR="7E78BBD6" w:rsidRPr="004A0212">
        <w:t>elfare</w:t>
      </w:r>
      <w:r w:rsidRPr="004A0212">
        <w:t xml:space="preserve"> rose to nearly 20,000 by the end of the 1990s.</w:t>
      </w:r>
      <w:r w:rsidR="00600149" w:rsidRPr="004A0212">
        <w:rPr>
          <w:rStyle w:val="StyleFootnoteReferenceFagoFunotenzeichenFagoFunotenzeichen"/>
        </w:rPr>
        <w:footnoteReference w:id="373"/>
      </w:r>
    </w:p>
    <w:p w14:paraId="409C115A" w14:textId="145A7CF2" w:rsidR="00600149" w:rsidRPr="004A0212" w:rsidRDefault="500E9742" w:rsidP="007D73A6">
      <w:pPr>
        <w:pStyle w:val="AllNumbparas"/>
      </w:pPr>
      <w:r w:rsidRPr="004A0212">
        <w:t xml:space="preserve">A birth cohort study looking at a century of sexual abuse victimisation found that the highest prevalence for child sexual abuse was for the cohort born </w:t>
      </w:r>
      <w:r w:rsidR="08200CD0" w:rsidRPr="004A0212">
        <w:t>from</w:t>
      </w:r>
      <w:r w:rsidRPr="004A0212">
        <w:t xml:space="preserve"> 1951 to 1960 at 28.7 </w:t>
      </w:r>
      <w:r w:rsidR="453B5ECB" w:rsidRPr="004A0212">
        <w:t>percent</w:t>
      </w:r>
      <w:r w:rsidRPr="004A0212">
        <w:t xml:space="preserve">. Prevalence remained high for the period from 1961 to 1980 and </w:t>
      </w:r>
      <w:r w:rsidR="63095B4D" w:rsidRPr="004A0212">
        <w:t xml:space="preserve">was about 20 </w:t>
      </w:r>
      <w:r w:rsidR="453B5ECB" w:rsidRPr="004A0212">
        <w:t>percent</w:t>
      </w:r>
      <w:r w:rsidR="63095B4D" w:rsidRPr="004A0212">
        <w:t xml:space="preserve"> </w:t>
      </w:r>
      <w:r w:rsidRPr="004A0212">
        <w:t>from 1980 onwards.</w:t>
      </w:r>
      <w:r w:rsidR="00600149" w:rsidRPr="004A0212">
        <w:rPr>
          <w:rStyle w:val="StyleFootnoteReferenceFagoFunotenzeichenFagoFunotenzeichen"/>
        </w:rPr>
        <w:footnoteReference w:id="374"/>
      </w:r>
      <w:r w:rsidRPr="004A0212">
        <w:t xml:space="preserve"> </w:t>
      </w:r>
    </w:p>
    <w:p w14:paraId="3E5290DF" w14:textId="2846F756" w:rsidR="00600149" w:rsidRPr="004A0212" w:rsidRDefault="3427A0A9" w:rsidP="007D73A6">
      <w:pPr>
        <w:pStyle w:val="AllNumbparas"/>
      </w:pPr>
      <w:r w:rsidRPr="004A0212">
        <w:t xml:space="preserve">As understanding and awareness grew, State agencies </w:t>
      </w:r>
      <w:r w:rsidR="2CA34A7E" w:rsidRPr="004A0212">
        <w:t xml:space="preserve">involved in care delivery progressively incorporated </w:t>
      </w:r>
      <w:r w:rsidR="0476D2E7" w:rsidRPr="004A0212">
        <w:rPr>
          <w:color w:val="auto"/>
        </w:rPr>
        <w:t xml:space="preserve">responses to </w:t>
      </w:r>
      <w:r w:rsidR="2CA34A7E" w:rsidRPr="004A0212">
        <w:t xml:space="preserve">risks and issues </w:t>
      </w:r>
      <w:r w:rsidR="71E8B609" w:rsidRPr="004A0212">
        <w:t xml:space="preserve">related to </w:t>
      </w:r>
      <w:r w:rsidR="2CA34A7E" w:rsidRPr="004A0212">
        <w:t>child sex</w:t>
      </w:r>
      <w:r w:rsidR="5339967E" w:rsidRPr="004A0212">
        <w:t>ual abuse into their policies.</w:t>
      </w:r>
    </w:p>
    <w:p w14:paraId="1BF3138F" w14:textId="5E9C101D" w:rsidR="00F11761" w:rsidRPr="004A0212" w:rsidRDefault="3786D4F9" w:rsidP="00D6367F">
      <w:pPr>
        <w:pStyle w:val="Heading3"/>
        <w:rPr>
          <w:rFonts w:cs="Arial"/>
        </w:rPr>
      </w:pPr>
      <w:bookmarkStart w:id="420" w:name="_Toc1875954902"/>
      <w:bookmarkStart w:id="421" w:name="_Toc168639009"/>
      <w:r w:rsidRPr="004A0212">
        <w:rPr>
          <w:rFonts w:cs="Arial"/>
        </w:rPr>
        <w:t xml:space="preserve">Ka </w:t>
      </w:r>
      <w:proofErr w:type="spellStart"/>
      <w:r w:rsidRPr="004A0212">
        <w:rPr>
          <w:rFonts w:cs="Arial"/>
        </w:rPr>
        <w:t>tipu</w:t>
      </w:r>
      <w:proofErr w:type="spellEnd"/>
      <w:r w:rsidRPr="004A0212">
        <w:rPr>
          <w:rFonts w:cs="Arial"/>
        </w:rPr>
        <w:t xml:space="preserve"> </w:t>
      </w:r>
      <w:proofErr w:type="spellStart"/>
      <w:r w:rsidRPr="004A0212">
        <w:rPr>
          <w:rFonts w:cs="Arial"/>
        </w:rPr>
        <w:t>te</w:t>
      </w:r>
      <w:proofErr w:type="spellEnd"/>
      <w:r w:rsidRPr="004A0212">
        <w:rPr>
          <w:rFonts w:cs="Arial"/>
        </w:rPr>
        <w:t xml:space="preserve"> </w:t>
      </w:r>
      <w:proofErr w:type="spellStart"/>
      <w:r w:rsidR="52E65923" w:rsidRPr="004A0212">
        <w:rPr>
          <w:rFonts w:cs="Arial"/>
        </w:rPr>
        <w:t>māramatanga</w:t>
      </w:r>
      <w:proofErr w:type="spellEnd"/>
      <w:r w:rsidR="52E65923" w:rsidRPr="004A0212">
        <w:rPr>
          <w:rFonts w:cs="Arial"/>
        </w:rPr>
        <w:t xml:space="preserve"> </w:t>
      </w:r>
      <w:r w:rsidRPr="004A0212">
        <w:rPr>
          <w:rFonts w:cs="Arial"/>
        </w:rPr>
        <w:t xml:space="preserve">ki </w:t>
      </w:r>
      <w:proofErr w:type="spellStart"/>
      <w:r w:rsidRPr="004A0212">
        <w:rPr>
          <w:rFonts w:cs="Arial"/>
        </w:rPr>
        <w:t>te</w:t>
      </w:r>
      <w:proofErr w:type="spellEnd"/>
      <w:r w:rsidRPr="004A0212">
        <w:rPr>
          <w:rFonts w:cs="Arial"/>
        </w:rPr>
        <w:t xml:space="preserve"> </w:t>
      </w:r>
      <w:proofErr w:type="spellStart"/>
      <w:r w:rsidRPr="004A0212">
        <w:rPr>
          <w:rFonts w:cs="Arial"/>
        </w:rPr>
        <w:t>whakahapatanga</w:t>
      </w:r>
      <w:proofErr w:type="spellEnd"/>
      <w:r w:rsidRPr="004A0212">
        <w:rPr>
          <w:rFonts w:cs="Arial"/>
        </w:rPr>
        <w:t xml:space="preserve"> </w:t>
      </w:r>
      <w:r w:rsidR="3772A377" w:rsidRPr="004A0212">
        <w:rPr>
          <w:rFonts w:cs="Arial"/>
        </w:rPr>
        <w:t>|</w:t>
      </w:r>
      <w:r w:rsidRPr="004A0212">
        <w:rPr>
          <w:rFonts w:cs="Arial"/>
        </w:rPr>
        <w:t xml:space="preserve"> </w:t>
      </w:r>
      <w:bookmarkStart w:id="422" w:name="_Toc150933152"/>
      <w:bookmarkStart w:id="423" w:name="_Toc150953470"/>
      <w:bookmarkStart w:id="424" w:name="_Toc147935409"/>
      <w:bookmarkStart w:id="425" w:name="_Toc148443591"/>
      <w:bookmarkStart w:id="426" w:name="_Toc147935401"/>
      <w:bookmarkStart w:id="427" w:name="_Toc148443582"/>
      <w:bookmarkStart w:id="428" w:name="_Toc118315233"/>
      <w:bookmarkStart w:id="429" w:name="_Toc120716291"/>
      <w:bookmarkEnd w:id="273"/>
      <w:bookmarkEnd w:id="274"/>
      <w:bookmarkEnd w:id="275"/>
      <w:bookmarkEnd w:id="276"/>
      <w:bookmarkEnd w:id="331"/>
      <w:bookmarkEnd w:id="332"/>
      <w:bookmarkEnd w:id="333"/>
      <w:bookmarkEnd w:id="334"/>
      <w:bookmarkEnd w:id="350"/>
      <w:bookmarkEnd w:id="351"/>
      <w:r w:rsidR="670D579B" w:rsidRPr="004A0212">
        <w:rPr>
          <w:rFonts w:cs="Arial"/>
          <w:shd w:val="clear" w:color="auto" w:fill="FFFFFF"/>
        </w:rPr>
        <w:t>Understanding of</w:t>
      </w:r>
      <w:r w:rsidR="56C85A86" w:rsidRPr="004A0212">
        <w:rPr>
          <w:rFonts w:cs="Arial"/>
          <w:shd w:val="clear" w:color="auto" w:fill="FFFFFF"/>
        </w:rPr>
        <w:t xml:space="preserve"> trauma</w:t>
      </w:r>
      <w:bookmarkEnd w:id="422"/>
      <w:bookmarkEnd w:id="423"/>
      <w:r w:rsidR="670D579B" w:rsidRPr="004A0212">
        <w:rPr>
          <w:rFonts w:cs="Arial"/>
          <w:shd w:val="clear" w:color="auto" w:fill="FFFFFF"/>
        </w:rPr>
        <w:t xml:space="preserve"> grows</w:t>
      </w:r>
      <w:bookmarkEnd w:id="420"/>
      <w:bookmarkEnd w:id="421"/>
    </w:p>
    <w:p w14:paraId="1ECAE6EC" w14:textId="6F6100D6" w:rsidR="00F11761" w:rsidRPr="004A0212" w:rsidRDefault="56C85A86" w:rsidP="007D73A6">
      <w:pPr>
        <w:pStyle w:val="AllNumbparas"/>
        <w:rPr>
          <w:b/>
        </w:rPr>
      </w:pPr>
      <w:r w:rsidRPr="004A0212">
        <w:t xml:space="preserve">Understandings of trauma and its impacts began to grow from the 1970s. </w:t>
      </w:r>
      <w:r w:rsidR="161CECE4" w:rsidRPr="004A0212">
        <w:t>Post-traumatic</w:t>
      </w:r>
      <w:r w:rsidR="0E8305DA" w:rsidRPr="004A0212">
        <w:t xml:space="preserve"> </w:t>
      </w:r>
      <w:r w:rsidR="161CECE4" w:rsidRPr="004A0212">
        <w:t>s</w:t>
      </w:r>
      <w:r w:rsidR="0E8305DA" w:rsidRPr="004A0212">
        <w:t>tress</w:t>
      </w:r>
      <w:r w:rsidRPr="004A0212" w:rsidDel="00B37371">
        <w:t xml:space="preserve"> </w:t>
      </w:r>
      <w:r w:rsidR="161CECE4" w:rsidRPr="004A0212">
        <w:t>d</w:t>
      </w:r>
      <w:r w:rsidR="0E8305DA" w:rsidRPr="004A0212">
        <w:t xml:space="preserve">isorder </w:t>
      </w:r>
      <w:r w:rsidR="161CECE4" w:rsidRPr="004A0212">
        <w:t xml:space="preserve">(PTSD) </w:t>
      </w:r>
      <w:r w:rsidRPr="004A0212">
        <w:t xml:space="preserve">was added to the American Psychiatric Association’s Diagnostic and Statistical Manual of Mental Disorders </w:t>
      </w:r>
      <w:r w:rsidR="583FA869" w:rsidRPr="004A0212">
        <w:t xml:space="preserve">(DSM) </w:t>
      </w:r>
      <w:r w:rsidRPr="004A0212">
        <w:t xml:space="preserve">in 1980, although it was thought at the time to be limited to people with experience of war and human-made disasters </w:t>
      </w:r>
      <w:r w:rsidR="161CECE4" w:rsidRPr="004A0212">
        <w:t>such</w:t>
      </w:r>
      <w:r w:rsidRPr="004A0212">
        <w:t xml:space="preserve"> </w:t>
      </w:r>
      <w:r w:rsidR="03FEF186" w:rsidRPr="004A0212">
        <w:t xml:space="preserve">aeroplane </w:t>
      </w:r>
      <w:r w:rsidRPr="004A0212">
        <w:t>crashes.</w:t>
      </w:r>
      <w:r w:rsidR="00F11761" w:rsidRPr="004A0212">
        <w:rPr>
          <w:rStyle w:val="StyleFootnoteReferenceFagoFunotenzeichenFagoFunotenzeichen"/>
        </w:rPr>
        <w:footnoteReference w:id="375"/>
      </w:r>
      <w:r w:rsidRPr="004A0212">
        <w:t xml:space="preserve"> </w:t>
      </w:r>
      <w:r w:rsidR="7E86C2EE" w:rsidRPr="004A0212">
        <w:t xml:space="preserve">The diagnostic criteria for PTSD </w:t>
      </w:r>
      <w:r w:rsidR="4F988542" w:rsidRPr="004A0212">
        <w:t xml:space="preserve">were </w:t>
      </w:r>
      <w:r w:rsidR="7E86C2EE" w:rsidRPr="004A0212">
        <w:t xml:space="preserve">revised in 1987 and 1994, with the recognition that </w:t>
      </w:r>
      <w:r w:rsidR="0E9E4447" w:rsidRPr="004A0212">
        <w:t xml:space="preserve">it </w:t>
      </w:r>
      <w:r w:rsidR="7E86C2EE" w:rsidRPr="004A0212">
        <w:t>was much more common than originally believed and including symptoms specific to children. A definition of trauma as a separate diagnosis from PTSD was not available until 2013.</w:t>
      </w:r>
      <w:r w:rsidR="001773BD" w:rsidRPr="004A0212">
        <w:rPr>
          <w:rStyle w:val="StyleFootnoteReferenceFagoFunotenzeichenFagoFunotenzeichen"/>
        </w:rPr>
        <w:footnoteReference w:id="376"/>
      </w:r>
    </w:p>
    <w:p w14:paraId="459159F5" w14:textId="11EB5902" w:rsidR="003752FC" w:rsidRPr="004A0212" w:rsidRDefault="559A6516" w:rsidP="02397200">
      <w:pPr>
        <w:pStyle w:val="Heading3"/>
      </w:pPr>
      <w:bookmarkStart w:id="430" w:name="_Toc168639010"/>
      <w:r w:rsidRPr="004A0212">
        <w:t xml:space="preserve">He </w:t>
      </w:r>
      <w:proofErr w:type="spellStart"/>
      <w:r w:rsidRPr="004A0212">
        <w:t>whakamārama</w:t>
      </w:r>
      <w:proofErr w:type="spellEnd"/>
      <w:r w:rsidRPr="004A0212">
        <w:t xml:space="preserve"> </w:t>
      </w:r>
      <w:proofErr w:type="spellStart"/>
      <w:r w:rsidRPr="004A0212">
        <w:t>mō</w:t>
      </w:r>
      <w:proofErr w:type="spellEnd"/>
      <w:r w:rsidRPr="004A0212">
        <w:t xml:space="preserve"> </w:t>
      </w:r>
      <w:proofErr w:type="spellStart"/>
      <w:r w:rsidRPr="004A0212">
        <w:t>te</w:t>
      </w:r>
      <w:proofErr w:type="spellEnd"/>
      <w:r w:rsidRPr="004A0212">
        <w:t xml:space="preserve"> </w:t>
      </w:r>
      <w:proofErr w:type="spellStart"/>
      <w:proofErr w:type="gramStart"/>
      <w:r w:rsidRPr="004A0212">
        <w:t>whakahapatanga</w:t>
      </w:r>
      <w:proofErr w:type="spellEnd"/>
      <w:r w:rsidRPr="004A0212">
        <w:t xml:space="preserve"> </w:t>
      </w:r>
      <w:bookmarkStart w:id="431" w:name="_Toc1360766711"/>
      <w:r w:rsidR="00BE3177">
        <w:t xml:space="preserve"> |</w:t>
      </w:r>
      <w:proofErr w:type="gramEnd"/>
      <w:r w:rsidR="00BE3177">
        <w:t xml:space="preserve"> </w:t>
      </w:r>
      <w:r w:rsidR="2B4025DD" w:rsidRPr="004A0212">
        <w:t>Some understanding of neglect</w:t>
      </w:r>
      <w:bookmarkEnd w:id="430"/>
      <w:bookmarkEnd w:id="431"/>
    </w:p>
    <w:p w14:paraId="7FCA5D64" w14:textId="19766931" w:rsidR="003752FC" w:rsidRPr="004A0212" w:rsidRDefault="270F97F7" w:rsidP="007D73A6">
      <w:pPr>
        <w:pStyle w:val="AllNumbparas"/>
        <w:rPr>
          <w:bCs w:val="0"/>
        </w:rPr>
      </w:pPr>
      <w:r w:rsidRPr="004A0212">
        <w:t xml:space="preserve">Throughout the </w:t>
      </w:r>
      <w:r w:rsidR="008D400F" w:rsidRPr="004A0212">
        <w:t>I</w:t>
      </w:r>
      <w:r w:rsidRPr="004A0212">
        <w:t xml:space="preserve">nquiry period there was some understanding, domestically and internationally, of the factors that could lead to neglect.  </w:t>
      </w:r>
      <w:r w:rsidR="158E43A9" w:rsidRPr="004A0212">
        <w:t xml:space="preserve">Neglect often proved hard to define or detect, </w:t>
      </w:r>
      <w:r w:rsidR="4E9884FE" w:rsidRPr="004A0212">
        <w:t xml:space="preserve">and different parenting practices across cultures added to the </w:t>
      </w:r>
      <w:r w:rsidR="79BD9CF8" w:rsidRPr="004A0212">
        <w:t>difficulties in reaching a common definition</w:t>
      </w:r>
      <w:r w:rsidR="35855479" w:rsidRPr="004A0212">
        <w:t xml:space="preserve"> for childhood neglect</w:t>
      </w:r>
      <w:r w:rsidR="79BD9CF8" w:rsidRPr="004A0212">
        <w:t>.</w:t>
      </w:r>
      <w:r w:rsidR="004606C7" w:rsidRPr="004A0212">
        <w:rPr>
          <w:rStyle w:val="FootnoteReference"/>
          <w:bCs w:val="0"/>
        </w:rPr>
        <w:footnoteReference w:id="377"/>
      </w:r>
      <w:r w:rsidR="50FC9E70" w:rsidRPr="004A0212">
        <w:t xml:space="preserve">  </w:t>
      </w:r>
      <w:r w:rsidR="33A4E516" w:rsidRPr="004A0212">
        <w:t xml:space="preserve">Understanding of the consequences of neglect </w:t>
      </w:r>
      <w:r w:rsidR="1C0C42C5" w:rsidRPr="004A0212">
        <w:t>began</w:t>
      </w:r>
      <w:r w:rsidR="33A4E516" w:rsidRPr="004A0212">
        <w:t xml:space="preserve"> to be better understood from the 1990s, with advances in understanding of brain development and studies such as the </w:t>
      </w:r>
      <w:r w:rsidR="58D27FE1" w:rsidRPr="004A0212">
        <w:t>Bucharest Early Intervention Project which studied outcomes for children in Romanian orphanages.</w:t>
      </w:r>
      <w:r w:rsidR="00B3766E" w:rsidRPr="004A0212">
        <w:rPr>
          <w:rStyle w:val="FootnoteReference"/>
          <w:bCs w:val="0"/>
        </w:rPr>
        <w:footnoteReference w:id="378"/>
      </w:r>
      <w:r w:rsidR="5CAA146A" w:rsidRPr="004A0212">
        <w:t xml:space="preserve">  </w:t>
      </w:r>
      <w:r w:rsidR="606E8795" w:rsidRPr="004A0212">
        <w:t>A 2010 paper by the Ministry of Social Development noted that neglect</w:t>
      </w:r>
      <w:r w:rsidR="5059310F" w:rsidRPr="004A0212">
        <w:t xml:space="preserve"> still received </w:t>
      </w:r>
      <w:r w:rsidR="27DAB883" w:rsidRPr="004A0212">
        <w:t>less scientific and public attention</w:t>
      </w:r>
      <w:r w:rsidR="5C71BCC5" w:rsidRPr="004A0212">
        <w:t xml:space="preserve"> compared to other forms of </w:t>
      </w:r>
      <w:r w:rsidR="2B9E0535" w:rsidRPr="004A0212">
        <w:t>maltreatment</w:t>
      </w:r>
      <w:r w:rsidR="27DAB883" w:rsidRPr="004A0212">
        <w:t>.</w:t>
      </w:r>
      <w:r w:rsidR="007C210C" w:rsidRPr="004A0212">
        <w:rPr>
          <w:rStyle w:val="FootnoteReference"/>
          <w:bCs w:val="0"/>
        </w:rPr>
        <w:footnoteReference w:id="379"/>
      </w:r>
    </w:p>
    <w:p w14:paraId="0662D0FB" w14:textId="1E6C5E7B" w:rsidR="00373F2D" w:rsidRPr="004A0212" w:rsidRDefault="6228C394" w:rsidP="00C500A2">
      <w:pPr>
        <w:pStyle w:val="Heading2"/>
      </w:pPr>
      <w:bookmarkStart w:id="432" w:name="_Toc150933156"/>
      <w:bookmarkStart w:id="433" w:name="_Toc150953474"/>
      <w:bookmarkStart w:id="434" w:name="_Toc463914024"/>
      <w:bookmarkStart w:id="435" w:name="_Toc168639011"/>
      <w:bookmarkStart w:id="436" w:name="_Toc147935422"/>
      <w:bookmarkStart w:id="437" w:name="_Toc148443607"/>
      <w:bookmarkEnd w:id="424"/>
      <w:bookmarkEnd w:id="425"/>
      <w:bookmarkEnd w:id="426"/>
      <w:bookmarkEnd w:id="427"/>
      <w:bookmarkEnd w:id="428"/>
      <w:bookmarkEnd w:id="429"/>
      <w:proofErr w:type="spellStart"/>
      <w:r w:rsidRPr="004A0212">
        <w:t>Te</w:t>
      </w:r>
      <w:proofErr w:type="spellEnd"/>
      <w:r w:rsidRPr="004A0212">
        <w:t xml:space="preserve"> </w:t>
      </w:r>
      <w:proofErr w:type="spellStart"/>
      <w:r w:rsidRPr="004A0212">
        <w:t>tipu</w:t>
      </w:r>
      <w:proofErr w:type="spellEnd"/>
      <w:r w:rsidRPr="004A0212">
        <w:t xml:space="preserve"> o </w:t>
      </w:r>
      <w:proofErr w:type="spellStart"/>
      <w:r w:rsidRPr="004A0212">
        <w:t>te</w:t>
      </w:r>
      <w:proofErr w:type="spellEnd"/>
      <w:r w:rsidRPr="004A0212">
        <w:t xml:space="preserve"> </w:t>
      </w:r>
      <w:proofErr w:type="spellStart"/>
      <w:r w:rsidRPr="004A0212">
        <w:t>aroā</w:t>
      </w:r>
      <w:proofErr w:type="spellEnd"/>
      <w:r w:rsidRPr="004A0212">
        <w:t xml:space="preserve"> ki </w:t>
      </w:r>
      <w:proofErr w:type="spellStart"/>
      <w:r w:rsidRPr="004A0212">
        <w:t>ngā</w:t>
      </w:r>
      <w:proofErr w:type="spellEnd"/>
      <w:r w:rsidRPr="004A0212">
        <w:t xml:space="preserve"> </w:t>
      </w:r>
      <w:proofErr w:type="spellStart"/>
      <w:r w:rsidRPr="004A0212">
        <w:t>mōtika</w:t>
      </w:r>
      <w:proofErr w:type="spellEnd"/>
      <w:r w:rsidRPr="004A0212">
        <w:t xml:space="preserve"> </w:t>
      </w:r>
      <w:proofErr w:type="spellStart"/>
      <w:r w:rsidRPr="004A0212">
        <w:t>tangata</w:t>
      </w:r>
      <w:proofErr w:type="spellEnd"/>
      <w:r w:rsidRPr="004A0212">
        <w:t xml:space="preserve"> | </w:t>
      </w:r>
      <w:r w:rsidR="26C11C55" w:rsidRPr="004A0212">
        <w:t xml:space="preserve">Increased awareness of </w:t>
      </w:r>
      <w:r w:rsidR="6465F339" w:rsidRPr="004A0212">
        <w:t>human rights</w:t>
      </w:r>
      <w:bookmarkEnd w:id="432"/>
      <w:bookmarkEnd w:id="433"/>
      <w:bookmarkEnd w:id="434"/>
      <w:bookmarkEnd w:id="435"/>
    </w:p>
    <w:p w14:paraId="27D86BA8" w14:textId="369F0EDF" w:rsidR="007C417E" w:rsidRPr="004A0212" w:rsidRDefault="6DA0D421" w:rsidP="000D6DAC">
      <w:pPr>
        <w:pStyle w:val="Numbparas"/>
      </w:pPr>
      <w:r w:rsidRPr="004A0212">
        <w:t xml:space="preserve">Since becoming a member of the United Nations in 1945, </w:t>
      </w:r>
      <w:r w:rsidR="3BD1312D" w:rsidRPr="004A0212">
        <w:t xml:space="preserve">Aotearoa </w:t>
      </w:r>
      <w:r w:rsidRPr="004A0212">
        <w:t>New Zealand has actively participated in international forums and organisations to promote human rights.</w:t>
      </w:r>
      <w:r w:rsidR="007C417E" w:rsidRPr="004A0212">
        <w:rPr>
          <w:rStyle w:val="StyleFootnoteReferenceFagoFunotenzeichenFagoFunotenzeichen"/>
        </w:rPr>
        <w:footnoteReference w:id="380"/>
      </w:r>
      <w:r w:rsidRPr="004A0212">
        <w:t xml:space="preserve"> </w:t>
      </w:r>
      <w:r w:rsidR="3BD1312D" w:rsidRPr="004A0212">
        <w:t xml:space="preserve">Aotearoa </w:t>
      </w:r>
      <w:r w:rsidRPr="004A0212">
        <w:t xml:space="preserve">New Zealand contributed to the drafting and adoption of key human rights instruments such as the Universal Declaration of Human Rights in </w:t>
      </w:r>
      <w:r w:rsidR="0BBDC392" w:rsidRPr="004A0212">
        <w:t>1948 and</w:t>
      </w:r>
      <w:r w:rsidRPr="004A0212">
        <w:t xml:space="preserve"> played a role in negotiating and ratifying international human rights treaties during the latter half of the </w:t>
      </w:r>
      <w:r w:rsidR="4A9C4646" w:rsidRPr="004A0212">
        <w:t>20</w:t>
      </w:r>
      <w:r w:rsidR="4A9C4646" w:rsidRPr="004A0212">
        <w:rPr>
          <w:vertAlign w:val="superscript"/>
        </w:rPr>
        <w:t>th</w:t>
      </w:r>
      <w:r w:rsidR="4A9C4646" w:rsidRPr="004A0212">
        <w:t xml:space="preserve"> </w:t>
      </w:r>
      <w:r w:rsidRPr="004A0212">
        <w:t>century.</w:t>
      </w:r>
      <w:r w:rsidR="007C417E" w:rsidRPr="004A0212">
        <w:rPr>
          <w:rStyle w:val="StyleFootnoteReferenceFagoFunotenzeichenFagoFunotenzeichen"/>
        </w:rPr>
        <w:footnoteReference w:id="381"/>
      </w:r>
    </w:p>
    <w:p w14:paraId="282B7FA3" w14:textId="522CAF6B" w:rsidR="009D0532" w:rsidRPr="004A0212" w:rsidRDefault="3B59C631" w:rsidP="00A83810">
      <w:pPr>
        <w:pStyle w:val="Numbparas"/>
      </w:pPr>
      <w:r w:rsidRPr="004A0212">
        <w:t xml:space="preserve">Despite </w:t>
      </w:r>
      <w:r w:rsidR="0BBDC392" w:rsidRPr="004A0212">
        <w:t>its international reputation</w:t>
      </w:r>
      <w:r w:rsidRPr="004A0212">
        <w:t xml:space="preserve">, </w:t>
      </w:r>
      <w:r w:rsidR="3BD1312D" w:rsidRPr="004A0212">
        <w:t xml:space="preserve">Aotearoa </w:t>
      </w:r>
      <w:r w:rsidR="6DA0D421" w:rsidRPr="004A0212">
        <w:t>New Zealand could be slow in promoting human rights treaties domestically.</w:t>
      </w:r>
      <w:r w:rsidR="007C417E" w:rsidRPr="004A0212">
        <w:rPr>
          <w:rStyle w:val="StyleFootnoteReferenceFagoFunotenzeichenFagoFunotenzeichen"/>
        </w:rPr>
        <w:footnoteReference w:id="382"/>
      </w:r>
      <w:r w:rsidR="6DA0D421" w:rsidRPr="004A0212">
        <w:t xml:space="preserve"> </w:t>
      </w:r>
      <w:r w:rsidR="56B38572" w:rsidRPr="004A0212">
        <w:t>H</w:t>
      </w:r>
      <w:r w:rsidR="6EF85290" w:rsidRPr="004A0212">
        <w:t>uman rights protections in Aotearoa New Zealand’s domestic laws are set out in a variety of statutes and the common (court-made) law.</w:t>
      </w:r>
      <w:r w:rsidR="00E65CD4" w:rsidRPr="004A0212">
        <w:rPr>
          <w:rStyle w:val="StyleFootnoteReferenceFagoFunotenzeichenFagoFunotenzeichen"/>
        </w:rPr>
        <w:footnoteReference w:id="383"/>
      </w:r>
      <w:r w:rsidR="6BC02D71" w:rsidRPr="004A0212">
        <w:t xml:space="preserve"> This means they are not all in one place and not all </w:t>
      </w:r>
      <w:r w:rsidR="7FA206EA" w:rsidRPr="004A0212">
        <w:t>human</w:t>
      </w:r>
      <w:r w:rsidR="3552E2CE" w:rsidRPr="004A0212">
        <w:t xml:space="preserve"> </w:t>
      </w:r>
      <w:r w:rsidR="6BC02D71" w:rsidRPr="004A0212">
        <w:t>rights have been incorporated into our domestic law.</w:t>
      </w:r>
    </w:p>
    <w:p w14:paraId="3186C45F" w14:textId="60CB1AF6" w:rsidR="00943665" w:rsidRPr="004A0212" w:rsidRDefault="6E92A782" w:rsidP="00943665">
      <w:pPr>
        <w:pStyle w:val="AllNumbparas"/>
      </w:pPr>
      <w:r w:rsidRPr="004A0212">
        <w:t xml:space="preserve">If individuals in Aotearoa New Zealand believe their rights have been violated, they can complain to </w:t>
      </w:r>
      <w:proofErr w:type="spellStart"/>
      <w:r w:rsidRPr="004A0212">
        <w:t>Te</w:t>
      </w:r>
      <w:proofErr w:type="spellEnd"/>
      <w:r w:rsidRPr="004A0212">
        <w:t xml:space="preserve"> </w:t>
      </w:r>
      <w:proofErr w:type="spellStart"/>
      <w:r w:rsidRPr="004A0212">
        <w:t>Kāhui</w:t>
      </w:r>
      <w:proofErr w:type="spellEnd"/>
      <w:r w:rsidRPr="004A0212">
        <w:t xml:space="preserve"> Tika </w:t>
      </w:r>
      <w:proofErr w:type="spellStart"/>
      <w:r w:rsidRPr="004A0212">
        <w:t>Tangata</w:t>
      </w:r>
      <w:proofErr w:type="spellEnd"/>
      <w:r w:rsidRPr="004A0212">
        <w:t xml:space="preserve"> Human Rights Commission, which offers a free and confidential dispute resolution service for complaints about prohibited behaviours under the Human Rights Act 1993. If </w:t>
      </w:r>
      <w:r w:rsidR="17E7992B" w:rsidRPr="004A0212">
        <w:t>an individual is</w:t>
      </w:r>
      <w:r w:rsidRPr="004A0212">
        <w:t xml:space="preserve"> unable to resolve their complaint through the </w:t>
      </w:r>
      <w:proofErr w:type="spellStart"/>
      <w:r w:rsidR="4AD1DC51" w:rsidRPr="004A0212">
        <w:t>Te</w:t>
      </w:r>
      <w:proofErr w:type="spellEnd"/>
      <w:r w:rsidR="4AD1DC51" w:rsidRPr="004A0212">
        <w:t xml:space="preserve"> </w:t>
      </w:r>
      <w:proofErr w:type="spellStart"/>
      <w:r w:rsidR="4AD1DC51" w:rsidRPr="004A0212">
        <w:t>Kāhui</w:t>
      </w:r>
      <w:proofErr w:type="spellEnd"/>
      <w:r w:rsidR="4AD1DC51" w:rsidRPr="004A0212">
        <w:t xml:space="preserve"> Tika </w:t>
      </w:r>
      <w:proofErr w:type="spellStart"/>
      <w:r w:rsidR="4AD1DC51" w:rsidRPr="004A0212">
        <w:t>Tangata</w:t>
      </w:r>
      <w:proofErr w:type="spellEnd"/>
      <w:r w:rsidR="4AD1DC51" w:rsidRPr="004A0212">
        <w:t xml:space="preserve"> Human </w:t>
      </w:r>
      <w:r w:rsidR="3FB2CAE8" w:rsidRPr="004A0212">
        <w:t>Rights</w:t>
      </w:r>
      <w:r w:rsidRPr="004A0212">
        <w:t xml:space="preserve"> Commission, they can file a claim with the Human Rights Review Tribunal. </w:t>
      </w:r>
    </w:p>
    <w:p w14:paraId="7E1038BF" w14:textId="28E7D6F4" w:rsidR="007C417E" w:rsidRPr="004A0212" w:rsidRDefault="6E92A782" w:rsidP="00376266">
      <w:pPr>
        <w:pStyle w:val="AllNumbparas"/>
      </w:pPr>
      <w:r w:rsidRPr="004A0212">
        <w:t>Those unable to resolve their complaints through domestic pathways can seek resolution through United Nations human rights bodies, noting the decisions from these bodies are not legally binding. Aotearoa New Zealand reports on its human rights progress every four to five years through the Universal Periodic Review (UPR) process. The UPR provides the opportunity for each member State to update on the measures they have taken to enhance human rights domestically and to fulfil their human rights obligations</w:t>
      </w:r>
      <w:r w:rsidR="611074D8" w:rsidRPr="004A0212">
        <w:t>.</w:t>
      </w:r>
      <w:r w:rsidR="004C3532" w:rsidRPr="004A0212">
        <w:rPr>
          <w:rStyle w:val="StyleFootnoteReferenceFagoFunotenzeichenFagoFunotenzeichen"/>
        </w:rPr>
        <w:footnoteReference w:id="384"/>
      </w:r>
    </w:p>
    <w:p w14:paraId="3492B17D" w14:textId="13D85CFD" w:rsidR="0004786C" w:rsidRPr="004A0212" w:rsidRDefault="2FFAB698" w:rsidP="007D73A6">
      <w:pPr>
        <w:pStyle w:val="AllNumbparas"/>
      </w:pPr>
      <w:r w:rsidRPr="004A0212">
        <w:t xml:space="preserve">Aotearoa New Zealand took </w:t>
      </w:r>
      <w:proofErr w:type="gramStart"/>
      <w:r w:rsidRPr="004A0212">
        <w:t>a number of</w:t>
      </w:r>
      <w:proofErr w:type="gramEnd"/>
      <w:r w:rsidRPr="004A0212">
        <w:t xml:space="preserve"> steps </w:t>
      </w:r>
      <w:r w:rsidR="3FFA9350" w:rsidRPr="004A0212">
        <w:t xml:space="preserve">during the </w:t>
      </w:r>
      <w:r w:rsidR="58EC773F" w:rsidRPr="004A0212">
        <w:t>Inquiry</w:t>
      </w:r>
      <w:r w:rsidR="3FFA9350" w:rsidRPr="004A0212">
        <w:t xml:space="preserve"> period to specifically incorporate rights from some human rights instruments</w:t>
      </w:r>
      <w:r w:rsidR="4DC07AC7" w:rsidRPr="004A0212">
        <w:t xml:space="preserve"> into domestic law</w:t>
      </w:r>
      <w:r w:rsidR="3FFA9350" w:rsidRPr="004A0212">
        <w:t>:</w:t>
      </w:r>
    </w:p>
    <w:p w14:paraId="5EC927C4" w14:textId="1E5ACBA6" w:rsidR="00A227EE" w:rsidRPr="004A0212" w:rsidRDefault="004234F0" w:rsidP="00DF328C">
      <w:pPr>
        <w:pStyle w:val="Bulletpoints"/>
      </w:pPr>
      <w:r w:rsidRPr="004A0212">
        <w:t>i</w:t>
      </w:r>
      <w:r w:rsidR="0004786C" w:rsidRPr="004A0212">
        <w:t>n 1971 t</w:t>
      </w:r>
      <w:r w:rsidR="00A227EE" w:rsidRPr="004A0212">
        <w:t xml:space="preserve">he Office of the Race Relations Conciliator was established to promote positive race relations in </w:t>
      </w:r>
      <w:r w:rsidR="00F6317D" w:rsidRPr="004A0212">
        <w:t xml:space="preserve">Aotearoa </w:t>
      </w:r>
      <w:r w:rsidR="00A227EE" w:rsidRPr="004A0212">
        <w:t>New Zealand, and to settle complaints of racial discrimination and racial harassment</w:t>
      </w:r>
    </w:p>
    <w:p w14:paraId="6607610B" w14:textId="7816E46A" w:rsidR="00A227EE" w:rsidRPr="004A0212" w:rsidRDefault="004234F0" w:rsidP="00DF328C">
      <w:pPr>
        <w:pStyle w:val="Bulletpoints"/>
      </w:pPr>
      <w:r w:rsidRPr="004A0212">
        <w:t>i</w:t>
      </w:r>
      <w:r w:rsidR="00A227EE" w:rsidRPr="004A0212">
        <w:t>n 1977, the New Zealand Human Rights Commission was formed to promote a wider range of human rights issues.</w:t>
      </w:r>
      <w:r w:rsidR="00A227EE" w:rsidRPr="004A0212">
        <w:rPr>
          <w:rStyle w:val="StyleFootnoteReferenceFagoFunotenzeichenFagoFunotenzeichen"/>
        </w:rPr>
        <w:footnoteReference w:id="385"/>
      </w:r>
      <w:r w:rsidR="00A227EE" w:rsidRPr="004A0212">
        <w:rPr>
          <w:vertAlign w:val="superscript"/>
        </w:rPr>
        <w:t xml:space="preserve"> </w:t>
      </w:r>
      <w:r w:rsidR="00A227EE" w:rsidRPr="004A0212">
        <w:t>The Human Rights Commission exercises its functions through a mix of measures such as public advocacy, training and education campaigns, public statements on important human rights issues, submissions to Parliament and litigation</w:t>
      </w:r>
      <w:r w:rsidR="00A227EE" w:rsidRPr="004A0212">
        <w:rPr>
          <w:rStyle w:val="StyleFootnoteReferenceFagoFunotenzeichenFagoFunotenzeichen"/>
        </w:rPr>
        <w:footnoteReference w:id="386"/>
      </w:r>
      <w:r w:rsidR="00A227EE" w:rsidRPr="004A0212">
        <w:t xml:space="preserve"> </w:t>
      </w:r>
    </w:p>
    <w:p w14:paraId="4422D0D7" w14:textId="2145A6AD" w:rsidR="00A227EE" w:rsidRPr="004A0212" w:rsidRDefault="004234F0" w:rsidP="00DF328C">
      <w:pPr>
        <w:pStyle w:val="Bulletpoints"/>
      </w:pPr>
      <w:r w:rsidRPr="004A0212">
        <w:t>t</w:t>
      </w:r>
      <w:r w:rsidR="00A227EE" w:rsidRPr="004A0212">
        <w:t xml:space="preserve">he New Zealand Bill of Rights Act </w:t>
      </w:r>
      <w:r w:rsidR="004D1EA6" w:rsidRPr="004A0212">
        <w:t xml:space="preserve">1990 </w:t>
      </w:r>
      <w:r w:rsidR="00A227EE" w:rsidRPr="004A0212">
        <w:t>is the key source of legal obligation for human rights in Aotearoa New Zealand.</w:t>
      </w:r>
      <w:r w:rsidR="00A227EE" w:rsidRPr="004A0212">
        <w:rPr>
          <w:rStyle w:val="StyleFootnoteReferenceFagoFunotenzeichenFagoFunotenzeichen"/>
        </w:rPr>
        <w:footnoteReference w:id="387"/>
      </w:r>
      <w:r w:rsidR="00A227EE" w:rsidRPr="004A0212">
        <w:t xml:space="preserve"> It gives legal effect to core civil and political rights but rights from the international convention on economic, social and cultural rights are excluded </w:t>
      </w:r>
    </w:p>
    <w:p w14:paraId="06B2ACE3" w14:textId="6F7F6433" w:rsidR="00A227EE" w:rsidRPr="004A0212" w:rsidRDefault="004234F0" w:rsidP="00DF328C">
      <w:pPr>
        <w:pStyle w:val="Bulletpoints"/>
      </w:pPr>
      <w:r w:rsidRPr="004A0212">
        <w:t>t</w:t>
      </w:r>
      <w:r w:rsidR="00A227EE" w:rsidRPr="004A0212">
        <w:t xml:space="preserve">he Human Rights Act 1993 aimed to improve on the </w:t>
      </w:r>
      <w:r w:rsidR="003C71D3" w:rsidRPr="004A0212">
        <w:t xml:space="preserve">New Zealand </w:t>
      </w:r>
      <w:r w:rsidR="00A227EE" w:rsidRPr="004A0212">
        <w:t>Bill of Rights Act and better protect human rights</w:t>
      </w:r>
      <w:r w:rsidR="00A6348C" w:rsidRPr="004A0212">
        <w:t>:</w:t>
      </w:r>
      <w:r w:rsidR="00A227EE" w:rsidRPr="004A0212">
        <w:t xml:space="preserve"> for example</w:t>
      </w:r>
      <w:r w:rsidR="00A6348C" w:rsidRPr="004A0212">
        <w:t>,</w:t>
      </w:r>
      <w:r w:rsidR="00A227EE" w:rsidRPr="004A0212">
        <w:t xml:space="preserve"> by adding disability as grounds for discrimination. This was the result of many years of lobbying by disabled people.</w:t>
      </w:r>
      <w:r w:rsidR="00A227EE" w:rsidRPr="004A0212">
        <w:rPr>
          <w:rStyle w:val="StyleFootnoteReferenceFagoFunotenzeichenFagoFunotenzeichen"/>
        </w:rPr>
        <w:footnoteReference w:id="388"/>
      </w:r>
      <w:r w:rsidR="00A227EE" w:rsidRPr="004A0212">
        <w:t xml:space="preserve"> </w:t>
      </w:r>
    </w:p>
    <w:p w14:paraId="2DF121B8" w14:textId="1B5D6E18" w:rsidR="008E431C" w:rsidRPr="004A0212" w:rsidRDefault="69D01D06" w:rsidP="000D6DAC">
      <w:pPr>
        <w:pStyle w:val="AllNumbparas"/>
      </w:pPr>
      <w:r w:rsidRPr="004A0212">
        <w:t>N</w:t>
      </w:r>
      <w:r w:rsidR="01E06F63" w:rsidRPr="004A0212">
        <w:t xml:space="preserve">umerous issues </w:t>
      </w:r>
      <w:r w:rsidRPr="004A0212">
        <w:t xml:space="preserve">were </w:t>
      </w:r>
      <w:r w:rsidR="01E06F63" w:rsidRPr="004A0212">
        <w:t xml:space="preserve">raised across the </w:t>
      </w:r>
      <w:r w:rsidRPr="004A0212">
        <w:t xml:space="preserve">later part of the </w:t>
      </w:r>
      <w:r w:rsidR="01E06F63" w:rsidRPr="004A0212">
        <w:t>Inquiry period with human rights abuses in care settings, including the use of solitary confinement and allegations of torture.</w:t>
      </w:r>
      <w:r w:rsidR="001179E5" w:rsidRPr="004A0212">
        <w:rPr>
          <w:rStyle w:val="StyleFootnoteReferenceFagoFunotenzeichenFagoFunotenzeichen"/>
        </w:rPr>
        <w:footnoteReference w:id="389"/>
      </w:r>
    </w:p>
    <w:p w14:paraId="5FCB59E4" w14:textId="4A80ACF4" w:rsidR="00373F2D" w:rsidRPr="004A0212" w:rsidRDefault="76D6F87C" w:rsidP="00D01DEA">
      <w:pPr>
        <w:pStyle w:val="Heading3"/>
        <w:rPr>
          <w:rFonts w:cs="Arial"/>
        </w:rPr>
      </w:pPr>
      <w:bookmarkStart w:id="438" w:name="_Toc150933157"/>
      <w:bookmarkStart w:id="439" w:name="_Toc150953475"/>
      <w:bookmarkStart w:id="440" w:name="_Toc1210491480"/>
      <w:bookmarkStart w:id="441" w:name="_Toc168639012"/>
      <w:proofErr w:type="spellStart"/>
      <w:r w:rsidRPr="004A0212">
        <w:rPr>
          <w:rFonts w:cs="Arial"/>
        </w:rPr>
        <w:t>Mōtika</w:t>
      </w:r>
      <w:proofErr w:type="spellEnd"/>
      <w:r w:rsidRPr="004A0212">
        <w:rPr>
          <w:rFonts w:cs="Arial"/>
        </w:rPr>
        <w:t xml:space="preserve"> Māori | </w:t>
      </w:r>
      <w:r w:rsidR="6465F339" w:rsidRPr="004A0212">
        <w:rPr>
          <w:rFonts w:cs="Arial"/>
        </w:rPr>
        <w:t xml:space="preserve">Māori </w:t>
      </w:r>
      <w:r w:rsidR="20870D12" w:rsidRPr="004A0212">
        <w:rPr>
          <w:rFonts w:cs="Arial"/>
        </w:rPr>
        <w:t>rights</w:t>
      </w:r>
      <w:bookmarkEnd w:id="438"/>
      <w:bookmarkEnd w:id="439"/>
      <w:bookmarkEnd w:id="440"/>
      <w:bookmarkEnd w:id="441"/>
    </w:p>
    <w:p w14:paraId="61033BE7" w14:textId="498B76B6" w:rsidR="00525B03" w:rsidRPr="004A0212" w:rsidRDefault="773C1760" w:rsidP="007D73A6">
      <w:pPr>
        <w:pStyle w:val="AllNumbparas"/>
      </w:pPr>
      <w:r w:rsidRPr="004A0212">
        <w:t>Ongoing calls by Māori for change raised awareness of the racism and discrimination Māori consistently faced</w:t>
      </w:r>
      <w:r w:rsidR="5843A7CD" w:rsidRPr="004A0212">
        <w:t>, and some changes came about</w:t>
      </w:r>
      <w:r w:rsidRPr="004A0212">
        <w:t xml:space="preserve"> as a result</w:t>
      </w:r>
      <w:r w:rsidR="08200CD0" w:rsidRPr="004A0212">
        <w:t>.</w:t>
      </w:r>
      <w:r w:rsidR="00525B03" w:rsidRPr="004A0212">
        <w:rPr>
          <w:rStyle w:val="StyleFootnoteReferenceFagoFunotenzeichenFagoFunotenzeichen"/>
        </w:rPr>
        <w:footnoteReference w:id="390"/>
      </w:r>
      <w:r w:rsidRPr="004A0212">
        <w:rPr>
          <w:vertAlign w:val="superscript"/>
        </w:rPr>
        <w:t xml:space="preserve"> </w:t>
      </w:r>
      <w:r w:rsidRPr="004A0212">
        <w:t xml:space="preserve">Māori calls for change were the catalyst for the Treaty of Waitangi Act 1975 and establishment of the Waitangi Tribunal in 1975. </w:t>
      </w:r>
      <w:r w:rsidR="08200CD0" w:rsidRPr="004A0212">
        <w:t>These</w:t>
      </w:r>
      <w:r w:rsidRPr="004A0212">
        <w:t xml:space="preserve"> provided a legal process for historic </w:t>
      </w:r>
      <w:proofErr w:type="spellStart"/>
      <w:r w:rsidR="00485E79">
        <w:t>t</w:t>
      </w:r>
      <w:r w:rsidRPr="004A0212">
        <w:t>e</w:t>
      </w:r>
      <w:proofErr w:type="spellEnd"/>
      <w:r w:rsidRPr="004A0212">
        <w:t xml:space="preserve"> </w:t>
      </w:r>
      <w:proofErr w:type="spellStart"/>
      <w:r w:rsidRPr="004A0212">
        <w:t>Tiriti</w:t>
      </w:r>
      <w:proofErr w:type="spellEnd"/>
      <w:r w:rsidRPr="004A0212">
        <w:t xml:space="preserve"> claims and breaches to start to be investigated.</w:t>
      </w:r>
    </w:p>
    <w:p w14:paraId="2A4DEDF7" w14:textId="2A1F4725" w:rsidR="00DE41B6" w:rsidRPr="004A0212" w:rsidRDefault="76BD77FE" w:rsidP="007D73A6">
      <w:pPr>
        <w:pStyle w:val="AllNumbparas"/>
      </w:pPr>
      <w:proofErr w:type="spellStart"/>
      <w:r w:rsidRPr="004A0212">
        <w:t>Ngā</w:t>
      </w:r>
      <w:proofErr w:type="spellEnd"/>
      <w:r w:rsidRPr="004A0212">
        <w:t xml:space="preserve"> Tamatoa (The Warriors) was a </w:t>
      </w:r>
      <w:hyperlink r:id="rId11" w:tooltip="Māori people" w:history="1">
        <w:r w:rsidRPr="004A0212">
          <w:t>Māori</w:t>
        </w:r>
      </w:hyperlink>
      <w:r w:rsidRPr="004A0212">
        <w:t xml:space="preserve"> activist group formed in the 1970s to promote Māori rights. It protested breaches </w:t>
      </w:r>
      <w:r w:rsidR="569E0353" w:rsidRPr="004A0212">
        <w:t>of</w:t>
      </w:r>
      <w:r w:rsidRPr="004A0212">
        <w:t xml:space="preserve"> </w:t>
      </w:r>
      <w:proofErr w:type="spellStart"/>
      <w:r w:rsidR="00485E79">
        <w:t>t</w:t>
      </w:r>
      <w:r w:rsidRPr="004A0212">
        <w:t>e</w:t>
      </w:r>
      <w:proofErr w:type="spellEnd"/>
      <w:r w:rsidRPr="004A0212">
        <w:t xml:space="preserve"> </w:t>
      </w:r>
      <w:proofErr w:type="spellStart"/>
      <w:r w:rsidRPr="004A0212">
        <w:t>Tiriti</w:t>
      </w:r>
      <w:proofErr w:type="spellEnd"/>
      <w:r w:rsidR="376B5618" w:rsidRPr="004A0212">
        <w:t xml:space="preserve"> o Waitangi</w:t>
      </w:r>
      <w:r w:rsidR="569E0353" w:rsidRPr="004A0212">
        <w:t>. I</w:t>
      </w:r>
      <w:r w:rsidRPr="004A0212">
        <w:t xml:space="preserve">ts tactics included nationwide petitions to have the Māori language taught in schools, and submissions on </w:t>
      </w:r>
      <w:r w:rsidR="569E0353" w:rsidRPr="004A0212">
        <w:t>State</w:t>
      </w:r>
      <w:r w:rsidR="275E09DA" w:rsidRPr="004A0212">
        <w:t xml:space="preserve"> </w:t>
      </w:r>
      <w:r w:rsidRPr="004A0212">
        <w:t>policy.</w:t>
      </w:r>
      <w:r w:rsidR="00DE41B6" w:rsidRPr="004A0212">
        <w:rPr>
          <w:rStyle w:val="StyleFootnoteReferenceFagoFunotenzeichenFagoFunotenzeichen"/>
        </w:rPr>
        <w:footnoteReference w:id="391"/>
      </w:r>
    </w:p>
    <w:p w14:paraId="00EF1131" w14:textId="61962F58" w:rsidR="00373F2D" w:rsidRPr="004A0212" w:rsidRDefault="48A5A1B9" w:rsidP="007D73A6">
      <w:pPr>
        <w:pStyle w:val="AllNumbparas"/>
      </w:pPr>
      <w:proofErr w:type="spellStart"/>
      <w:r w:rsidRPr="004A0212">
        <w:t>Te</w:t>
      </w:r>
      <w:proofErr w:type="spellEnd"/>
      <w:r w:rsidRPr="004A0212">
        <w:t xml:space="preserve"> </w:t>
      </w:r>
      <w:proofErr w:type="spellStart"/>
      <w:r w:rsidRPr="004A0212">
        <w:t>Rōpū</w:t>
      </w:r>
      <w:proofErr w:type="spellEnd"/>
      <w:r w:rsidRPr="004A0212">
        <w:t xml:space="preserve"> Matakite o Aotearoa campaigned against the loss of Māori land and organised the 1975 Māori land march. The </w:t>
      </w:r>
      <w:r w:rsidR="72549DFE" w:rsidRPr="004A0212">
        <w:t>Women’s</w:t>
      </w:r>
      <w:r w:rsidRPr="004A0212">
        <w:t xml:space="preserve"> </w:t>
      </w:r>
      <w:r w:rsidR="477BD2EC" w:rsidRPr="004A0212">
        <w:t>A</w:t>
      </w:r>
      <w:r w:rsidR="5C7351B0" w:rsidRPr="004A0212">
        <w:t>nti</w:t>
      </w:r>
      <w:r w:rsidR="5A347D77" w:rsidRPr="004A0212">
        <w:t>-</w:t>
      </w:r>
      <w:r w:rsidR="77E4FF8B" w:rsidRPr="004A0212">
        <w:t>R</w:t>
      </w:r>
      <w:r w:rsidR="5C7351B0" w:rsidRPr="004A0212">
        <w:t xml:space="preserve">acism </w:t>
      </w:r>
      <w:r w:rsidRPr="004A0212">
        <w:t xml:space="preserve">Action Group was formed in 1984 to report on institutional racism in the Department of Social Welfare. </w:t>
      </w:r>
    </w:p>
    <w:p w14:paraId="6E734084" w14:textId="343A3CC4" w:rsidR="00373F2D" w:rsidRPr="004A0212" w:rsidRDefault="48A5A1B9" w:rsidP="007D73A6">
      <w:pPr>
        <w:pStyle w:val="AllNumbparas"/>
      </w:pPr>
      <w:r w:rsidRPr="004A0212">
        <w:t xml:space="preserve">The Auckland Committee on Racism and Discrimination (ACORD) worked to bring attention to abuse in care, highlighting the appalling treatment of tamariki and rangatahi </w:t>
      </w:r>
      <w:r w:rsidR="10F420E4" w:rsidRPr="004A0212">
        <w:t xml:space="preserve">Māori </w:t>
      </w:r>
      <w:r w:rsidRPr="004A0212">
        <w:t>within foster care and institutions.</w:t>
      </w:r>
      <w:r w:rsidR="00373F2D" w:rsidRPr="004A0212">
        <w:rPr>
          <w:rStyle w:val="StyleFootnoteReferenceFagoFunotenzeichenFagoFunotenzeichen"/>
        </w:rPr>
        <w:footnoteReference w:id="392"/>
      </w:r>
      <w:r w:rsidRPr="004A0212">
        <w:t xml:space="preserve"> </w:t>
      </w:r>
    </w:p>
    <w:p w14:paraId="256EEF60" w14:textId="135D8F88" w:rsidR="00373F2D" w:rsidRPr="004A0212" w:rsidRDefault="48A5A1B9" w:rsidP="007D73A6">
      <w:pPr>
        <w:pStyle w:val="AllNumbparas"/>
      </w:pPr>
      <w:r w:rsidRPr="004A0212">
        <w:t xml:space="preserve">In the 1980s, Māori continued to raise concerns about tamariki </w:t>
      </w:r>
      <w:r w:rsidR="6BF5405C" w:rsidRPr="004A0212">
        <w:t xml:space="preserve">and rangatahi Māori in social welfare </w:t>
      </w:r>
      <w:r w:rsidRPr="004A0212">
        <w:t>care</w:t>
      </w:r>
      <w:r w:rsidR="6BF5405C" w:rsidRPr="004A0212">
        <w:t xml:space="preserve"> settings</w:t>
      </w:r>
      <w:r w:rsidRPr="004A0212">
        <w:t>.</w:t>
      </w:r>
      <w:r w:rsidR="00373F2D" w:rsidRPr="004A0212">
        <w:rPr>
          <w:rStyle w:val="StyleFootnoteReferenceFagoFunotenzeichenFagoFunotenzeichen"/>
        </w:rPr>
        <w:footnoteReference w:id="393"/>
      </w:r>
      <w:r w:rsidRPr="004A0212">
        <w:t xml:space="preserve"> In 1983, the Department of Social Welfare started the </w:t>
      </w:r>
      <w:proofErr w:type="spellStart"/>
      <w:r w:rsidR="653C70FE" w:rsidRPr="004A0212" w:rsidDel="000C008F">
        <w:t>Maatua</w:t>
      </w:r>
      <w:proofErr w:type="spellEnd"/>
      <w:r w:rsidRPr="004A0212">
        <w:t xml:space="preserve"> </w:t>
      </w:r>
      <w:proofErr w:type="spellStart"/>
      <w:r w:rsidRPr="004A0212">
        <w:t>Whāngai</w:t>
      </w:r>
      <w:proofErr w:type="spellEnd"/>
      <w:r w:rsidRPr="004A0212">
        <w:t xml:space="preserve"> programme to place tamariki and rangatahi Māori in Māori homes rather than social welfare </w:t>
      </w:r>
      <w:r w:rsidR="3402DE2B" w:rsidRPr="004A0212">
        <w:t>institutions</w:t>
      </w:r>
      <w:r w:rsidRPr="004A0212">
        <w:t>.</w:t>
      </w:r>
      <w:r w:rsidR="00373F2D" w:rsidRPr="004A0212">
        <w:rPr>
          <w:rStyle w:val="StyleFootnoteReferenceFagoFunotenzeichenFagoFunotenzeichen"/>
        </w:rPr>
        <w:footnoteReference w:id="394"/>
      </w:r>
      <w:r w:rsidRPr="004A0212">
        <w:t xml:space="preserve"> </w:t>
      </w:r>
    </w:p>
    <w:p w14:paraId="2BE20F6A" w14:textId="33E92AA3" w:rsidR="00373F2D" w:rsidRPr="004A0212" w:rsidRDefault="48A5A1B9" w:rsidP="007D73A6">
      <w:pPr>
        <w:pStyle w:val="AllNumbparas"/>
      </w:pPr>
      <w:r w:rsidRPr="004A0212">
        <w:t xml:space="preserve">Amid calls from Māori for </w:t>
      </w:r>
      <w:proofErr w:type="spellStart"/>
      <w:r w:rsidRPr="004A0212">
        <w:t>tino</w:t>
      </w:r>
      <w:proofErr w:type="spellEnd"/>
      <w:r w:rsidRPr="004A0212">
        <w:t xml:space="preserve"> rangatiratanga, the </w:t>
      </w:r>
      <w:r w:rsidR="569E0353" w:rsidRPr="004A0212">
        <w:t>State</w:t>
      </w:r>
      <w:r w:rsidRPr="004A0212">
        <w:t xml:space="preserve"> set up a ministerial advisory committee in 1985 to gain a Māori perspective on how the Department of Social Welfare was operating.</w:t>
      </w:r>
      <w:r w:rsidR="00373F2D" w:rsidRPr="004A0212">
        <w:rPr>
          <w:rStyle w:val="StyleFootnoteReferenceFagoFunotenzeichenFagoFunotenzeichen"/>
        </w:rPr>
        <w:footnoteReference w:id="395"/>
      </w:r>
      <w:r w:rsidRPr="004A0212">
        <w:t xml:space="preserve"> This </w:t>
      </w:r>
      <w:r w:rsidR="569E0353" w:rsidRPr="004A0212">
        <w:t xml:space="preserve">resulted in the </w:t>
      </w:r>
      <w:proofErr w:type="spellStart"/>
      <w:r w:rsidR="569E0353" w:rsidRPr="004A0212">
        <w:t>Pūao-te-Āta-tū</w:t>
      </w:r>
      <w:proofErr w:type="spellEnd"/>
      <w:r w:rsidR="569E0353" w:rsidRPr="004A0212">
        <w:t xml:space="preserve"> R</w:t>
      </w:r>
      <w:r w:rsidRPr="004A0212">
        <w:t xml:space="preserve">eport. That report promoted a philosophy of self-help and gave a name to institutional racism. Chairman John </w:t>
      </w:r>
      <w:proofErr w:type="spellStart"/>
      <w:r w:rsidRPr="004A0212">
        <w:t>Rangihau</w:t>
      </w:r>
      <w:proofErr w:type="spellEnd"/>
      <w:r w:rsidRPr="004A0212">
        <w:t xml:space="preserve"> concluded:</w:t>
      </w:r>
    </w:p>
    <w:p w14:paraId="1A7631AC" w14:textId="0A0FD181" w:rsidR="00373F2D" w:rsidRPr="004A0212" w:rsidRDefault="00373F2D" w:rsidP="00D6367F">
      <w:pPr>
        <w:pStyle w:val="AllQuotes"/>
        <w:rPr>
          <w:rFonts w:cs="Arial"/>
        </w:rPr>
      </w:pPr>
      <w:r w:rsidRPr="004A0212">
        <w:rPr>
          <w:rFonts w:cs="Arial"/>
        </w:rPr>
        <w:t xml:space="preserve">“At the heart of the issue is a profound misunderstanding or ignorance of the place of the child in Māori society and its relationship with whānau, hapū, </w:t>
      </w:r>
      <w:r w:rsidR="00333BB5" w:rsidRPr="004A0212">
        <w:rPr>
          <w:rFonts w:cs="Arial"/>
        </w:rPr>
        <w:t xml:space="preserve">and </w:t>
      </w:r>
      <w:r w:rsidRPr="004A0212">
        <w:rPr>
          <w:rFonts w:cs="Arial"/>
        </w:rPr>
        <w:t>iwi structures.”</w:t>
      </w:r>
      <w:r w:rsidRPr="004A0212">
        <w:rPr>
          <w:rStyle w:val="StyleFootnoteReferenceFagoFunotenzeichenFagoFunotenzeichen"/>
        </w:rPr>
        <w:footnoteReference w:id="396"/>
      </w:r>
    </w:p>
    <w:p w14:paraId="435C56FF" w14:textId="55A96C7D" w:rsidR="00373F2D" w:rsidRPr="004A0212" w:rsidRDefault="48A5A1B9" w:rsidP="007D73A6">
      <w:pPr>
        <w:pStyle w:val="AllNumbparas"/>
      </w:pPr>
      <w:r w:rsidRPr="004A0212">
        <w:t xml:space="preserve">The </w:t>
      </w:r>
      <w:proofErr w:type="spellStart"/>
      <w:r w:rsidR="66B95FF6" w:rsidRPr="004A0212">
        <w:t>Pūao-te-Āta-tū</w:t>
      </w:r>
      <w:proofErr w:type="spellEnd"/>
      <w:r w:rsidR="66B95FF6" w:rsidRPr="004A0212">
        <w:t xml:space="preserve"> Report</w:t>
      </w:r>
      <w:r w:rsidRPr="004A0212">
        <w:t xml:space="preserve"> recommended that </w:t>
      </w:r>
      <w:proofErr w:type="spellStart"/>
      <w:r w:rsidR="6A3FD85E" w:rsidRPr="004A0212">
        <w:t>Mātua</w:t>
      </w:r>
      <w:proofErr w:type="spellEnd"/>
      <w:r w:rsidR="627E239D" w:rsidRPr="004A0212">
        <w:t xml:space="preserve"> </w:t>
      </w:r>
      <w:proofErr w:type="spellStart"/>
      <w:r w:rsidRPr="004A0212">
        <w:t>Whāngai</w:t>
      </w:r>
      <w:proofErr w:type="spellEnd"/>
      <w:r w:rsidRPr="004A0212">
        <w:t xml:space="preserve"> be adequately and appropriately funded through tribal authorities to focus on nurturing children within their family groups as the primary alternative to a child going into care.</w:t>
      </w:r>
      <w:r w:rsidR="00373F2D" w:rsidRPr="004A0212">
        <w:rPr>
          <w:rStyle w:val="StyleFootnoteReferenceFagoFunotenzeichenFagoFunotenzeichen"/>
        </w:rPr>
        <w:footnoteReference w:id="397"/>
      </w:r>
      <w:r w:rsidRPr="004A0212">
        <w:t xml:space="preserve"> </w:t>
      </w:r>
    </w:p>
    <w:p w14:paraId="65A43658" w14:textId="69FDE556" w:rsidR="00DC350F" w:rsidRPr="004A0212" w:rsidRDefault="48A5A1B9" w:rsidP="007D73A6">
      <w:pPr>
        <w:pStyle w:val="AllNumbparas"/>
        <w:rPr>
          <w:lang w:eastAsia="en-US"/>
        </w:rPr>
      </w:pPr>
      <w:r w:rsidRPr="004A0212">
        <w:t xml:space="preserve">The </w:t>
      </w:r>
      <w:proofErr w:type="spellStart"/>
      <w:r w:rsidR="44C27B3F" w:rsidRPr="004A0212">
        <w:t>Pūao-te-Āta-tū</w:t>
      </w:r>
      <w:proofErr w:type="spellEnd"/>
      <w:r w:rsidR="44C27B3F" w:rsidRPr="004A0212">
        <w:t xml:space="preserve"> Report </w:t>
      </w:r>
      <w:r w:rsidRPr="004A0212">
        <w:t xml:space="preserve">and the </w:t>
      </w:r>
      <w:r w:rsidR="159CAB44" w:rsidRPr="004A0212">
        <w:t>resulting</w:t>
      </w:r>
      <w:r w:rsidRPr="004A0212">
        <w:t xml:space="preserve"> legislation — the Children, Young Persons</w:t>
      </w:r>
      <w:r w:rsidR="46CA43AA" w:rsidRPr="004A0212">
        <w:t>,</w:t>
      </w:r>
      <w:r w:rsidRPr="004A0212">
        <w:t xml:space="preserve"> and Their Families Act 1989 — were considered ahead of their time.</w:t>
      </w:r>
      <w:r w:rsidR="00373F2D" w:rsidRPr="004A0212">
        <w:rPr>
          <w:rStyle w:val="StyleFootnoteReferenceFagoFunotenzeichenFagoFunotenzeichen"/>
        </w:rPr>
        <w:footnoteReference w:id="398"/>
      </w:r>
      <w:r w:rsidRPr="004A0212">
        <w:t xml:space="preserve"> </w:t>
      </w:r>
      <w:r w:rsidR="5BF383E7" w:rsidRPr="004A0212">
        <w:t xml:space="preserve">The Department of </w:t>
      </w:r>
      <w:r w:rsidRPr="004A0212">
        <w:t xml:space="preserve">Child, Youth and Family Services was established, and the report and the legislation </w:t>
      </w:r>
      <w:r w:rsidR="7BA34E9C" w:rsidRPr="004A0212">
        <w:t xml:space="preserve">were </w:t>
      </w:r>
      <w:r w:rsidRPr="004A0212">
        <w:t xml:space="preserve">intended to make whānau, hapū and iwi central to addressing the issue of children </w:t>
      </w:r>
      <w:r w:rsidR="5BF383E7" w:rsidRPr="004A0212">
        <w:t xml:space="preserve">and young </w:t>
      </w:r>
      <w:r w:rsidR="4CCF037E" w:rsidRPr="004A0212">
        <w:t>people</w:t>
      </w:r>
      <w:r w:rsidRPr="004A0212">
        <w:t xml:space="preserve"> risk. </w:t>
      </w:r>
    </w:p>
    <w:p w14:paraId="4882415D" w14:textId="4E876B0C" w:rsidR="00373F2D" w:rsidRPr="004A0212" w:rsidRDefault="1FE0595A" w:rsidP="007D73A6">
      <w:pPr>
        <w:pStyle w:val="AllNumbparas"/>
        <w:rPr>
          <w:lang w:eastAsia="en-US"/>
        </w:rPr>
      </w:pPr>
      <w:r w:rsidRPr="004A0212">
        <w:t>There were issues with the implementation of the Children, Young Persons</w:t>
      </w:r>
      <w:r w:rsidR="52011426" w:rsidRPr="004A0212">
        <w:t>,</w:t>
      </w:r>
      <w:r w:rsidRPr="004A0212">
        <w:t xml:space="preserve"> and Their Families Act 1989</w:t>
      </w:r>
      <w:r w:rsidR="7DB3A8A7" w:rsidRPr="004A0212">
        <w:t>. Experts at th</w:t>
      </w:r>
      <w:r w:rsidRPr="004A0212">
        <w:t>is</w:t>
      </w:r>
      <w:r w:rsidR="7DB3A8A7" w:rsidRPr="004A0212">
        <w:t xml:space="preserve"> Inquiry</w:t>
      </w:r>
      <w:r w:rsidRPr="004A0212">
        <w:t>’s</w:t>
      </w:r>
      <w:r w:rsidR="7DB3A8A7" w:rsidRPr="004A0212">
        <w:t xml:space="preserve"> hearings </w:t>
      </w:r>
      <w:r w:rsidR="740ACD00" w:rsidRPr="004A0212">
        <w:t xml:space="preserve">said </w:t>
      </w:r>
      <w:r w:rsidR="7DB3A8A7" w:rsidRPr="004A0212">
        <w:t xml:space="preserve">that the transformative change envisioned by </w:t>
      </w:r>
      <w:proofErr w:type="spellStart"/>
      <w:r w:rsidR="7DB3A8A7" w:rsidRPr="004A0212">
        <w:t>Pūao-te-Āta-tū</w:t>
      </w:r>
      <w:proofErr w:type="spellEnd"/>
      <w:r w:rsidR="7DB3A8A7" w:rsidRPr="004A0212">
        <w:t xml:space="preserve"> and the Children, Young Persons</w:t>
      </w:r>
      <w:r w:rsidR="52011426" w:rsidRPr="004A0212">
        <w:t>,</w:t>
      </w:r>
      <w:r w:rsidR="7DB3A8A7" w:rsidRPr="004A0212">
        <w:t xml:space="preserve"> and Their Families Act 1989</w:t>
      </w:r>
      <w:r w:rsidR="53602EE5" w:rsidRPr="004A0212">
        <w:t xml:space="preserve"> never eventuated</w:t>
      </w:r>
      <w:r w:rsidR="740ACD00" w:rsidRPr="004A0212">
        <w:t xml:space="preserve">. They attributed this to </w:t>
      </w:r>
      <w:r w:rsidR="63161E63" w:rsidRPr="004A0212">
        <w:t xml:space="preserve">a lack of momentum to sustain the changes needed, </w:t>
      </w:r>
      <w:r w:rsidR="42D6A657" w:rsidRPr="004A0212">
        <w:t>a lack of resourcing</w:t>
      </w:r>
      <w:r w:rsidR="263D6889" w:rsidRPr="004A0212">
        <w:t xml:space="preserve">, a change in </w:t>
      </w:r>
      <w:proofErr w:type="spellStart"/>
      <w:r w:rsidR="263D6889" w:rsidRPr="004A0212">
        <w:t>government</w:t>
      </w:r>
      <w:r w:rsidR="42D6A657" w:rsidRPr="004A0212">
        <w:t>and</w:t>
      </w:r>
      <w:proofErr w:type="spellEnd"/>
      <w:r w:rsidR="42D6A657" w:rsidRPr="004A0212">
        <w:t xml:space="preserve"> </w:t>
      </w:r>
      <w:r w:rsidR="15222A1E" w:rsidRPr="004A0212">
        <w:t xml:space="preserve">a political focus on family responsibility and </w:t>
      </w:r>
      <w:r w:rsidR="6E5EBD1F" w:rsidRPr="004A0212">
        <w:t>business efficiency in State services in the 19</w:t>
      </w:r>
      <w:r w:rsidRPr="004A0212">
        <w:t>9</w:t>
      </w:r>
      <w:r w:rsidR="6E5EBD1F" w:rsidRPr="004A0212">
        <w:t>0s.</w:t>
      </w:r>
      <w:r w:rsidR="7DE78CB5" w:rsidRPr="004A0212">
        <w:t xml:space="preserve"> This analysis has been echoed by historians</w:t>
      </w:r>
      <w:r w:rsidR="47349DA8" w:rsidRPr="004A0212">
        <w:t>.</w:t>
      </w:r>
      <w:r w:rsidR="00170F74" w:rsidRPr="004A0212">
        <w:rPr>
          <w:rStyle w:val="StyleFootnoteReferenceFagoFunotenzeichenFagoFunotenzeichen"/>
        </w:rPr>
        <w:footnoteReference w:id="399"/>
      </w:r>
    </w:p>
    <w:p w14:paraId="2BDA2612" w14:textId="47270471" w:rsidR="00A227EE" w:rsidRPr="004A0212" w:rsidRDefault="76D6F87C" w:rsidP="00D01DEA">
      <w:pPr>
        <w:pStyle w:val="Heading3"/>
        <w:rPr>
          <w:rFonts w:cs="Arial"/>
        </w:rPr>
      </w:pPr>
      <w:bookmarkStart w:id="442" w:name="_Toc148443656"/>
      <w:bookmarkStart w:id="443" w:name="_Toc150933158"/>
      <w:bookmarkStart w:id="444" w:name="_Toc150953476"/>
      <w:bookmarkStart w:id="445" w:name="_Toc247158633"/>
      <w:bookmarkStart w:id="446" w:name="_Toc168639013"/>
      <w:proofErr w:type="spellStart"/>
      <w:r w:rsidRPr="004A0212">
        <w:rPr>
          <w:rFonts w:cs="Arial"/>
        </w:rPr>
        <w:t>Mōtika</w:t>
      </w:r>
      <w:proofErr w:type="spellEnd"/>
      <w:r w:rsidRPr="004A0212">
        <w:rPr>
          <w:rFonts w:cs="Arial"/>
        </w:rPr>
        <w:t xml:space="preserve"> </w:t>
      </w:r>
      <w:r w:rsidR="494AFA5E" w:rsidRPr="004A0212">
        <w:rPr>
          <w:rFonts w:cs="Arial"/>
        </w:rPr>
        <w:t>T</w:t>
      </w:r>
      <w:r w:rsidRPr="004A0212">
        <w:rPr>
          <w:rFonts w:cs="Arial"/>
        </w:rPr>
        <w:t xml:space="preserve">uri | </w:t>
      </w:r>
      <w:r w:rsidR="20870D12" w:rsidRPr="004A0212">
        <w:rPr>
          <w:rFonts w:cs="Arial"/>
        </w:rPr>
        <w:t>Deaf rights</w:t>
      </w:r>
      <w:bookmarkEnd w:id="442"/>
      <w:bookmarkEnd w:id="443"/>
      <w:bookmarkEnd w:id="444"/>
      <w:bookmarkEnd w:id="445"/>
      <w:bookmarkEnd w:id="446"/>
    </w:p>
    <w:p w14:paraId="6AF350A3" w14:textId="699E3C15" w:rsidR="00A227EE" w:rsidRPr="004A0212" w:rsidRDefault="2A594C7A" w:rsidP="007D73A6">
      <w:pPr>
        <w:pStyle w:val="AllNumbparas"/>
      </w:pPr>
      <w:r w:rsidRPr="004A0212">
        <w:t xml:space="preserve">During the first half of the Inquiry period, Deaf children, young people and adults were actively discouraged or banned from speaking sign language in care settings, particularly schools. By the 1970s, </w:t>
      </w:r>
      <w:r w:rsidR="4F41F771" w:rsidRPr="004A0212">
        <w:t xml:space="preserve">Aotearoa </w:t>
      </w:r>
      <w:r w:rsidRPr="004A0212">
        <w:t>New Zealand and the international community were aware that the policy of oralism (undertaken for the past 100 years) needed to change.</w:t>
      </w:r>
      <w:r w:rsidR="00A227EE" w:rsidRPr="004A0212">
        <w:rPr>
          <w:rStyle w:val="StyleFootnoteReferenceFagoFunotenzeichenFagoFunotenzeichen"/>
        </w:rPr>
        <w:footnoteReference w:id="400"/>
      </w:r>
      <w:r w:rsidRPr="004A0212">
        <w:t xml:space="preserve"> </w:t>
      </w:r>
    </w:p>
    <w:p w14:paraId="13695DBA" w14:textId="1822EBFA" w:rsidR="00A227EE" w:rsidRPr="004A0212" w:rsidRDefault="2A594C7A" w:rsidP="007D73A6">
      <w:pPr>
        <w:pStyle w:val="AllNumbparas"/>
      </w:pPr>
      <w:r w:rsidRPr="004A0212">
        <w:t xml:space="preserve">This led to the </w:t>
      </w:r>
      <w:r w:rsidRPr="004A0212">
        <w:rPr>
          <w:rFonts w:eastAsia="Arial"/>
        </w:rPr>
        <w:t xml:space="preserve">introduction in 1979 of </w:t>
      </w:r>
      <w:r w:rsidR="569E0353" w:rsidRPr="004A0212">
        <w:rPr>
          <w:rFonts w:eastAsia="Arial"/>
        </w:rPr>
        <w:t xml:space="preserve">the </w:t>
      </w:r>
      <w:r w:rsidRPr="004A0212">
        <w:rPr>
          <w:rFonts w:eastAsia="Arial"/>
        </w:rPr>
        <w:t>Total Communication</w:t>
      </w:r>
      <w:r w:rsidR="7836F7FB" w:rsidRPr="004A0212">
        <w:rPr>
          <w:rFonts w:eastAsia="Arial"/>
        </w:rPr>
        <w:t xml:space="preserve"> </w:t>
      </w:r>
      <w:r w:rsidR="569E0353" w:rsidRPr="004A0212">
        <w:rPr>
          <w:rFonts w:eastAsia="Arial"/>
        </w:rPr>
        <w:t xml:space="preserve">approach </w:t>
      </w:r>
      <w:r w:rsidRPr="004A0212">
        <w:rPr>
          <w:rFonts w:eastAsia="Arial"/>
        </w:rPr>
        <w:t xml:space="preserve">into the education system. </w:t>
      </w:r>
      <w:r w:rsidRPr="004A0212">
        <w:t>Total Communication used some signing but mirrored English language and grammar. It continued to prohibit Deaf people from communicating in the way they wanted to.</w:t>
      </w:r>
      <w:r w:rsidR="00A227EE" w:rsidRPr="004A0212">
        <w:rPr>
          <w:rStyle w:val="StyleFootnoteReferenceFagoFunotenzeichenFagoFunotenzeichen"/>
        </w:rPr>
        <w:footnoteReference w:id="401"/>
      </w:r>
      <w:r w:rsidRPr="004A0212">
        <w:t xml:space="preserve"> It was not until the late 1980s that the </w:t>
      </w:r>
      <w:r w:rsidR="569E0353" w:rsidRPr="004A0212">
        <w:t>State</w:t>
      </w:r>
      <w:r w:rsidRPr="004A0212">
        <w:t xml:space="preserve"> and </w:t>
      </w:r>
      <w:proofErr w:type="gramStart"/>
      <w:r w:rsidRPr="004A0212">
        <w:t>general public</w:t>
      </w:r>
      <w:proofErr w:type="gramEnd"/>
      <w:r w:rsidRPr="004A0212">
        <w:t xml:space="preserve"> were increasing</w:t>
      </w:r>
      <w:r w:rsidR="049D2328" w:rsidRPr="004A0212">
        <w:t>ly</w:t>
      </w:r>
      <w:r w:rsidRPr="004A0212">
        <w:t xml:space="preserve"> aware and accepting that Deaf people had their own language</w:t>
      </w:r>
      <w:r w:rsidR="049D2328" w:rsidRPr="004A0212">
        <w:t xml:space="preserve"> and culture</w:t>
      </w:r>
      <w:r w:rsidRPr="004A0212">
        <w:t>.</w:t>
      </w:r>
      <w:r w:rsidR="00A227EE" w:rsidRPr="004A0212">
        <w:rPr>
          <w:rStyle w:val="StyleFootnoteReferenceFagoFunotenzeichenFagoFunotenzeichen"/>
        </w:rPr>
        <w:footnoteReference w:id="402"/>
      </w:r>
      <w:r w:rsidRPr="004A0212">
        <w:t xml:space="preserve"> </w:t>
      </w:r>
    </w:p>
    <w:p w14:paraId="70C31E0D" w14:textId="77777777" w:rsidR="00206D28" w:rsidRPr="004A0212" w:rsidRDefault="2649BB66" w:rsidP="00206D28">
      <w:pPr>
        <w:pStyle w:val="AllNumbparas"/>
      </w:pPr>
      <w:r w:rsidRPr="004A0212">
        <w:t xml:space="preserve">Some other developments during this period included: </w:t>
      </w:r>
    </w:p>
    <w:p w14:paraId="20AEE4BD" w14:textId="77777777" w:rsidR="00206D28" w:rsidRPr="004A0212" w:rsidRDefault="181FD656" w:rsidP="00DF328C">
      <w:pPr>
        <w:pStyle w:val="Bulletpoints"/>
      </w:pPr>
      <w:r w:rsidRPr="004A0212">
        <w:t xml:space="preserve">1977 – Deaf Association of New Zealand formed </w:t>
      </w:r>
    </w:p>
    <w:p w14:paraId="77ACB267" w14:textId="77777777" w:rsidR="00206D28" w:rsidRPr="004A0212" w:rsidRDefault="181FD656" w:rsidP="00DF328C">
      <w:pPr>
        <w:pStyle w:val="Bulletpoints"/>
      </w:pPr>
      <w:r w:rsidRPr="004A0212">
        <w:t xml:space="preserve">1983 – first national Deaf awareness week held </w:t>
      </w:r>
    </w:p>
    <w:p w14:paraId="71BDF174" w14:textId="77777777" w:rsidR="00206D28" w:rsidRPr="004A0212" w:rsidRDefault="181FD656" w:rsidP="00DF328C">
      <w:pPr>
        <w:pStyle w:val="Bulletpoints"/>
      </w:pPr>
      <w:r w:rsidRPr="004A0212">
        <w:t xml:space="preserve">1985 – first training course for NZSL interpreters </w:t>
      </w:r>
    </w:p>
    <w:p w14:paraId="4DBC4BCA" w14:textId="3C229828" w:rsidR="00206D28" w:rsidRPr="004A0212" w:rsidRDefault="181FD656" w:rsidP="00DF328C">
      <w:pPr>
        <w:pStyle w:val="Bulletpoints"/>
      </w:pPr>
      <w:r w:rsidRPr="004A0212">
        <w:t xml:space="preserve">1993 – first national hui for </w:t>
      </w:r>
      <w:r w:rsidR="00121ACD" w:rsidRPr="004A0212">
        <w:t xml:space="preserve">tāngata </w:t>
      </w:r>
      <w:r w:rsidR="29C68DFE" w:rsidRPr="004A0212">
        <w:t>T</w:t>
      </w:r>
      <w:r w:rsidRPr="004A0212">
        <w:t xml:space="preserve">uri held </w:t>
      </w:r>
    </w:p>
    <w:p w14:paraId="702C3539" w14:textId="64E96F41" w:rsidR="00206D28" w:rsidRPr="004A0212" w:rsidRDefault="181FD656" w:rsidP="00DF328C">
      <w:pPr>
        <w:pStyle w:val="Bulletpoints"/>
      </w:pPr>
      <w:r w:rsidRPr="004A0212">
        <w:t xml:space="preserve">1995 – the </w:t>
      </w:r>
      <w:proofErr w:type="spellStart"/>
      <w:r w:rsidRPr="004A0212">
        <w:t>Ako</w:t>
      </w:r>
      <w:proofErr w:type="spellEnd"/>
      <w:r w:rsidRPr="004A0212">
        <w:t xml:space="preserve"> report, commissioned by </w:t>
      </w:r>
      <w:proofErr w:type="spellStart"/>
      <w:r w:rsidRPr="004A0212">
        <w:t>Te</w:t>
      </w:r>
      <w:proofErr w:type="spellEnd"/>
      <w:r w:rsidRPr="004A0212">
        <w:t xml:space="preserve"> </w:t>
      </w:r>
      <w:proofErr w:type="spellStart"/>
      <w:r w:rsidRPr="004A0212">
        <w:t>Pūni</w:t>
      </w:r>
      <w:proofErr w:type="spellEnd"/>
      <w:r w:rsidRPr="004A0212">
        <w:t xml:space="preserve"> </w:t>
      </w:r>
      <w:proofErr w:type="spellStart"/>
      <w:r w:rsidRPr="004A0212">
        <w:t>Kōkiri</w:t>
      </w:r>
      <w:proofErr w:type="spellEnd"/>
      <w:r w:rsidRPr="004A0212">
        <w:t xml:space="preserve">, finds that </w:t>
      </w:r>
      <w:r w:rsidR="00121ACD" w:rsidRPr="004A0212">
        <w:t xml:space="preserve">tāngata </w:t>
      </w:r>
      <w:proofErr w:type="spellStart"/>
      <w:r w:rsidRPr="004A0212">
        <w:t>turi</w:t>
      </w:r>
      <w:proofErr w:type="spellEnd"/>
      <w:r w:rsidRPr="004A0212">
        <w:t xml:space="preserve"> suffer additional discrimination due to being both Deaf and Māori, and that </w:t>
      </w:r>
      <w:r w:rsidR="005B47F6" w:rsidRPr="004A0212">
        <w:t xml:space="preserve">this </w:t>
      </w:r>
      <w:r w:rsidRPr="004A0212">
        <w:t xml:space="preserve">needed to be recognised for </w:t>
      </w:r>
      <w:r w:rsidR="00121ACD" w:rsidRPr="004A0212">
        <w:t xml:space="preserve">tāngata </w:t>
      </w:r>
      <w:r w:rsidR="3D3306A9" w:rsidRPr="004A0212">
        <w:t>T</w:t>
      </w:r>
      <w:r w:rsidRPr="004A0212">
        <w:t xml:space="preserve">uri to fully exercise their </w:t>
      </w:r>
      <w:proofErr w:type="spellStart"/>
      <w:r w:rsidRPr="004A0212">
        <w:t>tino</w:t>
      </w:r>
      <w:proofErr w:type="spellEnd"/>
      <w:r w:rsidRPr="004A0212">
        <w:t xml:space="preserve"> rangatiratanga </w:t>
      </w:r>
      <w:proofErr w:type="gramStart"/>
      <w:r w:rsidR="005C61AF" w:rsidRPr="004A0212">
        <w:t>in order to</w:t>
      </w:r>
      <w:proofErr w:type="gramEnd"/>
      <w:r w:rsidRPr="004A0212">
        <w:t xml:space="preserve"> fulfil their aspirations in both the Māori and Deaf communities.</w:t>
      </w:r>
      <w:r w:rsidR="006C4B89" w:rsidRPr="004A0212">
        <w:rPr>
          <w:rStyle w:val="StyleFootnoteReferenceFagoFunotenzeichenFagoFunotenzeichen"/>
        </w:rPr>
        <w:footnoteReference w:id="403"/>
      </w:r>
    </w:p>
    <w:p w14:paraId="5620529E" w14:textId="30EF6AB1" w:rsidR="00C74A5E" w:rsidRPr="004A0212" w:rsidRDefault="3815B70C" w:rsidP="00536E67">
      <w:pPr>
        <w:pStyle w:val="AllNumbparas"/>
      </w:pPr>
      <w:r w:rsidRPr="004A0212">
        <w:t>T</w:t>
      </w:r>
      <w:r w:rsidR="7BA34E9C" w:rsidRPr="004A0212">
        <w:t>ā</w:t>
      </w:r>
      <w:r w:rsidRPr="004A0212">
        <w:t xml:space="preserve">ngata </w:t>
      </w:r>
      <w:r w:rsidR="353548E8" w:rsidRPr="004A0212">
        <w:t>T</w:t>
      </w:r>
      <w:r w:rsidRPr="004A0212">
        <w:t xml:space="preserve">uri </w:t>
      </w:r>
      <w:r w:rsidR="61CB3A6A" w:rsidRPr="004A0212">
        <w:t>identify as both M</w:t>
      </w:r>
      <w:r w:rsidR="0493AC08" w:rsidRPr="004A0212">
        <w:t>ā</w:t>
      </w:r>
      <w:r w:rsidR="61CB3A6A" w:rsidRPr="004A0212">
        <w:t xml:space="preserve">ori and Deaf, </w:t>
      </w:r>
      <w:r w:rsidR="0493AC08" w:rsidRPr="004A0212">
        <w:t xml:space="preserve">and face barriers </w:t>
      </w:r>
      <w:r w:rsidR="4DDD9137" w:rsidRPr="004A0212">
        <w:t>including a lack of trained interpreters who know both N</w:t>
      </w:r>
      <w:r w:rsidR="7BA34E9C" w:rsidRPr="004A0212">
        <w:t xml:space="preserve">ew Zealand Sign Language </w:t>
      </w:r>
      <w:r w:rsidR="4DDD9137" w:rsidRPr="004A0212">
        <w:t xml:space="preserve">and </w:t>
      </w:r>
      <w:proofErr w:type="spellStart"/>
      <w:r w:rsidR="4DDD9137" w:rsidRPr="004A0212">
        <w:t>te</w:t>
      </w:r>
      <w:proofErr w:type="spellEnd"/>
      <w:r w:rsidR="4DDD9137" w:rsidRPr="004A0212">
        <w:t xml:space="preserve"> reo M</w:t>
      </w:r>
      <w:r w:rsidR="7BA34E9C" w:rsidRPr="004A0212">
        <w:t>ā</w:t>
      </w:r>
      <w:r w:rsidR="4DDD9137" w:rsidRPr="004A0212">
        <w:t xml:space="preserve">ori.  While they are overrepresented in Deaf </w:t>
      </w:r>
      <w:r w:rsidR="7BA34E9C" w:rsidRPr="004A0212">
        <w:t>statistics</w:t>
      </w:r>
      <w:r w:rsidR="4DDD9137" w:rsidRPr="004A0212">
        <w:t>, t</w:t>
      </w:r>
      <w:r w:rsidR="7BA34E9C" w:rsidRPr="004A0212">
        <w:t>ā</w:t>
      </w:r>
      <w:r w:rsidR="4DDD9137" w:rsidRPr="004A0212">
        <w:t xml:space="preserve">ngata </w:t>
      </w:r>
      <w:r w:rsidR="30F9969A" w:rsidRPr="004A0212">
        <w:t>T</w:t>
      </w:r>
      <w:r w:rsidR="4DDD9137" w:rsidRPr="004A0212">
        <w:t>uri perspectives are underrepresented in Deaf policies.</w:t>
      </w:r>
      <w:r w:rsidR="0029319A" w:rsidRPr="004A0212">
        <w:rPr>
          <w:rStyle w:val="FootnoteReference"/>
        </w:rPr>
        <w:footnoteReference w:id="404"/>
      </w:r>
    </w:p>
    <w:p w14:paraId="7027296D" w14:textId="625CB73F" w:rsidR="00D01DEA" w:rsidRPr="004A0212" w:rsidRDefault="76D6F87C" w:rsidP="00D01DEA">
      <w:pPr>
        <w:pStyle w:val="Heading3"/>
        <w:rPr>
          <w:rFonts w:cs="Arial"/>
        </w:rPr>
      </w:pPr>
      <w:bookmarkStart w:id="447" w:name="_Toc147935463"/>
      <w:bookmarkStart w:id="448" w:name="_Toc148443657"/>
      <w:bookmarkStart w:id="449" w:name="_Toc150933160"/>
      <w:bookmarkStart w:id="450" w:name="_Toc150953478"/>
      <w:bookmarkStart w:id="451" w:name="_Toc1652694162"/>
      <w:bookmarkStart w:id="452" w:name="_Toc168639014"/>
      <w:bookmarkStart w:id="453" w:name="_Toc150933159"/>
      <w:bookmarkStart w:id="454" w:name="_Toc150953477"/>
      <w:proofErr w:type="spellStart"/>
      <w:r w:rsidRPr="004A0212">
        <w:rPr>
          <w:rFonts w:cs="Arial"/>
        </w:rPr>
        <w:t>Mōtika</w:t>
      </w:r>
      <w:proofErr w:type="spellEnd"/>
      <w:r w:rsidRPr="004A0212">
        <w:rPr>
          <w:rFonts w:cs="Arial"/>
        </w:rPr>
        <w:t xml:space="preserve"> </w:t>
      </w:r>
      <w:proofErr w:type="spellStart"/>
      <w:r w:rsidRPr="004A0212">
        <w:rPr>
          <w:rFonts w:cs="Arial"/>
        </w:rPr>
        <w:t>whaikaha</w:t>
      </w:r>
      <w:proofErr w:type="spellEnd"/>
      <w:r w:rsidRPr="004A0212">
        <w:rPr>
          <w:rFonts w:cs="Arial"/>
        </w:rPr>
        <w:t xml:space="preserve"> | </w:t>
      </w:r>
      <w:r w:rsidR="40252645" w:rsidRPr="004A0212">
        <w:rPr>
          <w:rFonts w:cs="Arial"/>
        </w:rPr>
        <w:t xml:space="preserve">Disability </w:t>
      </w:r>
      <w:bookmarkEnd w:id="447"/>
      <w:bookmarkEnd w:id="448"/>
      <w:r w:rsidR="40252645" w:rsidRPr="004A0212">
        <w:rPr>
          <w:rFonts w:cs="Arial"/>
        </w:rPr>
        <w:t>rights</w:t>
      </w:r>
      <w:bookmarkEnd w:id="449"/>
      <w:bookmarkEnd w:id="450"/>
      <w:bookmarkEnd w:id="451"/>
      <w:bookmarkEnd w:id="452"/>
    </w:p>
    <w:p w14:paraId="296D2346" w14:textId="2B2B125D" w:rsidR="00D01DEA" w:rsidRPr="004A0212" w:rsidRDefault="75C5842F" w:rsidP="007D73A6">
      <w:pPr>
        <w:pStyle w:val="AllNumbparas"/>
      </w:pPr>
      <w:r w:rsidRPr="004A0212">
        <w:t>During the 1960s and 1970s, the disability rights movement challenged the</w:t>
      </w:r>
      <w:r w:rsidRPr="004A0212" w:rsidDel="001A3142">
        <w:t xml:space="preserve"> </w:t>
      </w:r>
      <w:r w:rsidR="4F1A63DB" w:rsidRPr="004A0212">
        <w:t xml:space="preserve">State’s </w:t>
      </w:r>
      <w:r w:rsidRPr="004A0212">
        <w:t>policies and approach to the care of disabled people. Internationally, disabled people developed the social model of disability in response to the traditional medical model and attitudes.</w:t>
      </w:r>
      <w:r w:rsidR="00D01DEA" w:rsidRPr="004A0212">
        <w:rPr>
          <w:rStyle w:val="StyleFootnoteReferenceFagoFunotenzeichenFagoFunotenzeichen"/>
        </w:rPr>
        <w:footnoteReference w:id="405"/>
      </w:r>
      <w:r w:rsidRPr="004A0212">
        <w:t xml:space="preserve"> The social model “asserts that a person is disabled by society rather than by their body or abilities”.</w:t>
      </w:r>
      <w:r w:rsidR="00D01DEA" w:rsidRPr="004A0212">
        <w:rPr>
          <w:rStyle w:val="StyleFootnoteReferenceFagoFunotenzeichenFagoFunotenzeichen"/>
        </w:rPr>
        <w:footnoteReference w:id="406"/>
      </w:r>
      <w:r w:rsidRPr="004A0212">
        <w:rPr>
          <w:vertAlign w:val="superscript"/>
        </w:rPr>
        <w:t xml:space="preserve"> </w:t>
      </w:r>
    </w:p>
    <w:p w14:paraId="1E990F09" w14:textId="330B27B2" w:rsidR="00D01DEA" w:rsidRPr="004A0212" w:rsidRDefault="75C5842F" w:rsidP="007D73A6">
      <w:pPr>
        <w:pStyle w:val="AllNumbparas"/>
      </w:pPr>
      <w:r w:rsidRPr="004A0212">
        <w:t>The social model of disability, with its emphasis on removing attitud</w:t>
      </w:r>
      <w:r w:rsidR="661711D7" w:rsidRPr="004A0212">
        <w:t>inal</w:t>
      </w:r>
      <w:r w:rsidRPr="004A0212">
        <w:t xml:space="preserve"> and physical barriers to participation, led to policy shifts that enabled the closure of large institutions. The movement to deinstitutionalise </w:t>
      </w:r>
      <w:r w:rsidR="0FD3BFA9" w:rsidRPr="004A0212">
        <w:t xml:space="preserve">Aotearoa </w:t>
      </w:r>
      <w:r w:rsidRPr="004A0212">
        <w:t>New Zealand began through the advocacy of several groups and individuals. Deinstitutionalisation was first proposed in the third report of the Royal Commission into Hospital and Related Services in 1973</w:t>
      </w:r>
      <w:r w:rsidR="354FC5E3" w:rsidRPr="004A0212">
        <w:t>. This report was</w:t>
      </w:r>
      <w:r w:rsidRPr="004A0212">
        <w:t xml:space="preserve"> highly critical of putting people into institutions and recommended community-based care.</w:t>
      </w:r>
      <w:r w:rsidR="00D01DEA" w:rsidRPr="004A0212">
        <w:rPr>
          <w:rStyle w:val="StyleFootnoteReferenceFagoFunotenzeichenFagoFunotenzeichen"/>
        </w:rPr>
        <w:footnoteReference w:id="407"/>
      </w:r>
    </w:p>
    <w:p w14:paraId="70E293D3" w14:textId="6BDCD88C" w:rsidR="00D01DEA" w:rsidRPr="004A0212" w:rsidRDefault="75C5842F" w:rsidP="007D73A6">
      <w:pPr>
        <w:pStyle w:val="AllNumbparas"/>
      </w:pPr>
      <w:r w:rsidRPr="004A0212">
        <w:t xml:space="preserve">From 1974, the </w:t>
      </w:r>
      <w:r w:rsidR="569E0353" w:rsidRPr="004A0212">
        <w:t>State</w:t>
      </w:r>
      <w:r w:rsidRPr="004A0212">
        <w:t xml:space="preserve"> stopped building new psychiatric and psychopaedic hospitals.</w:t>
      </w:r>
      <w:r w:rsidR="00D01DEA" w:rsidRPr="004A0212">
        <w:rPr>
          <w:rStyle w:val="StyleFootnoteReferenceFagoFunotenzeichenFagoFunotenzeichen"/>
        </w:rPr>
        <w:footnoteReference w:id="408"/>
      </w:r>
      <w:r w:rsidRPr="004A0212">
        <w:t xml:space="preserve"> </w:t>
      </w:r>
      <w:r w:rsidR="569E0353" w:rsidRPr="004A0212">
        <w:t>Ex</w:t>
      </w:r>
      <w:r w:rsidRPr="004A0212">
        <w:t>isting institutions remained open and continued to be used. Closing</w:t>
      </w:r>
      <w:r w:rsidRPr="004A0212" w:rsidDel="00B31C80">
        <w:t xml:space="preserve"> </w:t>
      </w:r>
      <w:r w:rsidRPr="004A0212">
        <w:t xml:space="preserve">psychiatric and psychopaedic institutions took </w:t>
      </w:r>
      <w:r w:rsidR="569E0353" w:rsidRPr="004A0212">
        <w:t>more than</w:t>
      </w:r>
      <w:r w:rsidRPr="004A0212">
        <w:t xml:space="preserve"> 30 years, with Kimberley, the last of the big </w:t>
      </w:r>
      <w:r w:rsidR="3BC8077B" w:rsidRPr="004A0212">
        <w:t>psychopaedic hospitals</w:t>
      </w:r>
      <w:r w:rsidRPr="004A0212">
        <w:t>, closing in 2006.</w:t>
      </w:r>
    </w:p>
    <w:p w14:paraId="3F4DF166" w14:textId="77777777" w:rsidR="00D01DEA" w:rsidRPr="004A0212" w:rsidRDefault="75C5842F" w:rsidP="007D73A6">
      <w:pPr>
        <w:pStyle w:val="AllNumbparas"/>
      </w:pPr>
      <w:r w:rsidRPr="004A0212">
        <w:t>The first pan-disability advocacy group, the Disabled Persons Assembly, was established in 1983. This was shortly after the United Nations International Year of Disabled Persons in 1981. Other</w:t>
      </w:r>
      <w:r w:rsidRPr="004A0212" w:rsidDel="00B31C80">
        <w:t xml:space="preserve"> </w:t>
      </w:r>
      <w:r w:rsidRPr="004A0212">
        <w:t>disabled person’s</w:t>
      </w:r>
      <w:r w:rsidRPr="004A0212" w:rsidDel="00B31C80">
        <w:t xml:space="preserve"> </w:t>
      </w:r>
      <w:r w:rsidRPr="004A0212">
        <w:t>organisations joined this growing movement, including what eventually became Deaf Aotearoa.</w:t>
      </w:r>
      <w:r w:rsidR="00D01DEA" w:rsidRPr="004A0212">
        <w:rPr>
          <w:rStyle w:val="StyleFootnoteReferenceFagoFunotenzeichenFagoFunotenzeichen"/>
        </w:rPr>
        <w:footnoteReference w:id="409"/>
      </w:r>
      <w:r w:rsidRPr="004A0212">
        <w:t xml:space="preserve"> </w:t>
      </w:r>
    </w:p>
    <w:p w14:paraId="2C32B7B0" w14:textId="77777777" w:rsidR="00D01DEA" w:rsidRPr="004A0212" w:rsidRDefault="75C5842F" w:rsidP="007D73A6">
      <w:pPr>
        <w:pStyle w:val="AllNumbparas"/>
      </w:pPr>
      <w:r w:rsidRPr="004A0212">
        <w:t>The Aotearoa Network of Psychiatric Survivors was created in 1990 to support users of mental health services and improve the mental health system. It lobbied for deinstitutionalisation of care and community-based housing for former patients.</w:t>
      </w:r>
      <w:r w:rsidR="00D01DEA" w:rsidRPr="004A0212">
        <w:rPr>
          <w:rStyle w:val="StyleFootnoteReferenceFagoFunotenzeichenFagoFunotenzeichen"/>
        </w:rPr>
        <w:footnoteReference w:id="410"/>
      </w:r>
    </w:p>
    <w:p w14:paraId="1900EC91" w14:textId="0D102FF5" w:rsidR="00F13943" w:rsidRPr="004A0212" w:rsidRDefault="5A8F065B" w:rsidP="007D73A6">
      <w:pPr>
        <w:pStyle w:val="AllNumbparas"/>
      </w:pPr>
      <w:r w:rsidRPr="004A0212">
        <w:t>M</w:t>
      </w:r>
      <w:r w:rsidR="1F221D02" w:rsidRPr="004A0212">
        <w:t>ā</w:t>
      </w:r>
      <w:r w:rsidRPr="004A0212">
        <w:t>ori disability rights activist</w:t>
      </w:r>
      <w:r w:rsidR="76A48D92" w:rsidRPr="004A0212">
        <w:t>s</w:t>
      </w:r>
      <w:r w:rsidRPr="004A0212">
        <w:t xml:space="preserve"> note that despite having higher rates of disability</w:t>
      </w:r>
      <w:r w:rsidR="4F1A63DB" w:rsidRPr="004A0212">
        <w:t xml:space="preserve"> than non-Māori</w:t>
      </w:r>
      <w:r w:rsidRPr="004A0212">
        <w:t>, M</w:t>
      </w:r>
      <w:r w:rsidR="1F221D02" w:rsidRPr="004A0212">
        <w:t>ā</w:t>
      </w:r>
      <w:r w:rsidRPr="004A0212">
        <w:t xml:space="preserve">ori are </w:t>
      </w:r>
      <w:r w:rsidR="74A0F556" w:rsidRPr="004A0212">
        <w:t>not always represented in advocacy and activist groups for disability.</w:t>
      </w:r>
      <w:r w:rsidR="00556929" w:rsidRPr="004A0212">
        <w:rPr>
          <w:rStyle w:val="FootnoteReference"/>
        </w:rPr>
        <w:footnoteReference w:id="411"/>
      </w:r>
      <w:r w:rsidR="74A0F556" w:rsidRPr="004A0212">
        <w:t xml:space="preserve"> </w:t>
      </w:r>
      <w:r w:rsidR="091322CB" w:rsidRPr="004A0212">
        <w:t xml:space="preserve">In addition, disability frameworks such as the social model </w:t>
      </w:r>
      <w:r w:rsidR="771E5F13" w:rsidRPr="004A0212">
        <w:t xml:space="preserve">view disability as largely individual. This is at odds with indigenous </w:t>
      </w:r>
      <w:r w:rsidR="350E5934" w:rsidRPr="004A0212">
        <w:t>perspectives</w:t>
      </w:r>
      <w:r w:rsidR="4F1A63DB" w:rsidRPr="004A0212">
        <w:t>,</w:t>
      </w:r>
      <w:r w:rsidR="350E5934" w:rsidRPr="004A0212">
        <w:t xml:space="preserve"> which are holistic and collective.</w:t>
      </w:r>
      <w:r w:rsidR="00B663EF" w:rsidRPr="004A0212">
        <w:rPr>
          <w:rStyle w:val="FootnoteReference"/>
        </w:rPr>
        <w:footnoteReference w:id="412"/>
      </w:r>
    </w:p>
    <w:p w14:paraId="64F3EFDD" w14:textId="29D6B74B" w:rsidR="00D57676" w:rsidRPr="004A0212" w:rsidRDefault="75C5842F" w:rsidP="007F1413">
      <w:pPr>
        <w:pStyle w:val="AllNumbparas"/>
      </w:pPr>
      <w:r w:rsidRPr="004A0212">
        <w:t>The growing trend towards mainstreaming the education of learning-disabled children led the Department of Education’s special residential school rolls to shrink during the 1980s.</w:t>
      </w:r>
      <w:r w:rsidR="00D01DEA" w:rsidRPr="004A0212">
        <w:rPr>
          <w:rStyle w:val="StyleFootnoteReferenceFagoFunotenzeichenFagoFunotenzeichen"/>
        </w:rPr>
        <w:footnoteReference w:id="413"/>
      </w:r>
      <w:r w:rsidRPr="004A0212">
        <w:t> The Education Act 1989 formalised the move away from special residential schools to the State education system by increasing provisions for disabled children in mainstream education.</w:t>
      </w:r>
      <w:r w:rsidR="00D01DEA" w:rsidRPr="004A0212">
        <w:rPr>
          <w:rStyle w:val="StyleFootnoteReferenceFagoFunotenzeichenFagoFunotenzeichen"/>
        </w:rPr>
        <w:footnoteReference w:id="414"/>
      </w:r>
      <w:r w:rsidRPr="004A0212">
        <w:t xml:space="preserve"> However, the Secretary of Education could still direct a disabled child to attend a special school or class.</w:t>
      </w:r>
    </w:p>
    <w:p w14:paraId="416450BA" w14:textId="720A6BF5" w:rsidR="00D564DE" w:rsidRPr="004A0212" w:rsidRDefault="6654B998" w:rsidP="00E64135">
      <w:pPr>
        <w:pStyle w:val="Numbparas"/>
      </w:pPr>
      <w:r w:rsidRPr="004A0212">
        <w:t>In 1994 the State passed the Health and Disability Commissioner Act. As part of moves to ensure that consumers of health and disability services would have the right to be treated fairly, a Code of Health and Disability Consumer’s Rights was produced</w:t>
      </w:r>
      <w:r w:rsidR="0093123D" w:rsidRPr="004A0212">
        <w:t>. A</w:t>
      </w:r>
      <w:r w:rsidRPr="004A0212">
        <w:t xml:space="preserve">n independent commissioner </w:t>
      </w:r>
      <w:r w:rsidR="009C5569" w:rsidRPr="004A0212">
        <w:t xml:space="preserve">was </w:t>
      </w:r>
      <w:r w:rsidRPr="004A0212">
        <w:t>appointed, assisted by a free, independent national advocacy service to support people to make complaints under the code.</w:t>
      </w:r>
      <w:r w:rsidR="00D564DE" w:rsidRPr="004A0212">
        <w:rPr>
          <w:rStyle w:val="StyleFootnoteReferenceFagoFunotenzeichenFagoFunotenzeichen"/>
        </w:rPr>
        <w:footnoteReference w:id="415"/>
      </w:r>
      <w:r w:rsidRPr="004A0212">
        <w:rPr>
          <w:rStyle w:val="FootnoteReference"/>
        </w:rPr>
        <w:t xml:space="preserve"> </w:t>
      </w:r>
    </w:p>
    <w:p w14:paraId="53A86908" w14:textId="6C8223CF" w:rsidR="00E64135" w:rsidRPr="004A0212" w:rsidRDefault="45A4210B" w:rsidP="00E64135">
      <w:pPr>
        <w:pStyle w:val="Numbparas"/>
      </w:pPr>
      <w:r w:rsidRPr="004A0212">
        <w:t>The 1992 Mental Health Act established the Mental Health Review Tribunal, an independent body appointed by the Minister of Health to decide among other things, whether patients are fit to be released from compulsory status, investigate complaints about breaches of patient rights, and appoint second-opinion psychiatrists.</w:t>
      </w:r>
      <w:r w:rsidR="00E64135" w:rsidRPr="004A0212">
        <w:rPr>
          <w:rStyle w:val="StyleFootnoteReferenceFagoFunotenzeichenFagoFunotenzeichen"/>
        </w:rPr>
        <w:footnoteReference w:id="416"/>
      </w:r>
    </w:p>
    <w:p w14:paraId="76F2BD4D" w14:textId="28DAF1C6" w:rsidR="00D01DEA" w:rsidRPr="004A0212" w:rsidRDefault="75C5842F" w:rsidP="007D73A6">
      <w:pPr>
        <w:pStyle w:val="AllNumbparas"/>
        <w:rPr>
          <w:b/>
        </w:rPr>
      </w:pPr>
      <w:bookmarkStart w:id="457" w:name="_Toc117598819"/>
      <w:bookmarkStart w:id="458" w:name="_Toc117607091"/>
      <w:bookmarkStart w:id="459" w:name="_Toc118315297"/>
      <w:r w:rsidRPr="004A0212">
        <w:t>The international disability rights movement was also at the forefront of disability policies, with “Nothing about us without us” becoming the international slogan.</w:t>
      </w:r>
      <w:r w:rsidR="00D01DEA" w:rsidRPr="004A0212">
        <w:rPr>
          <w:rStyle w:val="StyleFootnoteReferenceFagoFunotenzeichenFagoFunotenzeichen"/>
        </w:rPr>
        <w:footnoteReference w:id="417"/>
      </w:r>
      <w:r w:rsidRPr="004A0212">
        <w:t xml:space="preserve"> Aotearoa New Zealand established a Minister for Disability Issues in 1999. </w:t>
      </w:r>
    </w:p>
    <w:p w14:paraId="3C3E8632" w14:textId="6861415D" w:rsidR="00D01DEA" w:rsidRPr="004A0212" w:rsidRDefault="76D6F87C" w:rsidP="00D01DEA">
      <w:pPr>
        <w:pStyle w:val="Heading3"/>
        <w:rPr>
          <w:rFonts w:cs="Arial"/>
        </w:rPr>
      </w:pPr>
      <w:bookmarkStart w:id="460" w:name="_Toc147935465"/>
      <w:bookmarkStart w:id="461" w:name="_Toc148443659"/>
      <w:bookmarkStart w:id="462" w:name="_Toc150933162"/>
      <w:bookmarkStart w:id="463" w:name="_Toc150953480"/>
      <w:bookmarkStart w:id="464" w:name="_Toc447122230"/>
      <w:bookmarkStart w:id="465" w:name="_Toc168639015"/>
      <w:bookmarkEnd w:id="457"/>
      <w:bookmarkEnd w:id="458"/>
      <w:bookmarkEnd w:id="459"/>
      <w:proofErr w:type="spellStart"/>
      <w:r w:rsidRPr="004A0212">
        <w:rPr>
          <w:rFonts w:cs="Arial"/>
        </w:rPr>
        <w:t>Mōtika</w:t>
      </w:r>
      <w:proofErr w:type="spellEnd"/>
      <w:r w:rsidRPr="004A0212">
        <w:rPr>
          <w:rFonts w:cs="Arial"/>
        </w:rPr>
        <w:t xml:space="preserve"> </w:t>
      </w:r>
      <w:proofErr w:type="spellStart"/>
      <w:r w:rsidRPr="004A0212">
        <w:rPr>
          <w:rFonts w:cs="Arial"/>
        </w:rPr>
        <w:t>takatāpui</w:t>
      </w:r>
      <w:proofErr w:type="spellEnd"/>
      <w:r w:rsidRPr="004A0212">
        <w:rPr>
          <w:rFonts w:cs="Arial"/>
        </w:rPr>
        <w:t xml:space="preserve"> | </w:t>
      </w:r>
      <w:r w:rsidR="40252645" w:rsidRPr="004A0212">
        <w:rPr>
          <w:rFonts w:cs="Arial"/>
        </w:rPr>
        <w:t>Gay rights</w:t>
      </w:r>
      <w:bookmarkEnd w:id="460"/>
      <w:bookmarkEnd w:id="461"/>
      <w:bookmarkEnd w:id="462"/>
      <w:bookmarkEnd w:id="463"/>
      <w:bookmarkEnd w:id="464"/>
      <w:bookmarkEnd w:id="465"/>
    </w:p>
    <w:p w14:paraId="45AEF66B" w14:textId="79DBD872" w:rsidR="00D01DEA" w:rsidRPr="004A0212" w:rsidRDefault="75C5842F" w:rsidP="007D73A6">
      <w:pPr>
        <w:pStyle w:val="AllNumbparas"/>
      </w:pPr>
      <w:r w:rsidRPr="004A0212">
        <w:t xml:space="preserve">The psychiatric profession’s position on homosexuality as a mental illness </w:t>
      </w:r>
      <w:r w:rsidR="230B3AB6" w:rsidRPr="004A0212">
        <w:t>began</w:t>
      </w:r>
      <w:r w:rsidRPr="004A0212">
        <w:t xml:space="preserve"> to shift by the 1970s. Psychiatric bodies in several countries removed homosexuality from their catalogues of mental disorders. In Aotearoa New Zealand, some of the key events </w:t>
      </w:r>
      <w:r w:rsidR="3EA590D4" w:rsidRPr="004A0212">
        <w:t>in these decades</w:t>
      </w:r>
      <w:r w:rsidRPr="004A0212">
        <w:t xml:space="preserve"> included:</w:t>
      </w:r>
    </w:p>
    <w:p w14:paraId="643040EF" w14:textId="5944EF5E" w:rsidR="00D01DEA" w:rsidRPr="004A0212" w:rsidRDefault="66E8F748" w:rsidP="005C4C07">
      <w:pPr>
        <w:pStyle w:val="Bulletpoints"/>
      </w:pPr>
      <w:r w:rsidRPr="004A0212">
        <w:t>1973</w:t>
      </w:r>
      <w:r w:rsidR="2C74C187" w:rsidRPr="004A0212">
        <w:t xml:space="preserve"> – </w:t>
      </w:r>
      <w:r w:rsidRPr="004A0212">
        <w:t>the first national lesbian organisation, Sisters for Homophile Equality (SHE), was formed</w:t>
      </w:r>
    </w:p>
    <w:p w14:paraId="2A37F767" w14:textId="449FCA55" w:rsidR="00D01DEA" w:rsidRPr="004A0212" w:rsidRDefault="5FBF96AA" w:rsidP="005C4C07">
      <w:pPr>
        <w:pStyle w:val="Bulletpoints"/>
      </w:pPr>
      <w:r w:rsidRPr="004A0212">
        <w:t>1970s</w:t>
      </w:r>
      <w:r w:rsidR="2C74C187" w:rsidRPr="004A0212">
        <w:t xml:space="preserve"> –</w:t>
      </w:r>
      <w:r w:rsidR="66E8F748" w:rsidRPr="004A0212">
        <w:t xml:space="preserve"> Aotearoa New Zealand Gay Pride Week and march</w:t>
      </w:r>
      <w:r w:rsidRPr="004A0212">
        <w:t xml:space="preserve"> begins</w:t>
      </w:r>
    </w:p>
    <w:p w14:paraId="65939FC3" w14:textId="4121E8E9" w:rsidR="00D01DEA" w:rsidRPr="004A0212" w:rsidRDefault="66E8F748" w:rsidP="005C4C07">
      <w:pPr>
        <w:pStyle w:val="Bulletpoints"/>
      </w:pPr>
      <w:r w:rsidRPr="004A0212">
        <w:t>1985</w:t>
      </w:r>
      <w:r w:rsidR="2C74C187" w:rsidRPr="004A0212">
        <w:t xml:space="preserve"> – </w:t>
      </w:r>
      <w:r w:rsidRPr="004A0212">
        <w:t xml:space="preserve">Fran Wilde, Labour Member of Parliament for </w:t>
      </w:r>
      <w:r w:rsidR="2C74C187" w:rsidRPr="004A0212">
        <w:t xml:space="preserve">Te Whanganui-a-Tara Wellington, </w:t>
      </w:r>
      <w:r w:rsidRPr="004A0212">
        <w:t xml:space="preserve">introduced the Homosexual Law Reform Bill. It passed in 1986, decriminalising </w:t>
      </w:r>
      <w:r w:rsidR="3207FB5D" w:rsidRPr="004A0212">
        <w:t>sexual relations between adult men</w:t>
      </w:r>
      <w:r w:rsidRPr="004A0212">
        <w:t xml:space="preserve"> </w:t>
      </w:r>
    </w:p>
    <w:p w14:paraId="7E505B02" w14:textId="0D2135D5" w:rsidR="00D57676" w:rsidRPr="004A0212" w:rsidRDefault="66E8F748" w:rsidP="005C4C07">
      <w:pPr>
        <w:pStyle w:val="Bulletpoints"/>
      </w:pPr>
      <w:r w:rsidRPr="004A0212">
        <w:t>1993</w:t>
      </w:r>
      <w:r w:rsidR="2C74C187" w:rsidRPr="004A0212">
        <w:t xml:space="preserve"> – </w:t>
      </w:r>
      <w:r w:rsidRPr="004A0212">
        <w:t>the Human Rights Act was passed and included the prohibition of discrimination based on sexual orientation.</w:t>
      </w:r>
      <w:r w:rsidR="00D01DEA" w:rsidRPr="004A0212">
        <w:rPr>
          <w:rStyle w:val="StyleFootnoteReferenceFagoFunotenzeichenFagoFunotenzeichen"/>
        </w:rPr>
        <w:footnoteReference w:id="418"/>
      </w:r>
    </w:p>
    <w:p w14:paraId="69C2A5FB" w14:textId="6CF5C11E" w:rsidR="00867B0B" w:rsidRPr="004A0212" w:rsidRDefault="76D6F87C" w:rsidP="00867B0B">
      <w:pPr>
        <w:pStyle w:val="Heading3"/>
        <w:rPr>
          <w:rFonts w:cs="Arial"/>
          <w:shd w:val="clear" w:color="auto" w:fill="FFFFFF"/>
        </w:rPr>
      </w:pPr>
      <w:bookmarkStart w:id="466" w:name="_Toc1928644801"/>
      <w:bookmarkStart w:id="467" w:name="_Toc168639016"/>
      <w:proofErr w:type="spellStart"/>
      <w:r w:rsidRPr="004A0212">
        <w:rPr>
          <w:rFonts w:cs="Arial"/>
          <w:shd w:val="clear" w:color="auto" w:fill="FFFFFF"/>
        </w:rPr>
        <w:t>Mōtika</w:t>
      </w:r>
      <w:proofErr w:type="spellEnd"/>
      <w:r w:rsidRPr="004A0212">
        <w:rPr>
          <w:rFonts w:cs="Arial"/>
          <w:shd w:val="clear" w:color="auto" w:fill="FFFFFF"/>
        </w:rPr>
        <w:t xml:space="preserve"> </w:t>
      </w:r>
      <w:proofErr w:type="spellStart"/>
      <w:r w:rsidRPr="004A0212">
        <w:rPr>
          <w:rFonts w:cs="Arial"/>
          <w:shd w:val="clear" w:color="auto" w:fill="FFFFFF"/>
        </w:rPr>
        <w:t>tamariki</w:t>
      </w:r>
      <w:proofErr w:type="spellEnd"/>
      <w:r w:rsidRPr="004A0212">
        <w:rPr>
          <w:rFonts w:cs="Arial"/>
          <w:shd w:val="clear" w:color="auto" w:fill="FFFFFF"/>
        </w:rPr>
        <w:t xml:space="preserve"> | </w:t>
      </w:r>
      <w:r w:rsidR="07107176" w:rsidRPr="004A0212">
        <w:rPr>
          <w:rFonts w:cs="Arial"/>
          <w:shd w:val="clear" w:color="auto" w:fill="FFFFFF"/>
        </w:rPr>
        <w:t>Rights of children</w:t>
      </w:r>
      <w:bookmarkEnd w:id="466"/>
      <w:bookmarkEnd w:id="467"/>
    </w:p>
    <w:p w14:paraId="6B667B47" w14:textId="3926A171" w:rsidR="00867B0B" w:rsidRPr="004A0212" w:rsidRDefault="758083CD" w:rsidP="007D73A6">
      <w:pPr>
        <w:pStyle w:val="AllNumbparas"/>
      </w:pPr>
      <w:r w:rsidRPr="004A0212">
        <w:t xml:space="preserve">Specific rights for children and young people </w:t>
      </w:r>
      <w:r w:rsidR="3D1F6CF1" w:rsidRPr="004A0212">
        <w:t xml:space="preserve">increased across the last three decades of the Inquiry period. </w:t>
      </w:r>
      <w:r w:rsidR="186F6E2B" w:rsidRPr="004A0212">
        <w:t xml:space="preserve">The Children and Young Persons Act 1974 </w:t>
      </w:r>
      <w:r w:rsidR="186F6E2B" w:rsidRPr="004A0212">
        <w:rPr>
          <w:rStyle w:val="normaltextrun"/>
        </w:rPr>
        <w:t>allowed the Children’s Court to remand children and young people in penal institutions if there was no suitable alternative.</w:t>
      </w:r>
      <w:r w:rsidR="00867B0B" w:rsidRPr="004A0212">
        <w:rPr>
          <w:rStyle w:val="StyleFootnoteReferenceFagoFunotenzeichenFagoFunotenzeichen"/>
        </w:rPr>
        <w:footnoteReference w:id="419"/>
      </w:r>
      <w:r w:rsidR="186F6E2B" w:rsidRPr="004A0212">
        <w:rPr>
          <w:rStyle w:val="normaltextrun"/>
        </w:rPr>
        <w:t xml:space="preserve"> This was changed in 1985 when only those aged 16 years and over who committed violent offences could be sent to a</w:t>
      </w:r>
      <w:r w:rsidR="186F6E2B" w:rsidRPr="004A0212">
        <w:t xml:space="preserve"> penal institution.</w:t>
      </w:r>
      <w:r w:rsidR="00867B0B" w:rsidRPr="004A0212">
        <w:rPr>
          <w:rStyle w:val="StyleFootnoteReferenceFagoFunotenzeichenFagoFunotenzeichen"/>
        </w:rPr>
        <w:footnoteReference w:id="420"/>
      </w:r>
    </w:p>
    <w:p w14:paraId="6362D0FE" w14:textId="287648B1" w:rsidR="00EC3169" w:rsidRPr="004A0212" w:rsidRDefault="422D2082" w:rsidP="00EC3169">
      <w:pPr>
        <w:pStyle w:val="Numbparas"/>
      </w:pPr>
      <w:r w:rsidRPr="004A0212">
        <w:t xml:space="preserve">The Children, Young </w:t>
      </w:r>
      <w:r w:rsidR="35A9C881" w:rsidRPr="004A0212">
        <w:t xml:space="preserve">Persons, </w:t>
      </w:r>
      <w:r w:rsidRPr="004A0212">
        <w:t xml:space="preserve">and </w:t>
      </w:r>
      <w:r w:rsidR="35A9C881" w:rsidRPr="004A0212">
        <w:t>T</w:t>
      </w:r>
      <w:r w:rsidRPr="004A0212">
        <w:t>heir Families Act 1989 established the role of the Children’s Commissioner.</w:t>
      </w:r>
      <w:r w:rsidR="00EC3169" w:rsidRPr="004A0212">
        <w:rPr>
          <w:rStyle w:val="StyleFootnoteReferenceFagoFunotenzeichenFagoFunotenzeichen"/>
        </w:rPr>
        <w:footnoteReference w:id="421"/>
      </w:r>
      <w:r w:rsidRPr="004A0212">
        <w:rPr>
          <w:rStyle w:val="FootnoteReference"/>
        </w:rPr>
        <w:t xml:space="preserve"> </w:t>
      </w:r>
      <w:r w:rsidRPr="004A0212">
        <w:t xml:space="preserve">The Commissioner’s role is to assess and monitor the policies and practices provided under the Children, Young </w:t>
      </w:r>
      <w:r w:rsidR="35A9C881" w:rsidRPr="004A0212">
        <w:t xml:space="preserve">Persons, </w:t>
      </w:r>
      <w:r w:rsidRPr="004A0212">
        <w:t xml:space="preserve">and </w:t>
      </w:r>
      <w:r w:rsidR="35A9C881" w:rsidRPr="004A0212">
        <w:t>T</w:t>
      </w:r>
      <w:r w:rsidRPr="004A0212">
        <w:t>heir Families Act 1989 and the outcomes being achieved for children in care.</w:t>
      </w:r>
      <w:r w:rsidR="00EC3169" w:rsidRPr="004A0212">
        <w:rPr>
          <w:rStyle w:val="StyleFootnoteReferenceFagoFunotenzeichenFagoFunotenzeichen"/>
        </w:rPr>
        <w:footnoteReference w:id="422"/>
      </w:r>
      <w:r w:rsidRPr="004A0212">
        <w:rPr>
          <w:rStyle w:val="FootnoteReference"/>
        </w:rPr>
        <w:t xml:space="preserve"> </w:t>
      </w:r>
    </w:p>
    <w:p w14:paraId="55943E9D" w14:textId="62106273" w:rsidR="00867B0B" w:rsidRPr="004A0212" w:rsidRDefault="1799BA96" w:rsidP="007D73A6">
      <w:pPr>
        <w:pStyle w:val="AllNumbparas"/>
      </w:pPr>
      <w:r w:rsidRPr="004A0212">
        <w:t xml:space="preserve">Aotearoa New Zealand </w:t>
      </w:r>
      <w:r w:rsidR="3E151EEF" w:rsidRPr="004A0212">
        <w:t xml:space="preserve">ratified the United Nation Convention of the Rights of the Child (UNCROC) in 1993. </w:t>
      </w:r>
      <w:r w:rsidR="569E0353" w:rsidRPr="004A0212">
        <w:t>UNCROC</w:t>
      </w:r>
      <w:r w:rsidR="186F6E2B" w:rsidRPr="004A0212">
        <w:t xml:space="preserve"> defines a child as every human below the age of 18 years. Article 19 specifies the child’s right to protection from all forms of physical or mental violence, injury or abuse, neglect or negligent treatment, maltreatment or exploitation, including sexual abuse.</w:t>
      </w:r>
      <w:r w:rsidR="00867B0B" w:rsidRPr="004A0212">
        <w:rPr>
          <w:rStyle w:val="StyleFootnoteReferenceFagoFunotenzeichenFagoFunotenzeichen"/>
        </w:rPr>
        <w:footnoteReference w:id="423"/>
      </w:r>
    </w:p>
    <w:p w14:paraId="3332F590" w14:textId="77777777" w:rsidR="00867B0B" w:rsidRPr="004A0212" w:rsidRDefault="186F6E2B" w:rsidP="007D73A6">
      <w:pPr>
        <w:pStyle w:val="AllNumbparas"/>
      </w:pPr>
      <w:r w:rsidRPr="004A0212">
        <w:t>The convention reflected decades of activism and growing awareness of children’s rights. It set out children’s rights and the responsibility of parents, adults and governments to ensure children receive these entitlements. The convention was instrumental in creating a new perspective toward children in the countries that signed up. Aotearoa New Zealand signed the convention in 1993.</w:t>
      </w:r>
      <w:r w:rsidR="00867B0B" w:rsidRPr="004A0212">
        <w:rPr>
          <w:rStyle w:val="StyleFootnoteReferenceFagoFunotenzeichenFagoFunotenzeichen"/>
        </w:rPr>
        <w:footnoteReference w:id="424"/>
      </w:r>
    </w:p>
    <w:p w14:paraId="2AD375BA" w14:textId="62DDBD48" w:rsidR="007A349A" w:rsidRPr="004A0212" w:rsidRDefault="1799BA96" w:rsidP="007D73A6">
      <w:pPr>
        <w:pStyle w:val="AllNumbparas"/>
      </w:pPr>
      <w:r w:rsidRPr="004A0212">
        <w:t>The United Nations Committee on the Rights of the Child</w:t>
      </w:r>
      <w:r w:rsidR="4D6D681E" w:rsidRPr="004A0212">
        <w:t xml:space="preserve"> (UNCROC)</w:t>
      </w:r>
      <w:r w:rsidRPr="004A0212">
        <w:t xml:space="preserve"> expressed its concern in 1997 that Aotearoa New Zealand’s minimum age for charging a child with serious offences did not conform with the definition of the child in the UNCROC and recommended “that the [New Zealand] Government pursue the process of bringing existing legislation into line with the principles and provisions of the Convention”.</w:t>
      </w:r>
      <w:r w:rsidR="007A349A" w:rsidRPr="004A0212">
        <w:rPr>
          <w:rStyle w:val="StyleFootnoteReferenceFagoFunotenzeichenFagoFunotenzeichen"/>
        </w:rPr>
        <w:footnoteReference w:id="425"/>
      </w:r>
    </w:p>
    <w:p w14:paraId="033690AB" w14:textId="02707FC7" w:rsidR="000E7F2C" w:rsidRPr="004A0212" w:rsidRDefault="76D6F87C" w:rsidP="00D01DEA">
      <w:pPr>
        <w:pStyle w:val="Heading3"/>
        <w:rPr>
          <w:rFonts w:cs="Arial"/>
        </w:rPr>
      </w:pPr>
      <w:bookmarkStart w:id="468" w:name="_Toc317793364"/>
      <w:bookmarkStart w:id="469" w:name="_Toc168639017"/>
      <w:proofErr w:type="spellStart"/>
      <w:r w:rsidRPr="004A0212">
        <w:rPr>
          <w:rFonts w:cs="Arial"/>
        </w:rPr>
        <w:t>Mōtika</w:t>
      </w:r>
      <w:proofErr w:type="spellEnd"/>
      <w:r w:rsidRPr="004A0212">
        <w:rPr>
          <w:rFonts w:cs="Arial"/>
        </w:rPr>
        <w:t xml:space="preserve"> iwi Pasifika | </w:t>
      </w:r>
      <w:r w:rsidR="4E0F4E89" w:rsidRPr="004A0212">
        <w:rPr>
          <w:rFonts w:cs="Arial"/>
        </w:rPr>
        <w:t xml:space="preserve">Pacific </w:t>
      </w:r>
      <w:r w:rsidR="29EEAE58" w:rsidRPr="004A0212">
        <w:rPr>
          <w:rFonts w:cs="Arial"/>
        </w:rPr>
        <w:t>P</w:t>
      </w:r>
      <w:r w:rsidR="52B73637" w:rsidRPr="004A0212">
        <w:rPr>
          <w:rFonts w:cs="Arial"/>
        </w:rPr>
        <w:t>eoples</w:t>
      </w:r>
      <w:r w:rsidR="68629BAB" w:rsidRPr="004A0212">
        <w:rPr>
          <w:rFonts w:cs="Arial"/>
        </w:rPr>
        <w:t>’</w:t>
      </w:r>
      <w:r w:rsidR="4E0F4E89" w:rsidRPr="004A0212">
        <w:rPr>
          <w:rFonts w:cs="Arial"/>
        </w:rPr>
        <w:t xml:space="preserve"> rights</w:t>
      </w:r>
      <w:bookmarkEnd w:id="453"/>
      <w:bookmarkEnd w:id="454"/>
      <w:bookmarkEnd w:id="468"/>
      <w:bookmarkEnd w:id="469"/>
    </w:p>
    <w:p w14:paraId="1D98CBB6" w14:textId="150EC230" w:rsidR="000E7F2C" w:rsidRPr="004A0212" w:rsidRDefault="43113666" w:rsidP="007D73A6">
      <w:pPr>
        <w:pStyle w:val="AllNumbparas"/>
      </w:pPr>
      <w:r w:rsidRPr="004A0212">
        <w:t xml:space="preserve">Pacific Peoples born in </w:t>
      </w:r>
      <w:r w:rsidR="569E0353" w:rsidRPr="004A0212">
        <w:t xml:space="preserve">Aotearoa </w:t>
      </w:r>
      <w:r w:rsidR="5A87511F" w:rsidRPr="004A0212">
        <w:t>New Zealand formed the Polynesian Panther Party in response to the growing racism and discrimination they faced.</w:t>
      </w:r>
      <w:r w:rsidR="000E7F2C" w:rsidRPr="004A0212">
        <w:rPr>
          <w:rStyle w:val="StyleFootnoteReferenceFagoFunotenzeichenFagoFunotenzeichen"/>
        </w:rPr>
        <w:footnoteReference w:id="426"/>
      </w:r>
      <w:r w:rsidR="5A87511F" w:rsidRPr="004A0212">
        <w:rPr>
          <w:vertAlign w:val="superscript"/>
        </w:rPr>
        <w:t xml:space="preserve"> </w:t>
      </w:r>
      <w:r w:rsidR="5A87511F" w:rsidRPr="004A0212">
        <w:t xml:space="preserve">The Polynesian Panther movement was the major opposer of the </w:t>
      </w:r>
      <w:r w:rsidR="2115A621" w:rsidRPr="004A0212">
        <w:t>D</w:t>
      </w:r>
      <w:r w:rsidR="4663EFE3" w:rsidRPr="004A0212">
        <w:t>awn</w:t>
      </w:r>
      <w:r w:rsidR="5A87511F" w:rsidRPr="004A0212" w:rsidDel="00F84445">
        <w:t xml:space="preserve"> </w:t>
      </w:r>
      <w:r w:rsidR="2115A621" w:rsidRPr="004A0212">
        <w:t>R</w:t>
      </w:r>
      <w:r w:rsidR="4663EFE3" w:rsidRPr="004A0212">
        <w:t xml:space="preserve">aids </w:t>
      </w:r>
      <w:r w:rsidR="5A87511F" w:rsidRPr="004A0212">
        <w:t xml:space="preserve">and fought for a fairer immigration policy, and for better conditions for Pacific migrant workers. </w:t>
      </w:r>
    </w:p>
    <w:p w14:paraId="09CBCEC6" w14:textId="77777777" w:rsidR="000E7F2C" w:rsidRPr="004A0212" w:rsidRDefault="5A87511F" w:rsidP="007D73A6">
      <w:pPr>
        <w:pStyle w:val="AllNumbparas"/>
      </w:pPr>
      <w:r w:rsidRPr="004A0212">
        <w:t>Through their efforts they drew national attention to the poor conditions of Pacific migrants and the discrimination they faced.</w:t>
      </w:r>
      <w:r w:rsidR="000E7F2C" w:rsidRPr="004A0212">
        <w:rPr>
          <w:rStyle w:val="StyleFootnoteReferenceFagoFunotenzeichenFagoFunotenzeichen"/>
        </w:rPr>
        <w:footnoteReference w:id="427"/>
      </w:r>
    </w:p>
    <w:p w14:paraId="2AF963F5" w14:textId="77777777" w:rsidR="00A622BB" w:rsidRPr="004A0212" w:rsidRDefault="00A622BB">
      <w:pPr>
        <w:keepLines w:val="0"/>
        <w:rPr>
          <w:rFonts w:ascii="Arial" w:hAnsi="Arial" w:cs="Arial"/>
          <w:b/>
          <w:bCs/>
          <w:color w:val="4F7D29" w:themeColor="accent4"/>
          <w:sz w:val="36"/>
          <w:szCs w:val="36"/>
          <w:lang w:eastAsia="en-NZ"/>
        </w:rPr>
      </w:pPr>
      <w:bookmarkStart w:id="470" w:name="_Toc150933163"/>
      <w:bookmarkStart w:id="471" w:name="_Toc150953481"/>
      <w:r w:rsidRPr="004A0212">
        <w:br w:type="page"/>
      </w:r>
    </w:p>
    <w:p w14:paraId="4CD6F28E" w14:textId="58900950" w:rsidR="7ACEC06F" w:rsidRPr="004A0212" w:rsidRDefault="00D434AD" w:rsidP="0A27D6D4">
      <w:pPr>
        <w:pStyle w:val="Heading1"/>
      </w:pPr>
      <w:bookmarkStart w:id="472" w:name="_Toc1939062526"/>
      <w:bookmarkStart w:id="473" w:name="_Toc168639018"/>
      <w:proofErr w:type="spellStart"/>
      <w:r w:rsidRPr="004A0212">
        <w:t>Ū</w:t>
      </w:r>
      <w:r w:rsidR="232870CB" w:rsidRPr="004A0212">
        <w:t>poko</w:t>
      </w:r>
      <w:proofErr w:type="spellEnd"/>
      <w:r w:rsidR="232870CB" w:rsidRPr="004A0212">
        <w:t xml:space="preserve"> 8: </w:t>
      </w:r>
      <w:proofErr w:type="spellStart"/>
      <w:r w:rsidR="232870CB" w:rsidRPr="004A0212">
        <w:t>Ngā</w:t>
      </w:r>
      <w:proofErr w:type="spellEnd"/>
      <w:r w:rsidR="232870CB" w:rsidRPr="004A0212">
        <w:t xml:space="preserve"> </w:t>
      </w:r>
      <w:proofErr w:type="spellStart"/>
      <w:r w:rsidR="232870CB" w:rsidRPr="004A0212">
        <w:t>raraunga</w:t>
      </w:r>
      <w:proofErr w:type="spellEnd"/>
      <w:r w:rsidR="232870CB" w:rsidRPr="004A0212">
        <w:t xml:space="preserve"> </w:t>
      </w:r>
      <w:proofErr w:type="spellStart"/>
      <w:r w:rsidR="232870CB" w:rsidRPr="004A0212">
        <w:t>hangapori</w:t>
      </w:r>
      <w:proofErr w:type="spellEnd"/>
      <w:r w:rsidR="232870CB" w:rsidRPr="004A0212">
        <w:t xml:space="preserve"> </w:t>
      </w:r>
      <w:proofErr w:type="spellStart"/>
      <w:r w:rsidR="232870CB" w:rsidRPr="004A0212">
        <w:t>mō</w:t>
      </w:r>
      <w:proofErr w:type="spellEnd"/>
      <w:r w:rsidR="232870CB" w:rsidRPr="004A0212">
        <w:t xml:space="preserve"> </w:t>
      </w:r>
      <w:proofErr w:type="spellStart"/>
      <w:r w:rsidR="232870CB" w:rsidRPr="004A0212">
        <w:t>te</w:t>
      </w:r>
      <w:proofErr w:type="spellEnd"/>
      <w:r w:rsidR="232870CB" w:rsidRPr="004A0212">
        <w:t xml:space="preserve"> </w:t>
      </w:r>
      <w:proofErr w:type="spellStart"/>
      <w:r w:rsidR="232870CB" w:rsidRPr="004A0212">
        <w:t>wā</w:t>
      </w:r>
      <w:proofErr w:type="spellEnd"/>
      <w:r w:rsidR="232870CB" w:rsidRPr="004A0212">
        <w:t xml:space="preserve"> </w:t>
      </w:r>
      <w:proofErr w:type="spellStart"/>
      <w:r w:rsidR="232870CB" w:rsidRPr="004A0212">
        <w:t>Pakirehua</w:t>
      </w:r>
      <w:bookmarkEnd w:id="472"/>
      <w:bookmarkEnd w:id="473"/>
      <w:proofErr w:type="spellEnd"/>
    </w:p>
    <w:p w14:paraId="2F5B873D" w14:textId="5E65CA75" w:rsidR="00534352" w:rsidRPr="004A0212" w:rsidRDefault="64092E7D" w:rsidP="0042107B">
      <w:pPr>
        <w:pStyle w:val="Heading1"/>
      </w:pPr>
      <w:bookmarkStart w:id="474" w:name="_Toc1988214783"/>
      <w:bookmarkStart w:id="475" w:name="_Toc168639019"/>
      <w:r w:rsidRPr="004A0212">
        <w:t>Chapter</w:t>
      </w:r>
      <w:r w:rsidR="15FA730A" w:rsidRPr="004A0212">
        <w:t xml:space="preserve"> </w:t>
      </w:r>
      <w:r w:rsidR="0E1527B7" w:rsidRPr="004A0212">
        <w:t>8</w:t>
      </w:r>
      <w:r w:rsidRPr="004A0212">
        <w:t xml:space="preserve">: </w:t>
      </w:r>
      <w:r w:rsidR="7251FABC" w:rsidRPr="004A0212">
        <w:t>D</w:t>
      </w:r>
      <w:r w:rsidR="4A169323" w:rsidRPr="004A0212">
        <w:t xml:space="preserve">emographic </w:t>
      </w:r>
      <w:r w:rsidR="0FF873F7" w:rsidRPr="004A0212">
        <w:t xml:space="preserve">data </w:t>
      </w:r>
      <w:r w:rsidR="00D60CFF" w:rsidRPr="004A0212">
        <w:t>for the Inquiry period</w:t>
      </w:r>
      <w:bookmarkEnd w:id="470"/>
      <w:bookmarkEnd w:id="471"/>
      <w:bookmarkEnd w:id="474"/>
      <w:bookmarkEnd w:id="475"/>
    </w:p>
    <w:p w14:paraId="578FC84C" w14:textId="51468EA3" w:rsidR="00477718" w:rsidRPr="004A0212" w:rsidRDefault="6D509A33" w:rsidP="007D73A6">
      <w:pPr>
        <w:pStyle w:val="AllNumbparas"/>
      </w:pPr>
      <w:r w:rsidRPr="004A0212">
        <w:t xml:space="preserve">This </w:t>
      </w:r>
      <w:r w:rsidR="73BC427B" w:rsidRPr="004A0212">
        <w:t>chapter sets out</w:t>
      </w:r>
      <w:r w:rsidRPr="004A0212">
        <w:t xml:space="preserve"> general demographic data about the Inquiry period and </w:t>
      </w:r>
      <w:r w:rsidR="569E0353" w:rsidRPr="004A0212">
        <w:t>its</w:t>
      </w:r>
      <w:r w:rsidRPr="004A0212">
        <w:t xml:space="preserve"> three key cohorts. This data is separate from any data about the care settings and the </w:t>
      </w:r>
      <w:r w:rsidR="1F8974EC" w:rsidRPr="004A0212">
        <w:t xml:space="preserve">Inquiry’s collected </w:t>
      </w:r>
      <w:r w:rsidRPr="004A0212">
        <w:t>data</w:t>
      </w:r>
      <w:r w:rsidR="1F8974EC" w:rsidRPr="004A0212">
        <w:t>.</w:t>
      </w:r>
    </w:p>
    <w:p w14:paraId="210CCB33" w14:textId="2F6DBC56" w:rsidR="00B57F06" w:rsidRPr="004A0212" w:rsidRDefault="32028BA3" w:rsidP="00B57F06">
      <w:pPr>
        <w:pStyle w:val="Heading2"/>
        <w:rPr>
          <w:rFonts w:cs="Arial"/>
        </w:rPr>
      </w:pPr>
      <w:bookmarkStart w:id="476" w:name="_Toc1071902553"/>
      <w:bookmarkStart w:id="477" w:name="_Toc168639020"/>
      <w:proofErr w:type="spellStart"/>
      <w:r w:rsidRPr="004A0212">
        <w:rPr>
          <w:rFonts w:cs="Arial"/>
        </w:rPr>
        <w:t>Raraunga</w:t>
      </w:r>
      <w:proofErr w:type="spellEnd"/>
      <w:r w:rsidRPr="004A0212">
        <w:rPr>
          <w:rFonts w:cs="Arial"/>
        </w:rPr>
        <w:t xml:space="preserve"> e </w:t>
      </w:r>
      <w:proofErr w:type="spellStart"/>
      <w:r w:rsidRPr="004A0212">
        <w:rPr>
          <w:rFonts w:cs="Arial"/>
        </w:rPr>
        <w:t>hāngai</w:t>
      </w:r>
      <w:proofErr w:type="spellEnd"/>
      <w:r w:rsidRPr="004A0212">
        <w:rPr>
          <w:rFonts w:cs="Arial"/>
        </w:rPr>
        <w:t xml:space="preserve"> ana ki </w:t>
      </w:r>
      <w:proofErr w:type="spellStart"/>
      <w:r w:rsidRPr="004A0212">
        <w:rPr>
          <w:rFonts w:cs="Arial"/>
        </w:rPr>
        <w:t>te</w:t>
      </w:r>
      <w:proofErr w:type="spellEnd"/>
      <w:r w:rsidRPr="004A0212">
        <w:rPr>
          <w:rFonts w:cs="Arial"/>
        </w:rPr>
        <w:t xml:space="preserve"> iwi Māori</w:t>
      </w:r>
      <w:r w:rsidR="61DC9185" w:rsidRPr="004A0212">
        <w:rPr>
          <w:rFonts w:cs="Arial"/>
        </w:rPr>
        <w:t xml:space="preserve"> | </w:t>
      </w:r>
      <w:r w:rsidR="7251FABC" w:rsidRPr="004A0212">
        <w:rPr>
          <w:rFonts w:cs="Arial"/>
        </w:rPr>
        <w:t>D</w:t>
      </w:r>
      <w:r w:rsidR="64092E7D" w:rsidRPr="004A0212">
        <w:rPr>
          <w:rFonts w:cs="Arial"/>
        </w:rPr>
        <w:t xml:space="preserve">ata </w:t>
      </w:r>
      <w:r w:rsidR="2C131258" w:rsidRPr="004A0212">
        <w:rPr>
          <w:rFonts w:cs="Arial"/>
        </w:rPr>
        <w:t>relating to</w:t>
      </w:r>
      <w:r w:rsidR="64092E7D" w:rsidRPr="004A0212">
        <w:rPr>
          <w:rFonts w:cs="Arial"/>
        </w:rPr>
        <w:t xml:space="preserve"> Māori</w:t>
      </w:r>
      <w:bookmarkEnd w:id="476"/>
      <w:bookmarkEnd w:id="477"/>
    </w:p>
    <w:p w14:paraId="5EB01322" w14:textId="6A75A8F6" w:rsidR="00CC20FC" w:rsidRPr="004A0212" w:rsidRDefault="054E6A75" w:rsidP="009553A1">
      <w:pPr>
        <w:pStyle w:val="Numbparas"/>
      </w:pPr>
      <w:bookmarkStart w:id="478" w:name="_Toc148443593"/>
      <w:r w:rsidRPr="004A0212">
        <w:t>The Māori population increased from 1950 to 1999, both in numbers and as a proportion of Aotearoa New Zealand’s total population. The 1951 census recorded almost 6 percent of the population as Māori</w:t>
      </w:r>
      <w:r w:rsidR="00CC20FC" w:rsidRPr="004A0212">
        <w:rPr>
          <w:rStyle w:val="StyleFootnoteReferenceFagoFunotenzeichenFagoFunotenzeichen"/>
        </w:rPr>
        <w:footnoteReference w:id="428"/>
      </w:r>
      <w:r w:rsidRPr="004A0212">
        <w:t xml:space="preserve"> compared to almost 9 percent in 1976, and 14 percent in 1996.</w:t>
      </w:r>
      <w:r w:rsidR="00CC20FC" w:rsidRPr="004A0212">
        <w:rPr>
          <w:rStyle w:val="StyleFootnoteReferenceFagoFunotenzeichenFagoFunotenzeichen"/>
        </w:rPr>
        <w:footnoteReference w:id="429"/>
      </w:r>
      <w:r w:rsidRPr="004A0212">
        <w:t xml:space="preserve"> Questions relating to ethnicity asked in the census changed during the Inquiry period, impacting who was counted as Māori.</w:t>
      </w:r>
    </w:p>
    <w:p w14:paraId="099A3AB6" w14:textId="6EBC1191" w:rsidR="00534352" w:rsidRPr="004A0212" w:rsidRDefault="421F853A" w:rsidP="007D73A6">
      <w:pPr>
        <w:pStyle w:val="AllNumbparas"/>
      </w:pPr>
      <w:r w:rsidRPr="004A0212">
        <w:t xml:space="preserve">For much of the </w:t>
      </w:r>
      <w:r w:rsidR="6CA5974C" w:rsidRPr="004A0212">
        <w:t>Inquiry</w:t>
      </w:r>
      <w:r w:rsidRPr="004A0212">
        <w:t xml:space="preserve"> period</w:t>
      </w:r>
      <w:r w:rsidR="04B675C7" w:rsidRPr="004A0212">
        <w:t>,</w:t>
      </w:r>
      <w:r w:rsidRPr="004A0212">
        <w:t xml:space="preserve"> blood</w:t>
      </w:r>
      <w:r w:rsidR="589D69DE" w:rsidRPr="004A0212">
        <w:t xml:space="preserve"> percentage,</w:t>
      </w:r>
      <w:r w:rsidRPr="004A0212">
        <w:t xml:space="preserve"> rather than Māori concepts of whakapapa, w</w:t>
      </w:r>
      <w:r w:rsidR="73BC427B" w:rsidRPr="004A0212">
        <w:t>ere</w:t>
      </w:r>
      <w:r w:rsidRPr="004A0212">
        <w:t xml:space="preserve"> used to define who was counted as Māori in the census. For example, figures prior to 1981 comprised people who “specified themselves as half or more New Zealand M</w:t>
      </w:r>
      <w:r w:rsidR="24C5F210" w:rsidRPr="004A0212">
        <w:t>ā</w:t>
      </w:r>
      <w:r w:rsidRPr="004A0212">
        <w:t>ori”</w:t>
      </w:r>
      <w:r w:rsidR="00FD36F8" w:rsidRPr="004A0212">
        <w:t xml:space="preserve">. </w:t>
      </w:r>
      <w:r w:rsidR="00534352" w:rsidRPr="004A0212">
        <w:rPr>
          <w:rStyle w:val="StyleFootnoteReferenceFagoFunotenzeichenFagoFunotenzeichen"/>
        </w:rPr>
        <w:footnoteReference w:id="430"/>
      </w:r>
      <w:r w:rsidR="7B8A005C" w:rsidRPr="004A0212">
        <w:t xml:space="preserve"> </w:t>
      </w:r>
    </w:p>
    <w:p w14:paraId="7CCB0B37" w14:textId="5C9B0D3F" w:rsidR="00534352" w:rsidRPr="004A0212" w:rsidRDefault="7B8A005C" w:rsidP="007D73A6">
      <w:pPr>
        <w:pStyle w:val="AllNumbparas"/>
      </w:pPr>
      <w:r w:rsidRPr="004A0212">
        <w:t xml:space="preserve">Māori had a </w:t>
      </w:r>
      <w:r w:rsidR="24C5F210" w:rsidRPr="004A0212">
        <w:t>dis</w:t>
      </w:r>
      <w:r w:rsidRPr="004A0212">
        <w:t xml:space="preserve">proportionately young population during this time. </w:t>
      </w:r>
      <w:r w:rsidR="03075DD8" w:rsidRPr="004A0212">
        <w:t>I</w:t>
      </w:r>
      <w:r w:rsidRPr="004A0212">
        <w:t xml:space="preserve">n 1966, </w:t>
      </w:r>
      <w:r w:rsidR="03075DD8" w:rsidRPr="004A0212">
        <w:t xml:space="preserve">over half (50.3 percent) of </w:t>
      </w:r>
      <w:r w:rsidRPr="004A0212">
        <w:t xml:space="preserve">the Māori population </w:t>
      </w:r>
      <w:r w:rsidR="03075DD8" w:rsidRPr="004A0212">
        <w:t xml:space="preserve">were </w:t>
      </w:r>
      <w:r w:rsidRPr="004A0212">
        <w:t>under 15</w:t>
      </w:r>
      <w:r w:rsidR="50AD6709" w:rsidRPr="004A0212">
        <w:t xml:space="preserve"> years</w:t>
      </w:r>
      <w:r w:rsidR="7B7680D1" w:rsidRPr="004A0212">
        <w:t xml:space="preserve"> old</w:t>
      </w:r>
      <w:r w:rsidR="03075DD8" w:rsidRPr="004A0212">
        <w:t>,</w:t>
      </w:r>
      <w:r w:rsidRPr="004A0212">
        <w:t xml:space="preserve"> compared with 32.6 </w:t>
      </w:r>
      <w:r w:rsidR="453B5ECB" w:rsidRPr="004A0212">
        <w:t>percent</w:t>
      </w:r>
      <w:r w:rsidRPr="004A0212">
        <w:t xml:space="preserve"> </w:t>
      </w:r>
      <w:r w:rsidR="34796527" w:rsidRPr="004A0212">
        <w:t xml:space="preserve">of </w:t>
      </w:r>
      <w:r w:rsidRPr="004A0212">
        <w:t xml:space="preserve">the total population </w:t>
      </w:r>
      <w:r w:rsidR="34796527" w:rsidRPr="004A0212">
        <w:t xml:space="preserve">being </w:t>
      </w:r>
      <w:r w:rsidRPr="004A0212">
        <w:t>under 15</w:t>
      </w:r>
      <w:r w:rsidR="7B7680D1" w:rsidRPr="004A0212">
        <w:t xml:space="preserve"> years old</w:t>
      </w:r>
      <w:r w:rsidRPr="004A0212">
        <w:t>.</w:t>
      </w:r>
      <w:r w:rsidR="00534352" w:rsidRPr="004A0212">
        <w:rPr>
          <w:rStyle w:val="StyleFootnoteReferenceFagoFunotenzeichenFagoFunotenzeichen"/>
        </w:rPr>
        <w:footnoteReference w:id="431"/>
      </w:r>
      <w:r w:rsidRPr="004A0212">
        <w:t xml:space="preserve"> </w:t>
      </w:r>
    </w:p>
    <w:p w14:paraId="147A388A" w14:textId="43580440" w:rsidR="00534352" w:rsidRPr="004A0212" w:rsidRDefault="7B8A005C" w:rsidP="007D73A6">
      <w:pPr>
        <w:pStyle w:val="AllNumbparas"/>
      </w:pPr>
      <w:r w:rsidRPr="004A0212">
        <w:t>In his evidence to the Waitangi Tribunal, statistician Len Cook explained that this meant “for every Māori person aged 65 and over, there were 25 children aged under 15 years”</w:t>
      </w:r>
      <w:r w:rsidR="24C5F210" w:rsidRPr="004A0212">
        <w:t>.</w:t>
      </w:r>
      <w:r w:rsidR="00534352" w:rsidRPr="004A0212">
        <w:rPr>
          <w:rStyle w:val="StyleFootnoteReferenceFagoFunotenzeichenFagoFunotenzeichen"/>
        </w:rPr>
        <w:footnoteReference w:id="432"/>
      </w:r>
      <w:r w:rsidRPr="004A0212">
        <w:t xml:space="preserve"> He also noted that</w:t>
      </w:r>
      <w:r w:rsidR="0839702C" w:rsidRPr="004A0212">
        <w:t xml:space="preserve"> </w:t>
      </w:r>
      <w:r w:rsidRPr="004A0212">
        <w:t>“</w:t>
      </w:r>
      <w:r w:rsidR="0839702C" w:rsidRPr="004A0212">
        <w:t>t</w:t>
      </w:r>
      <w:r w:rsidRPr="004A0212">
        <w:t xml:space="preserve">he fastest growth in the number of Māori children aged under 15 occurred when their number doubled </w:t>
      </w:r>
      <w:r w:rsidR="4827C359" w:rsidRPr="004A0212">
        <w:t>from</w:t>
      </w:r>
      <w:r w:rsidRPr="004A0212">
        <w:t xml:space="preserve"> 1951 and 1966”</w:t>
      </w:r>
      <w:r w:rsidR="69F1044B" w:rsidRPr="004A0212">
        <w:t>.</w:t>
      </w:r>
      <w:r w:rsidR="00534352" w:rsidRPr="004A0212">
        <w:rPr>
          <w:rStyle w:val="StyleFootnoteReferenceFagoFunotenzeichenFagoFunotenzeichen"/>
        </w:rPr>
        <w:footnoteReference w:id="433"/>
      </w:r>
      <w:r w:rsidRPr="004A0212">
        <w:t xml:space="preserve"> By 1996 this </w:t>
      </w:r>
      <w:r w:rsidR="371FF35B" w:rsidRPr="004A0212">
        <w:t>growth had slowed, with 37.5 percent of Māori aged under 15, compared with 19.3 percent of people with a European background.</w:t>
      </w:r>
      <w:r w:rsidR="00534352" w:rsidRPr="004A0212">
        <w:rPr>
          <w:rStyle w:val="StyleFootnoteReferenceFagoFunotenzeichenFagoFunotenzeichen"/>
        </w:rPr>
        <w:footnoteReference w:id="434"/>
      </w:r>
      <w:r w:rsidRPr="004A0212">
        <w:t xml:space="preserve"> </w:t>
      </w:r>
    </w:p>
    <w:p w14:paraId="24E52513" w14:textId="28C22498" w:rsidR="00AC74DB" w:rsidRPr="000C0692" w:rsidRDefault="00D57676" w:rsidP="00C7290A">
      <w:pPr>
        <w:pStyle w:val="Heading2"/>
      </w:pPr>
      <w:bookmarkStart w:id="479" w:name="_Toc1541036890"/>
      <w:bookmarkStart w:id="480" w:name="_Toc150933165"/>
      <w:bookmarkStart w:id="481" w:name="_Toc150953483"/>
      <w:r w:rsidRPr="004A0212">
        <w:br w:type="page"/>
      </w:r>
      <w:bookmarkStart w:id="482" w:name="_Toc168639021"/>
      <w:proofErr w:type="spellStart"/>
      <w:r w:rsidR="6E8EF1A0" w:rsidRPr="004A0212">
        <w:t>Ngā</w:t>
      </w:r>
      <w:proofErr w:type="spellEnd"/>
      <w:r w:rsidR="6E8EF1A0" w:rsidRPr="004A0212">
        <w:t xml:space="preserve"> </w:t>
      </w:r>
      <w:proofErr w:type="spellStart"/>
      <w:r w:rsidR="6E8EF1A0" w:rsidRPr="004A0212">
        <w:t>raraunga</w:t>
      </w:r>
      <w:proofErr w:type="spellEnd"/>
      <w:r w:rsidR="6E8EF1A0" w:rsidRPr="004A0212">
        <w:t xml:space="preserve"> e </w:t>
      </w:r>
      <w:proofErr w:type="spellStart"/>
      <w:r w:rsidR="6E8EF1A0" w:rsidRPr="004A0212">
        <w:t>hāngai</w:t>
      </w:r>
      <w:proofErr w:type="spellEnd"/>
      <w:r w:rsidR="6E8EF1A0" w:rsidRPr="004A0212">
        <w:t xml:space="preserve"> ana ki </w:t>
      </w:r>
      <w:proofErr w:type="spellStart"/>
      <w:r w:rsidR="6E8EF1A0" w:rsidRPr="004A0212">
        <w:t>te</w:t>
      </w:r>
      <w:proofErr w:type="spellEnd"/>
      <w:r w:rsidR="6E8EF1A0" w:rsidRPr="004A0212">
        <w:t xml:space="preserve"> </w:t>
      </w:r>
      <w:proofErr w:type="spellStart"/>
      <w:r w:rsidR="6E8EF1A0" w:rsidRPr="004A0212">
        <w:t>hunga</w:t>
      </w:r>
      <w:proofErr w:type="spellEnd"/>
      <w:r w:rsidR="6E8EF1A0" w:rsidRPr="004A0212">
        <w:t xml:space="preserve"> Turi, </w:t>
      </w:r>
      <w:proofErr w:type="spellStart"/>
      <w:r w:rsidR="6E8EF1A0" w:rsidRPr="004A0212">
        <w:t>whaikaha</w:t>
      </w:r>
      <w:proofErr w:type="spellEnd"/>
      <w:r w:rsidR="6E8EF1A0" w:rsidRPr="004A0212">
        <w:t xml:space="preserve"> me </w:t>
      </w:r>
      <w:proofErr w:type="spellStart"/>
      <w:r w:rsidR="6E8EF1A0" w:rsidRPr="004A0212">
        <w:t>te</w:t>
      </w:r>
      <w:proofErr w:type="spellEnd"/>
      <w:r w:rsidR="6E8EF1A0" w:rsidRPr="004A0212">
        <w:t xml:space="preserve"> </w:t>
      </w:r>
      <w:proofErr w:type="spellStart"/>
      <w:r w:rsidR="6E8EF1A0" w:rsidRPr="004A0212">
        <w:t>hunga</w:t>
      </w:r>
      <w:proofErr w:type="spellEnd"/>
      <w:r w:rsidR="6E8EF1A0" w:rsidRPr="004A0212">
        <w:t xml:space="preserve"> e </w:t>
      </w:r>
      <w:proofErr w:type="spellStart"/>
      <w:r w:rsidR="6E8EF1A0" w:rsidRPr="004A0212">
        <w:t>rongo</w:t>
      </w:r>
      <w:proofErr w:type="spellEnd"/>
      <w:r w:rsidR="6E8EF1A0" w:rsidRPr="004A0212">
        <w:t xml:space="preserve"> ana </w:t>
      </w:r>
      <w:proofErr w:type="spellStart"/>
      <w:r w:rsidR="6E8EF1A0" w:rsidRPr="004A0212">
        <w:t>i</w:t>
      </w:r>
      <w:proofErr w:type="spellEnd"/>
      <w:r w:rsidR="6E8EF1A0" w:rsidRPr="004A0212">
        <w:t xml:space="preserve"> </w:t>
      </w:r>
      <w:proofErr w:type="spellStart"/>
      <w:r w:rsidR="6E8EF1A0" w:rsidRPr="004A0212">
        <w:t>te</w:t>
      </w:r>
      <w:proofErr w:type="spellEnd"/>
      <w:r w:rsidR="6E8EF1A0" w:rsidRPr="004A0212">
        <w:t xml:space="preserve"> </w:t>
      </w:r>
      <w:proofErr w:type="spellStart"/>
      <w:r w:rsidR="6E8EF1A0" w:rsidRPr="004A0212">
        <w:t>wairangitanga</w:t>
      </w:r>
      <w:bookmarkEnd w:id="479"/>
      <w:bookmarkEnd w:id="482"/>
      <w:proofErr w:type="spellEnd"/>
    </w:p>
    <w:p w14:paraId="42CB2DBA" w14:textId="25B7C552" w:rsidR="00534352" w:rsidRPr="004A0212" w:rsidRDefault="708F4940" w:rsidP="002A304F">
      <w:pPr>
        <w:pStyle w:val="Heading2"/>
      </w:pPr>
      <w:bookmarkStart w:id="483" w:name="_Toc216421854"/>
      <w:bookmarkStart w:id="484" w:name="_Toc168639022"/>
      <w:r w:rsidRPr="004A0212">
        <w:t>D</w:t>
      </w:r>
      <w:r w:rsidR="766AAD6E" w:rsidRPr="004A0212">
        <w:t xml:space="preserve">ata </w:t>
      </w:r>
      <w:r w:rsidRPr="004A0212">
        <w:t xml:space="preserve">relating to Deaf, </w:t>
      </w:r>
      <w:r w:rsidR="766AAD6E" w:rsidRPr="004A0212">
        <w:t>disabled</w:t>
      </w:r>
      <w:r w:rsidR="494A61A5" w:rsidRPr="004A0212">
        <w:t xml:space="preserve">, </w:t>
      </w:r>
      <w:r w:rsidR="766AAD6E" w:rsidRPr="004A0212">
        <w:t xml:space="preserve">and people </w:t>
      </w:r>
      <w:r w:rsidR="7DAA9E7A" w:rsidRPr="004A0212">
        <w:t xml:space="preserve">experiencing </w:t>
      </w:r>
      <w:r w:rsidR="766AAD6E" w:rsidRPr="004A0212">
        <w:t>mental distress</w:t>
      </w:r>
      <w:bookmarkEnd w:id="483"/>
      <w:bookmarkEnd w:id="484"/>
      <w:r w:rsidR="766AAD6E" w:rsidRPr="004A0212">
        <w:t xml:space="preserve"> </w:t>
      </w:r>
      <w:bookmarkEnd w:id="478"/>
      <w:bookmarkEnd w:id="480"/>
      <w:bookmarkEnd w:id="481"/>
    </w:p>
    <w:p w14:paraId="74DF3D54" w14:textId="54C855AF" w:rsidR="003E30C4" w:rsidRPr="004A0212" w:rsidRDefault="5999E00D" w:rsidP="007D73A6">
      <w:pPr>
        <w:pStyle w:val="AllNumbparas"/>
        <w:rPr>
          <w:b/>
          <w:color w:val="404040" w:themeColor="text1" w:themeTint="BF"/>
          <w:lang w:eastAsia="en-US"/>
        </w:rPr>
      </w:pPr>
      <w:r w:rsidRPr="004A0212">
        <w:t>This Inquiry</w:t>
      </w:r>
      <w:r w:rsidR="75FED1D1" w:rsidRPr="004A0212">
        <w:t xml:space="preserve"> received</w:t>
      </w:r>
      <w:r w:rsidR="7B8A005C" w:rsidRPr="004A0212">
        <w:t xml:space="preserve"> little evidence of reliable data about </w:t>
      </w:r>
      <w:r w:rsidR="4DA7A3AC" w:rsidRPr="004A0212">
        <w:t xml:space="preserve">Deaf, </w:t>
      </w:r>
      <w:r w:rsidR="7FA5FD61" w:rsidRPr="004A0212">
        <w:t xml:space="preserve">disabled and </w:t>
      </w:r>
      <w:r w:rsidR="783A6FEA" w:rsidRPr="004A0212">
        <w:t>people</w:t>
      </w:r>
      <w:r w:rsidR="42F54BC5" w:rsidRPr="004A0212">
        <w:t xml:space="preserve"> </w:t>
      </w:r>
      <w:r w:rsidR="7FA5FD61" w:rsidRPr="004A0212">
        <w:t>experiencing</w:t>
      </w:r>
      <w:r w:rsidR="7B8A005C" w:rsidRPr="004A0212">
        <w:t xml:space="preserve"> mental distress before or during the Inquiry period.</w:t>
      </w:r>
      <w:r w:rsidR="29372574" w:rsidRPr="004A0212">
        <w:t xml:space="preserve"> </w:t>
      </w:r>
      <w:r w:rsidR="44CADDE6" w:rsidRPr="004A0212">
        <w:t xml:space="preserve">The most recent </w:t>
      </w:r>
      <w:r w:rsidR="105FCF85" w:rsidRPr="004A0212">
        <w:t>data</w:t>
      </w:r>
      <w:r w:rsidR="44CADDE6" w:rsidRPr="004A0212">
        <w:t xml:space="preserve"> prior to the Inquiry period was </w:t>
      </w:r>
      <w:r w:rsidR="42AF32E7" w:rsidRPr="004A0212">
        <w:t>the 1916 census.</w:t>
      </w:r>
      <w:r w:rsidR="00F7411D" w:rsidRPr="004A0212">
        <w:rPr>
          <w:rStyle w:val="StyleFootnoteReferenceFagoFunotenzeichenFagoFunotenzeichen"/>
        </w:rPr>
        <w:footnoteReference w:id="435"/>
      </w:r>
      <w:r w:rsidR="42AF32E7" w:rsidRPr="004A0212">
        <w:t xml:space="preserve"> This ce</w:t>
      </w:r>
      <w:r w:rsidR="29372574" w:rsidRPr="004A0212">
        <w:t xml:space="preserve">nsus recorded </w:t>
      </w:r>
      <w:r w:rsidR="415216B8" w:rsidRPr="004A0212">
        <w:t xml:space="preserve">information </w:t>
      </w:r>
      <w:r w:rsidR="7168B818" w:rsidRPr="004A0212">
        <w:t>on:</w:t>
      </w:r>
    </w:p>
    <w:p w14:paraId="1A594BAF" w14:textId="3D830325" w:rsidR="00542175" w:rsidRPr="004A0212" w:rsidRDefault="7A4E8148" w:rsidP="00502A3B">
      <w:pPr>
        <w:pStyle w:val="Bulletpoints"/>
        <w:numPr>
          <w:ilvl w:val="0"/>
          <w:numId w:val="36"/>
        </w:numPr>
      </w:pPr>
      <w:proofErr w:type="gramStart"/>
      <w:r w:rsidRPr="004A0212">
        <w:t>d</w:t>
      </w:r>
      <w:r w:rsidR="3D6C37EC" w:rsidRPr="004A0212">
        <w:t>eaf-mutis</w:t>
      </w:r>
      <w:r w:rsidRPr="004A0212">
        <w:t>m</w:t>
      </w:r>
      <w:proofErr w:type="gramEnd"/>
    </w:p>
    <w:p w14:paraId="5074450D" w14:textId="6E627683" w:rsidR="00542175" w:rsidRPr="004A0212" w:rsidRDefault="7A4E8148" w:rsidP="00502A3B">
      <w:pPr>
        <w:pStyle w:val="Bulletpoints"/>
        <w:numPr>
          <w:ilvl w:val="0"/>
          <w:numId w:val="36"/>
        </w:numPr>
      </w:pPr>
      <w:r w:rsidRPr="004A0212">
        <w:t>b</w:t>
      </w:r>
      <w:r w:rsidR="3D6C37EC" w:rsidRPr="004A0212">
        <w:t>lindness</w:t>
      </w:r>
    </w:p>
    <w:p w14:paraId="1E36B84C" w14:textId="58FE4143" w:rsidR="00542175" w:rsidRPr="004A0212" w:rsidRDefault="7A4E8148" w:rsidP="00502A3B">
      <w:pPr>
        <w:pStyle w:val="Bulletpoints"/>
        <w:numPr>
          <w:ilvl w:val="0"/>
          <w:numId w:val="36"/>
        </w:numPr>
        <w:rPr>
          <w:rStyle w:val="AlldraftingnotesChar"/>
          <w:rFonts w:cs="Arial"/>
          <w:b w:val="0"/>
          <w:color w:val="auto"/>
          <w:lang w:eastAsia="en-NZ"/>
        </w:rPr>
      </w:pPr>
      <w:r w:rsidRPr="004A0212">
        <w:t>f</w:t>
      </w:r>
      <w:r w:rsidR="3D6C37EC" w:rsidRPr="004A0212">
        <w:t>eeble-mindedness</w:t>
      </w:r>
    </w:p>
    <w:p w14:paraId="0A3C512A" w14:textId="3498FB7E" w:rsidR="00542175" w:rsidRPr="004A0212" w:rsidRDefault="7A4E8148" w:rsidP="00502A3B">
      <w:pPr>
        <w:pStyle w:val="Bulletpoints"/>
        <w:numPr>
          <w:ilvl w:val="0"/>
          <w:numId w:val="36"/>
        </w:numPr>
        <w:rPr>
          <w:rStyle w:val="AlldraftingnotesChar"/>
          <w:rFonts w:cs="Arial"/>
          <w:b w:val="0"/>
          <w:color w:val="auto"/>
          <w:lang w:eastAsia="en-NZ"/>
        </w:rPr>
      </w:pPr>
      <w:r w:rsidRPr="004A0212">
        <w:rPr>
          <w:rStyle w:val="AlldraftingnotesChar"/>
          <w:rFonts w:cs="Arial"/>
          <w:b w:val="0"/>
          <w:bCs w:val="0"/>
          <w:color w:val="auto"/>
          <w:lang w:eastAsia="en-NZ"/>
        </w:rPr>
        <w:t>l</w:t>
      </w:r>
      <w:r w:rsidR="3D6C37EC" w:rsidRPr="004A0212">
        <w:t>unacy</w:t>
      </w:r>
      <w:r w:rsidR="265D5C91" w:rsidRPr="004A0212">
        <w:rPr>
          <w:rStyle w:val="AlldraftingnotesChar"/>
          <w:rFonts w:cs="Arial"/>
          <w:b w:val="0"/>
          <w:bCs w:val="0"/>
          <w:color w:val="auto"/>
          <w:lang w:eastAsia="en-NZ"/>
        </w:rPr>
        <w:t xml:space="preserve"> (</w:t>
      </w:r>
      <w:r w:rsidRPr="004A0212">
        <w:rPr>
          <w:rStyle w:val="AlldraftingnotesChar"/>
          <w:rFonts w:cs="Arial"/>
          <w:b w:val="0"/>
          <w:bCs w:val="0"/>
          <w:color w:val="auto"/>
          <w:lang w:eastAsia="en-NZ"/>
        </w:rPr>
        <w:t>i</w:t>
      </w:r>
      <w:r w:rsidR="265D5C91" w:rsidRPr="004A0212">
        <w:rPr>
          <w:rStyle w:val="AlldraftingnotesChar"/>
          <w:rFonts w:cs="Arial"/>
          <w:b w:val="0"/>
          <w:bCs w:val="0"/>
          <w:color w:val="auto"/>
          <w:lang w:eastAsia="en-NZ"/>
        </w:rPr>
        <w:t xml:space="preserve">nformation provided </w:t>
      </w:r>
      <w:r w:rsidR="265D5C91" w:rsidRPr="004A0212">
        <w:t>by mental-hospital authorities</w:t>
      </w:r>
      <w:r w:rsidR="265D5C91" w:rsidRPr="004A0212">
        <w:rPr>
          <w:rStyle w:val="AlldraftingnotesChar"/>
          <w:rFonts w:cs="Arial"/>
          <w:b w:val="0"/>
          <w:bCs w:val="0"/>
          <w:color w:val="auto"/>
          <w:lang w:eastAsia="en-NZ"/>
        </w:rPr>
        <w:t>)</w:t>
      </w:r>
      <w:r w:rsidRPr="004A0212">
        <w:rPr>
          <w:rStyle w:val="AlldraftingnotesChar"/>
          <w:rFonts w:cs="Arial"/>
          <w:b w:val="0"/>
          <w:bCs w:val="0"/>
          <w:color w:val="auto"/>
          <w:lang w:eastAsia="en-NZ"/>
        </w:rPr>
        <w:t>.</w:t>
      </w:r>
      <w:r w:rsidR="00F455AE" w:rsidRPr="004A0212">
        <w:rPr>
          <w:rStyle w:val="StyleFootnoteReferenceFagoFunotenzeichenFagoFunotenzeichen"/>
        </w:rPr>
        <w:footnoteReference w:id="436"/>
      </w:r>
    </w:p>
    <w:p w14:paraId="4B87D858" w14:textId="15CBD48C" w:rsidR="00F11D6C" w:rsidRPr="004A0212" w:rsidRDefault="46CB44AC" w:rsidP="007D73A6">
      <w:pPr>
        <w:pStyle w:val="AllNumbparas"/>
        <w:rPr>
          <w:rStyle w:val="AlldraftingnotesChar"/>
          <w:rFonts w:cs="Arial"/>
          <w:b w:val="0"/>
          <w:color w:val="auto"/>
          <w:lang w:eastAsia="en-NZ"/>
        </w:rPr>
      </w:pPr>
      <w:r w:rsidRPr="004A0212">
        <w:rPr>
          <w:rStyle w:val="AlldraftingnotesChar"/>
          <w:rFonts w:cs="Arial"/>
          <w:b w:val="0"/>
          <w:bCs w:val="0"/>
          <w:color w:val="auto"/>
          <w:lang w:eastAsia="en-NZ"/>
        </w:rPr>
        <w:t>Of the total population</w:t>
      </w:r>
      <w:r w:rsidR="4ACBDC6B" w:rsidRPr="004A0212">
        <w:rPr>
          <w:rStyle w:val="AlldraftingnotesChar"/>
          <w:rFonts w:cs="Arial"/>
          <w:b w:val="0"/>
          <w:bCs w:val="0"/>
          <w:color w:val="auto"/>
          <w:lang w:eastAsia="en-NZ"/>
        </w:rPr>
        <w:t xml:space="preserve"> in 1916</w:t>
      </w:r>
      <w:r w:rsidRPr="004A0212">
        <w:rPr>
          <w:rStyle w:val="AlldraftingnotesChar"/>
          <w:rFonts w:cs="Arial"/>
          <w:b w:val="0"/>
          <w:bCs w:val="0"/>
          <w:color w:val="auto"/>
          <w:lang w:eastAsia="en-NZ"/>
        </w:rPr>
        <w:t xml:space="preserve">, 6,359 </w:t>
      </w:r>
      <w:r w:rsidR="0C9529CF" w:rsidRPr="004A0212">
        <w:rPr>
          <w:rStyle w:val="AlldraftingnotesChar"/>
          <w:rFonts w:cs="Arial"/>
          <w:b w:val="0"/>
          <w:bCs w:val="0"/>
          <w:color w:val="auto"/>
          <w:lang w:eastAsia="en-NZ"/>
        </w:rPr>
        <w:t>people</w:t>
      </w:r>
      <w:r w:rsidRPr="004A0212">
        <w:rPr>
          <w:rStyle w:val="AlldraftingnotesChar"/>
          <w:rFonts w:cs="Arial"/>
          <w:b w:val="0"/>
          <w:bCs w:val="0"/>
          <w:color w:val="auto"/>
          <w:lang w:eastAsia="en-NZ"/>
        </w:rPr>
        <w:t xml:space="preserve"> </w:t>
      </w:r>
      <w:r w:rsidR="26B24E06" w:rsidRPr="004A0212">
        <w:rPr>
          <w:rStyle w:val="AlldraftingnotesChar"/>
          <w:rFonts w:cs="Arial"/>
          <w:b w:val="0"/>
          <w:bCs w:val="0"/>
          <w:color w:val="auto"/>
          <w:lang w:eastAsia="en-NZ"/>
        </w:rPr>
        <w:t>(</w:t>
      </w:r>
      <w:r w:rsidRPr="004A0212">
        <w:rPr>
          <w:rStyle w:val="AlldraftingnotesChar"/>
          <w:rFonts w:cs="Arial"/>
          <w:b w:val="0"/>
          <w:bCs w:val="0"/>
          <w:color w:val="auto"/>
          <w:lang w:eastAsia="en-NZ"/>
        </w:rPr>
        <w:t xml:space="preserve">or 5.78 </w:t>
      </w:r>
      <w:r w:rsidR="26B24E06" w:rsidRPr="004A0212">
        <w:rPr>
          <w:rStyle w:val="AlldraftingnotesChar"/>
          <w:rFonts w:cs="Arial"/>
          <w:b w:val="0"/>
          <w:bCs w:val="0"/>
          <w:color w:val="auto"/>
          <w:lang w:eastAsia="en-NZ"/>
        </w:rPr>
        <w:t xml:space="preserve">people </w:t>
      </w:r>
      <w:r w:rsidR="3665A369" w:rsidRPr="004A0212">
        <w:rPr>
          <w:rStyle w:val="AlldraftingnotesChar"/>
          <w:rFonts w:cs="Arial"/>
          <w:b w:val="0"/>
          <w:bCs w:val="0"/>
          <w:color w:val="auto"/>
          <w:lang w:eastAsia="en-NZ"/>
        </w:rPr>
        <w:t>in every</w:t>
      </w:r>
      <w:r w:rsidR="26B24E06" w:rsidRPr="004A0212">
        <w:rPr>
          <w:rStyle w:val="AlldraftingnotesChar"/>
          <w:rFonts w:cs="Arial"/>
          <w:b w:val="0"/>
          <w:bCs w:val="0"/>
          <w:color w:val="auto"/>
          <w:lang w:eastAsia="en-NZ"/>
        </w:rPr>
        <w:t xml:space="preserve"> </w:t>
      </w:r>
      <w:r w:rsidRPr="004A0212">
        <w:rPr>
          <w:rStyle w:val="AlldraftingnotesChar"/>
          <w:rFonts w:cs="Arial"/>
          <w:b w:val="0"/>
          <w:bCs w:val="0"/>
          <w:color w:val="auto"/>
          <w:lang w:eastAsia="en-NZ"/>
        </w:rPr>
        <w:t>1,000</w:t>
      </w:r>
      <w:r w:rsidR="3665A369" w:rsidRPr="004A0212">
        <w:rPr>
          <w:rStyle w:val="AlldraftingnotesChar"/>
          <w:rFonts w:cs="Arial"/>
          <w:b w:val="0"/>
          <w:bCs w:val="0"/>
          <w:color w:val="auto"/>
          <w:lang w:eastAsia="en-NZ"/>
        </w:rPr>
        <w:t>)</w:t>
      </w:r>
      <w:r w:rsidRPr="004A0212">
        <w:rPr>
          <w:rStyle w:val="AlldraftingnotesChar"/>
          <w:rFonts w:cs="Arial"/>
          <w:b w:val="0"/>
          <w:bCs w:val="0"/>
          <w:color w:val="auto"/>
          <w:lang w:eastAsia="en-NZ"/>
        </w:rPr>
        <w:t xml:space="preserve"> were </w:t>
      </w:r>
      <w:r w:rsidR="39EF1B0D" w:rsidRPr="004A0212">
        <w:rPr>
          <w:rStyle w:val="AlldraftingnotesChar"/>
          <w:rFonts w:cs="Arial"/>
          <w:b w:val="0"/>
          <w:bCs w:val="0"/>
          <w:color w:val="auto"/>
          <w:lang w:eastAsia="en-NZ"/>
        </w:rPr>
        <w:t>recorded as having one or more of</w:t>
      </w:r>
      <w:r w:rsidRPr="004A0212">
        <w:rPr>
          <w:rStyle w:val="AlldraftingnotesChar"/>
          <w:rFonts w:cs="Arial"/>
          <w:b w:val="0"/>
          <w:bCs w:val="0"/>
          <w:color w:val="auto"/>
          <w:lang w:eastAsia="en-NZ"/>
        </w:rPr>
        <w:t xml:space="preserve"> </w:t>
      </w:r>
      <w:r w:rsidR="39EF1B0D" w:rsidRPr="004A0212">
        <w:rPr>
          <w:rStyle w:val="AlldraftingnotesChar"/>
          <w:rFonts w:cs="Arial"/>
          <w:b w:val="0"/>
          <w:bCs w:val="0"/>
          <w:color w:val="auto"/>
          <w:lang w:eastAsia="en-NZ"/>
        </w:rPr>
        <w:t>these</w:t>
      </w:r>
      <w:r w:rsidRPr="004A0212">
        <w:rPr>
          <w:rStyle w:val="AlldraftingnotesChar"/>
          <w:rFonts w:cs="Arial"/>
          <w:b w:val="0"/>
          <w:bCs w:val="0"/>
          <w:color w:val="auto"/>
          <w:lang w:eastAsia="en-NZ"/>
        </w:rPr>
        <w:t xml:space="preserve"> </w:t>
      </w:r>
      <w:r w:rsidR="1CE319EF" w:rsidRPr="004A0212">
        <w:rPr>
          <w:rStyle w:val="AlldraftingnotesChar"/>
          <w:rFonts w:cs="Arial"/>
          <w:b w:val="0"/>
          <w:bCs w:val="0"/>
          <w:color w:val="auto"/>
          <w:lang w:eastAsia="en-NZ"/>
        </w:rPr>
        <w:t>impairments</w:t>
      </w:r>
      <w:r w:rsidR="39EF1B0D" w:rsidRPr="004A0212">
        <w:rPr>
          <w:rStyle w:val="AlldraftingnotesChar"/>
          <w:rFonts w:cs="Arial"/>
          <w:b w:val="0"/>
          <w:bCs w:val="0"/>
          <w:color w:val="auto"/>
          <w:lang w:eastAsia="en-NZ"/>
        </w:rPr>
        <w:t xml:space="preserve">. </w:t>
      </w:r>
      <w:r w:rsidR="3665A369" w:rsidRPr="004A0212">
        <w:rPr>
          <w:rStyle w:val="AlldraftingnotesChar"/>
          <w:rFonts w:cs="Arial"/>
          <w:b w:val="0"/>
          <w:bCs w:val="0"/>
          <w:color w:val="auto"/>
          <w:lang w:eastAsia="en-NZ"/>
        </w:rPr>
        <w:t>Of this group</w:t>
      </w:r>
      <w:r w:rsidR="594323F5" w:rsidRPr="004A0212">
        <w:rPr>
          <w:rStyle w:val="AlldraftingnotesChar"/>
          <w:rFonts w:cs="Arial"/>
          <w:b w:val="0"/>
          <w:bCs w:val="0"/>
          <w:color w:val="auto"/>
          <w:lang w:eastAsia="en-NZ"/>
        </w:rPr>
        <w:t xml:space="preserve"> </w:t>
      </w:r>
      <w:r w:rsidRPr="004A0212">
        <w:rPr>
          <w:rStyle w:val="AlldraftingnotesChar"/>
          <w:rFonts w:cs="Arial"/>
          <w:b w:val="0"/>
          <w:bCs w:val="0"/>
          <w:color w:val="auto"/>
          <w:lang w:eastAsia="en-NZ"/>
        </w:rPr>
        <w:t xml:space="preserve">206 </w:t>
      </w:r>
      <w:r w:rsidR="39EF1B0D" w:rsidRPr="004A0212">
        <w:rPr>
          <w:rStyle w:val="AlldraftingnotesChar"/>
          <w:rFonts w:cs="Arial"/>
          <w:b w:val="0"/>
          <w:bCs w:val="0"/>
          <w:color w:val="auto"/>
          <w:lang w:eastAsia="en-NZ"/>
        </w:rPr>
        <w:t xml:space="preserve">people </w:t>
      </w:r>
      <w:r w:rsidRPr="004A0212">
        <w:rPr>
          <w:rStyle w:val="AlldraftingnotesChar"/>
          <w:rFonts w:cs="Arial"/>
          <w:b w:val="0"/>
          <w:bCs w:val="0"/>
          <w:color w:val="auto"/>
          <w:lang w:eastAsia="en-NZ"/>
        </w:rPr>
        <w:t xml:space="preserve">were </w:t>
      </w:r>
      <w:r w:rsidR="39EF1B0D" w:rsidRPr="004A0212">
        <w:rPr>
          <w:rStyle w:val="AlldraftingnotesChar"/>
          <w:rFonts w:cs="Arial"/>
          <w:b w:val="0"/>
          <w:bCs w:val="0"/>
          <w:color w:val="auto"/>
          <w:lang w:eastAsia="en-NZ"/>
        </w:rPr>
        <w:t xml:space="preserve">recorded as </w:t>
      </w:r>
      <w:r w:rsidRPr="004A0212">
        <w:rPr>
          <w:rStyle w:val="AlldraftingnotesChar"/>
          <w:rFonts w:cs="Arial"/>
          <w:b w:val="0"/>
          <w:bCs w:val="0"/>
          <w:color w:val="auto"/>
          <w:lang w:eastAsia="en-NZ"/>
        </w:rPr>
        <w:t xml:space="preserve">deaf-mutes, 566 </w:t>
      </w:r>
      <w:r w:rsidR="39EF1B0D" w:rsidRPr="004A0212">
        <w:rPr>
          <w:rStyle w:val="AlldraftingnotesChar"/>
          <w:rFonts w:cs="Arial"/>
          <w:b w:val="0"/>
          <w:bCs w:val="0"/>
          <w:color w:val="auto"/>
          <w:lang w:eastAsia="en-NZ"/>
        </w:rPr>
        <w:t xml:space="preserve">people recorded as </w:t>
      </w:r>
      <w:r w:rsidRPr="004A0212">
        <w:rPr>
          <w:rStyle w:val="AlldraftingnotesChar"/>
          <w:rFonts w:cs="Arial"/>
          <w:b w:val="0"/>
          <w:bCs w:val="0"/>
          <w:color w:val="auto"/>
          <w:lang w:eastAsia="en-NZ"/>
        </w:rPr>
        <w:t xml:space="preserve">blind, 4,275 </w:t>
      </w:r>
      <w:r w:rsidR="39EF1B0D" w:rsidRPr="004A0212">
        <w:rPr>
          <w:rStyle w:val="AlldraftingnotesChar"/>
          <w:rFonts w:cs="Arial"/>
          <w:b w:val="0"/>
          <w:bCs w:val="0"/>
          <w:color w:val="auto"/>
          <w:lang w:eastAsia="en-NZ"/>
        </w:rPr>
        <w:t>people recorded as l</w:t>
      </w:r>
      <w:r w:rsidRPr="004A0212">
        <w:rPr>
          <w:rStyle w:val="AlldraftingnotesChar"/>
          <w:rFonts w:cs="Arial"/>
          <w:b w:val="0"/>
          <w:bCs w:val="0"/>
          <w:color w:val="auto"/>
          <w:lang w:eastAsia="en-NZ"/>
        </w:rPr>
        <w:t xml:space="preserve">unatics and 1,312 </w:t>
      </w:r>
      <w:r w:rsidR="39EF1B0D" w:rsidRPr="004A0212">
        <w:rPr>
          <w:rStyle w:val="AlldraftingnotesChar"/>
          <w:rFonts w:cs="Arial"/>
          <w:b w:val="0"/>
          <w:bCs w:val="0"/>
          <w:color w:val="auto"/>
          <w:lang w:eastAsia="en-NZ"/>
        </w:rPr>
        <w:t xml:space="preserve">people recorded as </w:t>
      </w:r>
      <w:r w:rsidRPr="004A0212">
        <w:rPr>
          <w:rStyle w:val="AlldraftingnotesChar"/>
          <w:rFonts w:cs="Arial"/>
          <w:b w:val="0"/>
          <w:bCs w:val="0"/>
          <w:color w:val="auto"/>
          <w:lang w:eastAsia="en-NZ"/>
        </w:rPr>
        <w:t>feeble-minded.</w:t>
      </w:r>
      <w:r w:rsidR="00742C43" w:rsidRPr="004A0212">
        <w:rPr>
          <w:rStyle w:val="StyleFootnoteReferenceFagoFunotenzeichenFagoFunotenzeichen"/>
        </w:rPr>
        <w:footnoteReference w:id="437"/>
      </w:r>
      <w:r w:rsidR="46A32025" w:rsidRPr="004A0212">
        <w:rPr>
          <w:rStyle w:val="AlldraftingnotesChar"/>
          <w:rFonts w:cs="Arial"/>
          <w:b w:val="0"/>
          <w:bCs w:val="0"/>
          <w:color w:val="auto"/>
          <w:lang w:eastAsia="en-NZ"/>
        </w:rPr>
        <w:t xml:space="preserve"> </w:t>
      </w:r>
    </w:p>
    <w:p w14:paraId="699178A9" w14:textId="5B22D621" w:rsidR="00ED7C3C" w:rsidRPr="004A0212" w:rsidRDefault="46A32025" w:rsidP="007D73A6">
      <w:pPr>
        <w:pStyle w:val="AllNumbparas"/>
        <w:rPr>
          <w:rStyle w:val="AlldraftingnotesChar"/>
          <w:rFonts w:cs="Arial"/>
          <w:b w:val="0"/>
          <w:color w:val="auto"/>
          <w:lang w:eastAsia="en-NZ"/>
        </w:rPr>
      </w:pPr>
      <w:r w:rsidRPr="004A0212">
        <w:rPr>
          <w:rStyle w:val="AlldraftingnotesChar"/>
          <w:rFonts w:cs="Arial"/>
          <w:b w:val="0"/>
          <w:bCs w:val="0"/>
          <w:color w:val="auto"/>
          <w:lang w:eastAsia="en-NZ"/>
        </w:rPr>
        <w:t xml:space="preserve">It was noted </w:t>
      </w:r>
      <w:r w:rsidR="067E6C2F" w:rsidRPr="004A0212">
        <w:rPr>
          <w:rStyle w:val="AlldraftingnotesChar"/>
          <w:rFonts w:cs="Arial"/>
          <w:b w:val="0"/>
          <w:bCs w:val="0"/>
          <w:color w:val="auto"/>
          <w:lang w:eastAsia="en-NZ"/>
        </w:rPr>
        <w:t>there was a general increase in all numbers apart from deaf-mutes</w:t>
      </w:r>
      <w:r w:rsidR="408639B8" w:rsidRPr="004A0212">
        <w:rPr>
          <w:rStyle w:val="AlldraftingnotesChar"/>
          <w:rFonts w:cs="Arial"/>
          <w:b w:val="0"/>
          <w:bCs w:val="0"/>
          <w:color w:val="auto"/>
          <w:lang w:eastAsia="en-NZ"/>
        </w:rPr>
        <w:t xml:space="preserve"> and that this was due</w:t>
      </w:r>
      <w:r w:rsidR="46EC538C" w:rsidRPr="004A0212">
        <w:rPr>
          <w:rStyle w:val="AlldraftingnotesChar"/>
          <w:rFonts w:cs="Arial"/>
          <w:b w:val="0"/>
          <w:bCs w:val="0"/>
          <w:color w:val="auto"/>
          <w:lang w:eastAsia="en-NZ"/>
        </w:rPr>
        <w:t xml:space="preserve"> largely</w:t>
      </w:r>
      <w:r w:rsidR="408639B8" w:rsidRPr="004A0212">
        <w:rPr>
          <w:rStyle w:val="AlldraftingnotesChar"/>
          <w:rFonts w:cs="Arial"/>
          <w:b w:val="0"/>
          <w:bCs w:val="0"/>
          <w:color w:val="auto"/>
          <w:lang w:eastAsia="en-NZ"/>
        </w:rPr>
        <w:t xml:space="preserve"> to</w:t>
      </w:r>
      <w:r w:rsidRPr="004A0212">
        <w:rPr>
          <w:rStyle w:val="AlldraftingnotesChar"/>
          <w:rFonts w:cs="Arial"/>
          <w:b w:val="0"/>
          <w:bCs w:val="0"/>
          <w:color w:val="auto"/>
          <w:lang w:eastAsia="en-NZ"/>
        </w:rPr>
        <w:t xml:space="preserve"> </w:t>
      </w:r>
      <w:r w:rsidR="067E6C2F" w:rsidRPr="004A0212">
        <w:rPr>
          <w:rStyle w:val="AlldraftingnotesChar"/>
          <w:rFonts w:cs="Arial"/>
          <w:b w:val="0"/>
          <w:bCs w:val="0"/>
          <w:color w:val="auto"/>
          <w:lang w:eastAsia="en-NZ"/>
        </w:rPr>
        <w:t xml:space="preserve">“the direct and indirect effects of the </w:t>
      </w:r>
      <w:r w:rsidR="429E9E1D" w:rsidRPr="004A0212">
        <w:rPr>
          <w:rStyle w:val="AlldraftingnotesChar"/>
          <w:rFonts w:cs="Arial"/>
          <w:b w:val="0"/>
          <w:bCs w:val="0"/>
          <w:color w:val="auto"/>
          <w:lang w:eastAsia="en-NZ"/>
        </w:rPr>
        <w:t xml:space="preserve">[First World] </w:t>
      </w:r>
      <w:r w:rsidR="067E6C2F" w:rsidRPr="004A0212">
        <w:rPr>
          <w:rStyle w:val="AlldraftingnotesChar"/>
          <w:rFonts w:cs="Arial"/>
          <w:b w:val="0"/>
          <w:bCs w:val="0"/>
          <w:color w:val="auto"/>
          <w:lang w:eastAsia="en-NZ"/>
        </w:rPr>
        <w:t>war”</w:t>
      </w:r>
      <w:r w:rsidR="408639B8" w:rsidRPr="004A0212">
        <w:rPr>
          <w:rStyle w:val="AlldraftingnotesChar"/>
          <w:rFonts w:cs="Arial"/>
          <w:b w:val="0"/>
          <w:bCs w:val="0"/>
          <w:color w:val="auto"/>
          <w:lang w:eastAsia="en-NZ"/>
        </w:rPr>
        <w:t>.</w:t>
      </w:r>
      <w:r w:rsidR="00657738" w:rsidRPr="004A0212">
        <w:rPr>
          <w:rStyle w:val="StyleFootnoteReferenceFagoFunotenzeichenFagoFunotenzeichen"/>
        </w:rPr>
        <w:footnoteReference w:id="438"/>
      </w:r>
    </w:p>
    <w:p w14:paraId="20E9ACB8" w14:textId="7431ED61" w:rsidR="00167572" w:rsidRPr="004A0212" w:rsidRDefault="279CA744" w:rsidP="007D73A6">
      <w:pPr>
        <w:pStyle w:val="AllNumbparas"/>
        <w:rPr>
          <w:rStyle w:val="AlldraftingnotesChar"/>
          <w:rFonts w:cs="Arial"/>
          <w:b w:val="0"/>
          <w:color w:val="auto"/>
          <w:lang w:eastAsia="en-NZ"/>
        </w:rPr>
      </w:pPr>
      <w:r w:rsidRPr="004A0212">
        <w:rPr>
          <w:rStyle w:val="ui-provider"/>
        </w:rPr>
        <w:t xml:space="preserve">During the </w:t>
      </w:r>
      <w:r w:rsidR="7AE9730C" w:rsidRPr="004A0212">
        <w:rPr>
          <w:rStyle w:val="ui-provider"/>
        </w:rPr>
        <w:t xml:space="preserve">Inquiry period, </w:t>
      </w:r>
      <w:r w:rsidR="5C72EB97" w:rsidRPr="004A0212">
        <w:rPr>
          <w:rStyle w:val="ui-provider"/>
        </w:rPr>
        <w:t>some care settings</w:t>
      </w:r>
      <w:r w:rsidRPr="004A0212">
        <w:rPr>
          <w:rStyle w:val="ui-provider"/>
        </w:rPr>
        <w:t xml:space="preserve"> recorded some data on impairments</w:t>
      </w:r>
      <w:r w:rsidR="429E9E1D" w:rsidRPr="004A0212">
        <w:rPr>
          <w:rStyle w:val="ui-provider"/>
        </w:rPr>
        <w:t>,</w:t>
      </w:r>
      <w:r w:rsidRPr="004A0212">
        <w:rPr>
          <w:rStyle w:val="ui-provider"/>
        </w:rPr>
        <w:t xml:space="preserve"> but</w:t>
      </w:r>
      <w:r w:rsidR="3630A6D8" w:rsidRPr="004A0212">
        <w:rPr>
          <w:rStyle w:val="ui-provider"/>
        </w:rPr>
        <w:t xml:space="preserve"> </w:t>
      </w:r>
      <w:r w:rsidR="7AE9730C" w:rsidRPr="004A0212">
        <w:rPr>
          <w:rStyle w:val="ui-provider"/>
        </w:rPr>
        <w:t xml:space="preserve">after 1916 little </w:t>
      </w:r>
      <w:r w:rsidR="1A22626E" w:rsidRPr="004A0212">
        <w:rPr>
          <w:rStyle w:val="ui-provider"/>
        </w:rPr>
        <w:t>national</w:t>
      </w:r>
      <w:r w:rsidR="7AE9730C" w:rsidRPr="004A0212">
        <w:rPr>
          <w:rStyle w:val="ui-provider"/>
        </w:rPr>
        <w:t xml:space="preserve"> information was recorded </w:t>
      </w:r>
      <w:r w:rsidR="7D2057F3" w:rsidRPr="004A0212">
        <w:rPr>
          <w:rStyle w:val="ui-provider"/>
        </w:rPr>
        <w:t>in the</w:t>
      </w:r>
      <w:r w:rsidR="3630A6D8" w:rsidRPr="004A0212">
        <w:rPr>
          <w:rStyle w:val="ui-provider"/>
        </w:rPr>
        <w:t xml:space="preserve"> Aotearoa New Zealand</w:t>
      </w:r>
      <w:r w:rsidR="7D2057F3" w:rsidRPr="004A0212">
        <w:rPr>
          <w:rStyle w:val="ui-provider"/>
        </w:rPr>
        <w:t xml:space="preserve"> </w:t>
      </w:r>
      <w:r w:rsidR="51E1D13F" w:rsidRPr="004A0212">
        <w:rPr>
          <w:rStyle w:val="AlldraftingnotesChar"/>
          <w:rFonts w:cs="Arial"/>
          <w:b w:val="0"/>
          <w:bCs w:val="0"/>
          <w:color w:val="auto"/>
          <w:lang w:eastAsia="en-NZ"/>
        </w:rPr>
        <w:t xml:space="preserve">census </w:t>
      </w:r>
      <w:r w:rsidR="37A7CB4E" w:rsidRPr="004A0212">
        <w:rPr>
          <w:rStyle w:val="AlldraftingnotesChar"/>
          <w:rFonts w:cs="Arial"/>
          <w:b w:val="0"/>
          <w:bCs w:val="0"/>
          <w:color w:val="auto"/>
          <w:lang w:eastAsia="en-NZ"/>
        </w:rPr>
        <w:t>until</w:t>
      </w:r>
      <w:r w:rsidR="3968F9DA" w:rsidRPr="004A0212">
        <w:rPr>
          <w:rStyle w:val="AlldraftingnotesChar"/>
          <w:rFonts w:cs="Arial"/>
          <w:b w:val="0"/>
          <w:bCs w:val="0"/>
          <w:color w:val="auto"/>
          <w:lang w:eastAsia="en-NZ"/>
        </w:rPr>
        <w:t xml:space="preserve"> </w:t>
      </w:r>
      <w:r w:rsidR="3630A6D8" w:rsidRPr="004A0212">
        <w:rPr>
          <w:rStyle w:val="AlldraftingnotesChar"/>
          <w:rFonts w:cs="Arial"/>
          <w:b w:val="0"/>
          <w:bCs w:val="0"/>
          <w:color w:val="auto"/>
          <w:lang w:eastAsia="en-NZ"/>
        </w:rPr>
        <w:t>1996.</w:t>
      </w:r>
      <w:r w:rsidR="49E5154F" w:rsidRPr="004A0212">
        <w:rPr>
          <w:rStyle w:val="AlldraftingnotesChar"/>
          <w:rFonts w:cs="Arial"/>
          <w:b w:val="0"/>
          <w:bCs w:val="0"/>
          <w:color w:val="auto"/>
          <w:lang w:eastAsia="en-NZ"/>
        </w:rPr>
        <w:t xml:space="preserve"> </w:t>
      </w:r>
      <w:r w:rsidR="29B04B87" w:rsidRPr="004A0212">
        <w:rPr>
          <w:rStyle w:val="AlldraftingnotesChar"/>
          <w:rFonts w:cs="Arial"/>
          <w:b w:val="0"/>
          <w:bCs w:val="0"/>
          <w:color w:val="auto"/>
          <w:lang w:eastAsia="en-NZ"/>
        </w:rPr>
        <w:t xml:space="preserve">The 1996 census </w:t>
      </w:r>
      <w:r w:rsidR="23A977B4" w:rsidRPr="004A0212">
        <w:rPr>
          <w:rStyle w:val="AlldraftingnotesChar"/>
          <w:rFonts w:cs="Arial"/>
          <w:b w:val="0"/>
          <w:bCs w:val="0"/>
          <w:color w:val="auto"/>
          <w:lang w:eastAsia="en-NZ"/>
        </w:rPr>
        <w:t>provided the ability for</w:t>
      </w:r>
      <w:r w:rsidR="2F66446A" w:rsidRPr="004A0212">
        <w:rPr>
          <w:rStyle w:val="AlldraftingnotesChar"/>
          <w:rFonts w:cs="Arial"/>
          <w:b w:val="0"/>
          <w:bCs w:val="0"/>
          <w:color w:val="auto"/>
          <w:lang w:eastAsia="en-NZ"/>
        </w:rPr>
        <w:t xml:space="preserve"> people to record themselves or dependents as disabled</w:t>
      </w:r>
      <w:r w:rsidR="23A977B4" w:rsidRPr="004A0212">
        <w:rPr>
          <w:rStyle w:val="AlldraftingnotesChar"/>
          <w:rFonts w:cs="Arial"/>
          <w:b w:val="0"/>
          <w:bCs w:val="0"/>
          <w:color w:val="auto"/>
          <w:lang w:eastAsia="en-NZ"/>
        </w:rPr>
        <w:t xml:space="preserve"> for the first time </w:t>
      </w:r>
      <w:r w:rsidR="1F116B15" w:rsidRPr="004A0212">
        <w:rPr>
          <w:rStyle w:val="AlldraftingnotesChar"/>
          <w:rFonts w:cs="Arial"/>
          <w:b w:val="0"/>
          <w:bCs w:val="0"/>
          <w:color w:val="auto"/>
          <w:lang w:eastAsia="en-NZ"/>
        </w:rPr>
        <w:t>since 1916</w:t>
      </w:r>
      <w:r w:rsidR="2F66446A" w:rsidRPr="004A0212">
        <w:rPr>
          <w:rStyle w:val="AlldraftingnotesChar"/>
          <w:rFonts w:cs="Arial"/>
          <w:b w:val="0"/>
          <w:bCs w:val="0"/>
          <w:color w:val="auto"/>
          <w:lang w:eastAsia="en-NZ"/>
        </w:rPr>
        <w:t>.</w:t>
      </w:r>
      <w:r w:rsidR="00B52340" w:rsidRPr="004A0212">
        <w:rPr>
          <w:rStyle w:val="StyleFootnoteReferenceFagoFunotenzeichenFagoFunotenzeichen"/>
        </w:rPr>
        <w:footnoteReference w:id="439"/>
      </w:r>
      <w:r w:rsidR="2F66446A" w:rsidRPr="004A0212">
        <w:rPr>
          <w:rStyle w:val="AlldraftingnotesChar"/>
          <w:rFonts w:cs="Arial"/>
          <w:b w:val="0"/>
          <w:bCs w:val="0"/>
          <w:color w:val="auto"/>
          <w:lang w:eastAsia="en-NZ"/>
        </w:rPr>
        <w:t xml:space="preserve"> </w:t>
      </w:r>
    </w:p>
    <w:p w14:paraId="5FC55B94" w14:textId="535C809E" w:rsidR="00B46884" w:rsidRPr="004A0212" w:rsidRDefault="38DACD75" w:rsidP="007D73A6">
      <w:pPr>
        <w:pStyle w:val="AllNumbparas"/>
        <w:rPr>
          <w:rStyle w:val="AlldraftingnotesChar"/>
          <w:rFonts w:cs="Arial"/>
          <w:b w:val="0"/>
          <w:color w:val="auto"/>
          <w:lang w:eastAsia="en-NZ"/>
        </w:rPr>
      </w:pPr>
      <w:r w:rsidRPr="004A0212">
        <w:rPr>
          <w:rStyle w:val="AlldraftingnotesChar"/>
          <w:rFonts w:cs="Arial"/>
          <w:b w:val="0"/>
          <w:bCs w:val="0"/>
          <w:color w:val="auto"/>
          <w:lang w:eastAsia="en-NZ"/>
        </w:rPr>
        <w:t>By</w:t>
      </w:r>
      <w:r w:rsidR="23A977B4" w:rsidRPr="004A0212">
        <w:rPr>
          <w:rStyle w:val="AlldraftingnotesChar"/>
          <w:rFonts w:cs="Arial"/>
          <w:b w:val="0"/>
          <w:bCs w:val="0"/>
          <w:color w:val="auto"/>
          <w:lang w:eastAsia="en-NZ"/>
        </w:rPr>
        <w:t xml:space="preserve"> 1996</w:t>
      </w:r>
      <w:r w:rsidR="255D9772" w:rsidRPr="004A0212">
        <w:rPr>
          <w:rStyle w:val="AlldraftingnotesChar"/>
          <w:rFonts w:cs="Arial"/>
          <w:b w:val="0"/>
          <w:bCs w:val="0"/>
          <w:color w:val="auto"/>
          <w:lang w:eastAsia="en-NZ"/>
        </w:rPr>
        <w:t xml:space="preserve"> out of a total of </w:t>
      </w:r>
      <w:r w:rsidRPr="004A0212">
        <w:rPr>
          <w:rStyle w:val="AlldraftingnotesChar"/>
          <w:rFonts w:cs="Arial"/>
          <w:b w:val="0"/>
          <w:bCs w:val="0"/>
          <w:color w:val="auto"/>
          <w:lang w:eastAsia="en-NZ"/>
        </w:rPr>
        <w:t xml:space="preserve">population of </w:t>
      </w:r>
      <w:r w:rsidR="41B5471F" w:rsidRPr="004A0212">
        <w:rPr>
          <w:rStyle w:val="AlldraftingnotesChar"/>
          <w:rFonts w:cs="Arial"/>
          <w:b w:val="0"/>
          <w:bCs w:val="0"/>
          <w:color w:val="auto"/>
          <w:lang w:eastAsia="en-NZ"/>
        </w:rPr>
        <w:t>3,618,303 people, 51</w:t>
      </w:r>
      <w:r w:rsidR="5F44AEF0" w:rsidRPr="004A0212">
        <w:rPr>
          <w:rStyle w:val="AlldraftingnotesChar"/>
          <w:rFonts w:cs="Arial"/>
          <w:b w:val="0"/>
          <w:bCs w:val="0"/>
          <w:color w:val="auto"/>
          <w:lang w:eastAsia="en-NZ"/>
        </w:rPr>
        <w:t>7,212</w:t>
      </w:r>
      <w:r w:rsidR="34AB3C25" w:rsidRPr="004A0212">
        <w:rPr>
          <w:rStyle w:val="AlldraftingnotesChar"/>
          <w:rFonts w:cs="Arial"/>
          <w:b w:val="0"/>
          <w:bCs w:val="0"/>
          <w:color w:val="auto"/>
          <w:lang w:eastAsia="en-NZ"/>
        </w:rPr>
        <w:t xml:space="preserve"> </w:t>
      </w:r>
      <w:r w:rsidR="69AD88BB" w:rsidRPr="004A0212">
        <w:rPr>
          <w:rStyle w:val="AlldraftingnotesChar"/>
          <w:rFonts w:cs="Arial"/>
          <w:b w:val="0"/>
          <w:bCs w:val="0"/>
          <w:color w:val="auto"/>
          <w:lang w:eastAsia="en-NZ"/>
        </w:rPr>
        <w:t xml:space="preserve">(14 percent of the population) </w:t>
      </w:r>
      <w:r w:rsidR="34AB3C25" w:rsidRPr="004A0212">
        <w:rPr>
          <w:rStyle w:val="AlldraftingnotesChar"/>
          <w:rFonts w:cs="Arial"/>
          <w:b w:val="0"/>
          <w:bCs w:val="0"/>
          <w:color w:val="auto"/>
          <w:lang w:eastAsia="en-NZ"/>
        </w:rPr>
        <w:t xml:space="preserve">indicated they </w:t>
      </w:r>
      <w:r w:rsidR="7BA4465C" w:rsidRPr="004A0212">
        <w:rPr>
          <w:rStyle w:val="AlldraftingnotesChar"/>
          <w:rFonts w:cs="Arial"/>
          <w:b w:val="0"/>
          <w:bCs w:val="0"/>
          <w:color w:val="auto"/>
          <w:lang w:eastAsia="en-NZ"/>
        </w:rPr>
        <w:t xml:space="preserve">or their dependents </w:t>
      </w:r>
      <w:r w:rsidR="34AB3C25" w:rsidRPr="004A0212">
        <w:rPr>
          <w:rStyle w:val="AlldraftingnotesChar"/>
          <w:rFonts w:cs="Arial"/>
          <w:b w:val="0"/>
          <w:bCs w:val="0"/>
          <w:color w:val="auto"/>
          <w:lang w:eastAsia="en-NZ"/>
        </w:rPr>
        <w:t xml:space="preserve">were disabled. </w:t>
      </w:r>
      <w:r w:rsidR="21757553" w:rsidRPr="004A0212">
        <w:rPr>
          <w:rStyle w:val="AlldraftingnotesChar"/>
          <w:rFonts w:cs="Arial"/>
          <w:b w:val="0"/>
          <w:bCs w:val="0"/>
          <w:color w:val="auto"/>
          <w:lang w:eastAsia="en-NZ"/>
        </w:rPr>
        <w:t>Of this</w:t>
      </w:r>
      <w:r w:rsidR="24C5F210" w:rsidRPr="004A0212">
        <w:rPr>
          <w:rStyle w:val="AlldraftingnotesChar"/>
          <w:rFonts w:cs="Arial"/>
          <w:b w:val="0"/>
          <w:bCs w:val="0"/>
          <w:color w:val="auto"/>
          <w:lang w:eastAsia="en-NZ"/>
        </w:rPr>
        <w:t>,</w:t>
      </w:r>
      <w:r w:rsidR="21757553" w:rsidRPr="004A0212">
        <w:rPr>
          <w:rStyle w:val="AlldraftingnotesChar"/>
          <w:rFonts w:cs="Arial"/>
          <w:b w:val="0"/>
          <w:bCs w:val="0"/>
          <w:color w:val="auto"/>
          <w:lang w:eastAsia="en-NZ"/>
        </w:rPr>
        <w:t xml:space="preserve"> </w:t>
      </w:r>
      <w:r w:rsidR="338B60E2" w:rsidRPr="004A0212">
        <w:rPr>
          <w:rStyle w:val="AlldraftingnotesChar"/>
          <w:rFonts w:cs="Arial"/>
          <w:b w:val="0"/>
          <w:bCs w:val="0"/>
          <w:color w:val="auto"/>
          <w:lang w:eastAsia="en-NZ"/>
        </w:rPr>
        <w:t xml:space="preserve">411,477 indicated they or their dependents had a </w:t>
      </w:r>
      <w:r w:rsidR="7D30D84D" w:rsidRPr="004A0212">
        <w:rPr>
          <w:rStyle w:val="AlldraftingnotesChar"/>
          <w:rFonts w:cs="Arial"/>
          <w:b w:val="0"/>
          <w:bCs w:val="0"/>
          <w:color w:val="auto"/>
          <w:lang w:eastAsia="en-NZ"/>
        </w:rPr>
        <w:t>long-term</w:t>
      </w:r>
      <w:r w:rsidR="338B60E2" w:rsidRPr="004A0212">
        <w:rPr>
          <w:rStyle w:val="AlldraftingnotesChar"/>
          <w:rFonts w:cs="Arial"/>
          <w:b w:val="0"/>
          <w:bCs w:val="0"/>
          <w:color w:val="auto"/>
          <w:lang w:eastAsia="en-NZ"/>
        </w:rPr>
        <w:t xml:space="preserve"> disability.</w:t>
      </w:r>
      <w:r w:rsidR="00B52340" w:rsidRPr="004A0212">
        <w:rPr>
          <w:rStyle w:val="StyleFootnoteReferenceFagoFunotenzeichenFagoFunotenzeichen"/>
        </w:rPr>
        <w:footnoteReference w:id="440"/>
      </w:r>
      <w:r w:rsidR="338B60E2" w:rsidRPr="004A0212">
        <w:rPr>
          <w:rStyle w:val="AlldraftingnotesChar"/>
          <w:rFonts w:cs="Arial"/>
          <w:b w:val="0"/>
          <w:bCs w:val="0"/>
          <w:color w:val="auto"/>
          <w:lang w:eastAsia="en-NZ"/>
        </w:rPr>
        <w:t xml:space="preserve"> </w:t>
      </w:r>
    </w:p>
    <w:p w14:paraId="0DFE9EF9" w14:textId="4CBEA6B0" w:rsidR="00534352" w:rsidRPr="004A0212" w:rsidRDefault="5B92EE8F" w:rsidP="00534352">
      <w:pPr>
        <w:pStyle w:val="Heading2"/>
        <w:rPr>
          <w:rFonts w:cs="Arial"/>
        </w:rPr>
      </w:pPr>
      <w:bookmarkStart w:id="485" w:name="_Toc761442069"/>
      <w:bookmarkStart w:id="486" w:name="_Toc168639023"/>
      <w:proofErr w:type="spellStart"/>
      <w:r w:rsidRPr="004A0212">
        <w:rPr>
          <w:rFonts w:cs="Arial"/>
        </w:rPr>
        <w:t>Raraunga</w:t>
      </w:r>
      <w:proofErr w:type="spellEnd"/>
      <w:r w:rsidRPr="004A0212">
        <w:rPr>
          <w:rFonts w:cs="Arial"/>
        </w:rPr>
        <w:t xml:space="preserve"> e </w:t>
      </w:r>
      <w:proofErr w:type="spellStart"/>
      <w:r w:rsidRPr="004A0212">
        <w:rPr>
          <w:rFonts w:cs="Arial"/>
        </w:rPr>
        <w:t>hāngai</w:t>
      </w:r>
      <w:proofErr w:type="spellEnd"/>
      <w:r w:rsidRPr="004A0212">
        <w:rPr>
          <w:rFonts w:cs="Arial"/>
        </w:rPr>
        <w:t xml:space="preserve"> ana ki </w:t>
      </w:r>
      <w:proofErr w:type="spellStart"/>
      <w:r w:rsidRPr="004A0212">
        <w:rPr>
          <w:rFonts w:cs="Arial"/>
        </w:rPr>
        <w:t>ngā</w:t>
      </w:r>
      <w:proofErr w:type="spellEnd"/>
      <w:r w:rsidRPr="004A0212">
        <w:rPr>
          <w:rFonts w:cs="Arial"/>
        </w:rPr>
        <w:t xml:space="preserve"> iwi Pasifika</w:t>
      </w:r>
      <w:r w:rsidR="4A2690F2" w:rsidRPr="004A0212">
        <w:rPr>
          <w:rFonts w:cs="Arial"/>
        </w:rPr>
        <w:t xml:space="preserve"> | </w:t>
      </w:r>
      <w:bookmarkStart w:id="487" w:name="_Toc148443605"/>
      <w:bookmarkStart w:id="488" w:name="_Toc150933166"/>
      <w:bookmarkStart w:id="489" w:name="_Toc150953484"/>
      <w:r w:rsidR="7251FABC" w:rsidRPr="004A0212">
        <w:rPr>
          <w:rFonts w:cs="Arial"/>
        </w:rPr>
        <w:t>Data relating to</w:t>
      </w:r>
      <w:r w:rsidR="64092E7D" w:rsidRPr="004A0212">
        <w:rPr>
          <w:rFonts w:cs="Arial"/>
        </w:rPr>
        <w:t xml:space="preserve"> Pacific </w:t>
      </w:r>
      <w:bookmarkEnd w:id="487"/>
      <w:r w:rsidR="66F2D6AE" w:rsidRPr="004A0212">
        <w:rPr>
          <w:rFonts w:cs="Arial"/>
        </w:rPr>
        <w:t>P</w:t>
      </w:r>
      <w:r w:rsidR="00DC6968" w:rsidRPr="004A0212">
        <w:rPr>
          <w:rFonts w:cs="Arial"/>
        </w:rPr>
        <w:t>eoples</w:t>
      </w:r>
      <w:bookmarkEnd w:id="485"/>
      <w:bookmarkEnd w:id="486"/>
      <w:r w:rsidR="1238BA64" w:rsidRPr="004A0212">
        <w:rPr>
          <w:rFonts w:cs="Arial"/>
        </w:rPr>
        <w:t xml:space="preserve"> </w:t>
      </w:r>
      <w:bookmarkEnd w:id="488"/>
      <w:bookmarkEnd w:id="489"/>
    </w:p>
    <w:p w14:paraId="6A70320C" w14:textId="2704D021" w:rsidR="003030BE" w:rsidRPr="004A0212" w:rsidRDefault="7B8A005C" w:rsidP="005864F8">
      <w:pPr>
        <w:pStyle w:val="AllNumbparas"/>
      </w:pPr>
      <w:r w:rsidRPr="004A0212">
        <w:t xml:space="preserve">The Pacific population </w:t>
      </w:r>
      <w:r w:rsidR="3CB6C61E" w:rsidRPr="004A0212">
        <w:t xml:space="preserve">in Aotearoa New Zealand </w:t>
      </w:r>
      <w:r w:rsidRPr="004A0212">
        <w:t xml:space="preserve">increased during the </w:t>
      </w:r>
      <w:r w:rsidR="5FFF8F5F" w:rsidRPr="004A0212">
        <w:t>Inquiry</w:t>
      </w:r>
      <w:r w:rsidRPr="004A0212">
        <w:t xml:space="preserve"> period, influenced by migration from Pacific islands and establishment of Pacific communities in Aotearoa New Zealand. The Pacific population went from 0.2 </w:t>
      </w:r>
      <w:r w:rsidR="453B5ECB" w:rsidRPr="004A0212">
        <w:t>percent</w:t>
      </w:r>
      <w:r w:rsidRPr="004A0212">
        <w:t xml:space="preserve"> of the total population in 1951, to almost </w:t>
      </w:r>
      <w:r w:rsidR="1CBBADDC" w:rsidRPr="004A0212">
        <w:t xml:space="preserve">2 </w:t>
      </w:r>
      <w:r w:rsidR="453B5ECB" w:rsidRPr="004A0212">
        <w:t>percent</w:t>
      </w:r>
      <w:r w:rsidRPr="004A0212">
        <w:t xml:space="preserve"> in 1976 and </w:t>
      </w:r>
      <w:r w:rsidR="59FE2791" w:rsidRPr="004A0212">
        <w:t>4.8</w:t>
      </w:r>
      <w:r w:rsidRPr="004A0212">
        <w:t xml:space="preserve"> </w:t>
      </w:r>
      <w:r w:rsidR="453B5ECB" w:rsidRPr="004A0212">
        <w:t>percent</w:t>
      </w:r>
      <w:r w:rsidRPr="004A0212">
        <w:t xml:space="preserve"> in 1996.</w:t>
      </w:r>
      <w:r w:rsidR="00534352" w:rsidRPr="004A0212">
        <w:rPr>
          <w:rStyle w:val="StyleFootnoteReferenceFagoFunotenzeichenFagoFunotenzeichen"/>
        </w:rPr>
        <w:footnoteReference w:id="441"/>
      </w:r>
      <w:r w:rsidRPr="004A0212">
        <w:t xml:space="preserve"> </w:t>
      </w:r>
    </w:p>
    <w:p w14:paraId="40BCFA40" w14:textId="74DA88A9" w:rsidR="00534352" w:rsidRPr="004A0212" w:rsidRDefault="7B8A005C" w:rsidP="002E074C">
      <w:pPr>
        <w:pStyle w:val="AllNumbparas"/>
      </w:pPr>
      <w:r w:rsidRPr="004A0212">
        <w:t xml:space="preserve">Pacific </w:t>
      </w:r>
      <w:r w:rsidR="1ACCA992" w:rsidRPr="004A0212">
        <w:t>P</w:t>
      </w:r>
      <w:r w:rsidR="6568A6C9" w:rsidRPr="004A0212">
        <w:t>eoples</w:t>
      </w:r>
      <w:r w:rsidRPr="004A0212">
        <w:t xml:space="preserve"> </w:t>
      </w:r>
      <w:r w:rsidR="07037F01" w:rsidRPr="004A0212">
        <w:t xml:space="preserve">also </w:t>
      </w:r>
      <w:r w:rsidRPr="004A0212">
        <w:t xml:space="preserve">had a </w:t>
      </w:r>
      <w:r w:rsidR="79279132" w:rsidRPr="004A0212">
        <w:t>young population</w:t>
      </w:r>
      <w:r w:rsidRPr="004A0212">
        <w:t xml:space="preserve"> during the </w:t>
      </w:r>
      <w:r w:rsidR="07037F01" w:rsidRPr="004A0212">
        <w:t>I</w:t>
      </w:r>
      <w:r w:rsidRPr="004A0212">
        <w:t xml:space="preserve">nquiry period with 41.3 </w:t>
      </w:r>
      <w:r w:rsidR="453B5ECB" w:rsidRPr="004A0212">
        <w:t>percent</w:t>
      </w:r>
      <w:r w:rsidRPr="004A0212">
        <w:t xml:space="preserve"> under 15</w:t>
      </w:r>
      <w:r w:rsidR="1CBBADDC" w:rsidRPr="004A0212">
        <w:t xml:space="preserve"> years old</w:t>
      </w:r>
      <w:r w:rsidRPr="004A0212">
        <w:t xml:space="preserve"> in 1981 and 35.1 </w:t>
      </w:r>
      <w:r w:rsidR="453B5ECB" w:rsidRPr="004A0212">
        <w:t>percent</w:t>
      </w:r>
      <w:r w:rsidRPr="004A0212">
        <w:t xml:space="preserve"> under 15</w:t>
      </w:r>
      <w:r w:rsidR="1CBBADDC" w:rsidRPr="004A0212">
        <w:t xml:space="preserve"> years old</w:t>
      </w:r>
      <w:r w:rsidRPr="004A0212">
        <w:t xml:space="preserve"> in 1996.</w:t>
      </w:r>
      <w:r w:rsidR="00534352" w:rsidRPr="004A0212">
        <w:rPr>
          <w:rStyle w:val="StyleFootnoteReferenceFagoFunotenzeichenFagoFunotenzeichen"/>
        </w:rPr>
        <w:footnoteReference w:id="442"/>
      </w:r>
      <w:r w:rsidR="37B43632" w:rsidRPr="004A0212">
        <w:t xml:space="preserve"> </w:t>
      </w:r>
      <w:r w:rsidR="7C08F838" w:rsidRPr="004A0212">
        <w:t xml:space="preserve">This, alongside racism and attitudes to poverty at the time, increased the visibility </w:t>
      </w:r>
      <w:r w:rsidR="1E6E5FF5" w:rsidRPr="004A0212">
        <w:t>of Pacific children and young people</w:t>
      </w:r>
      <w:r w:rsidR="7C08F838" w:rsidRPr="004A0212">
        <w:t xml:space="preserve"> to authorities and the</w:t>
      </w:r>
      <w:r w:rsidR="1E6E5FF5" w:rsidRPr="004A0212">
        <w:t>ir</w:t>
      </w:r>
      <w:r w:rsidR="7C08F838" w:rsidRPr="004A0212">
        <w:t xml:space="preserve"> likelihood being taken into care</w:t>
      </w:r>
      <w:r w:rsidR="1043227D" w:rsidRPr="004A0212">
        <w:t>.</w:t>
      </w:r>
    </w:p>
    <w:p w14:paraId="3EE735D8" w14:textId="77777777" w:rsidR="00664D7C" w:rsidRPr="004A0212" w:rsidRDefault="5AB29848" w:rsidP="000F2B17">
      <w:pPr>
        <w:pStyle w:val="Heading2"/>
        <w:rPr>
          <w:rFonts w:cs="Arial"/>
        </w:rPr>
      </w:pPr>
      <w:bookmarkStart w:id="490" w:name="_Toc54945279"/>
      <w:bookmarkStart w:id="491" w:name="_Toc168639024"/>
      <w:proofErr w:type="spellStart"/>
      <w:r w:rsidRPr="004A0212">
        <w:rPr>
          <w:rFonts w:cs="Arial"/>
        </w:rPr>
        <w:t>Raraunga</w:t>
      </w:r>
      <w:proofErr w:type="spellEnd"/>
      <w:r w:rsidRPr="004A0212">
        <w:rPr>
          <w:rFonts w:cs="Arial"/>
        </w:rPr>
        <w:t xml:space="preserve"> e </w:t>
      </w:r>
      <w:proofErr w:type="spellStart"/>
      <w:r w:rsidRPr="004A0212">
        <w:rPr>
          <w:rFonts w:cs="Arial"/>
        </w:rPr>
        <w:t>hāngai</w:t>
      </w:r>
      <w:proofErr w:type="spellEnd"/>
      <w:r w:rsidRPr="004A0212">
        <w:rPr>
          <w:rFonts w:cs="Arial"/>
        </w:rPr>
        <w:t xml:space="preserve"> ana ki </w:t>
      </w:r>
      <w:proofErr w:type="spellStart"/>
      <w:r w:rsidRPr="004A0212">
        <w:rPr>
          <w:rFonts w:cs="Arial"/>
        </w:rPr>
        <w:t>ngā</w:t>
      </w:r>
      <w:proofErr w:type="spellEnd"/>
      <w:r w:rsidRPr="004A0212">
        <w:rPr>
          <w:rFonts w:cs="Arial"/>
        </w:rPr>
        <w:t xml:space="preserve"> </w:t>
      </w:r>
      <w:proofErr w:type="spellStart"/>
      <w:r w:rsidRPr="004A0212">
        <w:rPr>
          <w:rFonts w:cs="Arial"/>
        </w:rPr>
        <w:t>tūhono</w:t>
      </w:r>
      <w:proofErr w:type="spellEnd"/>
      <w:r w:rsidRPr="004A0212">
        <w:rPr>
          <w:rFonts w:cs="Arial"/>
        </w:rPr>
        <w:t xml:space="preserve"> </w:t>
      </w:r>
      <w:proofErr w:type="spellStart"/>
      <w:r w:rsidRPr="004A0212">
        <w:rPr>
          <w:rFonts w:cs="Arial"/>
        </w:rPr>
        <w:t>whakapono</w:t>
      </w:r>
      <w:bookmarkStart w:id="492" w:name="_Toc150933167"/>
      <w:bookmarkStart w:id="493" w:name="_Toc150953485"/>
      <w:bookmarkEnd w:id="490"/>
      <w:bookmarkEnd w:id="491"/>
      <w:proofErr w:type="spellEnd"/>
      <w:r w:rsidR="23EBDE30" w:rsidRPr="004A0212">
        <w:rPr>
          <w:rFonts w:cs="Arial"/>
        </w:rPr>
        <w:t xml:space="preserve"> </w:t>
      </w:r>
    </w:p>
    <w:p w14:paraId="2A6F50FE" w14:textId="547245A9" w:rsidR="00757F7D" w:rsidRPr="004A0212" w:rsidRDefault="7251FABC" w:rsidP="000F2B17">
      <w:pPr>
        <w:pStyle w:val="Heading2"/>
        <w:rPr>
          <w:rFonts w:cs="Arial"/>
        </w:rPr>
      </w:pPr>
      <w:bookmarkStart w:id="494" w:name="_Toc322248448"/>
      <w:bookmarkStart w:id="495" w:name="_Toc168639025"/>
      <w:r w:rsidRPr="004A0212">
        <w:rPr>
          <w:rFonts w:cs="Arial"/>
        </w:rPr>
        <w:t>D</w:t>
      </w:r>
      <w:r w:rsidR="53766066" w:rsidRPr="004A0212">
        <w:rPr>
          <w:rFonts w:cs="Arial"/>
        </w:rPr>
        <w:t xml:space="preserve">ata </w:t>
      </w:r>
      <w:r w:rsidRPr="004A0212">
        <w:rPr>
          <w:rFonts w:cs="Arial"/>
        </w:rPr>
        <w:t>relating to</w:t>
      </w:r>
      <w:r w:rsidR="53766066" w:rsidRPr="004A0212">
        <w:rPr>
          <w:rFonts w:cs="Arial"/>
        </w:rPr>
        <w:t xml:space="preserve"> </w:t>
      </w:r>
      <w:r w:rsidR="6D0B1930" w:rsidRPr="004A0212">
        <w:rPr>
          <w:rFonts w:cs="Arial"/>
        </w:rPr>
        <w:t>religious affiliation</w:t>
      </w:r>
      <w:bookmarkEnd w:id="494"/>
      <w:bookmarkEnd w:id="495"/>
      <w:r w:rsidR="53766066" w:rsidRPr="004A0212">
        <w:rPr>
          <w:rFonts w:cs="Arial"/>
        </w:rPr>
        <w:t xml:space="preserve"> </w:t>
      </w:r>
      <w:bookmarkEnd w:id="492"/>
      <w:bookmarkEnd w:id="493"/>
    </w:p>
    <w:p w14:paraId="0B82EF07" w14:textId="68C657C3" w:rsidR="00757F7D" w:rsidRPr="004A0212" w:rsidRDefault="1D2E36A2" w:rsidP="007D73A6">
      <w:pPr>
        <w:pStyle w:val="AllNumbparas"/>
      </w:pPr>
      <w:r w:rsidRPr="004A0212">
        <w:t>In general</w:t>
      </w:r>
      <w:r w:rsidR="1CBBADDC" w:rsidRPr="004A0212">
        <w:t>,</w:t>
      </w:r>
      <w:r w:rsidRPr="004A0212">
        <w:t xml:space="preserve"> there were significant changes in the religious landscape during the Inquiry period. In the 1950s, Christianity was the main religion in </w:t>
      </w:r>
      <w:r w:rsidR="15765C78" w:rsidRPr="004A0212">
        <w:t xml:space="preserve">Aotearoa </w:t>
      </w:r>
      <w:r w:rsidRPr="004A0212">
        <w:t xml:space="preserve">New Zealand, with </w:t>
      </w:r>
      <w:r w:rsidR="24C5F210" w:rsidRPr="004A0212">
        <w:t>about</w:t>
      </w:r>
      <w:r w:rsidRPr="004A0212">
        <w:t xml:space="preserve"> 90 </w:t>
      </w:r>
      <w:r w:rsidR="453B5ECB" w:rsidRPr="004A0212">
        <w:t>percent</w:t>
      </w:r>
      <w:r w:rsidRPr="004A0212">
        <w:t xml:space="preserve"> of the population identifying as Christian.</w:t>
      </w:r>
      <w:r w:rsidRPr="004A0212">
        <w:rPr>
          <w:rStyle w:val="FootnoteReference"/>
        </w:rPr>
        <w:t xml:space="preserve"> </w:t>
      </w:r>
      <w:r w:rsidR="00757F7D" w:rsidRPr="004A0212">
        <w:rPr>
          <w:rStyle w:val="StyleFootnoteReferenceFagoFunotenzeichenFagoFunotenzeichen"/>
        </w:rPr>
        <w:footnoteReference w:id="443"/>
      </w:r>
      <w:r w:rsidRPr="004A0212">
        <w:t xml:space="preserve"> </w:t>
      </w:r>
    </w:p>
    <w:p w14:paraId="2FDEEE5D" w14:textId="77777777" w:rsidR="00806494" w:rsidRPr="004A0212" w:rsidRDefault="1D2E36A2" w:rsidP="00D10CD4">
      <w:pPr>
        <w:pStyle w:val="AllNumbparas"/>
      </w:pPr>
      <w:r w:rsidRPr="004A0212">
        <w:t xml:space="preserve">This figure declined over the Inquiry period, with the 1996 census recording </w:t>
      </w:r>
      <w:r w:rsidR="24C5F210" w:rsidRPr="004A0212">
        <w:t>about</w:t>
      </w:r>
      <w:r w:rsidRPr="004A0212">
        <w:t xml:space="preserve"> 56 </w:t>
      </w:r>
      <w:r w:rsidR="453B5ECB" w:rsidRPr="004A0212">
        <w:t>percent</w:t>
      </w:r>
      <w:r w:rsidRPr="004A0212">
        <w:t xml:space="preserve"> identifying as Christian.</w:t>
      </w:r>
      <w:r w:rsidR="00757F7D" w:rsidRPr="004A0212">
        <w:rPr>
          <w:rStyle w:val="StyleFootnoteReferenceFagoFunotenzeichenFagoFunotenzeichen"/>
        </w:rPr>
        <w:footnoteReference w:id="444"/>
      </w:r>
      <w:r w:rsidRPr="004A0212">
        <w:t xml:space="preserve"> At the same time, the proportion of New Zealanders reporting they had no religion increased from 1 </w:t>
      </w:r>
      <w:r w:rsidR="453B5ECB" w:rsidRPr="004A0212">
        <w:t>percent</w:t>
      </w:r>
      <w:r w:rsidRPr="004A0212">
        <w:t xml:space="preserve"> in 1951 to 25 </w:t>
      </w:r>
      <w:r w:rsidR="453B5ECB" w:rsidRPr="004A0212">
        <w:t>percent</w:t>
      </w:r>
      <w:r w:rsidRPr="004A0212">
        <w:t xml:space="preserve"> in 1996.</w:t>
      </w:r>
      <w:r w:rsidR="00757F7D" w:rsidRPr="004A0212">
        <w:rPr>
          <w:rStyle w:val="StyleFootnoteReferenceFagoFunotenzeichenFagoFunotenzeichen"/>
        </w:rPr>
        <w:footnoteReference w:id="445"/>
      </w:r>
    </w:p>
    <w:p w14:paraId="675A03F6" w14:textId="77777777" w:rsidR="00FE6765" w:rsidRDefault="00FE6765" w:rsidP="00894BFE">
      <w:pPr>
        <w:pStyle w:val="AllQuotes"/>
        <w:ind w:left="0"/>
      </w:pPr>
    </w:p>
    <w:p w14:paraId="023D27AB" w14:textId="3232F126" w:rsidR="00894BFE" w:rsidRPr="00571526" w:rsidRDefault="00894BFE" w:rsidP="00894BFE">
      <w:pPr>
        <w:pStyle w:val="AllQuotes"/>
        <w:ind w:left="0"/>
      </w:pPr>
      <w:r w:rsidRPr="00571526">
        <w:t>[survivor quote]</w:t>
      </w:r>
    </w:p>
    <w:p w14:paraId="7F278D5B" w14:textId="2625E71A" w:rsidR="00894BFE" w:rsidRPr="00571526" w:rsidRDefault="00894BFE" w:rsidP="00894BFE">
      <w:pPr>
        <w:pStyle w:val="AllQuotes"/>
        <w:rPr>
          <w:b/>
        </w:rPr>
      </w:pPr>
      <w:r w:rsidRPr="00571526">
        <w:rPr>
          <w:b/>
        </w:rPr>
        <w:t>“</w:t>
      </w:r>
      <w:r w:rsidR="00681835">
        <w:rPr>
          <w:b/>
        </w:rPr>
        <w:t>Rather than help me, it was easier to just send me away somewhere</w:t>
      </w:r>
      <w:r w:rsidRPr="00571526">
        <w:rPr>
          <w:b/>
        </w:rPr>
        <w:t>.”</w:t>
      </w:r>
    </w:p>
    <w:p w14:paraId="2B66CBC8" w14:textId="636384A0" w:rsidR="00894BFE" w:rsidRPr="00571526" w:rsidRDefault="00681835" w:rsidP="00894BFE">
      <w:pPr>
        <w:pStyle w:val="AllQuotes"/>
        <w:rPr>
          <w:b/>
        </w:rPr>
      </w:pPr>
      <w:r>
        <w:rPr>
          <w:b/>
        </w:rPr>
        <w:t>Mr NL</w:t>
      </w:r>
    </w:p>
    <w:p w14:paraId="3B8AD55E" w14:textId="5910BCB0" w:rsidR="002416B6" w:rsidRPr="007410B5" w:rsidRDefault="00681835" w:rsidP="007410B5">
      <w:pPr>
        <w:pStyle w:val="AllQuotes"/>
        <w:rPr>
          <w:b/>
        </w:rPr>
      </w:pPr>
      <w:proofErr w:type="spellStart"/>
      <w:r>
        <w:rPr>
          <w:b/>
        </w:rPr>
        <w:t>P</w:t>
      </w:r>
      <w:r w:rsidR="00FE6765">
        <w:rPr>
          <w:b/>
        </w:rPr>
        <w:t>ākeha</w:t>
      </w:r>
      <w:proofErr w:type="spellEnd"/>
    </w:p>
    <w:p w14:paraId="22DE0AC4" w14:textId="77777777" w:rsidR="00AB346B" w:rsidRDefault="00AB346B">
      <w:pPr>
        <w:keepLines w:val="0"/>
        <w:rPr>
          <w:rFonts w:asciiTheme="minorBidi" w:eastAsia="Times New Roman" w:hAnsiTheme="minorBidi" w:cstheme="minorBidi"/>
          <w:b/>
          <w:bCs/>
          <w:i/>
          <w:iCs/>
          <w:color w:val="auto"/>
          <w:lang w:eastAsia="zh-CN" w:bidi="th-TH"/>
        </w:rPr>
      </w:pPr>
      <w:r>
        <w:rPr>
          <w:rFonts w:asciiTheme="minorBidi" w:eastAsia="Times New Roman" w:hAnsiTheme="minorBidi" w:cstheme="minorBidi"/>
          <w:b/>
          <w:bCs/>
          <w:i/>
          <w:iCs/>
          <w:color w:val="auto"/>
          <w:lang w:eastAsia="zh-CN" w:bidi="th-TH"/>
        </w:rPr>
        <w:br w:type="page"/>
      </w:r>
    </w:p>
    <w:p w14:paraId="3C827737" w14:textId="1EACE00E" w:rsidR="00AB346B" w:rsidRDefault="00812A02" w:rsidP="00AB346B">
      <w:pPr>
        <w:pStyle w:val="BodyText"/>
        <w:rPr>
          <w:lang w:bidi="th-TH"/>
        </w:rPr>
      </w:pPr>
      <w:r>
        <w:rPr>
          <w:lang w:bidi="th-TH"/>
        </w:rPr>
        <w:t>[Survivor quote preceding survivor profile]</w:t>
      </w:r>
    </w:p>
    <w:p w14:paraId="711F5081" w14:textId="653850D9" w:rsidR="002416B6" w:rsidRPr="00AB346B" w:rsidRDefault="002416B6" w:rsidP="00AB346B">
      <w:pPr>
        <w:pStyle w:val="AllQuotes"/>
        <w:rPr>
          <w:b/>
          <w:lang w:bidi="th-TH"/>
        </w:rPr>
      </w:pPr>
      <w:r w:rsidRPr="00AB346B">
        <w:rPr>
          <w:b/>
          <w:lang w:bidi="th-TH"/>
        </w:rPr>
        <w:t>“I peeked through the window and cried for my parents.”</w:t>
      </w:r>
    </w:p>
    <w:p w14:paraId="7CCE2EFE" w14:textId="48B55F8C" w:rsidR="002416B6" w:rsidRPr="00AB346B" w:rsidRDefault="002416B6" w:rsidP="00AB346B">
      <w:pPr>
        <w:pStyle w:val="AllQuotes"/>
        <w:rPr>
          <w:b/>
          <w:lang w:bidi="th-TH"/>
        </w:rPr>
      </w:pPr>
      <w:r w:rsidRPr="00AB346B">
        <w:rPr>
          <w:b/>
          <w:lang w:bidi="th-TH"/>
        </w:rPr>
        <w:t>Andrew Brown</w:t>
      </w:r>
    </w:p>
    <w:p w14:paraId="0CEDD0F8" w14:textId="77777777" w:rsidR="002416B6" w:rsidRPr="00AB346B" w:rsidRDefault="002416B6" w:rsidP="00AB346B">
      <w:pPr>
        <w:pStyle w:val="AllQuotes"/>
        <w:rPr>
          <w:b/>
          <w:lang w:bidi="th-TH"/>
        </w:rPr>
      </w:pPr>
      <w:r w:rsidRPr="00AB346B">
        <w:rPr>
          <w:b/>
          <w:lang w:bidi="th-TH"/>
        </w:rPr>
        <w:t xml:space="preserve">Māori, </w:t>
      </w:r>
      <w:proofErr w:type="spellStart"/>
      <w:r w:rsidRPr="00AB346B">
        <w:rPr>
          <w:b/>
          <w:lang w:bidi="th-TH"/>
        </w:rPr>
        <w:t>Moriori</w:t>
      </w:r>
      <w:proofErr w:type="spellEnd"/>
      <w:r w:rsidRPr="00AB346B">
        <w:rPr>
          <w:b/>
          <w:lang w:bidi="th-TH"/>
        </w:rPr>
        <w:t>, English, Welsh</w:t>
      </w:r>
    </w:p>
    <w:p w14:paraId="3A3BB1D2" w14:textId="3B4FCBE8" w:rsidR="00757F7D" w:rsidRPr="004A0212" w:rsidRDefault="00757F7D" w:rsidP="00AB346B">
      <w:pPr>
        <w:pStyle w:val="AllNumbparas"/>
        <w:numPr>
          <w:ilvl w:val="0"/>
          <w:numId w:val="0"/>
        </w:numPr>
      </w:pPr>
    </w:p>
    <w:p w14:paraId="244A085B" w14:textId="77777777" w:rsidR="00664D7C" w:rsidRPr="004A0212" w:rsidRDefault="036B0DF0" w:rsidP="00310970">
      <w:pPr>
        <w:pStyle w:val="Heading1"/>
      </w:pPr>
      <w:bookmarkStart w:id="496" w:name="_Toc2123238082"/>
      <w:bookmarkStart w:id="497" w:name="_Toc168639026"/>
      <w:proofErr w:type="spellStart"/>
      <w:r w:rsidRPr="004A0212">
        <w:t>Ngā</w:t>
      </w:r>
      <w:proofErr w:type="spellEnd"/>
      <w:r w:rsidRPr="004A0212">
        <w:t xml:space="preserve"> </w:t>
      </w:r>
      <w:proofErr w:type="spellStart"/>
      <w:r w:rsidRPr="004A0212">
        <w:t>wheako</w:t>
      </w:r>
      <w:proofErr w:type="spellEnd"/>
      <w:r w:rsidR="2FFAA73A" w:rsidRPr="004A0212">
        <w:t xml:space="preserve"> o </w:t>
      </w:r>
      <w:proofErr w:type="spellStart"/>
      <w:r w:rsidR="2FFAA73A" w:rsidRPr="004A0212">
        <w:t>te</w:t>
      </w:r>
      <w:proofErr w:type="spellEnd"/>
      <w:r w:rsidR="2FFAA73A" w:rsidRPr="004A0212">
        <w:t xml:space="preserve"> </w:t>
      </w:r>
      <w:proofErr w:type="spellStart"/>
      <w:r w:rsidR="2FFAA73A" w:rsidRPr="004A0212">
        <w:t>purapura</w:t>
      </w:r>
      <w:proofErr w:type="spellEnd"/>
      <w:r w:rsidR="2FFAA73A" w:rsidRPr="004A0212">
        <w:t xml:space="preserve"> </w:t>
      </w:r>
      <w:proofErr w:type="spellStart"/>
      <w:r w:rsidR="2FFAA73A" w:rsidRPr="004A0212">
        <w:t>ora</w:t>
      </w:r>
      <w:bookmarkEnd w:id="496"/>
      <w:bookmarkEnd w:id="497"/>
      <w:proofErr w:type="spellEnd"/>
    </w:p>
    <w:p w14:paraId="440A8A61" w14:textId="472F5D08" w:rsidR="009C21C8" w:rsidRPr="004A0212" w:rsidRDefault="283E9EE7" w:rsidP="00310970">
      <w:pPr>
        <w:pStyle w:val="Heading1"/>
      </w:pPr>
      <w:bookmarkStart w:id="498" w:name="_Toc822501635"/>
      <w:bookmarkStart w:id="499" w:name="_Toc168639027"/>
      <w:r w:rsidRPr="004A0212">
        <w:t>Survivor experience</w:t>
      </w:r>
      <w:r w:rsidR="23027BD7" w:rsidRPr="004A0212">
        <w:t>:</w:t>
      </w:r>
      <w:r w:rsidRPr="004A0212">
        <w:t xml:space="preserve"> </w:t>
      </w:r>
      <w:r w:rsidR="20D2A44A" w:rsidRPr="004A0212">
        <w:t>Andrew Brown</w:t>
      </w:r>
      <w:bookmarkEnd w:id="498"/>
      <w:bookmarkEnd w:id="499"/>
    </w:p>
    <w:p w14:paraId="157EBE46" w14:textId="77777777" w:rsidR="00F4713A" w:rsidRPr="004A0212" w:rsidRDefault="00F4713A"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Name</w:t>
      </w:r>
      <w:r w:rsidRPr="004A0212">
        <w:rPr>
          <w:rStyle w:val="normaltextrun"/>
          <w:rFonts w:ascii="Arial" w:hAnsi="Arial" w:cs="Arial"/>
          <w:sz w:val="22"/>
          <w:szCs w:val="22"/>
        </w:rPr>
        <w:t xml:space="preserve"> Andrew Brown</w:t>
      </w:r>
      <w:r w:rsidRPr="004A0212">
        <w:rPr>
          <w:rStyle w:val="eop"/>
          <w:rFonts w:ascii="Arial" w:hAnsi="Arial" w:cs="Arial"/>
          <w:sz w:val="22"/>
          <w:szCs w:val="22"/>
        </w:rPr>
        <w:t> </w:t>
      </w:r>
    </w:p>
    <w:p w14:paraId="3A5632B6" w14:textId="77777777" w:rsidR="00F4713A" w:rsidRPr="004A0212" w:rsidRDefault="00F4713A"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Age when entered care</w:t>
      </w:r>
      <w:r w:rsidRPr="004A0212">
        <w:rPr>
          <w:rStyle w:val="normaltextrun"/>
          <w:rFonts w:ascii="Arial" w:hAnsi="Arial" w:cs="Arial"/>
          <w:sz w:val="22"/>
          <w:szCs w:val="22"/>
        </w:rPr>
        <w:t xml:space="preserve"> 9 years old</w:t>
      </w:r>
      <w:r w:rsidRPr="004A0212">
        <w:rPr>
          <w:rStyle w:val="eop"/>
          <w:rFonts w:ascii="Arial" w:hAnsi="Arial" w:cs="Arial"/>
          <w:sz w:val="22"/>
          <w:szCs w:val="22"/>
        </w:rPr>
        <w:t> </w:t>
      </w:r>
    </w:p>
    <w:p w14:paraId="29222A8B" w14:textId="60DB0858" w:rsidR="00DA6C03" w:rsidRPr="004A0212" w:rsidRDefault="00DA6C03"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Hometown</w:t>
      </w:r>
      <w:r w:rsidRPr="004A0212">
        <w:rPr>
          <w:rStyle w:val="normaltextrun"/>
          <w:rFonts w:ascii="Arial" w:hAnsi="Arial" w:cs="Arial"/>
          <w:sz w:val="22"/>
          <w:szCs w:val="22"/>
        </w:rPr>
        <w:t xml:space="preserve"> </w:t>
      </w:r>
      <w:proofErr w:type="spellStart"/>
      <w:r w:rsidR="00CE7574" w:rsidRPr="004A0212">
        <w:rPr>
          <w:rStyle w:val="normaltextrun"/>
          <w:rFonts w:ascii="Arial" w:hAnsi="Arial" w:cs="Arial"/>
          <w:sz w:val="22"/>
          <w:szCs w:val="22"/>
        </w:rPr>
        <w:t>Te</w:t>
      </w:r>
      <w:proofErr w:type="spellEnd"/>
      <w:r w:rsidR="00CE7574" w:rsidRPr="004A0212">
        <w:rPr>
          <w:rStyle w:val="normaltextrun"/>
          <w:rFonts w:ascii="Arial" w:hAnsi="Arial" w:cs="Arial"/>
          <w:sz w:val="22"/>
          <w:szCs w:val="22"/>
        </w:rPr>
        <w:t xml:space="preserve"> </w:t>
      </w:r>
      <w:proofErr w:type="spellStart"/>
      <w:r w:rsidR="00CE7574" w:rsidRPr="004A0212">
        <w:rPr>
          <w:rStyle w:val="normaltextrun"/>
          <w:rFonts w:ascii="Arial" w:hAnsi="Arial" w:cs="Arial"/>
          <w:sz w:val="22"/>
          <w:szCs w:val="22"/>
        </w:rPr>
        <w:t>Whanga</w:t>
      </w:r>
      <w:proofErr w:type="spellEnd"/>
      <w:r w:rsidR="00CE7574" w:rsidRPr="004A0212">
        <w:rPr>
          <w:rStyle w:val="normaltextrun"/>
          <w:rFonts w:ascii="Arial" w:hAnsi="Arial" w:cs="Arial"/>
          <w:sz w:val="22"/>
          <w:szCs w:val="22"/>
        </w:rPr>
        <w:t>-</w:t>
      </w:r>
      <w:proofErr w:type="spellStart"/>
      <w:r w:rsidR="00CE7574" w:rsidRPr="004A0212">
        <w:rPr>
          <w:rStyle w:val="normaltextrun"/>
          <w:rFonts w:ascii="Arial" w:hAnsi="Arial" w:cs="Arial"/>
          <w:sz w:val="22"/>
          <w:szCs w:val="22"/>
        </w:rPr>
        <w:t>nui</w:t>
      </w:r>
      <w:proofErr w:type="spellEnd"/>
      <w:r w:rsidR="00CE7574" w:rsidRPr="004A0212">
        <w:rPr>
          <w:rStyle w:val="normaltextrun"/>
          <w:rFonts w:ascii="Arial" w:hAnsi="Arial" w:cs="Arial"/>
          <w:sz w:val="22"/>
          <w:szCs w:val="22"/>
        </w:rPr>
        <w:t>-a-Tara Wellington</w:t>
      </w:r>
    </w:p>
    <w:p w14:paraId="17E43B33" w14:textId="029CD799" w:rsidR="00F4713A" w:rsidRPr="004A0212" w:rsidRDefault="00DA6C03"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Year of birth</w:t>
      </w:r>
      <w:r w:rsidR="00F4713A" w:rsidRPr="004A0212">
        <w:rPr>
          <w:rStyle w:val="normaltextrun"/>
          <w:rFonts w:ascii="Arial" w:hAnsi="Arial" w:cs="Arial"/>
          <w:sz w:val="22"/>
          <w:szCs w:val="22"/>
        </w:rPr>
        <w:t xml:space="preserve"> </w:t>
      </w:r>
      <w:r w:rsidR="00EE4287" w:rsidRPr="004A0212">
        <w:rPr>
          <w:rStyle w:val="normaltextrun"/>
          <w:rFonts w:ascii="Arial" w:hAnsi="Arial" w:cs="Arial"/>
          <w:sz w:val="22"/>
          <w:szCs w:val="22"/>
        </w:rPr>
        <w:t>1960</w:t>
      </w:r>
      <w:r w:rsidR="00F4713A" w:rsidRPr="004A0212">
        <w:rPr>
          <w:rStyle w:val="eop"/>
          <w:rFonts w:ascii="Arial" w:hAnsi="Arial" w:cs="Arial"/>
          <w:sz w:val="22"/>
          <w:szCs w:val="22"/>
        </w:rPr>
        <w:t> </w:t>
      </w:r>
    </w:p>
    <w:p w14:paraId="3D4802C7" w14:textId="77777777" w:rsidR="00F4713A" w:rsidRPr="004A0212" w:rsidRDefault="00F4713A"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Time in care</w:t>
      </w:r>
      <w:r w:rsidRPr="004A0212">
        <w:rPr>
          <w:rStyle w:val="normaltextrun"/>
          <w:rFonts w:ascii="Arial" w:hAnsi="Arial" w:cs="Arial"/>
          <w:sz w:val="22"/>
          <w:szCs w:val="22"/>
        </w:rPr>
        <w:t xml:space="preserve"> On and off from 1970 to around 1988</w:t>
      </w:r>
      <w:r w:rsidRPr="004A0212">
        <w:rPr>
          <w:rStyle w:val="eop"/>
          <w:rFonts w:ascii="Arial" w:hAnsi="Arial" w:cs="Arial"/>
          <w:sz w:val="22"/>
          <w:szCs w:val="22"/>
        </w:rPr>
        <w:t> </w:t>
      </w:r>
    </w:p>
    <w:p w14:paraId="0E9F5D72" w14:textId="77777777" w:rsidR="00F4713A" w:rsidRPr="004A0212" w:rsidRDefault="00F4713A"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Type of care facility</w:t>
      </w:r>
      <w:r w:rsidRPr="004A0212">
        <w:rPr>
          <w:rStyle w:val="normaltextrun"/>
          <w:rFonts w:ascii="Arial" w:hAnsi="Arial" w:cs="Arial"/>
          <w:sz w:val="22"/>
          <w:szCs w:val="22"/>
        </w:rPr>
        <w:t xml:space="preserve"> </w:t>
      </w:r>
      <w:proofErr w:type="spellStart"/>
      <w:r w:rsidRPr="004A0212">
        <w:rPr>
          <w:rStyle w:val="normaltextrun"/>
          <w:rFonts w:ascii="Arial" w:hAnsi="Arial" w:cs="Arial"/>
          <w:sz w:val="22"/>
          <w:szCs w:val="22"/>
        </w:rPr>
        <w:t>Berhampore</w:t>
      </w:r>
      <w:proofErr w:type="spellEnd"/>
      <w:r w:rsidRPr="004A0212">
        <w:rPr>
          <w:rStyle w:val="normaltextrun"/>
          <w:rFonts w:ascii="Arial" w:hAnsi="Arial" w:cs="Arial"/>
          <w:sz w:val="22"/>
          <w:szCs w:val="22"/>
        </w:rPr>
        <w:t xml:space="preserve"> Family Home; boys’ homes – </w:t>
      </w:r>
      <w:proofErr w:type="spellStart"/>
      <w:r w:rsidRPr="004A0212">
        <w:rPr>
          <w:rStyle w:val="normaltextrun"/>
          <w:rFonts w:ascii="Arial" w:hAnsi="Arial" w:cs="Arial"/>
          <w:sz w:val="22"/>
          <w:szCs w:val="22"/>
        </w:rPr>
        <w:t>Epuni</w:t>
      </w:r>
      <w:proofErr w:type="spellEnd"/>
      <w:r w:rsidRPr="004A0212">
        <w:rPr>
          <w:rStyle w:val="normaltextrun"/>
          <w:rFonts w:ascii="Arial" w:hAnsi="Arial" w:cs="Arial"/>
          <w:sz w:val="22"/>
          <w:szCs w:val="22"/>
        </w:rPr>
        <w:t xml:space="preserve"> Boys’ Home, Hokio Beach School, Holdsworth Boys’ Home, </w:t>
      </w:r>
      <w:proofErr w:type="spellStart"/>
      <w:r w:rsidRPr="004A0212">
        <w:rPr>
          <w:rStyle w:val="normaltextrun"/>
          <w:rFonts w:ascii="Arial" w:hAnsi="Arial" w:cs="Arial"/>
          <w:sz w:val="22"/>
          <w:szCs w:val="22"/>
        </w:rPr>
        <w:t>Ōwairaka</w:t>
      </w:r>
      <w:proofErr w:type="spellEnd"/>
      <w:r w:rsidRPr="004A0212">
        <w:rPr>
          <w:rStyle w:val="normaltextrun"/>
          <w:rFonts w:ascii="Arial" w:hAnsi="Arial" w:cs="Arial"/>
          <w:sz w:val="22"/>
          <w:szCs w:val="22"/>
        </w:rPr>
        <w:t xml:space="preserve"> Boys’ Home; psychiatric hospital – Oakley Hospital</w:t>
      </w:r>
      <w:r w:rsidRPr="004A0212">
        <w:rPr>
          <w:rStyle w:val="eop"/>
          <w:rFonts w:ascii="Arial" w:hAnsi="Arial" w:cs="Arial"/>
          <w:sz w:val="22"/>
          <w:szCs w:val="22"/>
        </w:rPr>
        <w:t> </w:t>
      </w:r>
    </w:p>
    <w:p w14:paraId="12D08707" w14:textId="470D2CA8" w:rsidR="00F4713A" w:rsidRPr="004A0212" w:rsidRDefault="00F4713A"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Ethnicity</w:t>
      </w:r>
      <w:r w:rsidRPr="004A0212">
        <w:rPr>
          <w:rStyle w:val="normaltextrun"/>
          <w:rFonts w:ascii="Arial" w:hAnsi="Arial" w:cs="Arial"/>
          <w:sz w:val="22"/>
          <w:szCs w:val="22"/>
        </w:rPr>
        <w:t xml:space="preserve"> Māori, </w:t>
      </w:r>
      <w:proofErr w:type="spellStart"/>
      <w:r w:rsidRPr="004A0212">
        <w:rPr>
          <w:rStyle w:val="normaltextrun"/>
          <w:rFonts w:ascii="Arial" w:hAnsi="Arial" w:cs="Arial"/>
          <w:sz w:val="22"/>
          <w:szCs w:val="22"/>
        </w:rPr>
        <w:t>Moriori</w:t>
      </w:r>
      <w:proofErr w:type="spellEnd"/>
      <w:r w:rsidRPr="004A0212">
        <w:rPr>
          <w:rStyle w:val="normaltextrun"/>
          <w:rFonts w:ascii="Arial" w:hAnsi="Arial" w:cs="Arial"/>
          <w:color w:val="4D5156"/>
          <w:sz w:val="22"/>
          <w:szCs w:val="22"/>
          <w:shd w:val="clear" w:color="auto" w:fill="FFFFFF"/>
        </w:rPr>
        <w:t>, English, Welsh</w:t>
      </w:r>
      <w:r w:rsidRPr="004A0212">
        <w:rPr>
          <w:rStyle w:val="eop"/>
          <w:rFonts w:ascii="Arial" w:hAnsi="Arial" w:cs="Arial"/>
          <w:color w:val="4D5156"/>
          <w:sz w:val="22"/>
          <w:szCs w:val="22"/>
        </w:rPr>
        <w:t> </w:t>
      </w:r>
    </w:p>
    <w:p w14:paraId="64D8DC40" w14:textId="77777777" w:rsidR="00F4713A" w:rsidRPr="004A0212" w:rsidRDefault="00F4713A"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Whānau background</w:t>
      </w:r>
      <w:r w:rsidRPr="004A0212">
        <w:rPr>
          <w:rStyle w:val="normaltextrun"/>
          <w:rFonts w:ascii="Arial" w:hAnsi="Arial" w:cs="Arial"/>
          <w:sz w:val="22"/>
          <w:szCs w:val="22"/>
        </w:rPr>
        <w:t xml:space="preserve"> Andrew’s mother is Māori and </w:t>
      </w:r>
      <w:proofErr w:type="spellStart"/>
      <w:r w:rsidRPr="004A0212">
        <w:rPr>
          <w:rStyle w:val="normaltextrun"/>
          <w:rFonts w:ascii="Arial" w:hAnsi="Arial" w:cs="Arial"/>
          <w:sz w:val="22"/>
          <w:szCs w:val="22"/>
        </w:rPr>
        <w:t>Moriori</w:t>
      </w:r>
      <w:proofErr w:type="spellEnd"/>
      <w:r w:rsidRPr="004A0212">
        <w:rPr>
          <w:rStyle w:val="normaltextrun"/>
          <w:rFonts w:ascii="Arial" w:hAnsi="Arial" w:cs="Arial"/>
          <w:sz w:val="22"/>
          <w:szCs w:val="22"/>
        </w:rPr>
        <w:t>, from the Chatham Islands, and his father is of English / Welsh descent. He has five older brothers and two younger sisters. </w:t>
      </w:r>
      <w:r w:rsidRPr="004A0212">
        <w:rPr>
          <w:rStyle w:val="eop"/>
          <w:rFonts w:ascii="Arial" w:hAnsi="Arial" w:cs="Arial"/>
          <w:sz w:val="22"/>
          <w:szCs w:val="22"/>
        </w:rPr>
        <w:t> </w:t>
      </w:r>
    </w:p>
    <w:p w14:paraId="6E8672BE" w14:textId="6DEAA8A0" w:rsidR="00F4713A" w:rsidRPr="004A0212" w:rsidRDefault="00F4713A" w:rsidP="00B927A7">
      <w:pPr>
        <w:pStyle w:val="BodyText"/>
        <w:spacing w:before="0" w:line="276" w:lineRule="auto"/>
        <w:rPr>
          <w:rFonts w:ascii="Arial" w:hAnsi="Arial" w:cs="Arial"/>
          <w:sz w:val="22"/>
          <w:szCs w:val="22"/>
        </w:rPr>
      </w:pPr>
      <w:r w:rsidRPr="004A0212">
        <w:rPr>
          <w:rStyle w:val="normaltextrun"/>
          <w:rFonts w:ascii="Arial" w:hAnsi="Arial" w:cs="Arial"/>
          <w:b/>
          <w:sz w:val="22"/>
          <w:szCs w:val="22"/>
        </w:rPr>
        <w:t>Current</w:t>
      </w:r>
      <w:r w:rsidR="00B23B0A" w:rsidRPr="004A0212">
        <w:rPr>
          <w:rStyle w:val="normaltextrun"/>
          <w:rFonts w:ascii="Arial" w:hAnsi="Arial" w:cs="Arial"/>
          <w:b/>
          <w:sz w:val="22"/>
          <w:szCs w:val="22"/>
        </w:rPr>
        <w:t>ly</w:t>
      </w:r>
      <w:r w:rsidRPr="004A0212">
        <w:rPr>
          <w:rStyle w:val="normaltextrun"/>
          <w:rFonts w:ascii="Arial" w:hAnsi="Arial" w:cs="Arial"/>
          <w:b/>
          <w:bCs/>
          <w:sz w:val="22"/>
          <w:szCs w:val="22"/>
        </w:rPr>
        <w:t xml:space="preserve"> </w:t>
      </w:r>
      <w:r w:rsidRPr="004A0212">
        <w:rPr>
          <w:rStyle w:val="normaltextrun"/>
          <w:rFonts w:ascii="Arial" w:hAnsi="Arial" w:cs="Arial"/>
          <w:sz w:val="22"/>
          <w:szCs w:val="22"/>
        </w:rPr>
        <w:t>Andrew is a single parent and is also raising a family member, who has been with him since birth.</w:t>
      </w:r>
      <w:r w:rsidRPr="004A0212">
        <w:rPr>
          <w:rStyle w:val="eop"/>
          <w:rFonts w:ascii="Arial" w:hAnsi="Arial" w:cs="Arial"/>
          <w:sz w:val="22"/>
          <w:szCs w:val="22"/>
        </w:rPr>
        <w:t> </w:t>
      </w:r>
    </w:p>
    <w:p w14:paraId="34B42969" w14:textId="4550323B" w:rsidR="00F4713A" w:rsidRPr="00FE6765" w:rsidRDefault="00F4713A" w:rsidP="00B927A7">
      <w:pPr>
        <w:pStyle w:val="BodyText"/>
        <w:spacing w:before="0" w:line="276" w:lineRule="auto"/>
        <w:rPr>
          <w:rFonts w:ascii="Arial" w:hAnsi="Arial" w:cs="Arial"/>
          <w:sz w:val="22"/>
          <w:szCs w:val="22"/>
        </w:rPr>
      </w:pPr>
    </w:p>
    <w:p w14:paraId="0BF80076" w14:textId="3797B126"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I’ve been waiting for this chance to share my story and reclaim my voice. </w:t>
      </w:r>
    </w:p>
    <w:p w14:paraId="75C39780" w14:textId="490B6AB5"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 was nine years old when I was taken from home by a social worker. My file notes that I was the subject of a Court Order for not being under proper control. Social Welfare didn’t even bother to explain why they took me away from my family. But I’d been wagging school a bit and fighting – I’d stayed for nearly two years with my grandparents on the Chatham Islands and didn’t seem to fit in at school back in Wellington. I also experienced racism at school. I didn't realise at the time that's what it was, I just knew that I had to fight back. That's why I was in the principal's office all the time.  </w:t>
      </w:r>
    </w:p>
    <w:p w14:paraId="4023EDE2" w14:textId="6979A9CC"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My first placement was a Presbyterian Family Home in </w:t>
      </w:r>
      <w:proofErr w:type="spellStart"/>
      <w:r w:rsidRPr="004A0212">
        <w:rPr>
          <w:rFonts w:ascii="Arial" w:hAnsi="Arial" w:cs="Arial"/>
          <w:color w:val="auto"/>
          <w:sz w:val="22"/>
          <w:szCs w:val="22"/>
        </w:rPr>
        <w:t>Berhampore</w:t>
      </w:r>
      <w:proofErr w:type="spellEnd"/>
      <w:r w:rsidRPr="004A0212">
        <w:rPr>
          <w:rFonts w:ascii="Arial" w:hAnsi="Arial" w:cs="Arial"/>
          <w:color w:val="auto"/>
          <w:sz w:val="22"/>
          <w:szCs w:val="22"/>
        </w:rPr>
        <w:t xml:space="preserve">, with lots of other kids all under 14. I remember being the only brown kid at the home. There was a lot of praying and I was forever cleaning shoes – I must have cleaned 40 to 50 pairs a day. I was sexually abused by the older girls. I was sad, lonely and miserable, and I just wanted to go home to my family. I tried to run away with some other boys, but the police stopped us and took us back.  </w:t>
      </w:r>
    </w:p>
    <w:p w14:paraId="1ECF473E" w14:textId="374B5B15"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After that I was taken to </w:t>
      </w:r>
      <w:proofErr w:type="spellStart"/>
      <w:r w:rsidRPr="004A0212">
        <w:rPr>
          <w:rFonts w:ascii="Arial" w:hAnsi="Arial" w:cs="Arial"/>
          <w:color w:val="auto"/>
          <w:sz w:val="22"/>
          <w:szCs w:val="22"/>
        </w:rPr>
        <w:t>Epuni</w:t>
      </w:r>
      <w:proofErr w:type="spellEnd"/>
      <w:r w:rsidRPr="004A0212">
        <w:rPr>
          <w:rFonts w:ascii="Arial" w:hAnsi="Arial" w:cs="Arial"/>
          <w:color w:val="auto"/>
          <w:sz w:val="22"/>
          <w:szCs w:val="22"/>
        </w:rPr>
        <w:t xml:space="preserve"> Boys Home in Lower Hutt. I was 10 years old. They put me in the secure unit – a concrete room with holes in the wall, windows that you couldn’t close. The room was concrete with a plastic cover on the mattress and pillow. There were holes in the wall, windows that you couldn't close. I didn't know what was going on. I remember peeking through the window crying for my parents.  </w:t>
      </w:r>
    </w:p>
    <w:p w14:paraId="6AA22BBC" w14:textId="526572EE"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The room reminded me of a prison – it was horrible. I remember feeling cold and listening to the sound of the wind howling all the time. You were only allowed out of your cell for one hour. So, you basically went from standing in one concrete room to another.  </w:t>
      </w:r>
    </w:p>
    <w:p w14:paraId="19CD2BEC" w14:textId="573AEEFA"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 think I was in secure for about 10 or 14 days. I felt totally isolated – I remember hearing kids screaming, yelling and crying outside, but I couldn’t </w:t>
      </w:r>
      <w:proofErr w:type="gramStart"/>
      <w:r w:rsidRPr="004A0212">
        <w:rPr>
          <w:rFonts w:ascii="Arial" w:hAnsi="Arial" w:cs="Arial"/>
          <w:color w:val="auto"/>
          <w:sz w:val="22"/>
          <w:szCs w:val="22"/>
        </w:rPr>
        <w:t>actually see</w:t>
      </w:r>
      <w:proofErr w:type="gramEnd"/>
      <w:r w:rsidRPr="004A0212">
        <w:rPr>
          <w:rFonts w:ascii="Arial" w:hAnsi="Arial" w:cs="Arial"/>
          <w:color w:val="auto"/>
          <w:sz w:val="22"/>
          <w:szCs w:val="22"/>
        </w:rPr>
        <w:t xml:space="preserve"> anybody. I don't recall any books and anything to read – all you could do all day was sit there and stare out into a field. I was abused by the staff, but I felt too afraid and unsafe to say anything to anyone about it. I thought I was going to die in there. </w:t>
      </w:r>
    </w:p>
    <w:p w14:paraId="6ECCCEF1" w14:textId="109BE540"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At </w:t>
      </w:r>
      <w:proofErr w:type="spellStart"/>
      <w:r w:rsidRPr="004A0212">
        <w:rPr>
          <w:rFonts w:ascii="Arial" w:hAnsi="Arial" w:cs="Arial"/>
          <w:color w:val="auto"/>
          <w:sz w:val="22"/>
          <w:szCs w:val="22"/>
        </w:rPr>
        <w:t>Epuni</w:t>
      </w:r>
      <w:proofErr w:type="spellEnd"/>
      <w:r w:rsidRPr="004A0212">
        <w:rPr>
          <w:rFonts w:ascii="Arial" w:hAnsi="Arial" w:cs="Arial"/>
          <w:color w:val="auto"/>
          <w:sz w:val="22"/>
          <w:szCs w:val="22"/>
        </w:rPr>
        <w:t>, we were forced to clean volleyball courts with a toothbrush – they took two weeks to clean. We had to mix up a big drum full of caustic soda to clean them with. The staff would make us stand in it and the acid would eat the skin off your feet. We spent all week cleaning, folding clothes and working in the kitchen. On Saturdays we played sports whether you liked it or not. I was small for my age and often the youngest, so sports would be very brutal for me.</w:t>
      </w:r>
    </w:p>
    <w:p w14:paraId="27BDACB2" w14:textId="7ACDB1AC"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Some of the staff were sexually abusing boys. One of them came into my secure unit and tried to comfort me when I was crying. He sat me on his knee, tried to cuddle and feel me too. He and other staff used to go around and visit all the boys’ rooms. They would come into the shower block and say they were checking to see if our balls had dropped.  </w:t>
      </w:r>
    </w:p>
    <w:p w14:paraId="6200B1CE" w14:textId="20813718"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 didn’t go to school while I was at </w:t>
      </w:r>
      <w:proofErr w:type="spellStart"/>
      <w:r w:rsidRPr="004A0212">
        <w:rPr>
          <w:rFonts w:ascii="Arial" w:hAnsi="Arial" w:cs="Arial"/>
          <w:color w:val="auto"/>
          <w:sz w:val="22"/>
          <w:szCs w:val="22"/>
        </w:rPr>
        <w:t>Epuni</w:t>
      </w:r>
      <w:proofErr w:type="spellEnd"/>
      <w:r w:rsidRPr="004A0212">
        <w:rPr>
          <w:rFonts w:ascii="Arial" w:hAnsi="Arial" w:cs="Arial"/>
          <w:color w:val="auto"/>
          <w:sz w:val="22"/>
          <w:szCs w:val="22"/>
        </w:rPr>
        <w:t xml:space="preserve">, school was only for when "you are good". I tried to run away a couple of times, so they stuck me in a cage, like I was cattle. After another attempt to run away, they stuck me in the </w:t>
      </w:r>
      <w:proofErr w:type="gramStart"/>
      <w:r w:rsidRPr="004A0212">
        <w:rPr>
          <w:rFonts w:ascii="Arial" w:hAnsi="Arial" w:cs="Arial"/>
          <w:color w:val="auto"/>
          <w:sz w:val="22"/>
          <w:szCs w:val="22"/>
        </w:rPr>
        <w:t>pound</w:t>
      </w:r>
      <w:proofErr w:type="gramEnd"/>
      <w:r w:rsidRPr="004A0212">
        <w:rPr>
          <w:rFonts w:ascii="Arial" w:hAnsi="Arial" w:cs="Arial"/>
          <w:color w:val="auto"/>
          <w:sz w:val="22"/>
          <w:szCs w:val="22"/>
        </w:rPr>
        <w:t xml:space="preserve"> and I was beaten to a pulp. The beatings I endured were severe and savage. After a while, I was sent home to my parents. By then I was feral, I felt like I was constantly fighting for survival. </w:t>
      </w:r>
      <w:proofErr w:type="spellStart"/>
      <w:r w:rsidRPr="004A0212">
        <w:rPr>
          <w:rFonts w:ascii="Arial" w:hAnsi="Arial" w:cs="Arial"/>
          <w:color w:val="auto"/>
          <w:sz w:val="22"/>
          <w:szCs w:val="22"/>
        </w:rPr>
        <w:t>Epuni</w:t>
      </w:r>
      <w:proofErr w:type="spellEnd"/>
      <w:r w:rsidRPr="004A0212">
        <w:rPr>
          <w:rFonts w:ascii="Arial" w:hAnsi="Arial" w:cs="Arial"/>
          <w:color w:val="auto"/>
          <w:sz w:val="22"/>
          <w:szCs w:val="22"/>
        </w:rPr>
        <w:t xml:space="preserve"> taught me how to fight and when I went home my behaviour was the same. It was no good putting me into school, I had missed so much education and would fight anyone who came at me. Eventually I ended up back in </w:t>
      </w:r>
      <w:proofErr w:type="spellStart"/>
      <w:r w:rsidRPr="004A0212">
        <w:rPr>
          <w:rFonts w:ascii="Arial" w:hAnsi="Arial" w:cs="Arial"/>
          <w:color w:val="auto"/>
          <w:sz w:val="22"/>
          <w:szCs w:val="22"/>
        </w:rPr>
        <w:t>Epuni</w:t>
      </w:r>
      <w:proofErr w:type="spellEnd"/>
      <w:r w:rsidRPr="004A0212">
        <w:rPr>
          <w:rFonts w:ascii="Arial" w:hAnsi="Arial" w:cs="Arial"/>
          <w:color w:val="auto"/>
          <w:sz w:val="22"/>
          <w:szCs w:val="22"/>
        </w:rPr>
        <w:t>.</w:t>
      </w:r>
    </w:p>
    <w:p w14:paraId="00D4B2DF" w14:textId="190E1EFE"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When I was 10 or 11, I was transferred to Hokio – another State institution run by bullies and nasty people. The violence was severe, and a couple of times I nearly died. I was constantly fighting to keep myself safe from violence and sexual abuse by other boys.  </w:t>
      </w:r>
    </w:p>
    <w:p w14:paraId="4D7C6F14" w14:textId="1597D6B2"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After a few months I was transferred to Holdsworth. It was a ‘survival of the fittest’ mentality there – we all made knives to protect ourselves. I remember the staff and social workers at Holdsworth by the abuse they inflicted. It is unlikely that there was a single person employed there who could claim they didn’t know about the emotional, physical and sexual abuse. I saw a lot of boys mentally break at Holdsworth. For me, I turned to violence – there was no one to talk to about the abuse, so the only thing I could do was to pick up a knife.  </w:t>
      </w:r>
    </w:p>
    <w:p w14:paraId="4F02613D" w14:textId="5BC95786"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 spent what I thought was about two years in total at Holdsworth. During that time, I was sent home. I had been there over a year before I got to go home. When you’re 11 years old, not being able to see your family is lonely and isolating. At home, I went to the local intermediate school, but I was struggling and couldn’t integrate, I couldn’t read and write very well – I had spent years cleaning, scrubbing and folding laundry instead of getting an education. I used to love learning and was considered intelligent by the teachers in my younger days, but I wasn't coping at school because the State deprived me of an education.  </w:t>
      </w:r>
    </w:p>
    <w:p w14:paraId="61B763F6" w14:textId="10F72427"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After my second stint in Holdsworth, my father was transferred from Wellington to Auckland because of his job and we moved up there. I’d got involved in stealing cars – I was pretty much stealing cars every </w:t>
      </w:r>
      <w:proofErr w:type="gramStart"/>
      <w:r w:rsidRPr="004A0212">
        <w:rPr>
          <w:rFonts w:ascii="Arial" w:hAnsi="Arial" w:cs="Arial"/>
          <w:color w:val="auto"/>
          <w:sz w:val="22"/>
          <w:szCs w:val="22"/>
        </w:rPr>
        <w:t>weekend, and</w:t>
      </w:r>
      <w:proofErr w:type="gramEnd"/>
      <w:r w:rsidRPr="004A0212">
        <w:rPr>
          <w:rFonts w:ascii="Arial" w:hAnsi="Arial" w:cs="Arial"/>
          <w:color w:val="auto"/>
          <w:sz w:val="22"/>
          <w:szCs w:val="22"/>
        </w:rPr>
        <w:t xml:space="preserve"> making good money too. It wasn’t long before I ended up in </w:t>
      </w:r>
      <w:proofErr w:type="spellStart"/>
      <w:r w:rsidRPr="004A0212">
        <w:rPr>
          <w:rFonts w:ascii="Arial" w:hAnsi="Arial" w:cs="Arial"/>
          <w:color w:val="auto"/>
          <w:sz w:val="22"/>
          <w:szCs w:val="22"/>
        </w:rPr>
        <w:t>Ōwairaka</w:t>
      </w:r>
      <w:proofErr w:type="spellEnd"/>
      <w:r w:rsidRPr="004A0212">
        <w:rPr>
          <w:rFonts w:ascii="Arial" w:hAnsi="Arial" w:cs="Arial"/>
          <w:color w:val="auto"/>
          <w:sz w:val="22"/>
          <w:szCs w:val="22"/>
        </w:rPr>
        <w:t xml:space="preserve"> Boys’ home. I was 14 years old. </w:t>
      </w:r>
    </w:p>
    <w:p w14:paraId="5830EF9D" w14:textId="5F4C59DB" w:rsidR="00F17C64" w:rsidRPr="004A0212" w:rsidRDefault="00F17C64" w:rsidP="00B927A7">
      <w:pPr>
        <w:pStyle w:val="BodyText"/>
        <w:spacing w:before="0" w:line="276" w:lineRule="auto"/>
        <w:rPr>
          <w:rFonts w:ascii="Arial" w:hAnsi="Arial" w:cs="Arial"/>
          <w:color w:val="auto"/>
          <w:sz w:val="22"/>
          <w:szCs w:val="22"/>
        </w:rPr>
      </w:pPr>
      <w:proofErr w:type="spellStart"/>
      <w:r w:rsidRPr="004A0212">
        <w:rPr>
          <w:rFonts w:ascii="Arial" w:hAnsi="Arial" w:cs="Arial"/>
          <w:color w:val="auto"/>
          <w:sz w:val="22"/>
          <w:szCs w:val="22"/>
        </w:rPr>
        <w:t>Ōwairaka</w:t>
      </w:r>
      <w:proofErr w:type="spellEnd"/>
      <w:r w:rsidRPr="004A0212">
        <w:rPr>
          <w:rFonts w:ascii="Arial" w:hAnsi="Arial" w:cs="Arial"/>
          <w:color w:val="auto"/>
          <w:sz w:val="22"/>
          <w:szCs w:val="22"/>
        </w:rPr>
        <w:t xml:space="preserve"> was a nasty place, and like other State-run institutions I had been in, there was a kingpin system ‒ a pecking order based on size and how mean and nasty you could be. Housemasters not only encouraged this, </w:t>
      </w:r>
      <w:proofErr w:type="gramStart"/>
      <w:r w:rsidRPr="004A0212">
        <w:rPr>
          <w:rFonts w:ascii="Arial" w:hAnsi="Arial" w:cs="Arial"/>
          <w:color w:val="auto"/>
          <w:sz w:val="22"/>
          <w:szCs w:val="22"/>
        </w:rPr>
        <w:t>they</w:t>
      </w:r>
      <w:proofErr w:type="gramEnd"/>
      <w:r w:rsidRPr="004A0212">
        <w:rPr>
          <w:rFonts w:ascii="Arial" w:hAnsi="Arial" w:cs="Arial"/>
          <w:color w:val="auto"/>
          <w:sz w:val="22"/>
          <w:szCs w:val="22"/>
        </w:rPr>
        <w:t xml:space="preserve"> set it up and used violence and aggression to control you. At </w:t>
      </w:r>
      <w:proofErr w:type="spellStart"/>
      <w:r w:rsidRPr="004A0212">
        <w:rPr>
          <w:rFonts w:ascii="Arial" w:hAnsi="Arial" w:cs="Arial"/>
          <w:color w:val="auto"/>
          <w:sz w:val="22"/>
          <w:szCs w:val="22"/>
        </w:rPr>
        <w:t>Ōwairaka</w:t>
      </w:r>
      <w:proofErr w:type="spellEnd"/>
      <w:r w:rsidRPr="004A0212">
        <w:rPr>
          <w:rFonts w:ascii="Arial" w:hAnsi="Arial" w:cs="Arial"/>
          <w:color w:val="auto"/>
          <w:sz w:val="22"/>
          <w:szCs w:val="22"/>
        </w:rPr>
        <w:t xml:space="preserve">, the staff organised a boxing ring with the biggest, meanest boy, built like a huge gorilla. They made us fight like adults – I knew I was going to get bashed and fought as hard as I could. If you complained the staff would bash you. There were no doctors or nurses around. It was the sort of place where you had to harden up. </w:t>
      </w:r>
    </w:p>
    <w:p w14:paraId="0EF9993D" w14:textId="0946EF7E"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 had no voice at </w:t>
      </w:r>
      <w:proofErr w:type="spellStart"/>
      <w:r w:rsidRPr="004A0212">
        <w:rPr>
          <w:rFonts w:ascii="Arial" w:hAnsi="Arial" w:cs="Arial"/>
          <w:color w:val="auto"/>
          <w:sz w:val="22"/>
          <w:szCs w:val="22"/>
        </w:rPr>
        <w:t>Ōwairaka</w:t>
      </w:r>
      <w:proofErr w:type="spellEnd"/>
      <w:r w:rsidRPr="004A0212">
        <w:rPr>
          <w:rFonts w:ascii="Arial" w:hAnsi="Arial" w:cs="Arial"/>
          <w:color w:val="auto"/>
          <w:sz w:val="22"/>
          <w:szCs w:val="22"/>
        </w:rPr>
        <w:t xml:space="preserve">, but when I got </w:t>
      </w:r>
      <w:proofErr w:type="gramStart"/>
      <w:r w:rsidRPr="004A0212">
        <w:rPr>
          <w:rFonts w:ascii="Arial" w:hAnsi="Arial" w:cs="Arial"/>
          <w:color w:val="auto"/>
          <w:sz w:val="22"/>
          <w:szCs w:val="22"/>
        </w:rPr>
        <w:t>out</w:t>
      </w:r>
      <w:proofErr w:type="gramEnd"/>
      <w:r w:rsidRPr="004A0212">
        <w:rPr>
          <w:rFonts w:ascii="Arial" w:hAnsi="Arial" w:cs="Arial"/>
          <w:color w:val="auto"/>
          <w:sz w:val="22"/>
          <w:szCs w:val="22"/>
        </w:rPr>
        <w:t xml:space="preserve"> I told my parents about what had happened there. They went to the police, which is what you are supposed to do, but the police refused to believe them. We felt helpless, like we had no voice. I turned to drugs and alcohol to numb the pain I felt.</w:t>
      </w:r>
    </w:p>
    <w:p w14:paraId="5F0EF955" w14:textId="7A3A5A05"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 ended up overdosing a couple of times and getting in trouble with the police for petty crime. I was 17 or 18 when the court ordered me to be sent to Oakley Hospital. I was there because I was using drugs and booze to numb my pain. It was another abusive place, with staff who hit, hurt and abused patients. They diagnosed me with schizophrenia, but I think the doctor was just saying whatever he needed to, to tick the box.  </w:t>
      </w:r>
    </w:p>
    <w:p w14:paraId="3B537538" w14:textId="479E8E90"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The staff would load you up with prescription drugs and say “just take them” when I asked what the drugs were for. They’d walk around with jars of pills and just give them out like lollies. I got addicted to the pills and would manufacture symptoms to get more. I became quite resourceful and could manipulate the doctors to prescribe whatever I needed.  </w:t>
      </w:r>
    </w:p>
    <w:p w14:paraId="13355ECA" w14:textId="213AC54C"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Sexual abuse there was horrific – there were guys getting raped every single day by other patients. Staff knew what was going on and didn’t do a thing about it. Staff threatened us with shock </w:t>
      </w:r>
      <w:proofErr w:type="gramStart"/>
      <w:r w:rsidRPr="004A0212">
        <w:rPr>
          <w:rFonts w:ascii="Arial" w:hAnsi="Arial" w:cs="Arial"/>
          <w:color w:val="auto"/>
          <w:sz w:val="22"/>
          <w:szCs w:val="22"/>
        </w:rPr>
        <w:t>treatment</w:t>
      </w:r>
      <w:proofErr w:type="gramEnd"/>
      <w:r w:rsidRPr="004A0212">
        <w:rPr>
          <w:rFonts w:ascii="Arial" w:hAnsi="Arial" w:cs="Arial"/>
          <w:color w:val="auto"/>
          <w:sz w:val="22"/>
          <w:szCs w:val="22"/>
        </w:rPr>
        <w:t xml:space="preserve"> or they would make threats to send us off to Lake Alice.  </w:t>
      </w:r>
    </w:p>
    <w:p w14:paraId="76937EDA" w14:textId="1FBDFBF2"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 felt too unsafe to talk to the authorities about what I’d seen, I didn’t think they’d believe me, and there were no complaint processes.  </w:t>
      </w:r>
    </w:p>
    <w:p w14:paraId="3FFAC996" w14:textId="78B5BE04"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 spent the bulk of my youth locked up in in State institutions. I was incarcerated into Mt Eden when I was in my mid-twenties. All up, I did three stints inside, including at </w:t>
      </w:r>
      <w:proofErr w:type="spellStart"/>
      <w:r w:rsidRPr="004A0212">
        <w:rPr>
          <w:rFonts w:ascii="Arial" w:hAnsi="Arial" w:cs="Arial"/>
          <w:color w:val="auto"/>
          <w:sz w:val="22"/>
          <w:szCs w:val="22"/>
        </w:rPr>
        <w:t>Pāremoremo</w:t>
      </w:r>
      <w:proofErr w:type="spellEnd"/>
      <w:r w:rsidRPr="004A0212">
        <w:rPr>
          <w:rFonts w:ascii="Arial" w:hAnsi="Arial" w:cs="Arial"/>
          <w:color w:val="auto"/>
          <w:sz w:val="22"/>
          <w:szCs w:val="22"/>
        </w:rPr>
        <w:t xml:space="preserve"> because I had escaped from Mount Eden Prison. During my time in prison, I’d regularly meet up with the boys I had known in the boy's home.  </w:t>
      </w:r>
    </w:p>
    <w:p w14:paraId="0C835CC6" w14:textId="43A96E48"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 continue to bear the scars of the physical and emotional torment inflicted on me by the State’s failure to keep me safe. I had no voice. No-one listened to me or believed the horrors I experienced as a child.  </w:t>
      </w:r>
    </w:p>
    <w:p w14:paraId="354B4AB9" w14:textId="23FBEA6E"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I was entitled by the State to an education. I didn’t receive one – I had to educate myself by reading lots of books. I have experienced an enormous amount of racism right throughout my life.  </w:t>
      </w:r>
    </w:p>
    <w:p w14:paraId="1FAE1DF1" w14:textId="2F7256D5"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My relationships with other people don’t last, so I prefer to work with plants. I worked at Auckland City Council, eventually becoming the head gardener at Western Springs managing six different gardening teams.</w:t>
      </w:r>
    </w:p>
    <w:p w14:paraId="4CBC045F" w14:textId="6C19F1F0"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The institutions I was in were brutal, and I feel fortunate that I survived. What happened to me in care has affected me throughout my life and made me determined that no child of mine would ever end up in State care. Despite the failure by the State to take care of me, I raised my son without any support, and he’s a good man. </w:t>
      </w:r>
    </w:p>
    <w:p w14:paraId="07158A59" w14:textId="75055E4F" w:rsidR="00F17C64" w:rsidRPr="004A0212" w:rsidRDefault="00F17C64" w:rsidP="00B927A7">
      <w:pPr>
        <w:pStyle w:val="BodyText"/>
        <w:spacing w:before="0" w:line="276" w:lineRule="auto"/>
        <w:rPr>
          <w:rFonts w:ascii="Arial" w:hAnsi="Arial" w:cs="Arial"/>
          <w:color w:val="auto"/>
          <w:sz w:val="22"/>
          <w:szCs w:val="22"/>
        </w:rPr>
      </w:pPr>
      <w:r w:rsidRPr="004A0212">
        <w:rPr>
          <w:rFonts w:ascii="Arial" w:hAnsi="Arial" w:cs="Arial"/>
          <w:color w:val="auto"/>
          <w:sz w:val="22"/>
          <w:szCs w:val="22"/>
        </w:rPr>
        <w:t xml:space="preserve">No child should be taken off their parents. Don’t put a child in a concrete box with rusted bars and expect some white guy to have empathy for the little brown boy. We were taken from our whānau by the State. No one should have to experience what I went through.  </w:t>
      </w:r>
    </w:p>
    <w:p w14:paraId="4714627A" w14:textId="3AE8484C" w:rsidR="00F4713A" w:rsidRPr="004A0212" w:rsidRDefault="00F17C64" w:rsidP="00B927A7">
      <w:pPr>
        <w:pStyle w:val="BodyText"/>
        <w:spacing w:before="0" w:line="276" w:lineRule="auto"/>
        <w:rPr>
          <w:rStyle w:val="eop"/>
          <w:rFonts w:ascii="Arial" w:hAnsi="Arial" w:cs="Arial"/>
          <w:sz w:val="22"/>
          <w:szCs w:val="22"/>
        </w:rPr>
      </w:pPr>
      <w:r w:rsidRPr="004A0212">
        <w:rPr>
          <w:rFonts w:ascii="Arial" w:hAnsi="Arial" w:cs="Arial"/>
          <w:sz w:val="22"/>
          <w:szCs w:val="22"/>
        </w:rPr>
        <w:t>Children have the right to be cared for, to be loved, to be protected, to be valued. If someone had made the effort to treat me as a person, rather than as a little brown boy, there could have been a totally different outcome. I often wonder how I might have turned out if I was given some better opportunities. I could have won a gold medal</w:t>
      </w:r>
      <w:r w:rsidRPr="00FE6765">
        <w:rPr>
          <w:rFonts w:ascii="Arial" w:hAnsi="Arial" w:cs="Arial"/>
          <w:sz w:val="22"/>
          <w:szCs w:val="22"/>
        </w:rPr>
        <w:t>.</w:t>
      </w:r>
      <w:r w:rsidR="00F4713A" w:rsidRPr="00FE6765">
        <w:rPr>
          <w:rStyle w:val="StyleFootnoteReferenceFagoFunotenzeichenFagoFunotenzeichen"/>
          <w:szCs w:val="22"/>
        </w:rPr>
        <w:footnoteReference w:id="446"/>
      </w:r>
    </w:p>
    <w:p w14:paraId="2FEF4B32" w14:textId="77777777" w:rsidR="006406C3" w:rsidRPr="004A0212" w:rsidRDefault="006406C3" w:rsidP="00B927A7">
      <w:pPr>
        <w:pStyle w:val="paragraph"/>
        <w:spacing w:before="0" w:after="0" w:afterAutospacing="0" w:line="276" w:lineRule="auto"/>
        <w:textAlignment w:val="baseline"/>
        <w:rPr>
          <w:rStyle w:val="eop"/>
          <w:rFonts w:ascii="Arial" w:hAnsi="Arial" w:cs="Arial"/>
          <w:sz w:val="22"/>
          <w:szCs w:val="22"/>
        </w:rPr>
      </w:pPr>
    </w:p>
    <w:p w14:paraId="46B48372" w14:textId="125837E3" w:rsidR="008C6E3E" w:rsidRDefault="008C6E3E">
      <w:pPr>
        <w:keepLines w:val="0"/>
        <w:rPr>
          <w:rFonts w:asciiTheme="minorBidi" w:eastAsia="Times New Roman" w:hAnsiTheme="minorBidi" w:cstheme="minorBidi"/>
          <w:b/>
          <w:bCs/>
          <w:i/>
          <w:iCs/>
          <w:color w:val="auto"/>
          <w:lang w:eastAsia="zh-CN" w:bidi="th-TH"/>
        </w:rPr>
      </w:pPr>
      <w:r>
        <w:rPr>
          <w:rFonts w:asciiTheme="minorBidi" w:eastAsia="Times New Roman" w:hAnsiTheme="minorBidi" w:cstheme="minorBidi"/>
          <w:b/>
          <w:bCs/>
          <w:i/>
          <w:iCs/>
          <w:color w:val="auto"/>
          <w:lang w:eastAsia="zh-CN" w:bidi="th-TH"/>
        </w:rPr>
        <w:br w:type="page"/>
      </w:r>
    </w:p>
    <w:p w14:paraId="7FDB1F56" w14:textId="1F9966FF" w:rsidR="008C6E3E" w:rsidRDefault="008C6E3E" w:rsidP="008C6E3E">
      <w:pPr>
        <w:pStyle w:val="BodyText"/>
        <w:rPr>
          <w:lang w:bidi="th-TH"/>
        </w:rPr>
      </w:pPr>
      <w:r>
        <w:rPr>
          <w:lang w:bidi="th-TH"/>
        </w:rPr>
        <w:t>[Survivor quote</w:t>
      </w:r>
      <w:r w:rsidR="007F0754">
        <w:rPr>
          <w:lang w:bidi="th-TH"/>
        </w:rPr>
        <w:t xml:space="preserve"> preceding survivor profile</w:t>
      </w:r>
      <w:r>
        <w:rPr>
          <w:lang w:bidi="th-TH"/>
        </w:rPr>
        <w:t>]</w:t>
      </w:r>
    </w:p>
    <w:p w14:paraId="4F99DC6E" w14:textId="10008AD7" w:rsidR="006406C3" w:rsidRPr="008C6E3E" w:rsidRDefault="006406C3" w:rsidP="008C6E3E">
      <w:pPr>
        <w:pStyle w:val="AllQuotes"/>
        <w:rPr>
          <w:rFonts w:cs="Arial"/>
          <w:b/>
          <w:szCs w:val="22"/>
          <w:lang w:bidi="th-TH"/>
        </w:rPr>
      </w:pPr>
      <w:r w:rsidRPr="008C6E3E">
        <w:rPr>
          <w:rFonts w:cs="Arial"/>
          <w:b/>
          <w:szCs w:val="22"/>
          <w:lang w:bidi="th-TH"/>
        </w:rPr>
        <w:t>“I hid under a bed while the priest sexually assaulted a prefect.”</w:t>
      </w:r>
    </w:p>
    <w:p w14:paraId="5CAA380F" w14:textId="77777777" w:rsidR="006406C3" w:rsidRPr="008C6E3E" w:rsidRDefault="006406C3" w:rsidP="008C6E3E">
      <w:pPr>
        <w:pStyle w:val="AllQuotes"/>
        <w:rPr>
          <w:rFonts w:cs="Arial"/>
          <w:b/>
          <w:szCs w:val="22"/>
          <w:lang w:bidi="th-TH"/>
        </w:rPr>
      </w:pPr>
      <w:r w:rsidRPr="008C6E3E">
        <w:rPr>
          <w:rFonts w:cs="Arial"/>
          <w:b/>
          <w:szCs w:val="22"/>
          <w:lang w:bidi="th-TH"/>
        </w:rPr>
        <w:t xml:space="preserve">Kamahl </w:t>
      </w:r>
      <w:proofErr w:type="spellStart"/>
      <w:r w:rsidRPr="008C6E3E">
        <w:rPr>
          <w:rFonts w:cs="Arial"/>
          <w:b/>
          <w:szCs w:val="22"/>
          <w:lang w:bidi="th-TH"/>
        </w:rPr>
        <w:t>Tupetagi</w:t>
      </w:r>
      <w:proofErr w:type="spellEnd"/>
    </w:p>
    <w:p w14:paraId="093577F6" w14:textId="77777777" w:rsidR="006406C3" w:rsidRPr="008C6E3E" w:rsidRDefault="006406C3" w:rsidP="008C6E3E">
      <w:pPr>
        <w:pStyle w:val="AllQuotes"/>
        <w:rPr>
          <w:rFonts w:cs="Arial"/>
          <w:b/>
          <w:szCs w:val="22"/>
          <w:lang w:bidi="th-TH"/>
        </w:rPr>
      </w:pPr>
      <w:r w:rsidRPr="008C6E3E">
        <w:rPr>
          <w:rFonts w:cs="Arial"/>
          <w:b/>
          <w:szCs w:val="22"/>
          <w:lang w:bidi="th-TH"/>
        </w:rPr>
        <w:t>Niuean, Māori (Ngāpuhi)</w:t>
      </w:r>
    </w:p>
    <w:p w14:paraId="2F16BC36" w14:textId="77777777" w:rsidR="006406C3" w:rsidRPr="004A0212" w:rsidRDefault="006406C3" w:rsidP="001E16C9">
      <w:pPr>
        <w:pStyle w:val="paragraph"/>
        <w:spacing w:before="0" w:after="0" w:afterAutospacing="0"/>
        <w:textAlignment w:val="baseline"/>
        <w:rPr>
          <w:rStyle w:val="eop"/>
          <w:rFonts w:ascii="Arial" w:hAnsi="Arial" w:cs="Arial"/>
          <w:sz w:val="22"/>
          <w:szCs w:val="22"/>
        </w:rPr>
      </w:pPr>
    </w:p>
    <w:p w14:paraId="5969F27D" w14:textId="77777777" w:rsidR="00664D7C" w:rsidRPr="004A0212" w:rsidRDefault="036B0DF0" w:rsidP="00F4713A">
      <w:pPr>
        <w:pStyle w:val="Heading1"/>
      </w:pPr>
      <w:bookmarkStart w:id="500" w:name="_Toc1489206200"/>
      <w:bookmarkStart w:id="501" w:name="_Toc168639028"/>
      <w:proofErr w:type="spellStart"/>
      <w:r w:rsidRPr="004A0212">
        <w:t>Ngā</w:t>
      </w:r>
      <w:proofErr w:type="spellEnd"/>
      <w:r w:rsidRPr="004A0212">
        <w:t xml:space="preserve"> </w:t>
      </w:r>
      <w:proofErr w:type="spellStart"/>
      <w:r w:rsidRPr="004A0212">
        <w:t>wheako</w:t>
      </w:r>
      <w:proofErr w:type="spellEnd"/>
      <w:r w:rsidR="2FFAA73A" w:rsidRPr="004A0212">
        <w:t xml:space="preserve"> o </w:t>
      </w:r>
      <w:proofErr w:type="spellStart"/>
      <w:r w:rsidR="2FFAA73A" w:rsidRPr="004A0212">
        <w:t>te</w:t>
      </w:r>
      <w:proofErr w:type="spellEnd"/>
      <w:r w:rsidR="2FFAA73A" w:rsidRPr="004A0212">
        <w:t xml:space="preserve"> </w:t>
      </w:r>
      <w:proofErr w:type="spellStart"/>
      <w:r w:rsidR="2FFAA73A" w:rsidRPr="004A0212">
        <w:t>purapura</w:t>
      </w:r>
      <w:proofErr w:type="spellEnd"/>
      <w:r w:rsidR="2FFAA73A" w:rsidRPr="004A0212">
        <w:t xml:space="preserve"> </w:t>
      </w:r>
      <w:proofErr w:type="spellStart"/>
      <w:r w:rsidR="2FFAA73A" w:rsidRPr="004A0212">
        <w:t>ora</w:t>
      </w:r>
      <w:bookmarkEnd w:id="500"/>
      <w:bookmarkEnd w:id="501"/>
      <w:proofErr w:type="spellEnd"/>
    </w:p>
    <w:p w14:paraId="2E8078F3" w14:textId="55778EE4" w:rsidR="00F4713A" w:rsidRPr="004A0212" w:rsidRDefault="5EE69E7F" w:rsidP="00F4713A">
      <w:pPr>
        <w:pStyle w:val="Heading1"/>
      </w:pPr>
      <w:bookmarkStart w:id="502" w:name="_Toc168639029"/>
      <w:bookmarkStart w:id="503" w:name="_Toc595882062"/>
      <w:r w:rsidRPr="004A0212">
        <w:t>Survivor experience</w:t>
      </w:r>
      <w:r w:rsidR="23027BD7" w:rsidRPr="004A0212">
        <w:t>:</w:t>
      </w:r>
      <w:r w:rsidRPr="004A0212">
        <w:t xml:space="preserve"> </w:t>
      </w:r>
      <w:r w:rsidR="218E37CD" w:rsidRPr="004A0212">
        <w:t xml:space="preserve">Kamahl </w:t>
      </w:r>
      <w:proofErr w:type="spellStart"/>
      <w:r w:rsidR="218E37CD" w:rsidRPr="004A0212">
        <w:t>Tupetagi</w:t>
      </w:r>
      <w:bookmarkEnd w:id="502"/>
      <w:proofErr w:type="spellEnd"/>
      <w:r w:rsidR="218E37CD" w:rsidRPr="004A0212">
        <w:t xml:space="preserve"> </w:t>
      </w:r>
      <w:bookmarkEnd w:id="503"/>
    </w:p>
    <w:p w14:paraId="15EB8D1B" w14:textId="3B02AF97" w:rsidR="0080198C" w:rsidRPr="004A0212" w:rsidRDefault="4E042164" w:rsidP="007F0754">
      <w:pPr>
        <w:pStyle w:val="BodyText"/>
        <w:spacing w:before="0"/>
        <w:rPr>
          <w:rFonts w:ascii="Arial" w:hAnsi="Arial" w:cs="Arial"/>
          <w:sz w:val="22"/>
          <w:szCs w:val="22"/>
        </w:rPr>
      </w:pPr>
      <w:r w:rsidRPr="004A0212">
        <w:rPr>
          <w:rFonts w:ascii="Arial" w:hAnsi="Arial" w:cs="Arial"/>
          <w:b/>
          <w:bCs/>
          <w:sz w:val="22"/>
          <w:szCs w:val="22"/>
        </w:rPr>
        <w:t>Name</w:t>
      </w:r>
      <w:r w:rsidRPr="004A0212">
        <w:rPr>
          <w:rFonts w:ascii="Arial" w:hAnsi="Arial" w:cs="Arial"/>
          <w:sz w:val="22"/>
          <w:szCs w:val="22"/>
        </w:rPr>
        <w:t xml:space="preserve"> </w:t>
      </w:r>
      <w:r w:rsidR="00FA5F37" w:rsidRPr="004A0212">
        <w:rPr>
          <w:rFonts w:ascii="Arial" w:hAnsi="Arial" w:cs="Arial"/>
          <w:sz w:val="22"/>
          <w:szCs w:val="22"/>
        </w:rPr>
        <w:t xml:space="preserve">Kamahl </w:t>
      </w:r>
      <w:proofErr w:type="spellStart"/>
      <w:r w:rsidR="00FA5F37" w:rsidRPr="004A0212">
        <w:rPr>
          <w:rFonts w:ascii="Arial" w:hAnsi="Arial" w:cs="Arial"/>
          <w:sz w:val="22"/>
          <w:szCs w:val="22"/>
        </w:rPr>
        <w:t>Tupetagi</w:t>
      </w:r>
      <w:proofErr w:type="spellEnd"/>
    </w:p>
    <w:p w14:paraId="21AA9F4C" w14:textId="31D9791A" w:rsidR="00693148" w:rsidRPr="004A0212" w:rsidRDefault="00577143" w:rsidP="007F0754">
      <w:pPr>
        <w:pStyle w:val="BodyText"/>
        <w:spacing w:before="0"/>
        <w:rPr>
          <w:rFonts w:ascii="Arial" w:hAnsi="Arial" w:cs="Arial"/>
          <w:sz w:val="22"/>
          <w:szCs w:val="22"/>
        </w:rPr>
      </w:pPr>
      <w:r w:rsidRPr="004A0212">
        <w:rPr>
          <w:rFonts w:ascii="Arial" w:hAnsi="Arial" w:cs="Arial"/>
          <w:b/>
          <w:sz w:val="22"/>
          <w:szCs w:val="22"/>
        </w:rPr>
        <w:t>Currently lives in:</w:t>
      </w:r>
      <w:r w:rsidR="00693148" w:rsidRPr="004A0212">
        <w:rPr>
          <w:rFonts w:ascii="Arial" w:hAnsi="Arial" w:cs="Arial"/>
          <w:sz w:val="22"/>
          <w:szCs w:val="22"/>
        </w:rPr>
        <w:t xml:space="preserve"> Australia</w:t>
      </w:r>
    </w:p>
    <w:p w14:paraId="089104E0" w14:textId="77777777" w:rsidR="0080198C" w:rsidRPr="004A0212" w:rsidRDefault="0080198C" w:rsidP="007F0754">
      <w:pPr>
        <w:pStyle w:val="BodyText"/>
        <w:spacing w:before="0"/>
        <w:rPr>
          <w:rFonts w:ascii="Arial" w:hAnsi="Arial" w:cs="Arial"/>
          <w:sz w:val="22"/>
          <w:szCs w:val="22"/>
        </w:rPr>
      </w:pPr>
      <w:r w:rsidRPr="004A0212">
        <w:rPr>
          <w:rFonts w:ascii="Arial" w:hAnsi="Arial" w:cs="Arial"/>
          <w:b/>
          <w:sz w:val="22"/>
          <w:szCs w:val="22"/>
        </w:rPr>
        <w:t>Age when entered care</w:t>
      </w:r>
      <w:r w:rsidRPr="004A0212">
        <w:rPr>
          <w:rFonts w:ascii="Arial" w:hAnsi="Arial" w:cs="Arial"/>
          <w:sz w:val="22"/>
          <w:szCs w:val="22"/>
        </w:rPr>
        <w:t xml:space="preserve"> 3 years old</w:t>
      </w:r>
    </w:p>
    <w:p w14:paraId="3E74C477" w14:textId="0DEFEBD2" w:rsidR="0080198C" w:rsidRPr="004A0212" w:rsidRDefault="00327FF3" w:rsidP="007F0754">
      <w:pPr>
        <w:pStyle w:val="BodyText"/>
        <w:spacing w:before="0"/>
        <w:rPr>
          <w:rFonts w:ascii="Arial" w:hAnsi="Arial" w:cs="Arial"/>
          <w:sz w:val="22"/>
          <w:szCs w:val="22"/>
        </w:rPr>
      </w:pPr>
      <w:r w:rsidRPr="004A0212">
        <w:rPr>
          <w:rFonts w:ascii="Arial" w:hAnsi="Arial" w:cs="Arial"/>
          <w:b/>
          <w:sz w:val="22"/>
          <w:szCs w:val="22"/>
        </w:rPr>
        <w:t>Year of birth</w:t>
      </w:r>
      <w:r w:rsidR="0080198C" w:rsidRPr="004A0212">
        <w:rPr>
          <w:rFonts w:ascii="Arial" w:hAnsi="Arial" w:cs="Arial"/>
          <w:sz w:val="22"/>
          <w:szCs w:val="22"/>
        </w:rPr>
        <w:t xml:space="preserve"> </w:t>
      </w:r>
      <w:r w:rsidR="00FF7F17" w:rsidRPr="004A0212">
        <w:rPr>
          <w:rFonts w:ascii="Arial" w:hAnsi="Arial" w:cs="Arial"/>
          <w:sz w:val="22"/>
          <w:szCs w:val="22"/>
        </w:rPr>
        <w:t>1973</w:t>
      </w:r>
    </w:p>
    <w:p w14:paraId="7D3ABF16" w14:textId="77777777" w:rsidR="0080198C" w:rsidRPr="004A0212" w:rsidRDefault="0080198C" w:rsidP="007F0754">
      <w:pPr>
        <w:pStyle w:val="BodyText"/>
        <w:spacing w:before="0"/>
        <w:rPr>
          <w:rFonts w:ascii="Arial" w:hAnsi="Arial" w:cs="Arial"/>
          <w:sz w:val="22"/>
          <w:szCs w:val="22"/>
        </w:rPr>
      </w:pPr>
      <w:r w:rsidRPr="004A0212">
        <w:rPr>
          <w:rFonts w:ascii="Arial" w:hAnsi="Arial" w:cs="Arial"/>
          <w:b/>
          <w:sz w:val="22"/>
          <w:szCs w:val="22"/>
        </w:rPr>
        <w:t>Time in care</w:t>
      </w:r>
      <w:r w:rsidRPr="004A0212">
        <w:rPr>
          <w:rFonts w:ascii="Arial" w:hAnsi="Arial" w:cs="Arial"/>
          <w:sz w:val="22"/>
          <w:szCs w:val="22"/>
        </w:rPr>
        <w:t xml:space="preserve"> 1977–1994</w:t>
      </w:r>
    </w:p>
    <w:p w14:paraId="51C1B749" w14:textId="23C10113" w:rsidR="0080198C" w:rsidRPr="004A0212" w:rsidRDefault="0080198C" w:rsidP="007F0754">
      <w:pPr>
        <w:pStyle w:val="BodyText"/>
        <w:spacing w:before="0"/>
        <w:rPr>
          <w:rFonts w:ascii="Arial" w:hAnsi="Arial" w:cs="Arial"/>
          <w:sz w:val="22"/>
          <w:szCs w:val="22"/>
        </w:rPr>
      </w:pPr>
      <w:r w:rsidRPr="004A0212">
        <w:rPr>
          <w:rFonts w:ascii="Arial" w:hAnsi="Arial" w:cs="Arial"/>
          <w:b/>
          <w:sz w:val="22"/>
          <w:szCs w:val="22"/>
        </w:rPr>
        <w:t>Type of care facility</w:t>
      </w:r>
      <w:r w:rsidRPr="004A0212">
        <w:rPr>
          <w:rFonts w:ascii="Arial" w:hAnsi="Arial" w:cs="Arial"/>
          <w:sz w:val="22"/>
          <w:szCs w:val="22"/>
        </w:rPr>
        <w:t xml:space="preserve"> Family home – Nayland Family Home, St Andrews Family Home, </w:t>
      </w:r>
      <w:proofErr w:type="spellStart"/>
      <w:r w:rsidRPr="004A0212">
        <w:rPr>
          <w:rFonts w:ascii="Arial" w:hAnsi="Arial" w:cs="Arial"/>
          <w:sz w:val="22"/>
          <w:szCs w:val="22"/>
        </w:rPr>
        <w:t>Tahunanui</w:t>
      </w:r>
      <w:proofErr w:type="spellEnd"/>
      <w:r w:rsidRPr="004A0212">
        <w:rPr>
          <w:rFonts w:ascii="Arial" w:hAnsi="Arial" w:cs="Arial"/>
          <w:sz w:val="22"/>
          <w:szCs w:val="22"/>
        </w:rPr>
        <w:t xml:space="preserve"> Family Home; foster care; boys’ home – Lookout Point Boys’ Home; M</w:t>
      </w:r>
      <w:r w:rsidRPr="004A0212">
        <w:rPr>
          <w:rFonts w:ascii="Arial" w:hAnsi="Arial" w:cs="Arial" w:hint="eastAsia"/>
          <w:sz w:val="22"/>
          <w:szCs w:val="22"/>
        </w:rPr>
        <w:t>ā</w:t>
      </w:r>
      <w:r w:rsidRPr="004A0212">
        <w:rPr>
          <w:rFonts w:ascii="Arial" w:hAnsi="Arial" w:cs="Arial"/>
          <w:sz w:val="22"/>
          <w:szCs w:val="22"/>
        </w:rPr>
        <w:t xml:space="preserve">ori boarding school – Hato </w:t>
      </w:r>
      <w:proofErr w:type="spellStart"/>
      <w:r w:rsidRPr="004A0212">
        <w:rPr>
          <w:rFonts w:ascii="Arial" w:hAnsi="Arial" w:cs="Arial"/>
          <w:sz w:val="22"/>
          <w:szCs w:val="22"/>
        </w:rPr>
        <w:t>P</w:t>
      </w:r>
      <w:r w:rsidRPr="004A0212">
        <w:rPr>
          <w:rFonts w:ascii="Arial" w:hAnsi="Arial" w:cs="Arial" w:hint="eastAsia"/>
          <w:sz w:val="22"/>
          <w:szCs w:val="22"/>
        </w:rPr>
        <w:t>ā</w:t>
      </w:r>
      <w:r w:rsidRPr="004A0212">
        <w:rPr>
          <w:rFonts w:ascii="Arial" w:hAnsi="Arial" w:cs="Arial"/>
          <w:sz w:val="22"/>
          <w:szCs w:val="22"/>
        </w:rPr>
        <w:t>ora</w:t>
      </w:r>
      <w:proofErr w:type="spellEnd"/>
      <w:r w:rsidRPr="004A0212">
        <w:rPr>
          <w:rFonts w:ascii="Arial" w:hAnsi="Arial" w:cs="Arial"/>
          <w:sz w:val="22"/>
          <w:szCs w:val="22"/>
        </w:rPr>
        <w:t xml:space="preserve"> College</w:t>
      </w:r>
      <w:r w:rsidR="00B61D1F" w:rsidRPr="004A0212">
        <w:rPr>
          <w:rFonts w:ascii="Arial" w:hAnsi="Arial" w:cs="Arial"/>
          <w:sz w:val="22"/>
          <w:szCs w:val="22"/>
        </w:rPr>
        <w:t xml:space="preserve"> (Catholic)</w:t>
      </w:r>
      <w:r w:rsidRPr="004A0212">
        <w:rPr>
          <w:rFonts w:ascii="Arial" w:hAnsi="Arial" w:cs="Arial"/>
          <w:sz w:val="22"/>
          <w:szCs w:val="22"/>
        </w:rPr>
        <w:t xml:space="preserve">. </w:t>
      </w:r>
    </w:p>
    <w:p w14:paraId="0FA154F2" w14:textId="35DD83B9" w:rsidR="0080198C" w:rsidRPr="004A0212" w:rsidRDefault="0080198C" w:rsidP="007F0754">
      <w:pPr>
        <w:pStyle w:val="BodyText"/>
        <w:spacing w:before="0"/>
        <w:rPr>
          <w:rFonts w:ascii="Arial" w:hAnsi="Arial" w:cs="Arial"/>
          <w:sz w:val="22"/>
          <w:szCs w:val="22"/>
        </w:rPr>
      </w:pPr>
      <w:r w:rsidRPr="004A0212">
        <w:rPr>
          <w:rFonts w:ascii="Arial" w:hAnsi="Arial" w:cs="Arial"/>
          <w:b/>
          <w:sz w:val="22"/>
          <w:szCs w:val="22"/>
        </w:rPr>
        <w:t>Ethnicity</w:t>
      </w:r>
      <w:r w:rsidRPr="004A0212">
        <w:rPr>
          <w:rFonts w:ascii="Arial" w:hAnsi="Arial" w:cs="Arial"/>
          <w:sz w:val="22"/>
          <w:szCs w:val="22"/>
        </w:rPr>
        <w:t xml:space="preserve"> Niuean and M</w:t>
      </w:r>
      <w:r w:rsidRPr="004A0212">
        <w:rPr>
          <w:rFonts w:ascii="Arial" w:hAnsi="Arial" w:cs="Arial" w:hint="eastAsia"/>
          <w:sz w:val="22"/>
          <w:szCs w:val="22"/>
        </w:rPr>
        <w:t>ā</w:t>
      </w:r>
      <w:r w:rsidRPr="004A0212">
        <w:rPr>
          <w:rFonts w:ascii="Arial" w:hAnsi="Arial" w:cs="Arial"/>
          <w:sz w:val="22"/>
          <w:szCs w:val="22"/>
        </w:rPr>
        <w:t xml:space="preserve">ori </w:t>
      </w:r>
      <w:r w:rsidR="004B3FD7" w:rsidRPr="004A0212">
        <w:rPr>
          <w:rFonts w:ascii="Arial" w:hAnsi="Arial" w:cs="Arial"/>
          <w:sz w:val="22"/>
          <w:szCs w:val="22"/>
        </w:rPr>
        <w:t>(</w:t>
      </w:r>
      <w:r w:rsidRPr="004A0212">
        <w:rPr>
          <w:rFonts w:ascii="Arial" w:hAnsi="Arial" w:cs="Arial"/>
          <w:sz w:val="22"/>
          <w:szCs w:val="22"/>
        </w:rPr>
        <w:t>Ng</w:t>
      </w:r>
      <w:r w:rsidRPr="004A0212">
        <w:rPr>
          <w:rFonts w:ascii="Arial" w:hAnsi="Arial" w:cs="Arial" w:hint="eastAsia"/>
          <w:sz w:val="22"/>
          <w:szCs w:val="22"/>
        </w:rPr>
        <w:t>ā</w:t>
      </w:r>
      <w:r w:rsidRPr="004A0212">
        <w:rPr>
          <w:rFonts w:ascii="Arial" w:hAnsi="Arial" w:cs="Arial"/>
          <w:sz w:val="22"/>
          <w:szCs w:val="22"/>
        </w:rPr>
        <w:t>puhi</w:t>
      </w:r>
      <w:r w:rsidR="0047516E" w:rsidRPr="004A0212">
        <w:rPr>
          <w:rFonts w:ascii="Arial" w:hAnsi="Arial" w:cs="Arial"/>
          <w:sz w:val="22"/>
          <w:szCs w:val="22"/>
        </w:rPr>
        <w:t>)</w:t>
      </w:r>
      <w:r w:rsidRPr="004A0212">
        <w:rPr>
          <w:rFonts w:ascii="Arial" w:hAnsi="Arial" w:cs="Arial"/>
          <w:color w:val="4D5156"/>
          <w:sz w:val="22"/>
          <w:szCs w:val="22"/>
          <w:shd w:val="clear" w:color="auto" w:fill="FFFFFF"/>
        </w:rPr>
        <w:t> </w:t>
      </w:r>
    </w:p>
    <w:p w14:paraId="4B58A092" w14:textId="316DF491" w:rsidR="0080198C" w:rsidRPr="000C0692" w:rsidRDefault="00186784" w:rsidP="007F0754">
      <w:pPr>
        <w:pStyle w:val="BodyText"/>
        <w:spacing w:before="0"/>
        <w:rPr>
          <w:rFonts w:ascii="Arial" w:hAnsi="Arial" w:cs="Arial"/>
          <w:b/>
          <w:sz w:val="22"/>
          <w:szCs w:val="22"/>
        </w:rPr>
      </w:pPr>
      <w:r w:rsidRPr="004A0212">
        <w:rPr>
          <w:rStyle w:val="normaltextrun"/>
          <w:rFonts w:ascii="Arial" w:hAnsi="Arial" w:cs="Arial"/>
          <w:b/>
          <w:bCs/>
          <w:color w:val="000000"/>
          <w:sz w:val="22"/>
          <w:szCs w:val="22"/>
          <w:shd w:val="clear" w:color="auto" w:fill="FFFFFF"/>
        </w:rPr>
        <w:t>Whānau background</w:t>
      </w:r>
      <w:r w:rsidRPr="004A0212">
        <w:rPr>
          <w:rStyle w:val="normaltextrun"/>
          <w:rFonts w:ascii="Arial" w:hAnsi="Arial" w:cs="Arial"/>
          <w:color w:val="000000"/>
          <w:sz w:val="22"/>
          <w:szCs w:val="22"/>
          <w:shd w:val="clear" w:color="auto" w:fill="FFFFFF"/>
        </w:rPr>
        <w:t xml:space="preserve"> Kamahl</w:t>
      </w:r>
      <w:r w:rsidRPr="004A0212">
        <w:rPr>
          <w:rStyle w:val="normaltextrun"/>
          <w:rFonts w:ascii="Arial" w:hAnsi="Arial" w:cs="Arial"/>
          <w:b/>
          <w:bCs/>
          <w:color w:val="000000"/>
          <w:sz w:val="22"/>
          <w:szCs w:val="22"/>
          <w:shd w:val="clear" w:color="auto" w:fill="FFFFFF"/>
        </w:rPr>
        <w:t xml:space="preserve"> </w:t>
      </w:r>
      <w:r w:rsidRPr="004A0212">
        <w:rPr>
          <w:rStyle w:val="normaltextrun"/>
          <w:rFonts w:ascii="Arial" w:hAnsi="Arial" w:cs="Arial"/>
          <w:color w:val="000000"/>
          <w:sz w:val="22"/>
          <w:szCs w:val="22"/>
          <w:shd w:val="clear" w:color="auto" w:fill="FFFFFF"/>
        </w:rPr>
        <w:t>has seven siblings. One was adopted to maternal grandparents. Kamahl has a twin sister.</w:t>
      </w:r>
    </w:p>
    <w:p w14:paraId="66025680" w14:textId="77777777" w:rsidR="00121BE7" w:rsidRDefault="00121BE7" w:rsidP="007F0754">
      <w:pPr>
        <w:pStyle w:val="BodyText"/>
        <w:spacing w:before="0"/>
        <w:rPr>
          <w:rFonts w:ascii="Arial" w:hAnsi="Arial" w:cs="Arial"/>
          <w:bCs/>
          <w:sz w:val="22"/>
          <w:szCs w:val="22"/>
        </w:rPr>
      </w:pPr>
    </w:p>
    <w:p w14:paraId="6FB3FD99" w14:textId="38B3D515"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Life with my mum and dad was quite abusive and difficult. I ended up going to hospital more than once, and I’m surprised I didn’t come to the attention of the authorities. I was also sexually abused by people who came to our house for parties, and later sexually abused at a family home. </w:t>
      </w:r>
    </w:p>
    <w:p w14:paraId="25B74C63" w14:textId="59E30AC7"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My father left our family when I was young and went back to Niue. I last saw him when I was about 18 years old. I didn’t have a lot of connection with the Niuean side of my family growing up, and I don’t </w:t>
      </w:r>
      <w:proofErr w:type="spellStart"/>
      <w:r w:rsidRPr="004A0212">
        <w:rPr>
          <w:rFonts w:ascii="Arial" w:hAnsi="Arial" w:cs="Arial"/>
          <w:bCs/>
          <w:sz w:val="22"/>
          <w:szCs w:val="22"/>
        </w:rPr>
        <w:t>now</w:t>
      </w:r>
      <w:proofErr w:type="spellEnd"/>
      <w:r w:rsidRPr="004A0212">
        <w:rPr>
          <w:rFonts w:ascii="Arial" w:hAnsi="Arial" w:cs="Arial"/>
          <w:bCs/>
          <w:sz w:val="22"/>
          <w:szCs w:val="22"/>
        </w:rPr>
        <w:t xml:space="preserve">. My mother is Māori. She had a disagreement with her family before I was </w:t>
      </w:r>
      <w:proofErr w:type="gramStart"/>
      <w:r w:rsidRPr="004A0212">
        <w:rPr>
          <w:rFonts w:ascii="Arial" w:hAnsi="Arial" w:cs="Arial"/>
          <w:bCs/>
          <w:sz w:val="22"/>
          <w:szCs w:val="22"/>
        </w:rPr>
        <w:t>born, and</w:t>
      </w:r>
      <w:proofErr w:type="gramEnd"/>
      <w:r w:rsidRPr="004A0212">
        <w:rPr>
          <w:rFonts w:ascii="Arial" w:hAnsi="Arial" w:cs="Arial"/>
          <w:bCs/>
          <w:sz w:val="22"/>
          <w:szCs w:val="22"/>
        </w:rPr>
        <w:t xml:space="preserve"> moved down south. We had some contact with her </w:t>
      </w:r>
      <w:proofErr w:type="gramStart"/>
      <w:r w:rsidRPr="004A0212">
        <w:rPr>
          <w:rFonts w:ascii="Arial" w:hAnsi="Arial" w:cs="Arial"/>
          <w:bCs/>
          <w:sz w:val="22"/>
          <w:szCs w:val="22"/>
        </w:rPr>
        <w:t>family</w:t>
      </w:r>
      <w:proofErr w:type="gramEnd"/>
      <w:r w:rsidRPr="004A0212">
        <w:rPr>
          <w:rFonts w:ascii="Arial" w:hAnsi="Arial" w:cs="Arial"/>
          <w:bCs/>
          <w:sz w:val="22"/>
          <w:szCs w:val="22"/>
        </w:rPr>
        <w:t xml:space="preserve"> but I didn’t spend a lot of time on the marae, and I didn’t have a lot of cultural knowledge or understanding as I was growing up. </w:t>
      </w:r>
    </w:p>
    <w:p w14:paraId="345B812D" w14:textId="77777777"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Social Welfare got involved with my family after our school noted that my older siblings were truanting regularly. My family was placed under the preventive supervision of Social Welfare in 1977 when I was 3 years old, and I was made a </w:t>
      </w:r>
      <w:proofErr w:type="gramStart"/>
      <w:r w:rsidRPr="004A0212">
        <w:rPr>
          <w:rFonts w:ascii="Arial" w:hAnsi="Arial" w:cs="Arial"/>
          <w:bCs/>
          <w:sz w:val="22"/>
          <w:szCs w:val="22"/>
        </w:rPr>
        <w:t>State</w:t>
      </w:r>
      <w:proofErr w:type="gramEnd"/>
      <w:r w:rsidRPr="004A0212">
        <w:rPr>
          <w:rFonts w:ascii="Arial" w:hAnsi="Arial" w:cs="Arial"/>
          <w:bCs/>
          <w:sz w:val="22"/>
          <w:szCs w:val="22"/>
        </w:rPr>
        <w:t xml:space="preserve"> ward aged 9 years old. My mother voluntarily placed us kids into Social Welfare care for six months, with the intention that we’d be home again by Christmas. Mum’s emotional health was a problem, as well as our poor financial situation and unsettled accommodation.  </w:t>
      </w:r>
    </w:p>
    <w:p w14:paraId="0BD90F0D" w14:textId="1A15F1FC"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We were placed in the St Andrew’s Family Home. I was treated well there and wasn’t abused, but I had a lot of anxiety during that time. I didn’t really know that I was in State care. Mum visited but we never went back to living with her again. When she did visit, it was quite emotional because of the long periods of separation.  </w:t>
      </w:r>
    </w:p>
    <w:p w14:paraId="35776933" w14:textId="77777777"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Later I went to the Nayland Family Home. I shared a room with an older boy there who repeatedly sexually assaulted me. He later stole my bike and took off, and I never saw him again. I reported it to my social worker, and I think I told him about the boy sexually abusing me, but I don’t think anything came of it. If you talked about these things, people didn’t believe you. I was physically abused by another boy there too.  </w:t>
      </w:r>
    </w:p>
    <w:p w14:paraId="4F3F8573" w14:textId="489D9936"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Foster placements didn’t go well, so I was enrolled at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College in 1987 and was there until 1989. I didn’t want to go. The social worker attributed the problems I’d had in foster care to a “difference in cultural values and perception”, and he thought that sending me to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would give me an opportunity to explore my Māori culture and make Māori friends. But I had been brought up in a Pākehā environment. I’d never learned </w:t>
      </w:r>
      <w:proofErr w:type="spellStart"/>
      <w:r w:rsidRPr="004A0212">
        <w:rPr>
          <w:rFonts w:ascii="Arial" w:hAnsi="Arial" w:cs="Arial"/>
          <w:bCs/>
          <w:sz w:val="22"/>
          <w:szCs w:val="22"/>
        </w:rPr>
        <w:t>te</w:t>
      </w:r>
      <w:proofErr w:type="spellEnd"/>
      <w:r w:rsidRPr="004A0212">
        <w:rPr>
          <w:rFonts w:ascii="Arial" w:hAnsi="Arial" w:cs="Arial"/>
          <w:bCs/>
          <w:sz w:val="22"/>
          <w:szCs w:val="22"/>
        </w:rPr>
        <w:t xml:space="preserve"> </w:t>
      </w:r>
      <w:proofErr w:type="spellStart"/>
      <w:r w:rsidRPr="004A0212">
        <w:rPr>
          <w:rFonts w:ascii="Arial" w:hAnsi="Arial" w:cs="Arial"/>
          <w:bCs/>
          <w:sz w:val="22"/>
          <w:szCs w:val="22"/>
        </w:rPr>
        <w:t>reo</w:t>
      </w:r>
      <w:proofErr w:type="spellEnd"/>
      <w:r w:rsidRPr="004A0212">
        <w:rPr>
          <w:rFonts w:ascii="Arial" w:hAnsi="Arial" w:cs="Arial"/>
          <w:bCs/>
          <w:sz w:val="22"/>
          <w:szCs w:val="22"/>
        </w:rPr>
        <w:t xml:space="preserve"> and had no understanding of Māori culture or my Niuean culture before I arrived at the school. I asked to go to my relatives in the north, to one </w:t>
      </w:r>
      <w:proofErr w:type="gramStart"/>
      <w:r w:rsidRPr="004A0212">
        <w:rPr>
          <w:rFonts w:ascii="Arial" w:hAnsi="Arial" w:cs="Arial"/>
          <w:bCs/>
          <w:sz w:val="22"/>
          <w:szCs w:val="22"/>
        </w:rPr>
        <w:t>aunty in particular</w:t>
      </w:r>
      <w:proofErr w:type="gramEnd"/>
      <w:r w:rsidRPr="004A0212">
        <w:rPr>
          <w:rFonts w:ascii="Arial" w:hAnsi="Arial" w:cs="Arial"/>
          <w:bCs/>
          <w:sz w:val="22"/>
          <w:szCs w:val="22"/>
        </w:rPr>
        <w:t xml:space="preserve">. She’d agreed I could stay there, but this was never explored by my social workers.  </w:t>
      </w:r>
    </w:p>
    <w:p w14:paraId="449CB471" w14:textId="6D639AFB"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The decision to send me to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was the worst decision Social Welfare could have made for me. I was horrifically abused while I lived there, by both the students and the staff members.  </w:t>
      </w:r>
    </w:p>
    <w:p w14:paraId="3D41D121" w14:textId="76ED48E2"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Violence and bullying were endemic to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Staff knew it was happening, and treated victims of bullying as blameworthy, telling us to grow up or man up. They wouldn’t intervene unless there was some serious blood spilt, and it was best not to speak up in fear of repercussion. You never knew when the punishment was going to be delivered or who gave the instruction. At times it was like being assaulted by a gang knowing there were tactics being used and nothing you could do about it.  </w:t>
      </w:r>
    </w:p>
    <w:p w14:paraId="32F9179D" w14:textId="22156DE5"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Punishments were severe, from senior students and staff. Seniors would clear their mouths and nostrils with the ugliest snot and saliva they could muster, to have you wipe it up with your hand and eat it. My teeth were damaged after being forced at times to brush them with toilet cleaner.  </w:t>
      </w:r>
    </w:p>
    <w:p w14:paraId="410B98CD" w14:textId="77777777"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We were punished if we made mistakes during culture practice or sang the wrong words or didn’t know the </w:t>
      </w:r>
      <w:proofErr w:type="gramStart"/>
      <w:r w:rsidRPr="004A0212">
        <w:rPr>
          <w:rFonts w:ascii="Arial" w:hAnsi="Arial" w:cs="Arial"/>
          <w:bCs/>
          <w:sz w:val="22"/>
          <w:szCs w:val="22"/>
        </w:rPr>
        <w:t>words, or</w:t>
      </w:r>
      <w:proofErr w:type="gramEnd"/>
      <w:r w:rsidRPr="004A0212">
        <w:rPr>
          <w:rFonts w:ascii="Arial" w:hAnsi="Arial" w:cs="Arial"/>
          <w:bCs/>
          <w:sz w:val="22"/>
          <w:szCs w:val="22"/>
        </w:rPr>
        <w:t xml:space="preserve"> did the wrong actions. A metal ruler was used as a knuckle punishment. We had to hold our arms out with hands palms down, and the metal ruler was turned on its side and cracked onto our knuckles hard enough to cause hand injuries and create tears, which would only create more reasons to be punished.  </w:t>
      </w:r>
    </w:p>
    <w:p w14:paraId="634AB8E0" w14:textId="21AF609A"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Culture was so important at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It was so much a part of everything we did, and because I knew nothing about it when I got to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I became a target. If I did not speak Māori properly or do the haka properly, senior students would pick up the nearest desk or chair and hit me with </w:t>
      </w:r>
      <w:proofErr w:type="gramStart"/>
      <w:r w:rsidRPr="004A0212">
        <w:rPr>
          <w:rFonts w:ascii="Arial" w:hAnsi="Arial" w:cs="Arial"/>
          <w:bCs/>
          <w:sz w:val="22"/>
          <w:szCs w:val="22"/>
        </w:rPr>
        <w:t>it, or</w:t>
      </w:r>
      <w:proofErr w:type="gramEnd"/>
      <w:r w:rsidRPr="004A0212">
        <w:rPr>
          <w:rFonts w:ascii="Arial" w:hAnsi="Arial" w:cs="Arial"/>
          <w:bCs/>
          <w:sz w:val="22"/>
          <w:szCs w:val="22"/>
        </w:rPr>
        <w:t xml:space="preserve"> find a stick to punish me with. I’d be forced to stand for hours and have my legs slapped or my hands hit.  </w:t>
      </w:r>
    </w:p>
    <w:p w14:paraId="475EDAC1" w14:textId="1511C9A6"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I’ve been disconnected from my Pacific and Māori culture for most of my life. I think being involved with my own culture would have given me a sense of myself and a sense of belonging. I didn’t know any Niuean or Māori language growing up, which I think would have helped me as well. My cultural learning was done at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at a time when I experienced an enormous amount of abuse.  </w:t>
      </w:r>
    </w:p>
    <w:p w14:paraId="63A25654" w14:textId="44EC2338"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was regularly sexually abused by a priest at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 several times a week, sometimes several times a day. He realised I had no contact person or anyone I could tell, because I was never visited by a social worker. It was worse during the school holidays because I was often left behind. He did whatever he wanted to me because he knew no one cared about me.  </w:t>
      </w:r>
    </w:p>
    <w:p w14:paraId="78FF9E50" w14:textId="20AF79E0"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There was an open bathroom with a bath on one end. Boys would often be in the bath while the priest fondled them, even with people walking around. I think he was sexually assaulting boys so often that it was considered normal.  </w:t>
      </w:r>
    </w:p>
    <w:p w14:paraId="4134CEEB" w14:textId="6FC3941B"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A lot of older boys also sexually abused younger boys. I was sexually assaulted multiple times by a senior boy. He was older and bigger, and I was too scared to refuse him.  </w:t>
      </w:r>
    </w:p>
    <w:p w14:paraId="7E9FBF9F" w14:textId="37E75C90"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became a target for sexual abuse when other boys noticed how much attention the priest paid me. Once, I was summoned to the prefect’s dorm and told to strip down to my underwear. We heard the priest coming and the boy told me to hide under the bed. I had to stay there while the priest sexually assaulted the prefect.  </w:t>
      </w:r>
    </w:p>
    <w:p w14:paraId="74F1D10D" w14:textId="77777777"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ran away with two other boys several times. </w:t>
      </w:r>
      <w:proofErr w:type="gramStart"/>
      <w:r w:rsidRPr="004A0212">
        <w:rPr>
          <w:rFonts w:ascii="Arial" w:hAnsi="Arial" w:cs="Arial"/>
          <w:bCs/>
          <w:sz w:val="22"/>
          <w:szCs w:val="22"/>
        </w:rPr>
        <w:t>Both of them</w:t>
      </w:r>
      <w:proofErr w:type="gramEnd"/>
      <w:r w:rsidRPr="004A0212">
        <w:rPr>
          <w:rFonts w:ascii="Arial" w:hAnsi="Arial" w:cs="Arial"/>
          <w:bCs/>
          <w:sz w:val="22"/>
          <w:szCs w:val="22"/>
        </w:rPr>
        <w:t xml:space="preserve"> had talked about abuse from the priest and from other boys. They were State wards as well, and we all felt quite helpless. There was no one we could turn to.  </w:t>
      </w:r>
    </w:p>
    <w:p w14:paraId="36890E40" w14:textId="0DD7FFD7"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became so mentally exhausted by the abuse that I faked having appendicitis. The priest drove me home from surgery. I was in the infirmary for two weeks and he abused me there too.  </w:t>
      </w:r>
    </w:p>
    <w:p w14:paraId="3A4E2AC3" w14:textId="4DB99E2E"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know that some survivors of abuse have unclear memories of the things that happened to them. Unfortunately, I have very clear memories of everything that happened. I also have physical responses to things, such as smells I associate with the priest.  </w:t>
      </w:r>
    </w:p>
    <w:p w14:paraId="07492DBF" w14:textId="5DEC329C"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So many of my Social Welfare records from my time at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indicate I was being abused. A social worker wrote a note saying I was “unlikely to develop the strength to be able to survive at a boarding school” as I might be “the subject of all types of physical abuse,” and “observing him, his beautiful piano playing, lack of sporting interests, and delicate gestures – it is easy to accept that he would have difficulties with bullies at boarding school”.  </w:t>
      </w:r>
    </w:p>
    <w:p w14:paraId="6AC28935" w14:textId="52DFB11F"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was finally allowed to leave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after telling my social worker I was going to kill myself. I was sent down south because my mum was based down there, and Social Welfare had changed its policy and kids had to go back to their parents or extended family. That was awful because we’d been estranged from Mum for a very long time.  </w:t>
      </w:r>
    </w:p>
    <w:p w14:paraId="3534A5C2" w14:textId="40ECD0DE"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was enrolled at a high school where I experienced a lot of racism because we were the only dark-coloured students in the entire school. We were called ‘black bitch’, ‘black bastard’, ‘black c**t’ every single day.  </w:t>
      </w:r>
    </w:p>
    <w:p w14:paraId="6D4C4E98" w14:textId="29260557"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started to go to counselling in 1989. I also spoke to my social worker at the time about the abuse at Hato </w:t>
      </w:r>
      <w:proofErr w:type="spellStart"/>
      <w:r w:rsidRPr="004A0212">
        <w:rPr>
          <w:rFonts w:ascii="Arial" w:hAnsi="Arial" w:cs="Arial"/>
          <w:bCs/>
          <w:sz w:val="22"/>
          <w:szCs w:val="22"/>
        </w:rPr>
        <w:t>Paora</w:t>
      </w:r>
      <w:proofErr w:type="spellEnd"/>
      <w:r w:rsidRPr="004A0212">
        <w:rPr>
          <w:rFonts w:ascii="Arial" w:hAnsi="Arial" w:cs="Arial"/>
          <w:bCs/>
          <w:sz w:val="22"/>
          <w:szCs w:val="22"/>
        </w:rPr>
        <w:t xml:space="preserve"> and I was interviewed by the police, but it does not look like the priest was charged in relation to my complaints at that time. It looked like my social worker believed I’d been sexually abused at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so I don’t know why police didn’t pursue it.  </w:t>
      </w:r>
    </w:p>
    <w:p w14:paraId="1AF55A4C" w14:textId="6371983C"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was sent to live with an aunty. By that </w:t>
      </w:r>
      <w:proofErr w:type="gramStart"/>
      <w:r w:rsidRPr="004A0212">
        <w:rPr>
          <w:rFonts w:ascii="Arial" w:hAnsi="Arial" w:cs="Arial"/>
          <w:bCs/>
          <w:sz w:val="22"/>
          <w:szCs w:val="22"/>
        </w:rPr>
        <w:t>time</w:t>
      </w:r>
      <w:proofErr w:type="gramEnd"/>
      <w:r w:rsidRPr="004A0212">
        <w:rPr>
          <w:rFonts w:ascii="Arial" w:hAnsi="Arial" w:cs="Arial"/>
          <w:bCs/>
          <w:sz w:val="22"/>
          <w:szCs w:val="22"/>
        </w:rPr>
        <w:t xml:space="preserve"> I was so unhappy that I set the house on fire because I wanted to kill myself. I was in a very bad state, and very distressed. They took me to hospital and then I was sent to Lookout Point Boys’ Home. I was depressed and seeing a psychiatrist every week.</w:t>
      </w:r>
    </w:p>
    <w:p w14:paraId="7CBA26DB" w14:textId="6754F3BB"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spoke to a staff member there about the sexual abuse I experienced at Hato </w:t>
      </w:r>
      <w:proofErr w:type="spellStart"/>
      <w:r w:rsidRPr="004A0212">
        <w:rPr>
          <w:rFonts w:ascii="Arial" w:hAnsi="Arial" w:cs="Arial"/>
          <w:bCs/>
          <w:sz w:val="22"/>
          <w:szCs w:val="22"/>
        </w:rPr>
        <w:t>Pāora</w:t>
      </w:r>
      <w:proofErr w:type="spellEnd"/>
      <w:r w:rsidRPr="004A0212">
        <w:rPr>
          <w:rFonts w:ascii="Arial" w:hAnsi="Arial" w:cs="Arial"/>
          <w:bCs/>
          <w:sz w:val="22"/>
          <w:szCs w:val="22"/>
        </w:rPr>
        <w:t xml:space="preserve">, and I signed a report about it. It’s not clear whether anything was done with it. My records from this time mostly talk about me being depressed. A progress report said that while I was clearly very depressed, I had none of the anti-social behavioural problems that the home usually dealt with, and I was inappropriately placed there.  </w:t>
      </w:r>
    </w:p>
    <w:p w14:paraId="0C719BA5" w14:textId="77777777"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I had just bounced around the whole country, and I didn’t have any power to make decisions for myself.  </w:t>
      </w:r>
    </w:p>
    <w:p w14:paraId="75897767" w14:textId="4D74AA43"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Eventually a ‘family preservation agreement’ was signed, which gave me some money for flatting and expenses, and I was to apply for the Independent Youth Benefit. I had someone who was a real advocate for me, and she helped me lodge an ACC claim. But I was pretty much on my own.  </w:t>
      </w:r>
    </w:p>
    <w:p w14:paraId="7BEDE517" w14:textId="77777777" w:rsidR="006C1AF5" w:rsidRPr="004A0212" w:rsidRDefault="006C1AF5" w:rsidP="007F0754">
      <w:pPr>
        <w:pStyle w:val="BodyText"/>
        <w:spacing w:before="0"/>
        <w:rPr>
          <w:rFonts w:ascii="Arial" w:hAnsi="Arial" w:cs="Arial"/>
          <w:bCs/>
          <w:sz w:val="22"/>
          <w:szCs w:val="22"/>
        </w:rPr>
      </w:pPr>
      <w:r w:rsidRPr="004A0212">
        <w:rPr>
          <w:rFonts w:ascii="Arial" w:hAnsi="Arial" w:cs="Arial"/>
          <w:bCs/>
          <w:sz w:val="22"/>
          <w:szCs w:val="22"/>
        </w:rPr>
        <w:t xml:space="preserve">There was a real lack of care in the way Social Welfare looked after me. I had to fight for a lot of things from them, like counselling, and there was a lack of interest in us – sometimes social workers wouldn’t even turn up for appointments. We weren’t consulted about placements. We were in Social Welfare care all our lives and no one </w:t>
      </w:r>
      <w:proofErr w:type="gramStart"/>
      <w:r w:rsidRPr="004A0212">
        <w:rPr>
          <w:rFonts w:ascii="Arial" w:hAnsi="Arial" w:cs="Arial"/>
          <w:bCs/>
          <w:sz w:val="22"/>
          <w:szCs w:val="22"/>
        </w:rPr>
        <w:t>actually did</w:t>
      </w:r>
      <w:proofErr w:type="gramEnd"/>
      <w:r w:rsidRPr="004A0212">
        <w:rPr>
          <w:rFonts w:ascii="Arial" w:hAnsi="Arial" w:cs="Arial"/>
          <w:bCs/>
          <w:sz w:val="22"/>
          <w:szCs w:val="22"/>
        </w:rPr>
        <w:t xml:space="preserve"> anything to save us.  </w:t>
      </w:r>
    </w:p>
    <w:p w14:paraId="1EE0D004" w14:textId="0C8B8DAE" w:rsidR="006C1AF5" w:rsidRPr="000C0692" w:rsidRDefault="006C1AF5" w:rsidP="007F0754">
      <w:pPr>
        <w:pStyle w:val="BodyText"/>
        <w:spacing w:before="0"/>
        <w:rPr>
          <w:rFonts w:ascii="Arial" w:hAnsi="Arial" w:cs="Arial"/>
          <w:b/>
          <w:sz w:val="22"/>
          <w:szCs w:val="22"/>
        </w:rPr>
      </w:pPr>
      <w:r w:rsidRPr="004A0212">
        <w:rPr>
          <w:rFonts w:ascii="Arial" w:hAnsi="Arial" w:cs="Arial"/>
          <w:bCs/>
          <w:sz w:val="22"/>
          <w:szCs w:val="22"/>
        </w:rPr>
        <w:t>I left New Zealand and went to Australia when I was about 17 years old. I had to get away from everything that had happened because I felt suicidal. I’ve had many attempts at self-harm, and it wasn’t until I left New Zealand that I had an opportunity to change my life.</w:t>
      </w:r>
      <w:r w:rsidR="00E26B9A" w:rsidRPr="004A0212">
        <w:rPr>
          <w:rStyle w:val="FootnoteReference"/>
          <w:rFonts w:ascii="Arial" w:hAnsi="Arial"/>
          <w:bCs/>
          <w:sz w:val="22"/>
          <w:szCs w:val="22"/>
        </w:rPr>
        <w:footnoteReference w:id="447"/>
      </w:r>
    </w:p>
    <w:p w14:paraId="017EB30F" w14:textId="77777777" w:rsidR="00BD25D0" w:rsidRDefault="00BD25D0" w:rsidP="00BD25D0">
      <w:pPr>
        <w:pStyle w:val="BodyText"/>
        <w:rPr>
          <w:rFonts w:ascii="Arial" w:hAnsi="Arial" w:cs="Arial"/>
          <w:sz w:val="22"/>
          <w:szCs w:val="22"/>
        </w:rPr>
      </w:pPr>
    </w:p>
    <w:p w14:paraId="18ADFD14" w14:textId="270EE548" w:rsidR="0080198C" w:rsidRPr="00BD25D0" w:rsidRDefault="00DA0676" w:rsidP="00BD25D0">
      <w:pPr>
        <w:pStyle w:val="BodyText"/>
        <w:rPr>
          <w:rFonts w:ascii="Arial" w:hAnsi="Arial" w:cs="Arial"/>
          <w:sz w:val="22"/>
          <w:szCs w:val="22"/>
        </w:rPr>
      </w:pPr>
      <w:r w:rsidRPr="00BD25D0">
        <w:rPr>
          <w:rFonts w:ascii="Arial" w:hAnsi="Arial" w:cs="Arial"/>
          <w:sz w:val="22"/>
          <w:szCs w:val="22"/>
        </w:rPr>
        <w:t>[survivor quote]</w:t>
      </w:r>
    </w:p>
    <w:p w14:paraId="2107C724" w14:textId="3242F78D" w:rsidR="0071486B" w:rsidRPr="00BD25D0" w:rsidRDefault="0071486B" w:rsidP="00BD25D0">
      <w:pPr>
        <w:pStyle w:val="AllQuotes"/>
        <w:rPr>
          <w:b/>
          <w:i/>
        </w:rPr>
      </w:pPr>
      <w:r w:rsidRPr="00BD25D0">
        <w:rPr>
          <w:b/>
        </w:rPr>
        <w:t xml:space="preserve">“There was a real lack of care in the way Social Welfare looked after me. I had to fight for a lot of things from them, like counselling, and there was a lack of interest in us – sometimes social workers wouldn’t even turn up for appointments. We weren’t consulted about placements. We were in Social Welfare care all our lives and no one </w:t>
      </w:r>
      <w:proofErr w:type="gramStart"/>
      <w:r w:rsidRPr="00BD25D0">
        <w:rPr>
          <w:b/>
        </w:rPr>
        <w:t>actually did</w:t>
      </w:r>
      <w:proofErr w:type="gramEnd"/>
      <w:r w:rsidRPr="00BD25D0">
        <w:rPr>
          <w:b/>
        </w:rPr>
        <w:t xml:space="preserve"> anything to save us.”</w:t>
      </w:r>
    </w:p>
    <w:p w14:paraId="426F64FA" w14:textId="62BB51D4" w:rsidR="0071486B" w:rsidRPr="00BD25D0" w:rsidRDefault="0071486B" w:rsidP="00BD25D0">
      <w:pPr>
        <w:pStyle w:val="AllQuotes"/>
        <w:rPr>
          <w:b/>
          <w:i/>
        </w:rPr>
      </w:pPr>
      <w:r w:rsidRPr="00BD25D0">
        <w:rPr>
          <w:b/>
          <w:iCs/>
        </w:rPr>
        <w:t xml:space="preserve">Kamahl </w:t>
      </w:r>
      <w:proofErr w:type="spellStart"/>
      <w:r w:rsidRPr="00BD25D0">
        <w:rPr>
          <w:b/>
          <w:iCs/>
        </w:rPr>
        <w:t>Tupetagi</w:t>
      </w:r>
      <w:proofErr w:type="spellEnd"/>
    </w:p>
    <w:p w14:paraId="24277256" w14:textId="4681ADCD" w:rsidR="0071486B" w:rsidRPr="00BD25D0" w:rsidRDefault="0071486B" w:rsidP="00BD25D0">
      <w:pPr>
        <w:pStyle w:val="AllQuotes"/>
        <w:rPr>
          <w:b/>
          <w:i/>
        </w:rPr>
      </w:pPr>
      <w:r w:rsidRPr="00BD25D0">
        <w:rPr>
          <w:b/>
          <w:iCs/>
        </w:rPr>
        <w:t xml:space="preserve">Niuean, </w:t>
      </w:r>
      <w:r w:rsidRPr="00352128">
        <w:rPr>
          <w:b/>
          <w:iCs/>
        </w:rPr>
        <w:t>M</w:t>
      </w:r>
      <w:r w:rsidRPr="00352128">
        <w:rPr>
          <w:rFonts w:hint="eastAsia"/>
          <w:b/>
        </w:rPr>
        <w:t>ā</w:t>
      </w:r>
      <w:r w:rsidRPr="00352128">
        <w:rPr>
          <w:b/>
        </w:rPr>
        <w:t>ori (</w:t>
      </w:r>
      <w:proofErr w:type="spellStart"/>
      <w:r w:rsidRPr="00352128">
        <w:rPr>
          <w:b/>
        </w:rPr>
        <w:t>Ng</w:t>
      </w:r>
      <w:r w:rsidRPr="00352128">
        <w:rPr>
          <w:rFonts w:hint="eastAsia"/>
          <w:b/>
        </w:rPr>
        <w:t>ā</w:t>
      </w:r>
      <w:r w:rsidRPr="00352128">
        <w:rPr>
          <w:b/>
        </w:rPr>
        <w:t>pui</w:t>
      </w:r>
      <w:proofErr w:type="spellEnd"/>
      <w:r w:rsidRPr="00352128">
        <w:rPr>
          <w:b/>
        </w:rPr>
        <w:t>)</w:t>
      </w:r>
    </w:p>
    <w:p w14:paraId="73D5736B" w14:textId="77777777" w:rsidR="0071486B" w:rsidRPr="004A0212" w:rsidRDefault="0071486B" w:rsidP="0071486B">
      <w:pPr>
        <w:rPr>
          <w:lang w:eastAsia="en-NZ"/>
        </w:rPr>
      </w:pPr>
    </w:p>
    <w:p w14:paraId="6851AB9E" w14:textId="77777777" w:rsidR="00BD25D0" w:rsidRDefault="00BD25D0">
      <w:pPr>
        <w:keepLines w:val="0"/>
        <w:rPr>
          <w:rFonts w:ascii="Arial" w:hAnsi="Arial" w:cs="Arial"/>
          <w:b/>
          <w:bCs/>
          <w:color w:val="4F7D29" w:themeColor="accent4"/>
          <w:sz w:val="36"/>
          <w:szCs w:val="36"/>
          <w:lang w:eastAsia="en-NZ"/>
        </w:rPr>
      </w:pPr>
      <w:bookmarkStart w:id="504" w:name="_Toc1904397150"/>
      <w:r>
        <w:br w:type="page"/>
      </w:r>
    </w:p>
    <w:p w14:paraId="06B9F7C4" w14:textId="74A7E6E4" w:rsidR="00EC6529" w:rsidRPr="004A0212" w:rsidRDefault="00D434AD" w:rsidP="00AC5730">
      <w:pPr>
        <w:pStyle w:val="Heading1"/>
      </w:pPr>
      <w:bookmarkStart w:id="505" w:name="_Toc168639030"/>
      <w:proofErr w:type="spellStart"/>
      <w:r w:rsidRPr="004A0212">
        <w:t>Ū</w:t>
      </w:r>
      <w:r w:rsidR="497E2E98" w:rsidRPr="004A0212">
        <w:t>poko</w:t>
      </w:r>
      <w:proofErr w:type="spellEnd"/>
      <w:r w:rsidR="497E2E98" w:rsidRPr="004A0212">
        <w:t xml:space="preserve"> 9: </w:t>
      </w:r>
      <w:proofErr w:type="spellStart"/>
      <w:r w:rsidR="497E2E98" w:rsidRPr="004A0212">
        <w:t>Te</w:t>
      </w:r>
      <w:proofErr w:type="spellEnd"/>
      <w:r w:rsidR="497E2E98" w:rsidRPr="004A0212">
        <w:t xml:space="preserve"> </w:t>
      </w:r>
      <w:proofErr w:type="spellStart"/>
      <w:r w:rsidR="497E2E98" w:rsidRPr="004A0212">
        <w:t>pūnaha</w:t>
      </w:r>
      <w:proofErr w:type="spellEnd"/>
      <w:r w:rsidR="497E2E98" w:rsidRPr="004A0212">
        <w:t xml:space="preserve"> </w:t>
      </w:r>
      <w:proofErr w:type="spellStart"/>
      <w:r w:rsidR="497E2E98" w:rsidRPr="004A0212">
        <w:t>kāwana</w:t>
      </w:r>
      <w:proofErr w:type="spellEnd"/>
      <w:r w:rsidR="497E2E98" w:rsidRPr="004A0212">
        <w:t xml:space="preserve"> o Aotearoa</w:t>
      </w:r>
      <w:bookmarkEnd w:id="504"/>
      <w:bookmarkEnd w:id="505"/>
      <w:r w:rsidR="497E2E98" w:rsidRPr="004A0212">
        <w:t xml:space="preserve"> </w:t>
      </w:r>
      <w:bookmarkStart w:id="506" w:name="_Toc150933221"/>
      <w:bookmarkStart w:id="507" w:name="_Toc150953539"/>
    </w:p>
    <w:p w14:paraId="7F74F05C" w14:textId="7E484641" w:rsidR="00AC5730" w:rsidRPr="004A0212" w:rsidRDefault="1B2DE7B6" w:rsidP="00AC5730">
      <w:pPr>
        <w:pStyle w:val="Heading1"/>
      </w:pPr>
      <w:bookmarkStart w:id="508" w:name="_Toc825939948"/>
      <w:bookmarkStart w:id="509" w:name="_Toc168639031"/>
      <w:r w:rsidRPr="004A0212">
        <w:t xml:space="preserve">Chapter </w:t>
      </w:r>
      <w:r w:rsidR="0ADA5BC9" w:rsidRPr="004A0212">
        <w:t>9</w:t>
      </w:r>
      <w:r w:rsidRPr="004A0212">
        <w:t xml:space="preserve">: </w:t>
      </w:r>
      <w:bookmarkEnd w:id="506"/>
      <w:bookmarkEnd w:id="507"/>
      <w:r w:rsidR="1FF4A36E" w:rsidRPr="004A0212">
        <w:t xml:space="preserve">Aotearoa </w:t>
      </w:r>
      <w:r w:rsidRPr="004A0212">
        <w:t>New Zealand’s system of government</w:t>
      </w:r>
      <w:bookmarkEnd w:id="508"/>
      <w:bookmarkEnd w:id="509"/>
      <w:r w:rsidR="38893BD2" w:rsidRPr="004A0212">
        <w:t xml:space="preserve"> </w:t>
      </w:r>
    </w:p>
    <w:p w14:paraId="10A7353E" w14:textId="77777777" w:rsidR="002B6B78" w:rsidRPr="004A0212" w:rsidRDefault="539D1E07" w:rsidP="002B6B78">
      <w:pPr>
        <w:pStyle w:val="Numbparas"/>
      </w:pPr>
      <w:r w:rsidRPr="004A0212">
        <w:t>This Part gives a short overview of Aotearoa New Zealand’s system of government, and how the public service was administered during the Inquiry period. This overview explains how government decision-making works and provides a sense of who was responsible for the government departments involved in providing care during the Inquiry period.</w:t>
      </w:r>
    </w:p>
    <w:p w14:paraId="79B247FD" w14:textId="77777777" w:rsidR="002B6B78" w:rsidRPr="004A0212" w:rsidRDefault="539D1E07" w:rsidP="002B6B78">
      <w:pPr>
        <w:pStyle w:val="Numbparas"/>
      </w:pPr>
      <w:r w:rsidRPr="004A0212">
        <w:t>Aotearoa New Zealand’s system of government is known as a Westminster model, because it is modelled on the United Kingdom’s parliamentary system. Under the Westminster model, government is organised into three distinct branches – legislative, executive and judicial:</w:t>
      </w:r>
    </w:p>
    <w:p w14:paraId="4780A527" w14:textId="77777777" w:rsidR="002B6B78" w:rsidRPr="004A0212" w:rsidRDefault="002B6B78" w:rsidP="008C2B1A">
      <w:pPr>
        <w:pStyle w:val="Bulletpoints"/>
      </w:pPr>
      <w:r w:rsidRPr="004A0212">
        <w:t xml:space="preserve">legislature branch – ‘Parliament’ (formerly known as the House of Representatives). It consists of all Members of Parliament that have been elected. The Legislature is responsible for making laws.  </w:t>
      </w:r>
    </w:p>
    <w:p w14:paraId="2D4CA6E8" w14:textId="77777777" w:rsidR="002B6B78" w:rsidRPr="004A0212" w:rsidRDefault="002B6B78" w:rsidP="008C2B1A">
      <w:pPr>
        <w:pStyle w:val="Bulletpoints"/>
      </w:pPr>
      <w:r w:rsidRPr="004A0212">
        <w:t>judiciary branch – ‘Courts and Tribunals’. It consists of all judges and judicial officers hearing cases and deciding cases. The Judiciary is responsible for interpreting and applying laws.</w:t>
      </w:r>
    </w:p>
    <w:p w14:paraId="70ABCEAC" w14:textId="77777777" w:rsidR="002B6B78" w:rsidRPr="004A0212" w:rsidRDefault="002B6B78" w:rsidP="008C2B1A">
      <w:pPr>
        <w:pStyle w:val="Bulletpoints"/>
      </w:pPr>
      <w:r w:rsidRPr="004A0212">
        <w:t xml:space="preserve">executive branch – ‘Government’. It consists of Ministers of the Crown (both inside and outside of Cabinet) and is chaired by the Prime Minister. The Executive is responsible for developing policy, proposing draft laws to Parliament and administering laws. </w:t>
      </w:r>
    </w:p>
    <w:p w14:paraId="0A2485C3" w14:textId="77777777" w:rsidR="002B6B78" w:rsidRPr="004A0212" w:rsidRDefault="539D1E07" w:rsidP="002B6B78">
      <w:pPr>
        <w:pStyle w:val="Numbparas"/>
      </w:pPr>
      <w:r w:rsidRPr="004A0212">
        <w:t>Each branch of government performs the functions allocated to it and generally does not assume or intrude on the functions of another branch.</w:t>
      </w:r>
    </w:p>
    <w:p w14:paraId="362C4542" w14:textId="77777777" w:rsidR="002B6B78" w:rsidRPr="004A0212" w:rsidRDefault="539D1E07" w:rsidP="002B6B78">
      <w:pPr>
        <w:pStyle w:val="Numbparas"/>
      </w:pPr>
      <w:r w:rsidRPr="004A0212">
        <w:t>Aotearoa New Zealand has a Governor-General. The Sovereign King or Queen of Britain is the head of State, and the Governor-General is the Sovereign’s representative in Aotearoa New Zealand. The Governor-General is responsible for:</w:t>
      </w:r>
    </w:p>
    <w:p w14:paraId="5B69D063" w14:textId="77777777" w:rsidR="002B6B78" w:rsidRPr="004A0212" w:rsidRDefault="002B6B78" w:rsidP="008C2B1A">
      <w:pPr>
        <w:pStyle w:val="Bulletpoints"/>
      </w:pPr>
      <w:r w:rsidRPr="004A0212">
        <w:t>granting Royal assent to the bills passed by the House of Representatives, thus passing them into law (Legislative branch)</w:t>
      </w:r>
    </w:p>
    <w:p w14:paraId="056C56E3" w14:textId="77777777" w:rsidR="002B6B78" w:rsidRPr="004A0212" w:rsidRDefault="002B6B78" w:rsidP="008C2B1A">
      <w:pPr>
        <w:pStyle w:val="Bulletpoints"/>
      </w:pPr>
      <w:r w:rsidRPr="004A0212">
        <w:t>appointing judges (Judicial branch)</w:t>
      </w:r>
    </w:p>
    <w:p w14:paraId="284DEBAD" w14:textId="77777777" w:rsidR="002B6B78" w:rsidRPr="004A0212" w:rsidRDefault="002B6B78" w:rsidP="008C2B1A">
      <w:pPr>
        <w:pStyle w:val="Bulletpoints"/>
      </w:pPr>
      <w:r w:rsidRPr="004A0212">
        <w:t>appointing the prime minister after each election and appointing all other ministers, making regulations proposed by the Executive Branch, and confirming the appointments of public service chief executives (Executive branch).</w:t>
      </w:r>
    </w:p>
    <w:p w14:paraId="505721F1" w14:textId="77777777" w:rsidR="002B6B78" w:rsidRPr="004A0212" w:rsidRDefault="539D1E07" w:rsidP="002B6B78">
      <w:pPr>
        <w:pStyle w:val="Numbparas"/>
      </w:pPr>
      <w:r w:rsidRPr="004A0212">
        <w:t xml:space="preserve">The Aotearoa New Zealand system of government is based on the separation of powers between the three branches of government. This separation provides checks and balances on the exercise of power. </w:t>
      </w:r>
    </w:p>
    <w:p w14:paraId="4C569141" w14:textId="2F79F2D0" w:rsidR="004368C0" w:rsidRPr="004A0212" w:rsidRDefault="3D8C0D03" w:rsidP="004368C0">
      <w:pPr>
        <w:pStyle w:val="Heading2"/>
      </w:pPr>
      <w:bookmarkStart w:id="510" w:name="_Toc257230530"/>
      <w:bookmarkStart w:id="511" w:name="_Toc168639032"/>
      <w:bookmarkStart w:id="512" w:name="_Toc165441861"/>
      <w:r w:rsidRPr="004A0212">
        <w:t xml:space="preserve">He </w:t>
      </w:r>
      <w:proofErr w:type="spellStart"/>
      <w:r w:rsidRPr="004A0212">
        <w:t>turepapa</w:t>
      </w:r>
      <w:proofErr w:type="spellEnd"/>
      <w:r w:rsidRPr="004A0212">
        <w:t xml:space="preserve"> </w:t>
      </w:r>
      <w:proofErr w:type="spellStart"/>
      <w:r w:rsidRPr="004A0212">
        <w:t>kāwana</w:t>
      </w:r>
      <w:proofErr w:type="spellEnd"/>
      <w:r w:rsidR="40992DC0" w:rsidRPr="004A0212">
        <w:t xml:space="preserve"> </w:t>
      </w:r>
      <w:r w:rsidRPr="004A0212">
        <w:t>ā-</w:t>
      </w:r>
      <w:proofErr w:type="spellStart"/>
      <w:r w:rsidRPr="004A0212">
        <w:t>kupu</w:t>
      </w:r>
      <w:proofErr w:type="spellEnd"/>
      <w:r w:rsidRPr="004A0212">
        <w:t xml:space="preserve"> </w:t>
      </w:r>
      <w:proofErr w:type="spellStart"/>
      <w:r w:rsidRPr="004A0212">
        <w:t>tā</w:t>
      </w:r>
      <w:proofErr w:type="spellEnd"/>
      <w:r w:rsidRPr="004A0212">
        <w:t xml:space="preserve"> Aotearoa</w:t>
      </w:r>
      <w:bookmarkEnd w:id="510"/>
      <w:bookmarkEnd w:id="511"/>
      <w:r w:rsidRPr="004A0212">
        <w:t xml:space="preserve"> </w:t>
      </w:r>
    </w:p>
    <w:p w14:paraId="300F53D1" w14:textId="77777777" w:rsidR="004368C0" w:rsidRPr="004A0212" w:rsidRDefault="3D8C0D03" w:rsidP="004368C0">
      <w:pPr>
        <w:pStyle w:val="Heading2"/>
      </w:pPr>
      <w:bookmarkStart w:id="513" w:name="_Toc165441862"/>
      <w:bookmarkStart w:id="514" w:name="_Toc68451138"/>
      <w:bookmarkStart w:id="515" w:name="_Toc168639033"/>
      <w:bookmarkEnd w:id="512"/>
      <w:r w:rsidRPr="004A0212">
        <w:t>Aotearoa New Zealand has an unwritten Constitution</w:t>
      </w:r>
      <w:bookmarkEnd w:id="513"/>
      <w:bookmarkEnd w:id="514"/>
      <w:bookmarkEnd w:id="515"/>
    </w:p>
    <w:p w14:paraId="570F444D" w14:textId="4DB597BA" w:rsidR="004368C0" w:rsidRPr="004A0212" w:rsidRDefault="272FB44A" w:rsidP="004368C0">
      <w:pPr>
        <w:pStyle w:val="Numbparas"/>
      </w:pPr>
      <w:r w:rsidRPr="004A0212">
        <w:t xml:space="preserve">Aotearoa New Zealand does not have a written constitution like the United States, Canada and Australia. Aotearoa New Zealand’s constitution is made up of </w:t>
      </w:r>
      <w:proofErr w:type="gramStart"/>
      <w:r w:rsidRPr="004A0212">
        <w:t>a number of</w:t>
      </w:r>
      <w:proofErr w:type="gramEnd"/>
      <w:r w:rsidRPr="004A0212">
        <w:t xml:space="preserve"> documents, constitutional conventions (ways of doing things), principles that have evolved through judicial decisions and Acts of Parliament such as the Constitution Act 1986 and the New Zealand Bill of Rights Act 1990. Aotearoa New Zealand’s constitutional arrangements recognise </w:t>
      </w:r>
      <w:proofErr w:type="spellStart"/>
      <w:r w:rsidR="00485E79">
        <w:t>t</w:t>
      </w:r>
      <w:r w:rsidRPr="004A0212">
        <w:t>e</w:t>
      </w:r>
      <w:proofErr w:type="spellEnd"/>
      <w:r w:rsidRPr="004A0212">
        <w:t xml:space="preserve"> </w:t>
      </w:r>
      <w:proofErr w:type="spellStart"/>
      <w:r w:rsidRPr="004A0212">
        <w:t>Tiriti</w:t>
      </w:r>
      <w:proofErr w:type="spellEnd"/>
      <w:r w:rsidRPr="004A0212">
        <w:t xml:space="preserve"> o Waitangi / Treaty of Waitangi as a founding document.</w:t>
      </w:r>
      <w:r w:rsidRPr="004A0212">
        <w:rPr>
          <w:rStyle w:val="FootnoteReference"/>
        </w:rPr>
        <w:t xml:space="preserve"> </w:t>
      </w:r>
      <w:r w:rsidR="004368C0" w:rsidRPr="004A0212">
        <w:rPr>
          <w:rStyle w:val="StyleFootnoteReferenceFagoFunotenzeichenFagoFunotenzeichen"/>
        </w:rPr>
        <w:footnoteReference w:id="448"/>
      </w:r>
      <w:r w:rsidRPr="004A0212">
        <w:t xml:space="preserve"> </w:t>
      </w:r>
    </w:p>
    <w:p w14:paraId="7FBC33D5" w14:textId="324464F9" w:rsidR="004368C0" w:rsidRPr="004A0212" w:rsidRDefault="272FB44A" w:rsidP="004368C0">
      <w:pPr>
        <w:pStyle w:val="Numbparas"/>
      </w:pPr>
      <w:r w:rsidRPr="004A0212">
        <w:t>In Aotearoa New Zealand only a small number of provisions within a few laws (</w:t>
      </w:r>
      <w:r w:rsidR="1324111D" w:rsidRPr="004A0212">
        <w:t>for example,</w:t>
      </w:r>
      <w:r w:rsidRPr="004A0212">
        <w:t xml:space="preserve"> relating to the term of Parliament, the division of Aotearoa New Zealand into general electorates, the minimum voting age of 18 all set out in the Electoral Act 1993) require a super majority (75 percent) of all members of parliament to change those provisions. Otherwise, laws in Aotearoa New Zealand can be changed in a single sitting of Parliament.</w:t>
      </w:r>
      <w:r w:rsidR="004368C0" w:rsidRPr="004A0212">
        <w:rPr>
          <w:rStyle w:val="StyleFootnoteReferenceFagoFunotenzeichenFagoFunotenzeichen"/>
        </w:rPr>
        <w:footnoteReference w:id="449"/>
      </w:r>
      <w:r w:rsidRPr="004A0212">
        <w:t xml:space="preserve"> The change to MMP has not fully addressed concerns about the lack of checks and balances on the power of the Executive.</w:t>
      </w:r>
      <w:r w:rsidR="004368C0" w:rsidRPr="004A0212">
        <w:rPr>
          <w:rStyle w:val="FootnoteReference"/>
        </w:rPr>
        <w:footnoteReference w:id="450"/>
      </w:r>
      <w:r w:rsidRPr="004A0212">
        <w:t xml:space="preserve"> </w:t>
      </w:r>
    </w:p>
    <w:p w14:paraId="6D26824B" w14:textId="291493CC" w:rsidR="004368C0" w:rsidRPr="004A0212" w:rsidRDefault="3D8C0D03" w:rsidP="004368C0">
      <w:pPr>
        <w:pStyle w:val="Heading2"/>
      </w:pPr>
      <w:bookmarkStart w:id="516" w:name="_Toc2143161079"/>
      <w:bookmarkStart w:id="517" w:name="_Toc165441863"/>
      <w:bookmarkStart w:id="518" w:name="_Toc168639034"/>
      <w:proofErr w:type="spellStart"/>
      <w:r w:rsidRPr="004A0212">
        <w:t>Pāremata</w:t>
      </w:r>
      <w:proofErr w:type="spellEnd"/>
      <w:r w:rsidRPr="004A0212">
        <w:t xml:space="preserve"> (</w:t>
      </w:r>
      <w:proofErr w:type="spellStart"/>
      <w:r w:rsidRPr="004A0212">
        <w:t>Te</w:t>
      </w:r>
      <w:proofErr w:type="spellEnd"/>
      <w:r w:rsidRPr="004A0212">
        <w:t xml:space="preserve"> </w:t>
      </w:r>
      <w:proofErr w:type="spellStart"/>
      <w:r w:rsidRPr="004A0212">
        <w:t>whakature</w:t>
      </w:r>
      <w:proofErr w:type="spellEnd"/>
      <w:r w:rsidRPr="004A0212">
        <w:t>)</w:t>
      </w:r>
      <w:bookmarkEnd w:id="516"/>
      <w:r w:rsidRPr="004A0212">
        <w:t xml:space="preserve"> </w:t>
      </w:r>
      <w:r w:rsidR="00F17B26">
        <w:t xml:space="preserve">| </w:t>
      </w:r>
      <w:bookmarkStart w:id="519" w:name="_Toc189570012"/>
      <w:r w:rsidRPr="004A0212">
        <w:t>Parliament (The Legislature)</w:t>
      </w:r>
      <w:bookmarkEnd w:id="517"/>
      <w:bookmarkEnd w:id="518"/>
      <w:bookmarkEnd w:id="519"/>
    </w:p>
    <w:p w14:paraId="79615E92" w14:textId="77777777" w:rsidR="004368C0" w:rsidRPr="004A0212" w:rsidRDefault="272FB44A" w:rsidP="004368C0">
      <w:pPr>
        <w:pStyle w:val="Numbparas"/>
      </w:pPr>
      <w:r w:rsidRPr="004A0212">
        <w:t>The Parliament of Aotearoa New Zealand consists of the Sovereign in right of Aotearoa New Zealand and the House of Representatives. The House of Representatives is the popularly elected part of Parliament. During the Inquiry period up until 1996, members of parliament were chosen in the general election to represent electoral districts using the first-past-the-post electoral system. In 1996, Aotearoa New Zealand changed its electoral system to mixed member proportional (MMP). This means that members of parliament are chosen in a general election to represent electoral districts and party list members.</w:t>
      </w:r>
    </w:p>
    <w:p w14:paraId="2775F376" w14:textId="5B5B3C31" w:rsidR="004368C0" w:rsidRPr="004A0212" w:rsidRDefault="272FB44A" w:rsidP="004368C0">
      <w:pPr>
        <w:pStyle w:val="Numbparas"/>
      </w:pPr>
      <w:r w:rsidRPr="004A0212">
        <w:rPr>
          <w:rStyle w:val="AllNumbparasChar"/>
        </w:rPr>
        <w:t>The role of members of parliament in the House of Representatives is to represent the people of Aotearoa New Zealand, provide the Government from among its members, make new laws and update old laws, examine</w:t>
      </w:r>
      <w:r w:rsidRPr="004A0212">
        <w:t xml:space="preserve"> and approve Government taxes and spending, and hold the Government to account for its policies and actions through parliamentary questions, debates and select committee inquiries, considering petitions and examining international treaties.</w:t>
      </w:r>
      <w:r w:rsidR="004368C0" w:rsidRPr="004A0212">
        <w:rPr>
          <w:rStyle w:val="StyleFootnoteReferenceFagoFunotenzeichenFagoFunotenzeichen"/>
        </w:rPr>
        <w:footnoteReference w:id="451"/>
      </w:r>
      <w:r w:rsidRPr="004A0212">
        <w:rPr>
          <w:vertAlign w:val="superscript"/>
        </w:rPr>
        <w:t> </w:t>
      </w:r>
    </w:p>
    <w:p w14:paraId="5980AF4A" w14:textId="5D02B7C8" w:rsidR="004368C0" w:rsidRPr="004A0212" w:rsidRDefault="3D8C0D03" w:rsidP="004368C0">
      <w:pPr>
        <w:pStyle w:val="Heading2"/>
        <w:rPr>
          <w:color w:val="auto"/>
        </w:rPr>
      </w:pPr>
      <w:bookmarkStart w:id="520" w:name="_Toc73037760"/>
      <w:bookmarkStart w:id="521" w:name="_Toc168639035"/>
      <w:bookmarkStart w:id="522" w:name="_Toc165441864"/>
      <w:proofErr w:type="spellStart"/>
      <w:r w:rsidRPr="004A0212">
        <w:t>Pūnaha</w:t>
      </w:r>
      <w:proofErr w:type="spellEnd"/>
      <w:r w:rsidRPr="004A0212">
        <w:t xml:space="preserve"> </w:t>
      </w:r>
      <w:proofErr w:type="spellStart"/>
      <w:r w:rsidRPr="004A0212">
        <w:t>whakawā</w:t>
      </w:r>
      <w:proofErr w:type="spellEnd"/>
      <w:r w:rsidRPr="004A0212">
        <w:t xml:space="preserve"> | </w:t>
      </w:r>
      <w:r w:rsidRPr="004A0212">
        <w:rPr>
          <w:shd w:val="clear" w:color="auto" w:fill="FFFFFF"/>
        </w:rPr>
        <w:t>Judiciary</w:t>
      </w:r>
      <w:bookmarkEnd w:id="520"/>
      <w:bookmarkEnd w:id="521"/>
    </w:p>
    <w:p w14:paraId="38D18452" w14:textId="77777777" w:rsidR="004368C0" w:rsidRPr="004A0212" w:rsidRDefault="272FB44A" w:rsidP="004368C0">
      <w:pPr>
        <w:pStyle w:val="Numbparas"/>
      </w:pPr>
      <w:r w:rsidRPr="004A0212">
        <w:t xml:space="preserve">The Judiciary operates independently of the Executive and the Legislature. The Governor-General appoints members of the judiciary. The role of the Judiciary is to interpret and apply the law. There are two main sources of law: statutes (the laws passed by Parliament) and the ‘common law’. The common law has been developed over time by judges and may be altered by judges from time to time to meet the circumstances of the day. </w:t>
      </w:r>
    </w:p>
    <w:p w14:paraId="76CEDD40" w14:textId="684FA116" w:rsidR="004368C0" w:rsidRPr="004A0212" w:rsidRDefault="3D8C0D03" w:rsidP="004368C0">
      <w:pPr>
        <w:pStyle w:val="Heading2"/>
      </w:pPr>
      <w:bookmarkStart w:id="523" w:name="_Toc958038815"/>
      <w:bookmarkStart w:id="524" w:name="_Toc168639036"/>
      <w:r w:rsidRPr="004A0212">
        <w:t>Kāwanatanga (</w:t>
      </w:r>
      <w:proofErr w:type="spellStart"/>
      <w:r w:rsidRPr="004A0212">
        <w:t>Te</w:t>
      </w:r>
      <w:proofErr w:type="spellEnd"/>
      <w:r w:rsidRPr="004A0212">
        <w:t xml:space="preserve"> </w:t>
      </w:r>
      <w:proofErr w:type="spellStart"/>
      <w:r w:rsidRPr="004A0212">
        <w:t>peka</w:t>
      </w:r>
      <w:proofErr w:type="spellEnd"/>
      <w:r w:rsidRPr="004A0212">
        <w:t xml:space="preserve"> </w:t>
      </w:r>
      <w:proofErr w:type="spellStart"/>
      <w:r w:rsidRPr="004A0212">
        <w:t>whakahaere</w:t>
      </w:r>
      <w:proofErr w:type="spellEnd"/>
      <w:r w:rsidRPr="004A0212">
        <w:t>)</w:t>
      </w:r>
      <w:bookmarkEnd w:id="523"/>
      <w:r w:rsidRPr="004A0212">
        <w:t xml:space="preserve"> </w:t>
      </w:r>
      <w:r w:rsidR="00F17B26">
        <w:t xml:space="preserve">| </w:t>
      </w:r>
      <w:bookmarkStart w:id="525" w:name="_Toc16816942"/>
      <w:r w:rsidRPr="004A0212">
        <w:t>Government (The Executive Branch)</w:t>
      </w:r>
      <w:bookmarkEnd w:id="522"/>
      <w:bookmarkEnd w:id="524"/>
      <w:bookmarkEnd w:id="525"/>
    </w:p>
    <w:p w14:paraId="790AD7D5" w14:textId="4C514DCB" w:rsidR="004368C0" w:rsidRPr="004A0212" w:rsidRDefault="272FB44A" w:rsidP="004368C0">
      <w:pPr>
        <w:pStyle w:val="Numbparas"/>
      </w:pPr>
      <w:r w:rsidRPr="004A0212">
        <w:t>The Executive branch of government, or often referred to as the Government, is responsible for governing Aotearoa New Zealand. The Government has decision-making authority and control over the State’s resources.</w:t>
      </w:r>
      <w:r w:rsidRPr="004A0212">
        <w:rPr>
          <w:color w:val="000000"/>
        </w:rPr>
        <w:t xml:space="preserve"> The Government decides policy</w:t>
      </w:r>
      <w:r w:rsidR="5CCD38B6" w:rsidRPr="004A0212">
        <w:rPr>
          <w:color w:val="000000" w:themeColor="text1"/>
        </w:rPr>
        <w:t xml:space="preserve"> and</w:t>
      </w:r>
      <w:r w:rsidRPr="004A0212">
        <w:rPr>
          <w:color w:val="000000"/>
        </w:rPr>
        <w:t xml:space="preserve"> proposes laws (which must be approved by the Legislature). The Government is responsible to the House of Representatives for its policies and performance. It can only function with the confidence of the House.</w:t>
      </w:r>
      <w:r w:rsidR="004368C0" w:rsidRPr="004A0212">
        <w:rPr>
          <w:rStyle w:val="StyleFootnoteReferenceFagoFunotenzeichenFagoFunotenzeichen"/>
        </w:rPr>
        <w:footnoteReference w:id="452"/>
      </w:r>
      <w:r w:rsidRPr="004A0212">
        <w:rPr>
          <w:color w:val="000000"/>
        </w:rPr>
        <w:t> </w:t>
      </w:r>
    </w:p>
    <w:p w14:paraId="300702B0" w14:textId="4DBBD027" w:rsidR="004368C0" w:rsidRPr="004A0212" w:rsidRDefault="272FB44A" w:rsidP="004368C0">
      <w:pPr>
        <w:pStyle w:val="Numbparas"/>
      </w:pPr>
      <w:r w:rsidRPr="004A0212">
        <w:t xml:space="preserve">The </w:t>
      </w:r>
      <w:r w:rsidR="5CCD38B6" w:rsidRPr="004A0212">
        <w:t xml:space="preserve">prime minister </w:t>
      </w:r>
      <w:r w:rsidRPr="004A0212">
        <w:t>heads the Executive branch and chooses members to hold office as Ministers of the Crown. Ministers are appointed by the Governor-General to specific portfolios. Ministers carry out the day-to-day work of governing the country. They act individually and collectively, either in Cabinet or as part of the Executive Council.</w:t>
      </w:r>
    </w:p>
    <w:p w14:paraId="17FEDA9A" w14:textId="11FEB4CE" w:rsidR="004368C0" w:rsidRPr="004A0212" w:rsidRDefault="272FB44A" w:rsidP="004368C0">
      <w:pPr>
        <w:pStyle w:val="Numbparas"/>
      </w:pPr>
      <w:r w:rsidRPr="004A0212">
        <w:t xml:space="preserve">Cabinet is the central decision-making body of executive government. It is made up of senior ministers and is chaired by the </w:t>
      </w:r>
      <w:r w:rsidR="0CB557E2" w:rsidRPr="004A0212">
        <w:t xml:space="preserve">prime minister </w:t>
      </w:r>
      <w:r w:rsidRPr="004A0212">
        <w:t>and provides a collective forum for ministers to decide significant government issues.</w:t>
      </w:r>
      <w:r w:rsidR="004368C0" w:rsidRPr="004A0212">
        <w:rPr>
          <w:rStyle w:val="StyleFootnoteReferenceFagoFunotenzeichenFagoFunotenzeichen"/>
        </w:rPr>
        <w:footnoteReference w:id="453"/>
      </w:r>
      <w:r w:rsidRPr="004A0212">
        <w:t xml:space="preserve"> </w:t>
      </w:r>
    </w:p>
    <w:p w14:paraId="2715166C" w14:textId="77777777" w:rsidR="004368C0" w:rsidRPr="004A0212" w:rsidRDefault="272FB44A" w:rsidP="004368C0">
      <w:pPr>
        <w:pStyle w:val="Numbparas"/>
      </w:pPr>
      <w:r w:rsidRPr="004A0212">
        <w:t xml:space="preserve">Ministers are also members of Cabinet Committees. Cabinet Committees exist for specific subjects to allow discussion of </w:t>
      </w:r>
      <w:proofErr w:type="gramStart"/>
      <w:r w:rsidRPr="004A0212">
        <w:t>particular issues</w:t>
      </w:r>
      <w:proofErr w:type="gramEnd"/>
      <w:r w:rsidRPr="004A0212">
        <w:t xml:space="preserve"> before referring decisions to Cabinet for approval.</w:t>
      </w:r>
      <w:r w:rsidR="004368C0" w:rsidRPr="004A0212">
        <w:rPr>
          <w:rStyle w:val="StyleFootnoteReferenceFagoFunotenzeichenFagoFunotenzeichen"/>
        </w:rPr>
        <w:footnoteReference w:id="454"/>
      </w:r>
      <w:r w:rsidRPr="004A0212">
        <w:t xml:space="preserve"> Ministers are accountable to Parliament for the performance of the agencies in their portfolios. Ministers set policy for the government of the day, including policy relating to the care of children, young people and adults in care.</w:t>
      </w:r>
      <w:r w:rsidR="004368C0" w:rsidRPr="004A0212">
        <w:rPr>
          <w:rStyle w:val="StyleFootnoteReferenceFagoFunotenzeichenFagoFunotenzeichen"/>
        </w:rPr>
        <w:footnoteReference w:id="455"/>
      </w:r>
    </w:p>
    <w:p w14:paraId="40CB13FC" w14:textId="77777777" w:rsidR="007570D6" w:rsidRPr="004A0212" w:rsidRDefault="11FAE77C" w:rsidP="007570D6">
      <w:pPr>
        <w:pStyle w:val="Heading2"/>
      </w:pPr>
      <w:bookmarkStart w:id="526" w:name="_Toc165441866"/>
      <w:bookmarkStart w:id="527" w:name="_Toc2023554969"/>
      <w:bookmarkStart w:id="528" w:name="_Toc168639037"/>
      <w:proofErr w:type="spellStart"/>
      <w:r w:rsidRPr="004A0212">
        <w:t>Te</w:t>
      </w:r>
      <w:proofErr w:type="spellEnd"/>
      <w:r w:rsidRPr="004A0212">
        <w:t xml:space="preserve"> </w:t>
      </w:r>
      <w:proofErr w:type="spellStart"/>
      <w:r w:rsidRPr="004A0212">
        <w:t>rāngai</w:t>
      </w:r>
      <w:proofErr w:type="spellEnd"/>
      <w:r w:rsidRPr="004A0212">
        <w:t xml:space="preserve"> </w:t>
      </w:r>
      <w:proofErr w:type="spellStart"/>
      <w:r w:rsidRPr="004A0212">
        <w:t>tūmatawhānui</w:t>
      </w:r>
      <w:proofErr w:type="spellEnd"/>
      <w:r w:rsidRPr="004A0212">
        <w:t xml:space="preserve"> </w:t>
      </w:r>
      <w:r w:rsidR="2A3F4ECD" w:rsidRPr="004A0212">
        <w:t xml:space="preserve">| </w:t>
      </w:r>
      <w:r w:rsidR="5AF7F87A" w:rsidRPr="004A0212">
        <w:t xml:space="preserve">The </w:t>
      </w:r>
      <w:r w:rsidR="1FF7B057" w:rsidRPr="004A0212">
        <w:t>p</w:t>
      </w:r>
      <w:r w:rsidR="5AF7F87A" w:rsidRPr="004A0212">
        <w:t xml:space="preserve">ublic </w:t>
      </w:r>
      <w:r w:rsidR="1FF7B057" w:rsidRPr="004A0212">
        <w:t>s</w:t>
      </w:r>
      <w:r w:rsidR="5AF7F87A" w:rsidRPr="004A0212">
        <w:t>ervice</w:t>
      </w:r>
      <w:bookmarkEnd w:id="526"/>
      <w:bookmarkEnd w:id="527"/>
      <w:bookmarkEnd w:id="528"/>
      <w:r w:rsidR="5AF7F87A" w:rsidRPr="004A0212">
        <w:t> </w:t>
      </w:r>
    </w:p>
    <w:p w14:paraId="49CA8942" w14:textId="77777777" w:rsidR="00F304A1" w:rsidRPr="004A0212" w:rsidRDefault="7ED0F298" w:rsidP="00F304A1">
      <w:pPr>
        <w:pStyle w:val="Numbparas"/>
      </w:pPr>
      <w:r w:rsidRPr="004A0212">
        <w:t xml:space="preserve">The </w:t>
      </w:r>
      <w:r w:rsidR="67A7A49B" w:rsidRPr="004A0212">
        <w:t>p</w:t>
      </w:r>
      <w:r w:rsidRPr="004A0212">
        <w:t xml:space="preserve">ublic </w:t>
      </w:r>
      <w:r w:rsidR="67A7A49B" w:rsidRPr="004A0212">
        <w:t>s</w:t>
      </w:r>
      <w:r w:rsidRPr="004A0212">
        <w:t xml:space="preserve">ervice is part of the Executive branch. </w:t>
      </w:r>
      <w:r w:rsidR="0DF361F8" w:rsidRPr="004A0212">
        <w:t>In 1912, the Aotearoa New Zealand public service was established under the Public Service Act 1912. In 1962, after the Royal Commission of Inquiry into State Services in New Zealand chaired by Justice Thaddeus McCarthy, a new Public Service Act 1962 came into force. It established a Minister for State Services and introduced the State Service Commission as a department of state.</w:t>
      </w:r>
      <w:r w:rsidR="00F304A1" w:rsidRPr="004A0212">
        <w:rPr>
          <w:rStyle w:val="FootnoteReference"/>
        </w:rPr>
        <w:footnoteReference w:id="456"/>
      </w:r>
      <w:r w:rsidR="0DF361F8" w:rsidRPr="004A0212">
        <w:t xml:space="preserve"> </w:t>
      </w:r>
    </w:p>
    <w:p w14:paraId="7A00733A" w14:textId="77777777" w:rsidR="00F304A1" w:rsidRPr="004A0212" w:rsidRDefault="0DF361F8" w:rsidP="00F304A1">
      <w:pPr>
        <w:pStyle w:val="Numbparas"/>
      </w:pPr>
      <w:r w:rsidRPr="004A0212">
        <w:t>The role of the public service is to:</w:t>
      </w:r>
    </w:p>
    <w:p w14:paraId="7E51787E" w14:textId="77777777" w:rsidR="00F304A1" w:rsidRPr="004A0212" w:rsidRDefault="00F304A1" w:rsidP="00AF5BD4">
      <w:pPr>
        <w:pStyle w:val="Bulletpoints"/>
      </w:pPr>
      <w:r w:rsidRPr="004A0212">
        <w:t>support constitutional and democratic government</w:t>
      </w:r>
    </w:p>
    <w:p w14:paraId="168886DE" w14:textId="77777777" w:rsidR="00F304A1" w:rsidRPr="004A0212" w:rsidRDefault="00F304A1" w:rsidP="00AF5BD4">
      <w:pPr>
        <w:pStyle w:val="Bulletpoints"/>
      </w:pPr>
      <w:r w:rsidRPr="004A0212">
        <w:t>enable current and successive governments to develop and implement their policies</w:t>
      </w:r>
    </w:p>
    <w:p w14:paraId="0EAAA754" w14:textId="77777777" w:rsidR="00F304A1" w:rsidRPr="004A0212" w:rsidRDefault="00F304A1" w:rsidP="00AF5BD4">
      <w:pPr>
        <w:pStyle w:val="Bulletpoints"/>
      </w:pPr>
      <w:r w:rsidRPr="004A0212">
        <w:t>deliver high-quality and efficient public services</w:t>
      </w:r>
    </w:p>
    <w:p w14:paraId="43E1E93A" w14:textId="77777777" w:rsidR="00F304A1" w:rsidRPr="004A0212" w:rsidRDefault="00F304A1" w:rsidP="00AF5BD4">
      <w:pPr>
        <w:pStyle w:val="Bulletpoints"/>
      </w:pPr>
      <w:r w:rsidRPr="004A0212">
        <w:t>support the Government to pursue long-term public interest</w:t>
      </w:r>
    </w:p>
    <w:p w14:paraId="4CBD3A40" w14:textId="77777777" w:rsidR="00F304A1" w:rsidRPr="004A0212" w:rsidRDefault="00F304A1" w:rsidP="00AF5BD4">
      <w:pPr>
        <w:pStyle w:val="Bulletpoints"/>
      </w:pPr>
      <w:r w:rsidRPr="004A0212">
        <w:t>facilitate active citizenship</w:t>
      </w:r>
    </w:p>
    <w:p w14:paraId="12707D79" w14:textId="77777777" w:rsidR="00F304A1" w:rsidRPr="004A0212" w:rsidRDefault="00F304A1" w:rsidP="00AF5BD4">
      <w:pPr>
        <w:pStyle w:val="Bulletpoints"/>
      </w:pPr>
      <w:r w:rsidRPr="004A0212">
        <w:t>act in accordance with the law.</w:t>
      </w:r>
      <w:r w:rsidRPr="004A0212">
        <w:rPr>
          <w:rStyle w:val="StyleFootnoteReferenceFagoFunotenzeichenFagoFunotenzeichen"/>
        </w:rPr>
        <w:footnoteReference w:id="457"/>
      </w:r>
    </w:p>
    <w:p w14:paraId="008A44BB" w14:textId="18C0808D" w:rsidR="00F304A1" w:rsidRPr="004A0212" w:rsidRDefault="0DF361F8" w:rsidP="00F304A1">
      <w:pPr>
        <w:pStyle w:val="Numbparas"/>
      </w:pPr>
      <w:r w:rsidRPr="004A0212">
        <w:t>The State Services Commission</w:t>
      </w:r>
      <w:r w:rsidR="2BF860E7" w:rsidRPr="004A0212">
        <w:t>,</w:t>
      </w:r>
      <w:r w:rsidRPr="004A0212">
        <w:t xml:space="preserve"> for most of the Inquiry period (1950</w:t>
      </w:r>
      <w:r w:rsidR="2BF860E7" w:rsidRPr="004A0212">
        <w:t>–</w:t>
      </w:r>
      <w:r w:rsidRPr="004A0212">
        <w:t>1988)</w:t>
      </w:r>
      <w:r w:rsidR="2BF860E7" w:rsidRPr="004A0212">
        <w:t>,</w:t>
      </w:r>
      <w:r w:rsidRPr="004A0212">
        <w:t xml:space="preserve"> was the employer of all </w:t>
      </w:r>
      <w:r w:rsidR="2BF860E7" w:rsidRPr="004A0212">
        <w:t xml:space="preserve">State </w:t>
      </w:r>
      <w:r w:rsidRPr="004A0212">
        <w:t xml:space="preserve">servants such as drivers, nurses, teachers and heads of department. </w:t>
      </w:r>
    </w:p>
    <w:p w14:paraId="537B6F22" w14:textId="1CE32203" w:rsidR="00F304A1" w:rsidRPr="004A0212" w:rsidRDefault="0DF361F8" w:rsidP="00F304A1">
      <w:pPr>
        <w:pStyle w:val="Numbparas"/>
      </w:pPr>
      <w:r w:rsidRPr="004A0212">
        <w:t xml:space="preserve">Aotearoa New Zealand had a highly centralised traditional public administration and rules-based approach and was not well placed to respond to the demands of modern society. The </w:t>
      </w:r>
      <w:r w:rsidR="2BF860E7" w:rsidRPr="004A0212">
        <w:t xml:space="preserve">public service </w:t>
      </w:r>
      <w:r w:rsidRPr="004A0212">
        <w:t xml:space="preserve">went through major changes in the 1980s and 1990s. A new legislative framework was introduced through the State Sector Act 1988 and Public Finance Act 1989, with the aim to reorient the </w:t>
      </w:r>
      <w:r w:rsidR="2BF860E7" w:rsidRPr="004A0212">
        <w:t xml:space="preserve">public service </w:t>
      </w:r>
      <w:r w:rsidRPr="004A0212">
        <w:t>towards delivering results for people and to increase its efficiency and transparency.</w:t>
      </w:r>
    </w:p>
    <w:p w14:paraId="416343D8" w14:textId="207B5B26" w:rsidR="00F304A1" w:rsidRPr="004A0212" w:rsidRDefault="0DF361F8" w:rsidP="00F304A1">
      <w:pPr>
        <w:pStyle w:val="Numbparas"/>
      </w:pPr>
      <w:r w:rsidRPr="004A0212">
        <w:t xml:space="preserve">The </w:t>
      </w:r>
      <w:r w:rsidR="28E78AB5" w:rsidRPr="004A0212">
        <w:t xml:space="preserve">public service </w:t>
      </w:r>
      <w:r w:rsidRPr="004A0212">
        <w:t>transformed from a single organisation with one employer into separate departments, each with their own chief executive responsible for their department’s performance.</w:t>
      </w:r>
    </w:p>
    <w:p w14:paraId="182E8844" w14:textId="4C038027" w:rsidR="00F304A1" w:rsidRPr="004A0212" w:rsidRDefault="0DF361F8" w:rsidP="00F304A1">
      <w:pPr>
        <w:pStyle w:val="Numbparas"/>
      </w:pPr>
      <w:r w:rsidRPr="004A0212">
        <w:t xml:space="preserve">In the 1990s, the </w:t>
      </w:r>
      <w:r w:rsidR="28E78AB5" w:rsidRPr="004A0212">
        <w:t xml:space="preserve">new public management </w:t>
      </w:r>
      <w:r w:rsidRPr="004A0212">
        <w:t>approach focused on results, people as customers, stronger business disciplines, and opening government to competition. This resulted in an important shift from inputs to outputs.</w:t>
      </w:r>
    </w:p>
    <w:p w14:paraId="4C2E6787" w14:textId="7CAE3AF2" w:rsidR="00F304A1" w:rsidRPr="004A0212" w:rsidRDefault="0DF361F8" w:rsidP="00F304A1">
      <w:pPr>
        <w:pStyle w:val="Numbparas"/>
      </w:pPr>
      <w:r w:rsidRPr="004A0212">
        <w:t xml:space="preserve">The Government created agencies that were incentivised to work independently as singular agencies rather than collectively across the </w:t>
      </w:r>
      <w:r w:rsidR="28E78AB5" w:rsidRPr="004A0212">
        <w:t>public service</w:t>
      </w:r>
      <w:r w:rsidRPr="004A0212">
        <w:t xml:space="preserve">. </w:t>
      </w:r>
    </w:p>
    <w:p w14:paraId="2B46832E" w14:textId="43184F13" w:rsidR="00F304A1" w:rsidRPr="004A0212" w:rsidRDefault="0DF361F8" w:rsidP="00F304A1">
      <w:pPr>
        <w:pStyle w:val="Numbparas"/>
      </w:pPr>
      <w:r w:rsidRPr="004A0212">
        <w:t>Along with the State Services Commission, The Treasury and the Department of Prime Minister made up the three central agencies. The Treasury led on overall economic and financial advice and the Department of the Prime Minister led on policy agenda. The State Services Commissioner</w:t>
      </w:r>
      <w:r w:rsidR="38FFCE8A" w:rsidRPr="004A0212">
        <w:t>’</w:t>
      </w:r>
      <w:r w:rsidRPr="004A0212">
        <w:t xml:space="preserve">s role was to set the ethics and values of the State </w:t>
      </w:r>
      <w:r w:rsidR="38FFCE8A" w:rsidRPr="004A0212">
        <w:t>services</w:t>
      </w:r>
      <w:r w:rsidRPr="004A0212">
        <w:t xml:space="preserve">, employ heads of departments and ministries, provide advice on industrial relations and the machinery of government.  </w:t>
      </w:r>
    </w:p>
    <w:p w14:paraId="4B234D15" w14:textId="68D5EAB4" w:rsidR="00F304A1" w:rsidRPr="004A0212" w:rsidRDefault="0DF361F8" w:rsidP="00F304A1">
      <w:pPr>
        <w:pStyle w:val="Numbparas"/>
      </w:pPr>
      <w:r w:rsidRPr="004A0212">
        <w:t xml:space="preserve">Notably the employment of </w:t>
      </w:r>
      <w:r w:rsidR="38FFCE8A" w:rsidRPr="004A0212">
        <w:t xml:space="preserve">State </w:t>
      </w:r>
      <w:r w:rsidRPr="004A0212">
        <w:t xml:space="preserve">servants was transferred to heads of departments and ministries with direct accountability to </w:t>
      </w:r>
      <w:r w:rsidR="5D6B9C4F" w:rsidRPr="004A0212">
        <w:t xml:space="preserve">ministers </w:t>
      </w:r>
      <w:r w:rsidRPr="004A0212">
        <w:t>for the delivery of advice and</w:t>
      </w:r>
      <w:r w:rsidR="5D6B9C4F" w:rsidRPr="004A0212">
        <w:t xml:space="preserve"> </w:t>
      </w:r>
      <w:r w:rsidRPr="004A0212">
        <w:t>/</w:t>
      </w:r>
      <w:r w:rsidR="5D6B9C4F" w:rsidRPr="004A0212">
        <w:t xml:space="preserve"> </w:t>
      </w:r>
      <w:r w:rsidRPr="004A0212">
        <w:t xml:space="preserve">or services for the public. This was outlined in a purchase agreement with the </w:t>
      </w:r>
      <w:r w:rsidR="5D6B9C4F" w:rsidRPr="004A0212">
        <w:t>minister</w:t>
      </w:r>
      <w:r w:rsidRPr="004A0212">
        <w:t xml:space="preserve">. All departments and ministries issued a statement of intent and annual report. All departments and ministries had an annual audit. Heads of departments and </w:t>
      </w:r>
      <w:r w:rsidR="5D6B9C4F" w:rsidRPr="004A0212">
        <w:t xml:space="preserve">ministers </w:t>
      </w:r>
      <w:r w:rsidRPr="004A0212">
        <w:t>were required to attend Select Committee (the Parliament) for an annual review.</w:t>
      </w:r>
    </w:p>
    <w:p w14:paraId="24510283" w14:textId="3B898590" w:rsidR="00F304A1" w:rsidRPr="004A0212" w:rsidRDefault="0DF361F8" w:rsidP="00F304A1">
      <w:pPr>
        <w:pStyle w:val="Numbparas"/>
      </w:pPr>
      <w:r w:rsidRPr="004A0212">
        <w:t xml:space="preserve">In 1995 and again in 2000, the public service invited Dr Alan Schick to review the changes to the public services. While the level of transparency had grown and there was a clear line of accountability for outputs, the State </w:t>
      </w:r>
      <w:r w:rsidR="5D6B9C4F" w:rsidRPr="004A0212">
        <w:t xml:space="preserve">services </w:t>
      </w:r>
      <w:r w:rsidR="6064AA17" w:rsidRPr="004A0212">
        <w:t xml:space="preserve">were </w:t>
      </w:r>
      <w:r w:rsidRPr="004A0212">
        <w:t>criticised for the lack of focus on achieving outcomes for the country and for individuals.</w:t>
      </w:r>
    </w:p>
    <w:p w14:paraId="52DA13EF" w14:textId="14638939" w:rsidR="00F304A1" w:rsidRPr="004A0212" w:rsidRDefault="0DF361F8" w:rsidP="00F304A1">
      <w:pPr>
        <w:pStyle w:val="Numbparas"/>
      </w:pPr>
      <w:r w:rsidRPr="004A0212">
        <w:t xml:space="preserve">This led to a re-aligning of agencies over time and central agencies asking departments and </w:t>
      </w:r>
      <w:r w:rsidR="6064AA17" w:rsidRPr="004A0212">
        <w:t xml:space="preserve">ministries </w:t>
      </w:r>
      <w:r w:rsidRPr="004A0212">
        <w:t>to work together for the achievement of outcomes (called managing for outcomes) through their statement</w:t>
      </w:r>
      <w:r w:rsidR="77E3A9AD" w:rsidRPr="004A0212">
        <w:t>s</w:t>
      </w:r>
      <w:r w:rsidRPr="004A0212">
        <w:t xml:space="preserve"> of intent.</w:t>
      </w:r>
    </w:p>
    <w:p w14:paraId="133BA872" w14:textId="60049545" w:rsidR="00F304A1" w:rsidRPr="004A0212" w:rsidRDefault="258E97BB" w:rsidP="00F304A1">
      <w:pPr>
        <w:pStyle w:val="Heading3"/>
      </w:pPr>
      <w:bookmarkStart w:id="529" w:name="_Toc165441867"/>
      <w:bookmarkStart w:id="530" w:name="_Toc1901557899"/>
      <w:bookmarkStart w:id="531" w:name="_Toc168639038"/>
      <w:proofErr w:type="spellStart"/>
      <w:r w:rsidRPr="004A0212">
        <w:t>Te</w:t>
      </w:r>
      <w:proofErr w:type="spellEnd"/>
      <w:r w:rsidRPr="004A0212">
        <w:t xml:space="preserve"> Kawa </w:t>
      </w:r>
      <w:proofErr w:type="spellStart"/>
      <w:r w:rsidRPr="004A0212">
        <w:t>Mataaho</w:t>
      </w:r>
      <w:proofErr w:type="spellEnd"/>
      <w:r w:rsidRPr="004A0212">
        <w:t xml:space="preserve"> | The Public Service Commission</w:t>
      </w:r>
      <w:bookmarkEnd w:id="529"/>
      <w:bookmarkEnd w:id="530"/>
      <w:bookmarkEnd w:id="531"/>
    </w:p>
    <w:p w14:paraId="72B9D11D" w14:textId="624E9C4A" w:rsidR="00F304A1" w:rsidRPr="004A0212" w:rsidRDefault="30A44C4D" w:rsidP="00F304A1">
      <w:pPr>
        <w:pStyle w:val="Numbparas"/>
      </w:pPr>
      <w:r w:rsidRPr="004A0212">
        <w:t xml:space="preserve">The public service was led by the Public Service Commissioner (previously the State Services Commissioner) as the head of </w:t>
      </w:r>
      <w:proofErr w:type="spellStart"/>
      <w:r w:rsidRPr="004A0212">
        <w:t>Te</w:t>
      </w:r>
      <w:proofErr w:type="spellEnd"/>
      <w:r w:rsidRPr="004A0212">
        <w:t xml:space="preserve"> Kawa </w:t>
      </w:r>
      <w:proofErr w:type="spellStart"/>
      <w:r w:rsidRPr="004A0212">
        <w:t>Mataaho</w:t>
      </w:r>
      <w:proofErr w:type="spellEnd"/>
      <w:r w:rsidRPr="004A0212">
        <w:t xml:space="preserve"> Public Service Commission (before 2020, the State Services Commission). The Public Service Act 2020 replaced the State Sector Act 1988.</w:t>
      </w:r>
      <w:r w:rsidR="0055794F" w:rsidRPr="004A0212">
        <w:rPr>
          <w:rStyle w:val="FootnoteReference"/>
        </w:rPr>
        <w:footnoteReference w:id="458"/>
      </w:r>
      <w:r w:rsidRPr="004A0212">
        <w:t xml:space="preserve"> </w:t>
      </w:r>
      <w:proofErr w:type="spellStart"/>
      <w:r w:rsidRPr="004A0212">
        <w:t>Te</w:t>
      </w:r>
      <w:proofErr w:type="spellEnd"/>
      <w:r w:rsidRPr="004A0212">
        <w:t xml:space="preserve"> Kawa </w:t>
      </w:r>
      <w:proofErr w:type="spellStart"/>
      <w:r w:rsidRPr="004A0212">
        <w:t>Mataaho</w:t>
      </w:r>
      <w:proofErr w:type="spellEnd"/>
      <w:r w:rsidRPr="004A0212">
        <w:t xml:space="preserve"> Public Service Commission is responsible for</w:t>
      </w:r>
      <w:r w:rsidRPr="004A0212">
        <w:rPr>
          <w:color w:val="202122"/>
        </w:rPr>
        <w:t xml:space="preserve"> overseeing, managing, and improving the performance of the Aotearoa New Zealand public service.</w:t>
      </w:r>
      <w:r w:rsidR="0055794F" w:rsidRPr="004A0212">
        <w:rPr>
          <w:rStyle w:val="FootnoteReference"/>
          <w:color w:val="202122"/>
        </w:rPr>
        <w:footnoteReference w:id="459"/>
      </w:r>
      <w:r w:rsidR="2DA7534E" w:rsidRPr="004A0212">
        <w:rPr>
          <w:rStyle w:val="StyleFootnoteReferenceFagoFunotenzeichenFagoFunotenzeichen"/>
        </w:rPr>
        <w:t xml:space="preserve"> </w:t>
      </w:r>
      <w:r w:rsidR="0DF361F8" w:rsidRPr="004A0212">
        <w:t>It plays a leadership role in reviewing and supporting performance in the public service</w:t>
      </w:r>
      <w:r w:rsidR="1F2321ED" w:rsidRPr="004A0212">
        <w:t>.</w:t>
      </w:r>
      <w:r w:rsidR="2DA7534E" w:rsidRPr="004A0212">
        <w:rPr>
          <w:rStyle w:val="StyleFootnoteReferenceFagoFunotenzeichenFagoFunotenzeichen"/>
        </w:rPr>
        <w:t xml:space="preserve"> </w:t>
      </w:r>
      <w:r w:rsidR="00E0493D" w:rsidRPr="004A0212">
        <w:rPr>
          <w:rStyle w:val="FootnoteReference"/>
          <w:color w:val="000000" w:themeColor="text1"/>
        </w:rPr>
        <w:footnoteReference w:id="460"/>
      </w:r>
    </w:p>
    <w:p w14:paraId="5D982C1C" w14:textId="77777777" w:rsidR="00F304A1" w:rsidRPr="004A0212" w:rsidRDefault="0DF361F8" w:rsidP="00F304A1">
      <w:pPr>
        <w:pStyle w:val="Numbparas"/>
      </w:pPr>
      <w:r w:rsidRPr="004A0212">
        <w:t>The following paragraphs cover four further Departments and an office of Parliament whose work sits across the public sector. Departments responsible for parts of the care system during the inquiry period are covered in Chapter 10.</w:t>
      </w:r>
    </w:p>
    <w:p w14:paraId="31E121A3" w14:textId="77777777" w:rsidR="00F304A1" w:rsidRPr="004A0212" w:rsidRDefault="258E97BB" w:rsidP="00F304A1">
      <w:pPr>
        <w:pStyle w:val="Heading3"/>
      </w:pPr>
      <w:bookmarkStart w:id="532" w:name="_Toc165441868"/>
      <w:bookmarkStart w:id="533" w:name="_Toc521685518"/>
      <w:bookmarkStart w:id="534" w:name="_Toc168639039"/>
      <w:proofErr w:type="spellStart"/>
      <w:r w:rsidRPr="004A0212">
        <w:t>Te</w:t>
      </w:r>
      <w:proofErr w:type="spellEnd"/>
      <w:r w:rsidRPr="004A0212">
        <w:t xml:space="preserve"> Tai </w:t>
      </w:r>
      <w:proofErr w:type="spellStart"/>
      <w:r w:rsidRPr="004A0212">
        <w:t>Ōhanga</w:t>
      </w:r>
      <w:proofErr w:type="spellEnd"/>
      <w:r w:rsidRPr="004A0212">
        <w:t xml:space="preserve"> | The Treasury</w:t>
      </w:r>
      <w:bookmarkEnd w:id="532"/>
      <w:bookmarkEnd w:id="533"/>
      <w:bookmarkEnd w:id="534"/>
    </w:p>
    <w:p w14:paraId="24D44089" w14:textId="03C9C4FF" w:rsidR="00F304A1" w:rsidRPr="004A0212" w:rsidRDefault="7EEFC612" w:rsidP="00F304A1">
      <w:pPr>
        <w:pStyle w:val="Numbparas"/>
      </w:pPr>
      <w:r w:rsidRPr="004A0212">
        <w:t xml:space="preserve">The </w:t>
      </w:r>
      <w:r w:rsidR="0DF361F8" w:rsidRPr="004A0212">
        <w:t>Treasury administers the Public Finance Act 1989</w:t>
      </w:r>
      <w:r w:rsidRPr="004A0212">
        <w:t>,</w:t>
      </w:r>
      <w:r w:rsidR="0DF361F8" w:rsidRPr="004A0212">
        <w:t xml:space="preserve"> which sets out the legal structure governing government borrowing and expenditure.</w:t>
      </w:r>
      <w:r w:rsidR="00F304A1" w:rsidRPr="004A0212">
        <w:rPr>
          <w:rStyle w:val="FootnoteReference"/>
        </w:rPr>
        <w:footnoteReference w:id="461"/>
      </w:r>
      <w:r w:rsidR="0DF361F8" w:rsidRPr="004A0212">
        <w:t xml:space="preserve"> </w:t>
      </w:r>
    </w:p>
    <w:p w14:paraId="7DBC84D5" w14:textId="77777777" w:rsidR="00F304A1" w:rsidRPr="004A0212" w:rsidRDefault="0DF361F8" w:rsidP="00F304A1">
      <w:pPr>
        <w:pStyle w:val="Numbparas"/>
      </w:pPr>
      <w:r w:rsidRPr="004A0212">
        <w:t xml:space="preserve">The Treasury’s core statutory and operational responsibilities include: </w:t>
      </w:r>
    </w:p>
    <w:p w14:paraId="4440E101" w14:textId="77777777" w:rsidR="00F304A1" w:rsidRPr="004A0212" w:rsidRDefault="00F304A1" w:rsidP="00343583">
      <w:pPr>
        <w:pStyle w:val="Bulletpoints"/>
      </w:pPr>
      <w:r w:rsidRPr="004A0212">
        <w:t xml:space="preserve">being the lead economic and financial advisor to the Government and steward of the public service’s financial management system </w:t>
      </w:r>
    </w:p>
    <w:p w14:paraId="0804C67F" w14:textId="77777777" w:rsidR="00F304A1" w:rsidRPr="004A0212" w:rsidRDefault="00F304A1" w:rsidP="00343583">
      <w:pPr>
        <w:pStyle w:val="Bulletpoints"/>
      </w:pPr>
      <w:r w:rsidRPr="004A0212">
        <w:t xml:space="preserve">supporting the management of State services and public finances </w:t>
      </w:r>
    </w:p>
    <w:p w14:paraId="3A3FB587" w14:textId="39815A6C" w:rsidR="00F304A1" w:rsidRPr="004A0212" w:rsidRDefault="00F304A1" w:rsidP="00343583">
      <w:pPr>
        <w:pStyle w:val="Bulletpoints"/>
      </w:pPr>
      <w:r w:rsidRPr="004A0212">
        <w:t xml:space="preserve">providing leadership for the public service alongside the Department of the Prime Minister and Cabinet and </w:t>
      </w:r>
      <w:proofErr w:type="spellStart"/>
      <w:r w:rsidRPr="004A0212">
        <w:t>Te</w:t>
      </w:r>
      <w:proofErr w:type="spellEnd"/>
      <w:r w:rsidRPr="004A0212">
        <w:t xml:space="preserve"> Kawa </w:t>
      </w:r>
      <w:proofErr w:type="spellStart"/>
      <w:r w:rsidRPr="004A0212">
        <w:t>Mataaho</w:t>
      </w:r>
      <w:proofErr w:type="spellEnd"/>
      <w:r w:rsidRPr="004A0212">
        <w:t xml:space="preserve"> Public Service Commission.</w:t>
      </w:r>
      <w:r w:rsidRPr="004A0212">
        <w:rPr>
          <w:rStyle w:val="FootnoteReference"/>
        </w:rPr>
        <w:footnoteReference w:id="462"/>
      </w:r>
    </w:p>
    <w:p w14:paraId="096248BE" w14:textId="77777777" w:rsidR="00DD489A" w:rsidRDefault="258E97BB" w:rsidP="00F304A1">
      <w:pPr>
        <w:pStyle w:val="Heading3"/>
      </w:pPr>
      <w:bookmarkStart w:id="535" w:name="_Toc168639040"/>
      <w:bookmarkStart w:id="536" w:name="_Toc165441869"/>
      <w:bookmarkStart w:id="537" w:name="_Toc569454908"/>
      <w:proofErr w:type="spellStart"/>
      <w:r w:rsidRPr="004A0212">
        <w:t>Te</w:t>
      </w:r>
      <w:proofErr w:type="spellEnd"/>
      <w:r w:rsidRPr="004A0212">
        <w:t xml:space="preserve"> tari o </w:t>
      </w:r>
      <w:proofErr w:type="spellStart"/>
      <w:r w:rsidRPr="004A0212">
        <w:t>te</w:t>
      </w:r>
      <w:proofErr w:type="spellEnd"/>
      <w:r w:rsidRPr="004A0212">
        <w:t xml:space="preserve"> </w:t>
      </w:r>
      <w:proofErr w:type="spellStart"/>
      <w:r w:rsidRPr="004A0212">
        <w:t>Pirimia</w:t>
      </w:r>
      <w:proofErr w:type="spellEnd"/>
      <w:r w:rsidRPr="004A0212">
        <w:t xml:space="preserve"> me </w:t>
      </w:r>
      <w:proofErr w:type="spellStart"/>
      <w:r w:rsidRPr="004A0212">
        <w:t>te</w:t>
      </w:r>
      <w:proofErr w:type="spellEnd"/>
      <w:r w:rsidRPr="004A0212">
        <w:t xml:space="preserve"> Komiti Matua</w:t>
      </w:r>
      <w:bookmarkEnd w:id="535"/>
      <w:r w:rsidRPr="004A0212">
        <w:t xml:space="preserve"> </w:t>
      </w:r>
      <w:bookmarkStart w:id="538" w:name="_Toc165441870"/>
      <w:bookmarkEnd w:id="536"/>
    </w:p>
    <w:p w14:paraId="3923C925" w14:textId="3DDAAE6C" w:rsidR="00F304A1" w:rsidRPr="004A0212" w:rsidRDefault="258E97BB" w:rsidP="00F304A1">
      <w:pPr>
        <w:pStyle w:val="Heading3"/>
      </w:pPr>
      <w:bookmarkStart w:id="539" w:name="_Toc168639041"/>
      <w:r w:rsidRPr="004A0212">
        <w:t>Department of the Prime Minister and Cabinet</w:t>
      </w:r>
      <w:bookmarkEnd w:id="537"/>
      <w:bookmarkEnd w:id="538"/>
      <w:bookmarkEnd w:id="539"/>
    </w:p>
    <w:p w14:paraId="13F99D00" w14:textId="7CCEAEDA" w:rsidR="00853907" w:rsidRPr="004A0212" w:rsidRDefault="529E8625" w:rsidP="00853907">
      <w:pPr>
        <w:pStyle w:val="Numbparas"/>
      </w:pPr>
      <w:r w:rsidRPr="004A0212">
        <w:t>The Department of the Prime Minister and Cabinet (DPMC) was set</w:t>
      </w:r>
      <w:r w:rsidR="1A8592D5" w:rsidRPr="004A0212">
        <w:t xml:space="preserve"> </w:t>
      </w:r>
      <w:r w:rsidRPr="004A0212">
        <w:t xml:space="preserve">up on 1 January 1990 by merging several separate offices including the Cabinet Office. </w:t>
      </w:r>
    </w:p>
    <w:p w14:paraId="6A08D74C" w14:textId="02652E6B" w:rsidR="00853907" w:rsidRPr="004A0212" w:rsidRDefault="529E8625" w:rsidP="00853907">
      <w:pPr>
        <w:pStyle w:val="Numbparas"/>
      </w:pPr>
      <w:r w:rsidRPr="004A0212">
        <w:t>DPMC provides advice and support to the government of the day, supporting the effective functioning of executive government and co</w:t>
      </w:r>
      <w:r w:rsidR="1A8592D5" w:rsidRPr="004A0212">
        <w:t>-</w:t>
      </w:r>
      <w:r w:rsidRPr="004A0212">
        <w:t xml:space="preserve">ordinating the national security and risk systems. DPMC is focused on meeting the </w:t>
      </w:r>
      <w:r w:rsidR="1A8592D5" w:rsidRPr="004A0212">
        <w:t xml:space="preserve">prime minister’s </w:t>
      </w:r>
      <w:r w:rsidRPr="004A0212">
        <w:t>priorities and from time to time will be responsible for shaping and progressing emerging high-priority issues</w:t>
      </w:r>
      <w:r w:rsidR="00A529A8" w:rsidRPr="004A0212">
        <w:t>.</w:t>
      </w:r>
      <w:r w:rsidR="00A529A8" w:rsidRPr="004A0212">
        <w:rPr>
          <w:rStyle w:val="FootnoteReference"/>
        </w:rPr>
        <w:footnoteReference w:id="463"/>
      </w:r>
      <w:r w:rsidRPr="004A0212">
        <w:t xml:space="preserve"> </w:t>
      </w:r>
    </w:p>
    <w:p w14:paraId="703877B1" w14:textId="1887E9EC" w:rsidR="00853907" w:rsidRPr="004A0212" w:rsidRDefault="529E8625" w:rsidP="00853907">
      <w:pPr>
        <w:pStyle w:val="Numbparas"/>
      </w:pPr>
      <w:r w:rsidRPr="004A0212">
        <w:t xml:space="preserve">The Cabinet Office as part of the DPMC plays a central role in government decision-making by offering impartial secretariat services to bodies like Cabinet. It advises the Governor-General, the </w:t>
      </w:r>
      <w:r w:rsidR="1A8592D5" w:rsidRPr="004A0212">
        <w:t>prime minister</w:t>
      </w:r>
      <w:r w:rsidRPr="004A0212">
        <w:t xml:space="preserve"> and </w:t>
      </w:r>
      <w:r w:rsidR="1A8592D5" w:rsidRPr="004A0212">
        <w:t xml:space="preserve">ministers </w:t>
      </w:r>
      <w:r w:rsidRPr="004A0212">
        <w:t>on constitutional, policy, and procedural matters.</w:t>
      </w:r>
      <w:r w:rsidR="00762057" w:rsidRPr="004A0212">
        <w:rPr>
          <w:rStyle w:val="FootnoteReference"/>
        </w:rPr>
        <w:footnoteReference w:id="464"/>
      </w:r>
    </w:p>
    <w:p w14:paraId="2814D57A" w14:textId="77777777" w:rsidR="00F304A1" w:rsidRPr="004A0212" w:rsidRDefault="258E97BB" w:rsidP="00F304A1">
      <w:pPr>
        <w:pStyle w:val="Heading3"/>
      </w:pPr>
      <w:bookmarkStart w:id="540" w:name="_Toc165441871"/>
      <w:bookmarkStart w:id="541" w:name="_Toc420964011"/>
      <w:bookmarkStart w:id="542" w:name="_Toc168639042"/>
      <w:proofErr w:type="spellStart"/>
      <w:r w:rsidRPr="004A0212">
        <w:t>Te</w:t>
      </w:r>
      <w:proofErr w:type="spellEnd"/>
      <w:r w:rsidRPr="004A0212">
        <w:t xml:space="preserve"> Tari o </w:t>
      </w:r>
      <w:proofErr w:type="spellStart"/>
      <w:r w:rsidRPr="004A0212">
        <w:t>te</w:t>
      </w:r>
      <w:proofErr w:type="spellEnd"/>
      <w:r w:rsidRPr="004A0212">
        <w:t xml:space="preserve"> </w:t>
      </w:r>
      <w:proofErr w:type="spellStart"/>
      <w:r w:rsidRPr="004A0212">
        <w:t>Tumuaki</w:t>
      </w:r>
      <w:proofErr w:type="spellEnd"/>
      <w:r w:rsidRPr="004A0212">
        <w:t xml:space="preserve"> o </w:t>
      </w:r>
      <w:proofErr w:type="spellStart"/>
      <w:r w:rsidRPr="004A0212">
        <w:t>te</w:t>
      </w:r>
      <w:proofErr w:type="spellEnd"/>
      <w:r w:rsidRPr="004A0212">
        <w:t xml:space="preserve"> Mana </w:t>
      </w:r>
      <w:proofErr w:type="spellStart"/>
      <w:r w:rsidRPr="004A0212">
        <w:t>Arotake</w:t>
      </w:r>
      <w:proofErr w:type="spellEnd"/>
      <w:r w:rsidRPr="004A0212">
        <w:t xml:space="preserve"> |</w:t>
      </w:r>
      <w:bookmarkEnd w:id="540"/>
      <w:r w:rsidRPr="004A0212">
        <w:t xml:space="preserve"> </w:t>
      </w:r>
      <w:bookmarkStart w:id="543" w:name="_Toc165441872"/>
      <w:r w:rsidRPr="004A0212">
        <w:t>The Office of the Auditor General</w:t>
      </w:r>
      <w:bookmarkEnd w:id="541"/>
      <w:bookmarkEnd w:id="542"/>
      <w:bookmarkEnd w:id="543"/>
    </w:p>
    <w:p w14:paraId="03692974" w14:textId="7036DBFC" w:rsidR="00F7372F" w:rsidRPr="004A0212" w:rsidRDefault="3FC1C8B8" w:rsidP="00F7372F">
      <w:pPr>
        <w:pStyle w:val="Numbparas"/>
      </w:pPr>
      <w:bookmarkStart w:id="544" w:name="_Hlk166502363"/>
      <w:r w:rsidRPr="004A0212">
        <w:t>Under the Public Audit Act 2001, the Controller and Auditor-General undertakes annual audits, performance audits, assurance services, and inquiries. The Auditor-General is an independent Officer of Parliament and operates through two units: the Office of the Auditor-General and Audit New Zealand. Their role is to provide Parliament and the public with an impartial perspective on how public organisations are functioning.</w:t>
      </w:r>
      <w:r w:rsidR="00096A21" w:rsidRPr="004A0212">
        <w:rPr>
          <w:rStyle w:val="FootnoteReference"/>
        </w:rPr>
        <w:footnoteReference w:id="465"/>
      </w:r>
    </w:p>
    <w:p w14:paraId="746806E7" w14:textId="398F4D30" w:rsidR="00F7372F" w:rsidRPr="004A0212" w:rsidRDefault="3FC1C8B8" w:rsidP="00F7372F">
      <w:pPr>
        <w:pStyle w:val="Numbparas"/>
      </w:pPr>
      <w:r w:rsidRPr="004A0212">
        <w:t>The Auditor-General reports to Parliament annually. They have extensive information-gathering powers, including the authority to enter premises and obtain information under oath. Protections are in place for individuals providing information to the Auditor-General.</w:t>
      </w:r>
      <w:r w:rsidR="004263A0" w:rsidRPr="004A0212">
        <w:rPr>
          <w:rStyle w:val="FootnoteReference"/>
        </w:rPr>
        <w:footnoteReference w:id="466"/>
      </w:r>
    </w:p>
    <w:p w14:paraId="0FC0CEA9" w14:textId="77777777" w:rsidR="002C3153" w:rsidRPr="004A0212" w:rsidRDefault="34A74FB2" w:rsidP="002C3153">
      <w:pPr>
        <w:pStyle w:val="Heading2"/>
      </w:pPr>
      <w:bookmarkStart w:id="545" w:name="_Toc165441873"/>
      <w:bookmarkStart w:id="546" w:name="_Toc186724458"/>
      <w:bookmarkStart w:id="547" w:name="_Toc168639043"/>
      <w:bookmarkEnd w:id="544"/>
      <w:proofErr w:type="spellStart"/>
      <w:r w:rsidRPr="004A0212">
        <w:t>Te</w:t>
      </w:r>
      <w:proofErr w:type="spellEnd"/>
      <w:r w:rsidRPr="004A0212">
        <w:t xml:space="preserve"> </w:t>
      </w:r>
      <w:proofErr w:type="spellStart"/>
      <w:r w:rsidRPr="004A0212">
        <w:t>whakahaerenga</w:t>
      </w:r>
      <w:proofErr w:type="spellEnd"/>
      <w:r w:rsidRPr="004A0212">
        <w:t xml:space="preserve"> Kāwanatanga 1950–1999 | State administration 1950–1999</w:t>
      </w:r>
      <w:bookmarkEnd w:id="545"/>
      <w:bookmarkEnd w:id="546"/>
      <w:bookmarkEnd w:id="547"/>
    </w:p>
    <w:p w14:paraId="72C4D261" w14:textId="77777777" w:rsidR="002C3153" w:rsidRPr="004A0212" w:rsidRDefault="38E34399" w:rsidP="002C3153">
      <w:pPr>
        <w:pStyle w:val="Numbparas"/>
      </w:pPr>
      <w:r w:rsidRPr="004A0212">
        <w:t>State administration changed during the Inquiry period. Reforms through the 1980s into the 1990s meant the way departments were organised and run changed in the last decade of the Inquiry period.</w:t>
      </w:r>
    </w:p>
    <w:p w14:paraId="03C7BACB" w14:textId="77777777" w:rsidR="002C3153" w:rsidRPr="004A0212" w:rsidRDefault="34A74FB2" w:rsidP="002C3153">
      <w:pPr>
        <w:pStyle w:val="Heading3"/>
      </w:pPr>
      <w:r w:rsidRPr="004A0212">
        <w:t xml:space="preserve"> </w:t>
      </w:r>
      <w:bookmarkStart w:id="548" w:name="_Toc165441874"/>
      <w:bookmarkStart w:id="549" w:name="_Toc371495892"/>
      <w:bookmarkStart w:id="550" w:name="_Toc168639044"/>
      <w:proofErr w:type="spellStart"/>
      <w:r w:rsidRPr="004A0212">
        <w:t>Ngā</w:t>
      </w:r>
      <w:proofErr w:type="spellEnd"/>
      <w:r w:rsidRPr="004A0212">
        <w:t xml:space="preserve"> tau 1950–1980: Mai </w:t>
      </w:r>
      <w:proofErr w:type="spellStart"/>
      <w:r w:rsidRPr="004A0212">
        <w:t>i</w:t>
      </w:r>
      <w:proofErr w:type="spellEnd"/>
      <w:r w:rsidRPr="004A0212">
        <w:t xml:space="preserve"> </w:t>
      </w:r>
      <w:proofErr w:type="spellStart"/>
      <w:r w:rsidRPr="004A0212">
        <w:t>te</w:t>
      </w:r>
      <w:proofErr w:type="spellEnd"/>
      <w:r w:rsidRPr="004A0212">
        <w:t xml:space="preserve"> </w:t>
      </w:r>
      <w:proofErr w:type="spellStart"/>
      <w:r w:rsidRPr="004A0212">
        <w:t>waeture</w:t>
      </w:r>
      <w:proofErr w:type="spellEnd"/>
      <w:r w:rsidRPr="004A0212">
        <w:t xml:space="preserve"> ki </w:t>
      </w:r>
      <w:proofErr w:type="spellStart"/>
      <w:r w:rsidRPr="004A0212">
        <w:t>te</w:t>
      </w:r>
      <w:proofErr w:type="spellEnd"/>
      <w:r w:rsidRPr="004A0212">
        <w:t xml:space="preserve"> </w:t>
      </w:r>
      <w:proofErr w:type="spellStart"/>
      <w:r w:rsidRPr="004A0212">
        <w:t>whakahou</w:t>
      </w:r>
      <w:bookmarkEnd w:id="548"/>
      <w:bookmarkEnd w:id="549"/>
      <w:bookmarkEnd w:id="550"/>
      <w:proofErr w:type="spellEnd"/>
      <w:r w:rsidRPr="004A0212">
        <w:t xml:space="preserve"> </w:t>
      </w:r>
      <w:bookmarkStart w:id="551" w:name="_Toc165441875"/>
    </w:p>
    <w:p w14:paraId="2055B26C" w14:textId="77777777" w:rsidR="002C3153" w:rsidRPr="004A0212" w:rsidRDefault="34A74FB2" w:rsidP="002C3153">
      <w:pPr>
        <w:pStyle w:val="Heading3"/>
        <w:rPr>
          <w:color w:val="auto"/>
        </w:rPr>
      </w:pPr>
      <w:bookmarkStart w:id="552" w:name="_Toc499372213"/>
      <w:bookmarkStart w:id="553" w:name="_Toc168639045"/>
      <w:r w:rsidRPr="004A0212">
        <w:t>1950–1980s: From regulation to reform</w:t>
      </w:r>
      <w:bookmarkEnd w:id="551"/>
      <w:bookmarkEnd w:id="552"/>
      <w:bookmarkEnd w:id="553"/>
    </w:p>
    <w:p w14:paraId="12AAA750" w14:textId="77777777" w:rsidR="002C3153" w:rsidRPr="004A0212" w:rsidRDefault="38E34399" w:rsidP="002C3153">
      <w:pPr>
        <w:pStyle w:val="Numbparas"/>
      </w:pPr>
      <w:r w:rsidRPr="004A0212">
        <w:t>From 1950 to the late 1980s, Aotearoa New Zealand had a highly centralised, rules-based approach to how government and the public service were run. The economy was heavily regulated by the State. The public sector, overseen by the State Services Commission, had an integrated career structure, strong preference for internal appointees over outsiders, and a promise of lifelong employment.</w:t>
      </w:r>
      <w:r w:rsidR="002C3153" w:rsidRPr="004A0212">
        <w:rPr>
          <w:rStyle w:val="StyleFootnoteReferenceFagoFunotenzeichenFagoFunotenzeichen"/>
        </w:rPr>
        <w:footnoteReference w:id="467"/>
      </w:r>
    </w:p>
    <w:p w14:paraId="37E165E1" w14:textId="77777777" w:rsidR="002C3153" w:rsidRPr="004A0212" w:rsidRDefault="38E34399" w:rsidP="002C3153">
      <w:pPr>
        <w:pStyle w:val="Numbparas"/>
      </w:pPr>
      <w:r w:rsidRPr="004A0212">
        <w:t xml:space="preserve">Ministers were the link between the Government and agencies. Ministers were collectively accountable for the performance of the Government as a whole, and individually accountable for the performance of their </w:t>
      </w:r>
      <w:proofErr w:type="gramStart"/>
      <w:r w:rsidRPr="004A0212">
        <w:t>particular agencies</w:t>
      </w:r>
      <w:proofErr w:type="gramEnd"/>
      <w:r w:rsidRPr="004A0212">
        <w:t>.</w:t>
      </w:r>
    </w:p>
    <w:p w14:paraId="5D0E3CF5" w14:textId="77777777" w:rsidR="002C3153" w:rsidRPr="004A0212" w:rsidRDefault="38E34399" w:rsidP="002C3153">
      <w:pPr>
        <w:pStyle w:val="Numbparas"/>
      </w:pPr>
      <w:r w:rsidRPr="004A0212">
        <w:t xml:space="preserve">The public service had two major responsibilities to the Government: </w:t>
      </w:r>
    </w:p>
    <w:p w14:paraId="06456324" w14:textId="77777777" w:rsidR="002C3153" w:rsidRPr="004A0212" w:rsidRDefault="002C3153" w:rsidP="0080468F">
      <w:pPr>
        <w:pStyle w:val="Bulletpoints"/>
      </w:pPr>
      <w:r w:rsidRPr="004A0212">
        <w:t xml:space="preserve">to advise it objectively and rigorously on the policy issues of the day, and </w:t>
      </w:r>
    </w:p>
    <w:p w14:paraId="2EF91147" w14:textId="77777777" w:rsidR="002C3153" w:rsidRPr="004A0212" w:rsidRDefault="002C3153" w:rsidP="0080468F">
      <w:pPr>
        <w:pStyle w:val="Bulletpoints"/>
      </w:pPr>
      <w:r w:rsidRPr="004A0212">
        <w:t>to implement decisions in the most effective way possible.</w:t>
      </w:r>
      <w:r w:rsidRPr="004A0212">
        <w:rPr>
          <w:rStyle w:val="StyleFootnoteReferenceFagoFunotenzeichenFagoFunotenzeichen"/>
        </w:rPr>
        <w:footnoteReference w:id="468"/>
      </w:r>
    </w:p>
    <w:p w14:paraId="2418A949" w14:textId="77777777" w:rsidR="002C3153" w:rsidRPr="004A0212" w:rsidRDefault="38E34399" w:rsidP="002C3153">
      <w:pPr>
        <w:pStyle w:val="Numbparas"/>
      </w:pPr>
      <w:r w:rsidRPr="004A0212">
        <w:t>The State Services Commission employed almost all public servants and set service wide terms and conditions of employment, training and development.</w:t>
      </w:r>
      <w:r w:rsidR="002C3153" w:rsidRPr="004A0212">
        <w:rPr>
          <w:rStyle w:val="StyleFootnoteReferenceFagoFunotenzeichenFagoFunotenzeichen"/>
        </w:rPr>
        <w:footnoteReference w:id="469"/>
      </w:r>
    </w:p>
    <w:p w14:paraId="61231CD9" w14:textId="114717B1" w:rsidR="002C3153" w:rsidRPr="004A0212" w:rsidRDefault="38E34399" w:rsidP="002C3153">
      <w:pPr>
        <w:pStyle w:val="Numbparas"/>
      </w:pPr>
      <w:r w:rsidRPr="004A0212">
        <w:t>The Treasury was the State’s financial advisor, including advising the Minister of Finance on departmental spending proposals,</w:t>
      </w:r>
      <w:r w:rsidR="002C3153" w:rsidRPr="004A0212">
        <w:rPr>
          <w:rStyle w:val="StyleFootnoteReferenceFagoFunotenzeichenFagoFunotenzeichen"/>
        </w:rPr>
        <w:footnoteReference w:id="470"/>
      </w:r>
      <w:r w:rsidRPr="004A0212">
        <w:t xml:space="preserve"> and was responsible for the control of expenditure appropriated by Parliament in the annual budget cycle.</w:t>
      </w:r>
      <w:r w:rsidR="002C3153" w:rsidRPr="004A0212">
        <w:rPr>
          <w:rStyle w:val="StyleFootnoteReferenceFagoFunotenzeichenFagoFunotenzeichen"/>
        </w:rPr>
        <w:footnoteReference w:id="471"/>
      </w:r>
      <w:r w:rsidRPr="004A0212">
        <w:t xml:space="preserve"> Before the Public Finance Act 1989, the financial aspects of each department’s work was controlled by </w:t>
      </w:r>
      <w:r w:rsidR="107AFDFD" w:rsidRPr="004A0212">
        <w:t xml:space="preserve">The </w:t>
      </w:r>
      <w:r w:rsidRPr="004A0212">
        <w:t xml:space="preserve">Treasury through </w:t>
      </w:r>
      <w:r w:rsidR="107AFDFD" w:rsidRPr="004A0212">
        <w:t xml:space="preserve">its </w:t>
      </w:r>
      <w:r w:rsidRPr="004A0212">
        <w:t>administration of the Public Revenues Act 1953, the Treasury Regulations 1953 and the Treasury Instructions 1953, which covered the use of public money down to details such as morning tea for visitors and parking fees.</w:t>
      </w:r>
      <w:r w:rsidR="002C3153" w:rsidRPr="004A0212">
        <w:rPr>
          <w:rStyle w:val="StyleFootnoteReferenceFagoFunotenzeichenFagoFunotenzeichen"/>
        </w:rPr>
        <w:footnoteReference w:id="472"/>
      </w:r>
    </w:p>
    <w:p w14:paraId="1B16AE0A" w14:textId="77777777" w:rsidR="002C3153" w:rsidRPr="004A0212" w:rsidRDefault="38E34399" w:rsidP="002C3153">
      <w:pPr>
        <w:pStyle w:val="Numbparas"/>
      </w:pPr>
      <w:r w:rsidRPr="004A0212">
        <w:t>The Audit Department monitored departmental expenditure and ensured it aligned with the spending authority given by Parliament. The focus was mainly on regulating inputs, particularly the amount of labour used, while outputs and performance in achieving objectives received less attention.</w:t>
      </w:r>
      <w:r w:rsidR="002C3153" w:rsidRPr="004A0212">
        <w:rPr>
          <w:rStyle w:val="StyleFootnoteReferenceFagoFunotenzeichenFagoFunotenzeichen"/>
        </w:rPr>
        <w:footnoteReference w:id="473"/>
      </w:r>
    </w:p>
    <w:p w14:paraId="501F7D1D" w14:textId="12150E84" w:rsidR="002C3153" w:rsidRPr="004A0212" w:rsidRDefault="38E34399" w:rsidP="002C3153">
      <w:pPr>
        <w:pStyle w:val="Numbparas"/>
      </w:pPr>
      <w:r w:rsidRPr="004A0212">
        <w:t xml:space="preserve">Departments were overseen by </w:t>
      </w:r>
      <w:r w:rsidR="7135D5BA" w:rsidRPr="004A0212">
        <w:t xml:space="preserve">permanent heads </w:t>
      </w:r>
      <w:r w:rsidRPr="004A0212">
        <w:t xml:space="preserve">(now called </w:t>
      </w:r>
      <w:r w:rsidR="7135D5BA" w:rsidRPr="004A0212">
        <w:t>chief executives</w:t>
      </w:r>
      <w:r w:rsidRPr="004A0212">
        <w:t xml:space="preserve">), accountable to the State Services Commission and ministers for the efficient management of their departments. Permanent </w:t>
      </w:r>
      <w:r w:rsidR="7135D5BA" w:rsidRPr="004A0212">
        <w:t xml:space="preserve">heads </w:t>
      </w:r>
      <w:r w:rsidRPr="004A0212">
        <w:t>had limited influence over salary or terms of employment for their staff, and restricted ability to manage staff performance. They also had little scope to recruit skilled and experienced staff from outside the public service above basic grade positions.</w:t>
      </w:r>
      <w:r w:rsidR="002C3153" w:rsidRPr="004A0212">
        <w:rPr>
          <w:rStyle w:val="StyleFootnoteReferenceFagoFunotenzeichenFagoFunotenzeichen"/>
        </w:rPr>
        <w:footnoteReference w:id="474"/>
      </w:r>
      <w:r w:rsidRPr="004A0212">
        <w:t xml:space="preserve"> Instead, these functions sat with the State Services Commission. </w:t>
      </w:r>
    </w:p>
    <w:p w14:paraId="630FA650" w14:textId="77777777" w:rsidR="002C3153" w:rsidRPr="004A0212" w:rsidRDefault="38E34399" w:rsidP="002C3153">
      <w:pPr>
        <w:pStyle w:val="Numbparas"/>
        <w:rPr>
          <w:rStyle w:val="normaltextrun"/>
          <w:color w:val="000000" w:themeColor="text1"/>
        </w:rPr>
      </w:pPr>
      <w:r w:rsidRPr="004A0212">
        <w:rPr>
          <w:rStyle w:val="normaltextrun"/>
          <w:color w:val="000000" w:themeColor="text1"/>
          <w:bdr w:val="none" w:sz="0" w:space="0" w:color="auto" w:frame="1"/>
        </w:rPr>
        <w:t>In 1962, Aotearoa New Zealand was the fourth country in the world to appoint an ombudsman under the Parliamentary Commissioner (Ombudsman) Act. At that time, the ombudsman was restricted to investigating complaints about central government departments and organisations.</w:t>
      </w:r>
      <w:r w:rsidR="002C3153" w:rsidRPr="004A0212">
        <w:rPr>
          <w:rStyle w:val="StyleFootnoteReferenceFagoFunotenzeichenFagoFunotenzeichen"/>
        </w:rPr>
        <w:footnoteReference w:id="475"/>
      </w:r>
    </w:p>
    <w:p w14:paraId="6A6C30AA" w14:textId="77777777" w:rsidR="002C3153" w:rsidRPr="004A0212" w:rsidRDefault="38E34399" w:rsidP="002C3153">
      <w:pPr>
        <w:pStyle w:val="Numbparas"/>
        <w:rPr>
          <w:rStyle w:val="eop"/>
        </w:rPr>
      </w:pPr>
      <w:r w:rsidRPr="004A0212">
        <w:t>In 1984 the new Labour Government began restructuring the economy and transforming how the State sector was run. This restructure was influenced by neoliberal ideas and was an attempt to address long-standing issues with the structure and performance of Aotearoa New Zealand’s economy</w:t>
      </w:r>
      <w:r w:rsidRPr="004A0212">
        <w:rPr>
          <w:rStyle w:val="eop"/>
        </w:rPr>
        <w:t>.</w:t>
      </w:r>
      <w:r w:rsidR="002C3153" w:rsidRPr="004A0212">
        <w:rPr>
          <w:rStyle w:val="StyleFootnoteReferenceFagoFunotenzeichenFagoFunotenzeichen"/>
        </w:rPr>
        <w:footnoteReference w:id="476"/>
      </w:r>
      <w:r w:rsidRPr="004A0212">
        <w:rPr>
          <w:rStyle w:val="eop"/>
        </w:rPr>
        <w:t xml:space="preserve"> </w:t>
      </w:r>
    </w:p>
    <w:p w14:paraId="5393CF49" w14:textId="4CDA9A6B" w:rsidR="002C3153" w:rsidRPr="004A0212" w:rsidRDefault="38E34399" w:rsidP="002C3153">
      <w:pPr>
        <w:pStyle w:val="Numbparas"/>
        <w:rPr>
          <w:rStyle w:val="eop"/>
        </w:rPr>
      </w:pPr>
      <w:r w:rsidRPr="004A0212">
        <w:rPr>
          <w:rStyle w:val="eop"/>
        </w:rPr>
        <w:t>The 1980s</w:t>
      </w:r>
      <w:r w:rsidR="3C025EBE" w:rsidRPr="004A0212">
        <w:rPr>
          <w:rStyle w:val="eop"/>
        </w:rPr>
        <w:t>’</w:t>
      </w:r>
      <w:r w:rsidRPr="004A0212">
        <w:rPr>
          <w:rStyle w:val="eop"/>
        </w:rPr>
        <w:t xml:space="preserve"> State sector reforms were shaped by two sets of concepts, one stemming from management principles and the other from economic theories. Managerial reform was based on the idea that managers could only be held accountable for outcomes if they were given the freedom to make decisions, allocate resources and manage their organisations within established budgets.</w:t>
      </w:r>
      <w:r w:rsidR="002C3153" w:rsidRPr="004A0212">
        <w:rPr>
          <w:rStyle w:val="StyleFootnoteReferenceFagoFunotenzeichenFagoFunotenzeichen"/>
        </w:rPr>
        <w:footnoteReference w:id="477"/>
      </w:r>
      <w:r w:rsidRPr="004A0212">
        <w:rPr>
          <w:rStyle w:val="FootnoteReference"/>
        </w:rPr>
        <w:t xml:space="preserve"> </w:t>
      </w:r>
      <w:r w:rsidR="3C025EBE" w:rsidRPr="004A0212">
        <w:t xml:space="preserve">The </w:t>
      </w:r>
      <w:r w:rsidRPr="004A0212">
        <w:rPr>
          <w:rStyle w:val="eop"/>
        </w:rPr>
        <w:t>Treasury’s brief to the incoming minister in 1984 stated that the way departments had been organised and run meant that departmental management had little freedom to change the way their departments operated to meet their goals, to use their judgement to produce the best outcome or to address poor performance in senior management.</w:t>
      </w:r>
      <w:r w:rsidR="002C3153" w:rsidRPr="004A0212">
        <w:rPr>
          <w:rStyle w:val="StyleFootnoteReferenceFagoFunotenzeichenFagoFunotenzeichen"/>
        </w:rPr>
        <w:footnoteReference w:id="478"/>
      </w:r>
    </w:p>
    <w:p w14:paraId="68840214" w14:textId="77777777" w:rsidR="002C3153" w:rsidRPr="004A0212" w:rsidRDefault="34A74FB2" w:rsidP="002C3153">
      <w:pPr>
        <w:pStyle w:val="Heading3"/>
        <w:rPr>
          <w:rStyle w:val="ui-provider"/>
        </w:rPr>
      </w:pPr>
      <w:r w:rsidRPr="004A0212">
        <w:rPr>
          <w:rStyle w:val="ui-provider"/>
        </w:rPr>
        <w:t xml:space="preserve"> </w:t>
      </w:r>
      <w:bookmarkStart w:id="554" w:name="_Toc165441876"/>
      <w:bookmarkStart w:id="555" w:name="_Toc1551372969"/>
      <w:bookmarkStart w:id="556" w:name="_Toc168639046"/>
      <w:r w:rsidRPr="004A0212">
        <w:rPr>
          <w:rStyle w:val="ui-provider"/>
        </w:rPr>
        <w:t xml:space="preserve">Mai </w:t>
      </w:r>
      <w:proofErr w:type="spellStart"/>
      <w:r w:rsidRPr="004A0212">
        <w:rPr>
          <w:rStyle w:val="ui-provider"/>
        </w:rPr>
        <w:t>i</w:t>
      </w:r>
      <w:proofErr w:type="spellEnd"/>
      <w:r w:rsidRPr="004A0212">
        <w:rPr>
          <w:rStyle w:val="ui-provider"/>
        </w:rPr>
        <w:t xml:space="preserve"> </w:t>
      </w:r>
      <w:proofErr w:type="spellStart"/>
      <w:r w:rsidRPr="004A0212">
        <w:rPr>
          <w:rStyle w:val="ui-provider"/>
        </w:rPr>
        <w:t>te</w:t>
      </w:r>
      <w:proofErr w:type="spellEnd"/>
      <w:r w:rsidRPr="004A0212">
        <w:rPr>
          <w:rStyle w:val="ui-provider"/>
        </w:rPr>
        <w:t xml:space="preserve"> tau 1989: </w:t>
      </w:r>
      <w:proofErr w:type="spellStart"/>
      <w:r w:rsidRPr="004A0212">
        <w:rPr>
          <w:rStyle w:val="ui-provider"/>
        </w:rPr>
        <w:t>Te</w:t>
      </w:r>
      <w:proofErr w:type="spellEnd"/>
      <w:r w:rsidRPr="004A0212">
        <w:rPr>
          <w:rStyle w:val="ui-provider"/>
        </w:rPr>
        <w:t xml:space="preserve"> </w:t>
      </w:r>
      <w:proofErr w:type="spellStart"/>
      <w:r w:rsidRPr="004A0212">
        <w:rPr>
          <w:rStyle w:val="ui-provider"/>
        </w:rPr>
        <w:t>whakaurunga</w:t>
      </w:r>
      <w:proofErr w:type="spellEnd"/>
      <w:r w:rsidRPr="004A0212">
        <w:rPr>
          <w:rStyle w:val="ui-provider"/>
        </w:rPr>
        <w:t xml:space="preserve"> o </w:t>
      </w:r>
      <w:proofErr w:type="spellStart"/>
      <w:r w:rsidRPr="004A0212">
        <w:rPr>
          <w:rStyle w:val="ui-provider"/>
        </w:rPr>
        <w:t>te</w:t>
      </w:r>
      <w:proofErr w:type="spellEnd"/>
      <w:r w:rsidRPr="004A0212">
        <w:rPr>
          <w:rStyle w:val="ui-provider"/>
        </w:rPr>
        <w:t xml:space="preserve"> </w:t>
      </w:r>
      <w:proofErr w:type="spellStart"/>
      <w:r w:rsidRPr="004A0212">
        <w:rPr>
          <w:rStyle w:val="ui-provider"/>
        </w:rPr>
        <w:t>whāomo</w:t>
      </w:r>
      <w:proofErr w:type="spellEnd"/>
      <w:r w:rsidRPr="004A0212">
        <w:rPr>
          <w:rStyle w:val="ui-provider"/>
        </w:rPr>
        <w:t xml:space="preserve"> me </w:t>
      </w:r>
      <w:proofErr w:type="spellStart"/>
      <w:r w:rsidRPr="004A0212">
        <w:rPr>
          <w:rStyle w:val="ui-provider"/>
        </w:rPr>
        <w:t>te</w:t>
      </w:r>
      <w:proofErr w:type="spellEnd"/>
      <w:r w:rsidRPr="004A0212">
        <w:rPr>
          <w:rStyle w:val="ui-provider"/>
        </w:rPr>
        <w:t xml:space="preserve"> </w:t>
      </w:r>
      <w:proofErr w:type="spellStart"/>
      <w:r w:rsidRPr="004A0212">
        <w:rPr>
          <w:rStyle w:val="ui-provider"/>
        </w:rPr>
        <w:t>kirimana</w:t>
      </w:r>
      <w:bookmarkEnd w:id="554"/>
      <w:bookmarkEnd w:id="555"/>
      <w:bookmarkEnd w:id="556"/>
      <w:proofErr w:type="spellEnd"/>
    </w:p>
    <w:p w14:paraId="2B509BF3" w14:textId="76B16454" w:rsidR="002C3153" w:rsidRPr="004A0212" w:rsidRDefault="34A74FB2" w:rsidP="002C3153">
      <w:pPr>
        <w:pStyle w:val="Heading3"/>
        <w:rPr>
          <w:rStyle w:val="ui-provider"/>
        </w:rPr>
      </w:pPr>
      <w:bookmarkStart w:id="557" w:name="_Toc165441877"/>
      <w:bookmarkStart w:id="558" w:name="_Toc1047383457"/>
      <w:r w:rsidRPr="004A0212">
        <w:rPr>
          <w:rStyle w:val="ui-provider"/>
        </w:rPr>
        <w:t xml:space="preserve"> </w:t>
      </w:r>
      <w:bookmarkStart w:id="559" w:name="_Toc168639047"/>
      <w:r w:rsidRPr="004A0212">
        <w:rPr>
          <w:rStyle w:val="ui-provider"/>
        </w:rPr>
        <w:t>From1989: the introduction of efficiency and contracting</w:t>
      </w:r>
      <w:bookmarkEnd w:id="557"/>
      <w:bookmarkEnd w:id="558"/>
      <w:bookmarkEnd w:id="559"/>
    </w:p>
    <w:p w14:paraId="4E7B7538" w14:textId="7962EB1C" w:rsidR="002C3153" w:rsidRPr="004A0212" w:rsidRDefault="38E34399" w:rsidP="002C3153">
      <w:pPr>
        <w:pStyle w:val="Numbparas"/>
        <w:rPr>
          <w:rStyle w:val="ui-provider"/>
        </w:rPr>
      </w:pPr>
      <w:r w:rsidRPr="004A0212">
        <w:rPr>
          <w:rStyle w:val="ui-provider"/>
        </w:rPr>
        <w:t>Under the State Sector Act 1988 and the Public Finance Act 1989, heads of government departments (now called chief executives) were no longer lifelong career public servants. Instead, the State Services Commission contracted them for specific outputs as part of their performance agreements.</w:t>
      </w:r>
      <w:r w:rsidR="002C3153" w:rsidRPr="004A0212">
        <w:rPr>
          <w:rStyle w:val="StyleFootnoteReferenceFagoFunotenzeichenFagoFunotenzeichen"/>
        </w:rPr>
        <w:footnoteReference w:id="479"/>
      </w:r>
      <w:r w:rsidRPr="004A0212">
        <w:rPr>
          <w:rStyle w:val="ui-provider"/>
        </w:rPr>
        <w:t xml:space="preserve"> </w:t>
      </w:r>
    </w:p>
    <w:p w14:paraId="714CCB2B" w14:textId="77777777" w:rsidR="002C3153" w:rsidRPr="004A0212" w:rsidRDefault="38E34399" w:rsidP="002C3153">
      <w:pPr>
        <w:pStyle w:val="Numbparas"/>
      </w:pPr>
      <w:r w:rsidRPr="004A0212">
        <w:t>Accountability for resources and results was now maintained through contract-like arrangements within government. Performance agreements between ministers and chief executives set out standards and expectations for department heads; purchase agreements between ministers and departments specified the outputs to be produced during the year.</w:t>
      </w:r>
      <w:r w:rsidR="002C3153" w:rsidRPr="004A0212">
        <w:rPr>
          <w:rStyle w:val="StyleFootnoteReferenceFagoFunotenzeichenFagoFunotenzeichen"/>
        </w:rPr>
        <w:footnoteReference w:id="480"/>
      </w:r>
    </w:p>
    <w:p w14:paraId="2A1B2B0E" w14:textId="77777777" w:rsidR="002C3153" w:rsidRPr="004A0212" w:rsidRDefault="34A74FB2" w:rsidP="002C3153">
      <w:pPr>
        <w:pStyle w:val="Heading3"/>
      </w:pPr>
      <w:bookmarkStart w:id="560" w:name="_Toc165441878"/>
      <w:bookmarkStart w:id="561" w:name="_Toc494579669"/>
      <w:bookmarkStart w:id="562" w:name="_Toc168639048"/>
      <w:proofErr w:type="spellStart"/>
      <w:r w:rsidRPr="004A0212">
        <w:t>Te</w:t>
      </w:r>
      <w:proofErr w:type="spellEnd"/>
      <w:r w:rsidRPr="004A0212">
        <w:t xml:space="preserve"> </w:t>
      </w:r>
      <w:proofErr w:type="spellStart"/>
      <w:r w:rsidRPr="004A0212">
        <w:t>tiaki</w:t>
      </w:r>
      <w:proofErr w:type="spellEnd"/>
      <w:r w:rsidRPr="004A0212">
        <w:t xml:space="preserve"> kōrero me </w:t>
      </w:r>
      <w:proofErr w:type="spellStart"/>
      <w:r w:rsidRPr="004A0212">
        <w:t>te</w:t>
      </w:r>
      <w:proofErr w:type="spellEnd"/>
      <w:r w:rsidRPr="004A0212">
        <w:t xml:space="preserve"> </w:t>
      </w:r>
      <w:proofErr w:type="spellStart"/>
      <w:r w:rsidRPr="004A0212">
        <w:t>tuari</w:t>
      </w:r>
      <w:proofErr w:type="spellEnd"/>
      <w:r w:rsidRPr="004A0212">
        <w:t xml:space="preserve"> </w:t>
      </w:r>
      <w:proofErr w:type="spellStart"/>
      <w:r w:rsidRPr="004A0212">
        <w:t>mōhiotanga</w:t>
      </w:r>
      <w:proofErr w:type="spellEnd"/>
      <w:r w:rsidRPr="004A0212">
        <w:t xml:space="preserve"> | Record keeping and information sharing</w:t>
      </w:r>
      <w:bookmarkEnd w:id="560"/>
      <w:bookmarkEnd w:id="561"/>
      <w:bookmarkEnd w:id="562"/>
    </w:p>
    <w:p w14:paraId="6F4F8A6E" w14:textId="62E2951E" w:rsidR="002C3153" w:rsidRPr="004A0212" w:rsidRDefault="38E34399" w:rsidP="002C3153">
      <w:pPr>
        <w:pStyle w:val="Numbparas"/>
      </w:pPr>
      <w:r w:rsidRPr="004A0212">
        <w:t>Information and record keeping requirements evolved through the Inquiry period. The sections below cover some of the legislation and agencies with a role in record keeping and information requirements. These are Archives New Zealand, the Official Information Act and the Privacy Act.</w:t>
      </w:r>
    </w:p>
    <w:p w14:paraId="597E8FB3" w14:textId="77777777" w:rsidR="002C3153" w:rsidRPr="004A0212" w:rsidRDefault="54F0DC8A" w:rsidP="2EE94807">
      <w:pPr>
        <w:pStyle w:val="Hed4"/>
      </w:pPr>
      <w:bookmarkStart w:id="563" w:name="_Toc165441879"/>
      <w:bookmarkStart w:id="564" w:name="_Toc184191785"/>
      <w:bookmarkStart w:id="565" w:name="_Toc168639049"/>
      <w:r w:rsidRPr="2EE94807">
        <w:rPr>
          <w:lang w:val="en-US"/>
        </w:rPr>
        <w:t xml:space="preserve">Te Rua Mahara o </w:t>
      </w:r>
      <w:proofErr w:type="spellStart"/>
      <w:r w:rsidRPr="2EE94807">
        <w:rPr>
          <w:lang w:val="en-US"/>
        </w:rPr>
        <w:t>te</w:t>
      </w:r>
      <w:proofErr w:type="spellEnd"/>
      <w:r w:rsidRPr="2EE94807">
        <w:rPr>
          <w:lang w:val="en-US"/>
        </w:rPr>
        <w:t xml:space="preserve"> Kāwanatanga | Archives New Zealand</w:t>
      </w:r>
      <w:bookmarkEnd w:id="563"/>
      <w:bookmarkEnd w:id="564"/>
      <w:bookmarkEnd w:id="565"/>
    </w:p>
    <w:p w14:paraId="675BBC0A" w14:textId="77777777" w:rsidR="002C3153" w:rsidRPr="004A0212" w:rsidRDefault="38E34399" w:rsidP="002C3153">
      <w:pPr>
        <w:pStyle w:val="Numbparas"/>
      </w:pPr>
      <w:r w:rsidRPr="004A0212">
        <w:t xml:space="preserve">As discussed in the Inquiry’s redress report, He Purapura Ora, he Māra Tipu and in Part 4 of this report, the Inquiry heard evidence from many parties about </w:t>
      </w:r>
      <w:r w:rsidRPr="004A0212">
        <w:rPr>
          <w:rStyle w:val="normaltextrun"/>
          <w:color w:val="000000" w:themeColor="text1"/>
        </w:rPr>
        <w:t xml:space="preserve">how historical </w:t>
      </w:r>
      <w:r w:rsidRPr="004A0212">
        <w:rPr>
          <w:rStyle w:val="findhit"/>
          <w:color w:val="000000" w:themeColor="text1"/>
        </w:rPr>
        <w:t>data</w:t>
      </w:r>
      <w:r w:rsidRPr="004A0212">
        <w:rPr>
          <w:rStyle w:val="normaltextrun"/>
          <w:color w:val="000000" w:themeColor="text1"/>
        </w:rPr>
        <w:t xml:space="preserve"> and record keeping by the State was inadequate. </w:t>
      </w:r>
    </w:p>
    <w:p w14:paraId="4549A8B2" w14:textId="297F9B28" w:rsidR="002C3153" w:rsidRPr="004A0212" w:rsidRDefault="38E34399" w:rsidP="002C3153">
      <w:pPr>
        <w:pStyle w:val="Numbparas"/>
      </w:pPr>
      <w:r w:rsidRPr="004A0212">
        <w:t>Formal requirements around public record keeping evolved from 1950 to 1999. The Archives Act 1957 established the National Archives within the Department of Internal Affairs.</w:t>
      </w:r>
      <w:r w:rsidR="002C3153" w:rsidRPr="004A0212">
        <w:rPr>
          <w:rStyle w:val="StyleFootnoteReferenceFagoFunotenzeichenFagoFunotenzeichen"/>
        </w:rPr>
        <w:footnoteReference w:id="481"/>
      </w:r>
      <w:r w:rsidRPr="004A0212">
        <w:t xml:space="preserve"> There had been an increasing focus on government records management since the beginning of the century, and the final trigger for creating a nationwide service occurred with the fire at the Hope Gibbons building in 1952 that destroyed many State records.</w:t>
      </w:r>
      <w:r w:rsidR="002C3153" w:rsidRPr="004A0212">
        <w:rPr>
          <w:rStyle w:val="StyleFootnoteReferenceFagoFunotenzeichenFagoFunotenzeichen"/>
        </w:rPr>
        <w:footnoteReference w:id="482"/>
      </w:r>
    </w:p>
    <w:p w14:paraId="35D97F12" w14:textId="2E80FEBA" w:rsidR="002C3153" w:rsidRPr="004A0212" w:rsidRDefault="38E34399" w:rsidP="002C3153">
      <w:pPr>
        <w:pStyle w:val="Numbparas"/>
      </w:pPr>
      <w:r w:rsidRPr="004A0212">
        <w:rPr>
          <w:color w:val="0D0D0D"/>
        </w:rPr>
        <w:t xml:space="preserve">The Act established a framework for public records management, including the requirement that all public </w:t>
      </w:r>
      <w:r w:rsidRPr="004A0212">
        <w:t xml:space="preserve">records ‘of sufficient value’ had to be deposited within the archives 25 years after their creation. This included records relevant to the ‘organisation, functions, and transactions’ of the </w:t>
      </w:r>
      <w:r w:rsidR="3D54BC9A" w:rsidRPr="004A0212">
        <w:t xml:space="preserve">government </w:t>
      </w:r>
      <w:r w:rsidRPr="004A0212">
        <w:t xml:space="preserve">office where they were created or received. The Act allowed the </w:t>
      </w:r>
      <w:r w:rsidR="1A9D4F7D" w:rsidRPr="004A0212">
        <w:t xml:space="preserve">chief archivist </w:t>
      </w:r>
      <w:r w:rsidRPr="004A0212">
        <w:t>to give instructions to government offices about the efficient and economic management, and safe preservation of public records and public archives.</w:t>
      </w:r>
      <w:r w:rsidR="002C3153" w:rsidRPr="004A0212">
        <w:rPr>
          <w:rStyle w:val="StyleFootnoteReferenceFagoFunotenzeichenFagoFunotenzeichen"/>
        </w:rPr>
        <w:footnoteReference w:id="483"/>
      </w:r>
    </w:p>
    <w:p w14:paraId="73EC972C" w14:textId="43650540" w:rsidR="002C3153" w:rsidRPr="004A0212" w:rsidRDefault="38E34399" w:rsidP="002C3153">
      <w:pPr>
        <w:pStyle w:val="Numbparas"/>
      </w:pPr>
      <w:r w:rsidRPr="004A0212">
        <w:t xml:space="preserve">The Act also gave the </w:t>
      </w:r>
      <w:r w:rsidR="1A9D4F7D" w:rsidRPr="004A0212">
        <w:t xml:space="preserve">chief archivist </w:t>
      </w:r>
      <w:r w:rsidRPr="004A0212">
        <w:t>sole power to approve the disposal of official records (including their destruction).</w:t>
      </w:r>
      <w:r w:rsidR="002C3153" w:rsidRPr="004A0212">
        <w:rPr>
          <w:rStyle w:val="StyleFootnoteReferenceFagoFunotenzeichenFagoFunotenzeichen"/>
        </w:rPr>
        <w:footnoteReference w:id="484"/>
      </w:r>
      <w:r w:rsidRPr="004A0212">
        <w:t xml:space="preserve"> Two Records Advisory Officers were appointed in 1961 to assist government departments with records management practice.</w:t>
      </w:r>
      <w:r w:rsidR="002C3153" w:rsidRPr="004A0212">
        <w:rPr>
          <w:rStyle w:val="StyleFootnoteReferenceFagoFunotenzeichenFagoFunotenzeichen"/>
        </w:rPr>
        <w:footnoteReference w:id="485"/>
      </w:r>
      <w:r w:rsidRPr="004A0212">
        <w:t xml:space="preserve"> However, the Archives Act of 1957 did not include a statutory obligation on public offices to create and maintain full, accurate and accessible records, which was not established until the Public Records Act 2005. The State Services Commission also used its mandate to establish records management expectations within government.</w:t>
      </w:r>
      <w:r w:rsidR="002C3153" w:rsidRPr="004A0212">
        <w:rPr>
          <w:rStyle w:val="StyleFootnoteReferenceFagoFunotenzeichenFagoFunotenzeichen"/>
        </w:rPr>
        <w:footnoteReference w:id="486"/>
      </w:r>
      <w:r w:rsidRPr="004A0212">
        <w:t xml:space="preserve"> </w:t>
      </w:r>
    </w:p>
    <w:p w14:paraId="567077AE" w14:textId="77777777" w:rsidR="002C3153" w:rsidRPr="004A0212" w:rsidRDefault="38E34399" w:rsidP="002C3153">
      <w:pPr>
        <w:pStyle w:val="Numbparas"/>
      </w:pPr>
      <w:r w:rsidRPr="004A0212">
        <w:t xml:space="preserve">In 1984, National Archives criticised the state of records management in the public service, leading to the first comprehensive review of Aotearoa New Zealand recordkeeping since 1913. The resulting 1987 report revealed outdated classification systems, lack of emphasis on records management, and a shortage of qualified staff. </w:t>
      </w:r>
    </w:p>
    <w:p w14:paraId="33AC426D" w14:textId="00C5C09E" w:rsidR="002C3153" w:rsidRPr="004A0212" w:rsidRDefault="38E34399" w:rsidP="002C3153">
      <w:pPr>
        <w:pStyle w:val="Numbparas"/>
        <w:rPr>
          <w:color w:val="000000" w:themeColor="text1"/>
        </w:rPr>
      </w:pPr>
      <w:r w:rsidRPr="004A0212">
        <w:t xml:space="preserve">The capacity of the </w:t>
      </w:r>
      <w:r w:rsidRPr="004A0212">
        <w:rPr>
          <w:color w:val="000000" w:themeColor="text1"/>
        </w:rPr>
        <w:t xml:space="preserve">Records Management Branch to run training and advisory initiatives was increased. </w:t>
      </w:r>
      <w:r w:rsidRPr="004A0212">
        <w:rPr>
          <w:rStyle w:val="normaltextrun"/>
          <w:color w:val="000000" w:themeColor="text1"/>
          <w:bdr w:val="none" w:sz="0" w:space="0" w:color="auto" w:frame="1"/>
        </w:rPr>
        <w:t xml:space="preserve">However, there was a loss of institutional knowledge about records in </w:t>
      </w:r>
      <w:r w:rsidR="1A9D4F7D" w:rsidRPr="004A0212">
        <w:rPr>
          <w:rStyle w:val="normaltextrun"/>
          <w:color w:val="000000" w:themeColor="text1"/>
        </w:rPr>
        <w:t xml:space="preserve">departments </w:t>
      </w:r>
      <w:r w:rsidRPr="004A0212">
        <w:rPr>
          <w:rStyle w:val="normaltextrun"/>
          <w:color w:val="000000" w:themeColor="text1"/>
          <w:bdr w:val="none" w:sz="0" w:space="0" w:color="auto" w:frame="1"/>
        </w:rPr>
        <w:t xml:space="preserve">after sector-wide restructuring, including the Department of Social Welfare in 1992, and a shortage of staff within </w:t>
      </w:r>
      <w:r w:rsidR="1A9D4F7D" w:rsidRPr="004A0212">
        <w:rPr>
          <w:rStyle w:val="normaltextrun"/>
          <w:color w:val="000000" w:themeColor="text1"/>
        </w:rPr>
        <w:t xml:space="preserve">departments </w:t>
      </w:r>
      <w:r w:rsidRPr="004A0212">
        <w:rPr>
          <w:rStyle w:val="normaltextrun"/>
          <w:color w:val="000000" w:themeColor="text1"/>
          <w:bdr w:val="none" w:sz="0" w:space="0" w:color="auto" w:frame="1"/>
        </w:rPr>
        <w:t>meant these functions stopped in 1993.</w:t>
      </w:r>
      <w:r w:rsidR="002C3153" w:rsidRPr="004A0212">
        <w:rPr>
          <w:rStyle w:val="StyleFootnoteReferenceFagoFunotenzeichenFagoFunotenzeichen"/>
        </w:rPr>
        <w:footnoteReference w:id="487"/>
      </w:r>
    </w:p>
    <w:p w14:paraId="727D1EDE" w14:textId="77777777" w:rsidR="002C3153" w:rsidRPr="004A0212" w:rsidRDefault="38E34399" w:rsidP="002C3153">
      <w:pPr>
        <w:pStyle w:val="Numbparas"/>
      </w:pPr>
      <w:r w:rsidRPr="004A0212">
        <w:t>The earlier reforms of the State Sector Act 1988 had placed responsibility for recordkeeping with chief executives. The Privacy Act 1993 added protections for personal information but agencies’ recordkeeping duties and an explicit regulatory role for the Chief Archivist were not in place until 2005.</w:t>
      </w:r>
    </w:p>
    <w:p w14:paraId="45163198" w14:textId="68E57DAB" w:rsidR="002C3153" w:rsidRPr="004A0212" w:rsidRDefault="34A74FB2" w:rsidP="02397200">
      <w:pPr>
        <w:pStyle w:val="Hed4"/>
      </w:pPr>
      <w:bookmarkStart w:id="566" w:name="_Toc165441880"/>
      <w:bookmarkStart w:id="567" w:name="_Toc1396054792"/>
      <w:bookmarkStart w:id="568" w:name="_Toc168639050"/>
      <w:r w:rsidRPr="44ADDF6E">
        <w:rPr>
          <w:lang w:val="en-US"/>
        </w:rPr>
        <w:t xml:space="preserve">Te Ture Kōrero Muna </w:t>
      </w:r>
      <w:proofErr w:type="spellStart"/>
      <w:r w:rsidRPr="44ADDF6E">
        <w:rPr>
          <w:lang w:val="en-US"/>
        </w:rPr>
        <w:t>Ōkawa</w:t>
      </w:r>
      <w:proofErr w:type="spellEnd"/>
      <w:r w:rsidRPr="44ADDF6E">
        <w:rPr>
          <w:lang w:val="en-US"/>
        </w:rPr>
        <w:t xml:space="preserve"> 1957 me </w:t>
      </w:r>
      <w:proofErr w:type="spellStart"/>
      <w:r w:rsidRPr="44ADDF6E">
        <w:rPr>
          <w:lang w:val="en-US"/>
        </w:rPr>
        <w:t>Te</w:t>
      </w:r>
      <w:proofErr w:type="spellEnd"/>
      <w:r w:rsidRPr="44ADDF6E">
        <w:rPr>
          <w:lang w:val="en-US"/>
        </w:rPr>
        <w:t xml:space="preserve"> Ture </w:t>
      </w:r>
      <w:proofErr w:type="spellStart"/>
      <w:r w:rsidRPr="44ADDF6E">
        <w:rPr>
          <w:lang w:val="en-US"/>
        </w:rPr>
        <w:t>Mōhiotanga</w:t>
      </w:r>
      <w:proofErr w:type="spellEnd"/>
      <w:r w:rsidRPr="44ADDF6E">
        <w:rPr>
          <w:lang w:val="en-US"/>
        </w:rPr>
        <w:t xml:space="preserve"> </w:t>
      </w:r>
      <w:proofErr w:type="spellStart"/>
      <w:r w:rsidRPr="44ADDF6E">
        <w:rPr>
          <w:lang w:val="en-US"/>
        </w:rPr>
        <w:t>Ōkawa</w:t>
      </w:r>
      <w:proofErr w:type="spellEnd"/>
      <w:r w:rsidRPr="44ADDF6E">
        <w:rPr>
          <w:lang w:val="en-US"/>
        </w:rPr>
        <w:t xml:space="preserve"> 1982</w:t>
      </w:r>
      <w:bookmarkEnd w:id="566"/>
      <w:bookmarkEnd w:id="567"/>
      <w:bookmarkEnd w:id="568"/>
      <w:r w:rsidRPr="44ADDF6E">
        <w:rPr>
          <w:lang w:val="en-US"/>
        </w:rPr>
        <w:t xml:space="preserve"> </w:t>
      </w:r>
    </w:p>
    <w:p w14:paraId="7F79734D" w14:textId="77777777" w:rsidR="002C3153" w:rsidRPr="004A0212" w:rsidRDefault="34A74FB2" w:rsidP="02397200">
      <w:pPr>
        <w:pStyle w:val="Hed4"/>
      </w:pPr>
      <w:bookmarkStart w:id="569" w:name="_Toc165441881"/>
      <w:bookmarkStart w:id="570" w:name="_Toc1701946779"/>
      <w:bookmarkStart w:id="571" w:name="_Toc168639051"/>
      <w:r w:rsidRPr="004A0212">
        <w:t>The Official Secrets Act 1957 and the Official Information Act 1982</w:t>
      </w:r>
      <w:bookmarkEnd w:id="569"/>
      <w:bookmarkEnd w:id="570"/>
      <w:bookmarkEnd w:id="571"/>
    </w:p>
    <w:p w14:paraId="71493E11" w14:textId="74A4D289" w:rsidR="002C3153" w:rsidRPr="004A0212" w:rsidRDefault="38E34399" w:rsidP="002C3153">
      <w:pPr>
        <w:pStyle w:val="Numbparas"/>
      </w:pPr>
      <w:r w:rsidRPr="004A0212">
        <w:t>Until 1982 the provision of State information was governed by the Official Secrets Act 1951. Under the Act</w:t>
      </w:r>
      <w:r w:rsidR="1A9D4F7D" w:rsidRPr="004A0212">
        <w:t>,</w:t>
      </w:r>
      <w:r w:rsidRPr="004A0212">
        <w:t xml:space="preserve"> official information was the property of the State and could not be shared without good reason.</w:t>
      </w:r>
      <w:r w:rsidR="002C3153" w:rsidRPr="004A0212">
        <w:rPr>
          <w:rStyle w:val="StyleFootnoteReferenceFagoFunotenzeichenFagoFunotenzeichen"/>
        </w:rPr>
        <w:footnoteReference w:id="488"/>
      </w:r>
      <w:r w:rsidRPr="004A0212">
        <w:rPr>
          <w:rStyle w:val="FootnoteReference"/>
        </w:rPr>
        <w:t xml:space="preserve"> </w:t>
      </w:r>
      <w:r w:rsidRPr="004A0212">
        <w:t>Unauthorised disclosure of State information carried fines and prison terms under the Act.</w:t>
      </w:r>
      <w:r w:rsidR="002C3153" w:rsidRPr="004A0212">
        <w:rPr>
          <w:rStyle w:val="StyleFootnoteReferenceFagoFunotenzeichenFagoFunotenzeichen"/>
        </w:rPr>
        <w:footnoteReference w:id="489"/>
      </w:r>
      <w:r w:rsidRPr="004A0212">
        <w:rPr>
          <w:rStyle w:val="FootnoteReference"/>
        </w:rPr>
        <w:t xml:space="preserve"> </w:t>
      </w:r>
      <w:r w:rsidRPr="004A0212">
        <w:t>Public servants had to sign a declaration when they started employment confirming they were aware of the Act’s requirements.</w:t>
      </w:r>
      <w:r w:rsidR="002C3153" w:rsidRPr="004A0212">
        <w:rPr>
          <w:rStyle w:val="StyleFootnoteReferenceFagoFunotenzeichenFagoFunotenzeichen"/>
        </w:rPr>
        <w:footnoteReference w:id="490"/>
      </w:r>
      <w:r w:rsidRPr="004A0212">
        <w:t xml:space="preserve"> </w:t>
      </w:r>
    </w:p>
    <w:p w14:paraId="21DEFE00" w14:textId="77777777" w:rsidR="002C3153" w:rsidRPr="004A0212" w:rsidRDefault="38E34399" w:rsidP="002C3153">
      <w:pPr>
        <w:pStyle w:val="Numbparas"/>
      </w:pPr>
      <w:r w:rsidRPr="004A0212">
        <w:t>By 1978 attitudes had changed in favour of more openness with official information.</w:t>
      </w:r>
      <w:r w:rsidR="002C3153" w:rsidRPr="004A0212">
        <w:rPr>
          <w:rStyle w:val="StyleFootnoteReferenceFagoFunotenzeichenFagoFunotenzeichen"/>
        </w:rPr>
        <w:footnoteReference w:id="491"/>
      </w:r>
      <w:r w:rsidRPr="004A0212">
        <w:rPr>
          <w:rStyle w:val="FootnoteReference"/>
        </w:rPr>
        <w:t xml:space="preserve"> </w:t>
      </w:r>
      <w:r w:rsidRPr="004A0212">
        <w:t xml:space="preserve">In 1978, the Government established a Committee on Official Information to review the availability of official information to the public. The committee reported back in 1980 recommending the Official Secrets Act be replaced with a more open Official Information Act. </w:t>
      </w:r>
      <w:r w:rsidR="002C3153" w:rsidRPr="004A0212">
        <w:rPr>
          <w:rStyle w:val="StyleFootnoteReferenceFagoFunotenzeichenFagoFunotenzeichen"/>
        </w:rPr>
        <w:footnoteReference w:id="492"/>
      </w:r>
    </w:p>
    <w:p w14:paraId="02C3082A" w14:textId="387239FF" w:rsidR="002C3153" w:rsidRPr="004A0212" w:rsidRDefault="38E34399" w:rsidP="002C3153">
      <w:pPr>
        <w:pStyle w:val="Numbparas"/>
      </w:pPr>
      <w:r w:rsidRPr="004A0212">
        <w:t xml:space="preserve">The Official Information Act was passed in 1982. It is built around the principle that official information should be made available unless there are good reasons to withhold it. These reasons include the interests of the </w:t>
      </w:r>
      <w:proofErr w:type="gramStart"/>
      <w:r w:rsidRPr="004A0212">
        <w:t>country as a whole</w:t>
      </w:r>
      <w:r w:rsidR="49C417FA" w:rsidRPr="004A0212">
        <w:t>,</w:t>
      </w:r>
      <w:r w:rsidRPr="004A0212">
        <w:t xml:space="preserve"> the</w:t>
      </w:r>
      <w:proofErr w:type="gramEnd"/>
      <w:r w:rsidRPr="004A0212">
        <w:t xml:space="preserve"> interests of individuals and organisations</w:t>
      </w:r>
      <w:r w:rsidR="49C417FA" w:rsidRPr="004A0212">
        <w:t>,</w:t>
      </w:r>
      <w:r w:rsidRPr="004A0212">
        <w:t xml:space="preserve"> and the interests of effective government and administration.</w:t>
      </w:r>
      <w:r w:rsidR="002C3153" w:rsidRPr="004A0212">
        <w:rPr>
          <w:rStyle w:val="StyleFootnoteReferenceFagoFunotenzeichenFagoFunotenzeichen"/>
        </w:rPr>
        <w:footnoteReference w:id="493"/>
      </w:r>
      <w:r w:rsidRPr="004A0212">
        <w:rPr>
          <w:rStyle w:val="FootnoteReference"/>
        </w:rPr>
        <w:t xml:space="preserve"> </w:t>
      </w:r>
    </w:p>
    <w:p w14:paraId="0F1CF5A6" w14:textId="1127BC90" w:rsidR="002C3153" w:rsidRPr="004A0212" w:rsidRDefault="38E34399" w:rsidP="002C3153">
      <w:pPr>
        <w:pStyle w:val="Numbparas"/>
      </w:pPr>
      <w:r w:rsidRPr="004A0212">
        <w:t xml:space="preserve">The types of agencies covered by the </w:t>
      </w:r>
      <w:r w:rsidR="13E3B60D" w:rsidRPr="004A0212">
        <w:t xml:space="preserve">Act </w:t>
      </w:r>
      <w:r w:rsidRPr="004A0212">
        <w:t>include:</w:t>
      </w:r>
    </w:p>
    <w:p w14:paraId="6508923C" w14:textId="3C799A62" w:rsidR="002C3153" w:rsidRPr="004A0212" w:rsidRDefault="00DD45E7" w:rsidP="000179C6">
      <w:pPr>
        <w:pStyle w:val="Bulletpoints"/>
      </w:pPr>
      <w:r w:rsidRPr="004A0212">
        <w:t xml:space="preserve">ministers </w:t>
      </w:r>
      <w:r w:rsidR="002C3153" w:rsidRPr="004A0212">
        <w:t xml:space="preserve">of the Crown </w:t>
      </w:r>
    </w:p>
    <w:p w14:paraId="14DEE9BB" w14:textId="77777777" w:rsidR="002C3153" w:rsidRPr="004A0212" w:rsidRDefault="002C3153" w:rsidP="000179C6">
      <w:pPr>
        <w:pStyle w:val="Bulletpoints"/>
      </w:pPr>
      <w:r w:rsidRPr="004A0212">
        <w:t>government departments and organisations, including the Police</w:t>
      </w:r>
    </w:p>
    <w:p w14:paraId="46B96DEB" w14:textId="77777777" w:rsidR="002C3153" w:rsidRPr="004A0212" w:rsidRDefault="002C3153" w:rsidP="000179C6">
      <w:pPr>
        <w:pStyle w:val="Bulletpoints"/>
      </w:pPr>
      <w:r w:rsidRPr="004A0212">
        <w:t>crown entities and some state-owned enterprises</w:t>
      </w:r>
    </w:p>
    <w:p w14:paraId="52BAB90C" w14:textId="77777777" w:rsidR="002C3153" w:rsidRPr="004A0212" w:rsidRDefault="002C3153" w:rsidP="000179C6">
      <w:pPr>
        <w:pStyle w:val="Bulletpoints"/>
      </w:pPr>
      <w:r w:rsidRPr="004A0212">
        <w:t>district health boards</w:t>
      </w:r>
    </w:p>
    <w:p w14:paraId="6059D1AE" w14:textId="77777777" w:rsidR="002C3153" w:rsidRPr="004A0212" w:rsidRDefault="002C3153" w:rsidP="000179C6">
      <w:pPr>
        <w:pStyle w:val="Bulletpoints"/>
      </w:pPr>
      <w:r w:rsidRPr="004A0212">
        <w:t>boards of trustees of State schools</w:t>
      </w:r>
    </w:p>
    <w:p w14:paraId="70CDF59F" w14:textId="77777777" w:rsidR="002C3153" w:rsidRPr="004A0212" w:rsidRDefault="002C3153" w:rsidP="000179C6">
      <w:pPr>
        <w:pStyle w:val="Bulletpoints"/>
      </w:pPr>
      <w:r w:rsidRPr="004A0212">
        <w:t xml:space="preserve">information produced by third parties </w:t>
      </w:r>
      <w:proofErr w:type="gramStart"/>
      <w:r w:rsidRPr="004A0212">
        <w:t>as a result of</w:t>
      </w:r>
      <w:proofErr w:type="gramEnd"/>
      <w:r w:rsidRPr="004A0212">
        <w:t xml:space="preserve"> being contracted by agencies to do work on their behalf.</w:t>
      </w:r>
      <w:r w:rsidRPr="004A0212">
        <w:rPr>
          <w:rStyle w:val="StyleFootnoteReferenceFagoFunotenzeichenFagoFunotenzeichen"/>
        </w:rPr>
        <w:footnoteReference w:id="494"/>
      </w:r>
    </w:p>
    <w:p w14:paraId="2854C6CE" w14:textId="7C0AB738" w:rsidR="002C3153" w:rsidRPr="004A0212" w:rsidRDefault="34A74FB2" w:rsidP="02397200">
      <w:pPr>
        <w:pStyle w:val="Hed4"/>
      </w:pPr>
      <w:bookmarkStart w:id="572" w:name="_Toc165441882"/>
      <w:bookmarkStart w:id="573" w:name="_Toc1299921196"/>
      <w:bookmarkStart w:id="574" w:name="_Toc168639052"/>
      <w:proofErr w:type="spellStart"/>
      <w:r w:rsidRPr="700D4309">
        <w:rPr>
          <w:lang w:val="en-US"/>
        </w:rPr>
        <w:t>Te</w:t>
      </w:r>
      <w:proofErr w:type="spellEnd"/>
      <w:r w:rsidRPr="700D4309">
        <w:rPr>
          <w:lang w:val="en-US"/>
        </w:rPr>
        <w:t xml:space="preserve"> Ture </w:t>
      </w:r>
      <w:proofErr w:type="spellStart"/>
      <w:r w:rsidRPr="700D4309">
        <w:rPr>
          <w:lang w:val="en-US"/>
        </w:rPr>
        <w:t>Tūmataiti</w:t>
      </w:r>
      <w:proofErr w:type="spellEnd"/>
      <w:r w:rsidRPr="700D4309">
        <w:rPr>
          <w:lang w:val="en-US"/>
        </w:rPr>
        <w:t xml:space="preserve"> 1993 | The Privacy Act 1993</w:t>
      </w:r>
      <w:bookmarkEnd w:id="572"/>
      <w:bookmarkEnd w:id="573"/>
      <w:bookmarkEnd w:id="574"/>
    </w:p>
    <w:p w14:paraId="575B91FE" w14:textId="31501EDB" w:rsidR="002C3153" w:rsidRPr="004A0212" w:rsidRDefault="38E34399" w:rsidP="002C3153">
      <w:pPr>
        <w:pStyle w:val="Numbparas"/>
      </w:pPr>
      <w:r w:rsidRPr="004A0212">
        <w:t>Concerns around privacy grew during the Inquiry period, linked to the growth of computer technology and implications for individual’s privacy.</w:t>
      </w:r>
      <w:r w:rsidR="002C3153" w:rsidRPr="004A0212">
        <w:rPr>
          <w:rStyle w:val="StyleFootnoteReferenceFagoFunotenzeichenFagoFunotenzeichen"/>
        </w:rPr>
        <w:footnoteReference w:id="495"/>
      </w:r>
      <w:r w:rsidRPr="004A0212">
        <w:t xml:space="preserve"> Aotearoa New Zealand passed the Privacy Act in 1993, creating the role of the </w:t>
      </w:r>
      <w:r w:rsidR="49C417FA" w:rsidRPr="004A0212">
        <w:t xml:space="preserve">privacy commissioner </w:t>
      </w:r>
      <w:r w:rsidRPr="004A0212">
        <w:t>and establishing information privacy principles.</w:t>
      </w:r>
      <w:r w:rsidR="002C3153" w:rsidRPr="004A0212">
        <w:rPr>
          <w:rStyle w:val="StyleFootnoteReferenceFagoFunotenzeichenFagoFunotenzeichen"/>
        </w:rPr>
        <w:footnoteReference w:id="496"/>
      </w:r>
      <w:r w:rsidRPr="004A0212">
        <w:t xml:space="preserve"> These principles, applicable to public and private agencies, governed the collection, use, and disclosure of personal information.</w:t>
      </w:r>
      <w:r w:rsidR="002C3153" w:rsidRPr="004A0212">
        <w:rPr>
          <w:rStyle w:val="StyleFootnoteReferenceFagoFunotenzeichenFagoFunotenzeichen"/>
        </w:rPr>
        <w:footnoteReference w:id="497"/>
      </w:r>
    </w:p>
    <w:p w14:paraId="6EFCB036" w14:textId="77777777" w:rsidR="002C3153" w:rsidRPr="004A0212" w:rsidRDefault="38E34399" w:rsidP="002C3153">
      <w:pPr>
        <w:pStyle w:val="Numbparas"/>
      </w:pPr>
      <w:r w:rsidRPr="004A0212">
        <w:t>The Privacy Act gave individuals rights, including access to and correction of personal information (although this release could not include information that would reveal information about other individuals)</w:t>
      </w:r>
      <w:r w:rsidR="002C3153" w:rsidRPr="004A0212">
        <w:rPr>
          <w:rStyle w:val="StyleFootnoteReferenceFagoFunotenzeichenFagoFunotenzeichen"/>
        </w:rPr>
        <w:footnoteReference w:id="498"/>
      </w:r>
      <w:r w:rsidRPr="004A0212">
        <w:t>, with redress options for privacy violations.</w:t>
      </w:r>
      <w:r w:rsidR="002C3153" w:rsidRPr="004A0212">
        <w:rPr>
          <w:rStyle w:val="StyleFootnoteReferenceFagoFunotenzeichenFagoFunotenzeichen"/>
        </w:rPr>
        <w:footnoteReference w:id="499"/>
      </w:r>
      <w:r w:rsidRPr="004A0212">
        <w:t xml:space="preserve"> The Act aligned with Aotearoa New Zealand's human rights obligations.</w:t>
      </w:r>
      <w:r w:rsidR="002C3153" w:rsidRPr="004A0212">
        <w:rPr>
          <w:rStyle w:val="StyleFootnoteReferenceFagoFunotenzeichenFagoFunotenzeichen"/>
        </w:rPr>
        <w:footnoteReference w:id="500"/>
      </w:r>
      <w:r w:rsidRPr="004A0212">
        <w:t xml:space="preserve"> </w:t>
      </w:r>
    </w:p>
    <w:p w14:paraId="6F00F9E1" w14:textId="77777777" w:rsidR="002C3153" w:rsidRPr="004A0212" w:rsidRDefault="38E34399" w:rsidP="002C3153">
      <w:pPr>
        <w:pStyle w:val="Numbparas"/>
      </w:pPr>
      <w:r w:rsidRPr="004A0212">
        <w:t>The Act introduced a simple complaints mechanism with ombudsman-like investigations. Among other things the Act included the ability for New Zealanders to access their own medical records, the requirement for businesses and agencies to be transparent about personal data use,</w:t>
      </w:r>
      <w:r w:rsidR="002C3153" w:rsidRPr="004A0212">
        <w:rPr>
          <w:rStyle w:val="StyleFootnoteReferenceFagoFunotenzeichenFagoFunotenzeichen"/>
        </w:rPr>
        <w:footnoteReference w:id="501"/>
      </w:r>
      <w:r w:rsidRPr="004A0212">
        <w:t xml:space="preserve"> and </w:t>
      </w:r>
      <w:proofErr w:type="gramStart"/>
      <w:r w:rsidRPr="004A0212">
        <w:t>provided that</w:t>
      </w:r>
      <w:proofErr w:type="gramEnd"/>
      <w:r w:rsidRPr="004A0212">
        <w:t xml:space="preserve"> outsourcing and privatisation did not diminish people’s privacy rights around data previously held by government agencies.</w:t>
      </w:r>
      <w:r w:rsidR="002C3153" w:rsidRPr="004A0212">
        <w:rPr>
          <w:rStyle w:val="StyleFootnoteReferenceFagoFunotenzeichenFagoFunotenzeichen"/>
        </w:rPr>
        <w:footnoteReference w:id="502"/>
      </w:r>
    </w:p>
    <w:p w14:paraId="7A23EFC2" w14:textId="77777777" w:rsidR="00005BEC" w:rsidRPr="004A0212" w:rsidRDefault="00005BEC" w:rsidP="00005BEC">
      <w:pPr>
        <w:pStyle w:val="Numbparas"/>
        <w:numPr>
          <w:ilvl w:val="0"/>
          <w:numId w:val="0"/>
        </w:numPr>
        <w:ind w:left="851"/>
        <w:rPr>
          <w:b/>
          <w:bCs w:val="0"/>
          <w:i/>
          <w:iCs/>
          <w:lang w:bidi="th-TH"/>
        </w:rPr>
      </w:pPr>
    </w:p>
    <w:p w14:paraId="7577A4F5" w14:textId="4AA1EE3D" w:rsidR="00005BEC" w:rsidRPr="004A0212" w:rsidRDefault="00791A7E" w:rsidP="00791A7E">
      <w:pPr>
        <w:pStyle w:val="BodyText"/>
        <w:rPr>
          <w:lang w:bidi="th-TH"/>
        </w:rPr>
      </w:pPr>
      <w:r>
        <w:rPr>
          <w:lang w:bidi="th-TH"/>
        </w:rPr>
        <w:t>[Survi</w:t>
      </w:r>
      <w:r w:rsidR="000742B6">
        <w:rPr>
          <w:lang w:bidi="th-TH"/>
        </w:rPr>
        <w:t>vor quote]</w:t>
      </w:r>
    </w:p>
    <w:p w14:paraId="4D601F58" w14:textId="232A4CE5" w:rsidR="00005BEC" w:rsidRPr="00791A7E" w:rsidRDefault="00005BEC" w:rsidP="00791A7E">
      <w:pPr>
        <w:pStyle w:val="AllQuotes"/>
        <w:rPr>
          <w:b/>
          <w:bCs/>
          <w:lang w:bidi="th-TH"/>
        </w:rPr>
      </w:pPr>
      <w:r w:rsidRPr="00791A7E">
        <w:rPr>
          <w:b/>
          <w:lang w:bidi="th-TH"/>
        </w:rPr>
        <w:t>“I’ve been disconnected from my Pacific and Māori culture for most of my life. I think being involved with my own culture would have given me a sense of myself and a sense of belonging.”</w:t>
      </w:r>
    </w:p>
    <w:p w14:paraId="5B61D04C" w14:textId="473F16F2" w:rsidR="00005BEC" w:rsidRPr="00791A7E" w:rsidRDefault="00005BEC" w:rsidP="00791A7E">
      <w:pPr>
        <w:pStyle w:val="AllQuotes"/>
        <w:rPr>
          <w:b/>
          <w:bCs/>
          <w:lang w:bidi="th-TH"/>
        </w:rPr>
      </w:pPr>
      <w:r w:rsidRPr="00791A7E">
        <w:rPr>
          <w:b/>
          <w:lang w:bidi="th-TH"/>
        </w:rPr>
        <w:t xml:space="preserve">Kamahl </w:t>
      </w:r>
      <w:proofErr w:type="spellStart"/>
      <w:r w:rsidRPr="00791A7E">
        <w:rPr>
          <w:b/>
          <w:lang w:bidi="th-TH"/>
        </w:rPr>
        <w:t>Tupetagi</w:t>
      </w:r>
      <w:proofErr w:type="spellEnd"/>
      <w:r w:rsidRPr="00791A7E">
        <w:rPr>
          <w:b/>
          <w:lang w:bidi="th-TH"/>
        </w:rPr>
        <w:t xml:space="preserve"> </w:t>
      </w:r>
    </w:p>
    <w:p w14:paraId="2CB0CC13" w14:textId="07FBA125" w:rsidR="00005BEC" w:rsidRPr="00791A7E" w:rsidRDefault="00005BEC" w:rsidP="00791A7E">
      <w:pPr>
        <w:pStyle w:val="AllQuotes"/>
        <w:rPr>
          <w:b/>
          <w:bCs/>
          <w:lang w:bidi="th-TH"/>
        </w:rPr>
      </w:pPr>
      <w:r w:rsidRPr="00791A7E">
        <w:rPr>
          <w:b/>
          <w:lang w:bidi="th-TH"/>
        </w:rPr>
        <w:t>Niuean, Māori (</w:t>
      </w:r>
      <w:proofErr w:type="spellStart"/>
      <w:r w:rsidRPr="00791A7E">
        <w:rPr>
          <w:b/>
          <w:lang w:bidi="th-TH"/>
        </w:rPr>
        <w:t>Ngāpui</w:t>
      </w:r>
      <w:proofErr w:type="spellEnd"/>
      <w:r w:rsidRPr="00791A7E">
        <w:rPr>
          <w:b/>
          <w:lang w:bidi="th-TH"/>
        </w:rPr>
        <w:t>)</w:t>
      </w:r>
    </w:p>
    <w:p w14:paraId="16E951D2" w14:textId="5E1AFA80" w:rsidR="00790F8A" w:rsidRDefault="009046CB">
      <w:pPr>
        <w:keepLines w:val="0"/>
      </w:pPr>
      <w:r w:rsidRPr="004A0212">
        <w:br w:type="page"/>
      </w:r>
      <w:r w:rsidR="00F0302A">
        <w:t xml:space="preserve">[Graphic] </w:t>
      </w:r>
    </w:p>
    <w:p w14:paraId="7A592538" w14:textId="25BFAF77" w:rsidR="00790F8A" w:rsidRDefault="00790F8A" w:rsidP="00790F8A">
      <w:pPr>
        <w:pStyle w:val="BodyText"/>
        <w:rPr>
          <w:rFonts w:ascii="Arial" w:hAnsi="Arial" w:cs="Arial"/>
          <w:sz w:val="22"/>
          <w:szCs w:val="22"/>
        </w:rPr>
      </w:pPr>
      <w:r w:rsidRPr="00790F8A">
        <w:rPr>
          <w:rFonts w:ascii="Arial" w:hAnsi="Arial" w:cs="Arial"/>
          <w:sz w:val="22"/>
          <w:szCs w:val="22"/>
        </w:rPr>
        <w:t>Timeline of Ministers CEs Key Portfolios 1950-1999</w:t>
      </w:r>
    </w:p>
    <w:p w14:paraId="45BB40CC" w14:textId="0EA3C90F" w:rsidR="00DB6443" w:rsidRDefault="00DB6443" w:rsidP="00790F8A">
      <w:pPr>
        <w:pStyle w:val="BodyText"/>
        <w:rPr>
          <w:rFonts w:ascii="Arial" w:hAnsi="Arial" w:cs="Arial"/>
          <w:sz w:val="22"/>
          <w:szCs w:val="22"/>
        </w:rPr>
      </w:pPr>
      <w:r>
        <w:rPr>
          <w:rFonts w:ascii="Arial" w:hAnsi="Arial" w:cs="Arial"/>
          <w:sz w:val="22"/>
          <w:szCs w:val="22"/>
        </w:rPr>
        <w:t xml:space="preserve">1949 to 1957: National, 3 </w:t>
      </w:r>
      <w:r w:rsidR="006D7803">
        <w:rPr>
          <w:rFonts w:ascii="Arial" w:hAnsi="Arial" w:cs="Arial"/>
          <w:sz w:val="22"/>
          <w:szCs w:val="22"/>
        </w:rPr>
        <w:t>T</w:t>
      </w:r>
      <w:r>
        <w:rPr>
          <w:rFonts w:ascii="Arial" w:hAnsi="Arial" w:cs="Arial"/>
          <w:sz w:val="22"/>
          <w:szCs w:val="22"/>
        </w:rPr>
        <w:t xml:space="preserve">erms, PM </w:t>
      </w:r>
      <w:r w:rsidR="00B31697">
        <w:rPr>
          <w:rFonts w:ascii="Arial" w:hAnsi="Arial" w:cs="Arial"/>
          <w:sz w:val="22"/>
          <w:szCs w:val="22"/>
        </w:rPr>
        <w:t>Sidney Holland</w:t>
      </w:r>
    </w:p>
    <w:p w14:paraId="74F86789" w14:textId="0A10A520" w:rsidR="00B31697" w:rsidRDefault="00B31697" w:rsidP="00790F8A">
      <w:pPr>
        <w:pStyle w:val="BodyText"/>
        <w:rPr>
          <w:rFonts w:ascii="Arial" w:hAnsi="Arial" w:cs="Arial"/>
          <w:sz w:val="22"/>
          <w:szCs w:val="22"/>
        </w:rPr>
      </w:pPr>
      <w:r>
        <w:rPr>
          <w:rFonts w:ascii="Arial" w:hAnsi="Arial" w:cs="Arial"/>
          <w:sz w:val="22"/>
          <w:szCs w:val="22"/>
        </w:rPr>
        <w:t xml:space="preserve">1957 to 1960: </w:t>
      </w:r>
      <w:r w:rsidR="006D7803">
        <w:rPr>
          <w:rFonts w:ascii="Arial" w:hAnsi="Arial" w:cs="Arial"/>
          <w:sz w:val="22"/>
          <w:szCs w:val="22"/>
        </w:rPr>
        <w:t>Labour, 1 Term, PM: Walter Nash</w:t>
      </w:r>
    </w:p>
    <w:p w14:paraId="3B9B60AB" w14:textId="7C8267F1" w:rsidR="006D7803" w:rsidRDefault="006D7803" w:rsidP="00790F8A">
      <w:pPr>
        <w:pStyle w:val="BodyText"/>
        <w:rPr>
          <w:rFonts w:ascii="Arial" w:hAnsi="Arial" w:cs="Arial"/>
          <w:sz w:val="22"/>
          <w:szCs w:val="22"/>
        </w:rPr>
      </w:pPr>
      <w:r>
        <w:rPr>
          <w:rFonts w:ascii="Arial" w:hAnsi="Arial" w:cs="Arial"/>
          <w:sz w:val="22"/>
          <w:szCs w:val="22"/>
        </w:rPr>
        <w:t xml:space="preserve">1960 to </w:t>
      </w:r>
      <w:r w:rsidR="001F2214">
        <w:rPr>
          <w:rFonts w:ascii="Arial" w:hAnsi="Arial" w:cs="Arial"/>
          <w:sz w:val="22"/>
          <w:szCs w:val="22"/>
        </w:rPr>
        <w:t>1972: National, 4 Terms, PM: Keith Holyoake</w:t>
      </w:r>
    </w:p>
    <w:p w14:paraId="31DA9378" w14:textId="041D3952" w:rsidR="001F2214" w:rsidRDefault="00B031CA" w:rsidP="00790F8A">
      <w:pPr>
        <w:pStyle w:val="BodyText"/>
        <w:rPr>
          <w:rFonts w:ascii="Arial" w:hAnsi="Arial" w:cs="Arial"/>
          <w:sz w:val="22"/>
          <w:szCs w:val="22"/>
        </w:rPr>
      </w:pPr>
      <w:r>
        <w:rPr>
          <w:rFonts w:ascii="Arial" w:hAnsi="Arial" w:cs="Arial"/>
          <w:sz w:val="22"/>
          <w:szCs w:val="22"/>
        </w:rPr>
        <w:t>1972 to 1975: Labour, 1 Term, PM: Norman Kirk (1972 to 1974)</w:t>
      </w:r>
      <w:r w:rsidR="003D3915">
        <w:rPr>
          <w:rFonts w:ascii="Arial" w:hAnsi="Arial" w:cs="Arial"/>
          <w:sz w:val="22"/>
          <w:szCs w:val="22"/>
        </w:rPr>
        <w:t xml:space="preserve">; PM: </w:t>
      </w:r>
      <w:r w:rsidR="004363BC">
        <w:rPr>
          <w:rFonts w:ascii="Arial" w:hAnsi="Arial" w:cs="Arial"/>
          <w:sz w:val="22"/>
          <w:szCs w:val="22"/>
        </w:rPr>
        <w:t>Bill Rowling (1974 to 1975)</w:t>
      </w:r>
    </w:p>
    <w:p w14:paraId="0C86F057" w14:textId="75D3B402" w:rsidR="004363BC" w:rsidRDefault="004363BC" w:rsidP="00790F8A">
      <w:pPr>
        <w:pStyle w:val="BodyText"/>
        <w:rPr>
          <w:rFonts w:ascii="Arial" w:hAnsi="Arial" w:cs="Arial"/>
          <w:sz w:val="22"/>
          <w:szCs w:val="22"/>
        </w:rPr>
      </w:pPr>
      <w:r>
        <w:rPr>
          <w:rFonts w:ascii="Arial" w:hAnsi="Arial" w:cs="Arial"/>
          <w:sz w:val="22"/>
          <w:szCs w:val="22"/>
        </w:rPr>
        <w:t>1975 to 1984: National, 3 Terms, PM: Robert Muldoon</w:t>
      </w:r>
    </w:p>
    <w:p w14:paraId="55AD9880" w14:textId="74FF0B1F" w:rsidR="004363BC" w:rsidRDefault="00D860AA" w:rsidP="00790F8A">
      <w:pPr>
        <w:pStyle w:val="BodyText"/>
        <w:rPr>
          <w:rFonts w:ascii="Arial" w:hAnsi="Arial" w:cs="Arial"/>
          <w:sz w:val="22"/>
          <w:szCs w:val="22"/>
        </w:rPr>
      </w:pPr>
      <w:r>
        <w:rPr>
          <w:rFonts w:ascii="Arial" w:hAnsi="Arial" w:cs="Arial"/>
          <w:sz w:val="22"/>
          <w:szCs w:val="22"/>
        </w:rPr>
        <w:t>1984 to 1</w:t>
      </w:r>
      <w:r w:rsidR="00F45399">
        <w:rPr>
          <w:rFonts w:ascii="Arial" w:hAnsi="Arial" w:cs="Arial"/>
          <w:sz w:val="22"/>
          <w:szCs w:val="22"/>
        </w:rPr>
        <w:t>9</w:t>
      </w:r>
      <w:r>
        <w:rPr>
          <w:rFonts w:ascii="Arial" w:hAnsi="Arial" w:cs="Arial"/>
          <w:sz w:val="22"/>
          <w:szCs w:val="22"/>
        </w:rPr>
        <w:t xml:space="preserve">89: </w:t>
      </w:r>
      <w:r w:rsidR="00384952">
        <w:rPr>
          <w:rFonts w:ascii="Arial" w:hAnsi="Arial" w:cs="Arial"/>
          <w:sz w:val="22"/>
          <w:szCs w:val="22"/>
        </w:rPr>
        <w:t xml:space="preserve">Labour, 2 Terms, </w:t>
      </w:r>
      <w:proofErr w:type="gramStart"/>
      <w:r w:rsidR="00384952">
        <w:rPr>
          <w:rFonts w:ascii="Arial" w:hAnsi="Arial" w:cs="Arial"/>
          <w:sz w:val="22"/>
          <w:szCs w:val="22"/>
        </w:rPr>
        <w:t>PM :</w:t>
      </w:r>
      <w:proofErr w:type="gramEnd"/>
      <w:r w:rsidR="00384952">
        <w:rPr>
          <w:rFonts w:ascii="Arial" w:hAnsi="Arial" w:cs="Arial"/>
          <w:sz w:val="22"/>
          <w:szCs w:val="22"/>
        </w:rPr>
        <w:t xml:space="preserve"> David Lange (1984 to 1989)</w:t>
      </w:r>
      <w:r w:rsidR="003D3915">
        <w:rPr>
          <w:rFonts w:ascii="Arial" w:hAnsi="Arial" w:cs="Arial"/>
          <w:sz w:val="22"/>
          <w:szCs w:val="22"/>
        </w:rPr>
        <w:t>; PM: Geoffrey Palmer (1989 to 1990); PM</w:t>
      </w:r>
      <w:r w:rsidR="002411CB">
        <w:rPr>
          <w:rFonts w:ascii="Arial" w:hAnsi="Arial" w:cs="Arial"/>
          <w:sz w:val="22"/>
          <w:szCs w:val="22"/>
        </w:rPr>
        <w:t>:</w:t>
      </w:r>
      <w:r w:rsidR="003D3915">
        <w:rPr>
          <w:rFonts w:ascii="Arial" w:hAnsi="Arial" w:cs="Arial"/>
          <w:sz w:val="22"/>
          <w:szCs w:val="22"/>
        </w:rPr>
        <w:t xml:space="preserve"> Mike Moore</w:t>
      </w:r>
      <w:r w:rsidR="002411CB">
        <w:rPr>
          <w:rFonts w:ascii="Arial" w:hAnsi="Arial" w:cs="Arial"/>
          <w:sz w:val="22"/>
          <w:szCs w:val="22"/>
        </w:rPr>
        <w:t xml:space="preserve"> (1990)</w:t>
      </w:r>
    </w:p>
    <w:p w14:paraId="775A9ED7" w14:textId="4D31164C" w:rsidR="002411CB" w:rsidRDefault="002411CB" w:rsidP="00790F8A">
      <w:pPr>
        <w:pStyle w:val="BodyText"/>
        <w:rPr>
          <w:rFonts w:ascii="Arial" w:hAnsi="Arial" w:cs="Arial"/>
          <w:sz w:val="22"/>
          <w:szCs w:val="22"/>
        </w:rPr>
      </w:pPr>
      <w:r>
        <w:rPr>
          <w:rFonts w:ascii="Arial" w:hAnsi="Arial" w:cs="Arial"/>
          <w:sz w:val="22"/>
          <w:szCs w:val="22"/>
        </w:rPr>
        <w:t>199</w:t>
      </w:r>
      <w:r w:rsidR="00417030">
        <w:rPr>
          <w:rFonts w:ascii="Arial" w:hAnsi="Arial" w:cs="Arial"/>
          <w:sz w:val="22"/>
          <w:szCs w:val="22"/>
        </w:rPr>
        <w:t>0 to 1999: National, 3 Terms, PM: Jim Bolger (1990 to 1997); PM</w:t>
      </w:r>
      <w:r w:rsidR="00586456">
        <w:rPr>
          <w:rFonts w:ascii="Arial" w:hAnsi="Arial" w:cs="Arial"/>
          <w:sz w:val="22"/>
          <w:szCs w:val="22"/>
        </w:rPr>
        <w:t>:</w:t>
      </w:r>
      <w:r w:rsidR="00417030">
        <w:rPr>
          <w:rFonts w:ascii="Arial" w:hAnsi="Arial" w:cs="Arial"/>
          <w:sz w:val="22"/>
          <w:szCs w:val="22"/>
        </w:rPr>
        <w:t xml:space="preserve"> Jenny Shipley (1997 to 1999)</w:t>
      </w:r>
    </w:p>
    <w:p w14:paraId="1EE294E3" w14:textId="6BAC5476" w:rsidR="00417030" w:rsidRDefault="00417030" w:rsidP="00790F8A">
      <w:pPr>
        <w:pStyle w:val="BodyText"/>
        <w:rPr>
          <w:rFonts w:ascii="Arial" w:hAnsi="Arial" w:cs="Arial"/>
          <w:sz w:val="22"/>
          <w:szCs w:val="22"/>
        </w:rPr>
      </w:pPr>
      <w:r>
        <w:rPr>
          <w:rFonts w:ascii="Arial" w:hAnsi="Arial" w:cs="Arial"/>
          <w:sz w:val="22"/>
          <w:szCs w:val="22"/>
        </w:rPr>
        <w:t xml:space="preserve">1999 to </w:t>
      </w:r>
      <w:r w:rsidR="00586456">
        <w:rPr>
          <w:rFonts w:ascii="Arial" w:hAnsi="Arial" w:cs="Arial"/>
          <w:sz w:val="22"/>
          <w:szCs w:val="22"/>
        </w:rPr>
        <w:t>2008: Labour, 3 Terms, PM: Helen Clark (1999 to 2008)</w:t>
      </w:r>
    </w:p>
    <w:p w14:paraId="360EAA69" w14:textId="55B9DB27" w:rsidR="00586456" w:rsidRDefault="005D56DF" w:rsidP="00790F8A">
      <w:pPr>
        <w:pStyle w:val="BodyText"/>
        <w:rPr>
          <w:rFonts w:ascii="Arial" w:hAnsi="Arial" w:cs="Arial"/>
          <w:sz w:val="22"/>
          <w:szCs w:val="22"/>
          <w:highlight w:val="yellow"/>
        </w:rPr>
      </w:pPr>
      <w:r>
        <w:rPr>
          <w:rFonts w:ascii="Arial" w:hAnsi="Arial" w:cs="Arial"/>
          <w:sz w:val="22"/>
          <w:szCs w:val="22"/>
        </w:rPr>
        <w:t>2008 to 2017: National, 3 Terms, PM: John Key</w:t>
      </w:r>
      <w:r w:rsidR="0059540B">
        <w:rPr>
          <w:rFonts w:ascii="Arial" w:hAnsi="Arial" w:cs="Arial"/>
          <w:sz w:val="22"/>
          <w:szCs w:val="22"/>
        </w:rPr>
        <w:t>; PM: Bill English</w:t>
      </w:r>
    </w:p>
    <w:p w14:paraId="1271486E" w14:textId="0510D3AF" w:rsidR="0059540B" w:rsidRDefault="009E0F53" w:rsidP="00790F8A">
      <w:pPr>
        <w:pStyle w:val="BodyText"/>
        <w:rPr>
          <w:rFonts w:ascii="Arial" w:hAnsi="Arial" w:cs="Arial"/>
          <w:sz w:val="22"/>
          <w:szCs w:val="22"/>
          <w:highlight w:val="yellow"/>
        </w:rPr>
      </w:pPr>
      <w:r>
        <w:rPr>
          <w:rFonts w:ascii="Arial" w:hAnsi="Arial" w:cs="Arial"/>
          <w:sz w:val="22"/>
          <w:szCs w:val="22"/>
        </w:rPr>
        <w:t xml:space="preserve">2017 to 2023: Labour, 2 Terms, PM: Jacinda </w:t>
      </w:r>
      <w:proofErr w:type="gramStart"/>
      <w:r>
        <w:rPr>
          <w:rFonts w:ascii="Arial" w:hAnsi="Arial" w:cs="Arial"/>
          <w:sz w:val="22"/>
          <w:szCs w:val="22"/>
        </w:rPr>
        <w:t>Arde</w:t>
      </w:r>
      <w:r w:rsidR="00C10138">
        <w:rPr>
          <w:rFonts w:ascii="Arial" w:hAnsi="Arial" w:cs="Arial"/>
          <w:sz w:val="22"/>
          <w:szCs w:val="22"/>
        </w:rPr>
        <w:t>r</w:t>
      </w:r>
      <w:r>
        <w:rPr>
          <w:rFonts w:ascii="Arial" w:hAnsi="Arial" w:cs="Arial"/>
          <w:sz w:val="22"/>
          <w:szCs w:val="22"/>
        </w:rPr>
        <w:t>n</w:t>
      </w:r>
      <w:r w:rsidR="00C10138">
        <w:rPr>
          <w:rFonts w:ascii="Arial" w:hAnsi="Arial" w:cs="Arial"/>
          <w:sz w:val="22"/>
          <w:szCs w:val="22"/>
        </w:rPr>
        <w:t xml:space="preserve"> </w:t>
      </w:r>
      <w:r w:rsidR="00F43802">
        <w:rPr>
          <w:rFonts w:ascii="Arial" w:hAnsi="Arial" w:cs="Arial"/>
          <w:sz w:val="22"/>
          <w:szCs w:val="22"/>
        </w:rPr>
        <w:t>:</w:t>
      </w:r>
      <w:r w:rsidR="00FD33C4">
        <w:rPr>
          <w:rFonts w:ascii="Arial" w:hAnsi="Arial" w:cs="Arial"/>
          <w:sz w:val="22"/>
          <w:szCs w:val="22"/>
        </w:rPr>
        <w:t>Chris</w:t>
      </w:r>
      <w:proofErr w:type="gramEnd"/>
      <w:r w:rsidR="00FD33C4">
        <w:rPr>
          <w:rFonts w:ascii="Arial" w:hAnsi="Arial" w:cs="Arial"/>
          <w:sz w:val="22"/>
          <w:szCs w:val="22"/>
        </w:rPr>
        <w:t xml:space="preserve"> Hipkins</w:t>
      </w:r>
    </w:p>
    <w:p w14:paraId="23AD467C" w14:textId="14A52946" w:rsidR="00FD33C4" w:rsidRPr="00790F8A" w:rsidRDefault="00FD33C4" w:rsidP="00790F8A">
      <w:pPr>
        <w:pStyle w:val="BodyText"/>
        <w:rPr>
          <w:rFonts w:ascii="Arial" w:hAnsi="Arial" w:cs="Arial"/>
          <w:sz w:val="22"/>
          <w:szCs w:val="22"/>
        </w:rPr>
      </w:pPr>
      <w:r>
        <w:rPr>
          <w:rFonts w:ascii="Arial" w:hAnsi="Arial" w:cs="Arial"/>
          <w:sz w:val="22"/>
          <w:szCs w:val="22"/>
        </w:rPr>
        <w:t>2023</w:t>
      </w:r>
      <w:r w:rsidR="00FA40D4">
        <w:rPr>
          <w:rFonts w:ascii="Arial" w:hAnsi="Arial" w:cs="Arial"/>
          <w:sz w:val="22"/>
          <w:szCs w:val="22"/>
        </w:rPr>
        <w:t xml:space="preserve"> to current: National, PM: Christopher Luxon</w:t>
      </w:r>
    </w:p>
    <w:p w14:paraId="3005254D" w14:textId="780BDE39" w:rsidR="00F0302A" w:rsidRDefault="00F0302A">
      <w:pPr>
        <w:keepLines w:val="0"/>
        <w:rPr>
          <w:rFonts w:ascii="Times New Roman" w:hAnsi="Times New Roman"/>
        </w:rPr>
      </w:pPr>
      <w:r>
        <w:br w:type="page"/>
      </w:r>
    </w:p>
    <w:p w14:paraId="221ECC98" w14:textId="5D01E145" w:rsidR="00CA0DE8" w:rsidRDefault="00CA0DE8" w:rsidP="00CA0DE8">
      <w:pPr>
        <w:pStyle w:val="BodyText"/>
        <w:rPr>
          <w:lang w:bidi="th-TH"/>
        </w:rPr>
      </w:pPr>
      <w:r>
        <w:rPr>
          <w:lang w:bidi="th-TH"/>
        </w:rPr>
        <w:t>[</w:t>
      </w:r>
      <w:r w:rsidR="00352128" w:rsidRPr="00352128">
        <w:rPr>
          <w:rFonts w:ascii="Arial" w:hAnsi="Arial" w:cs="Arial"/>
          <w:sz w:val="22"/>
          <w:szCs w:val="22"/>
          <w:lang w:bidi="th-TH"/>
        </w:rPr>
        <w:t>Q</w:t>
      </w:r>
      <w:r w:rsidRPr="00352128">
        <w:rPr>
          <w:rFonts w:ascii="Arial" w:hAnsi="Arial" w:cs="Arial"/>
          <w:sz w:val="22"/>
          <w:szCs w:val="22"/>
          <w:lang w:bidi="th-TH"/>
        </w:rPr>
        <w:t>uote</w:t>
      </w:r>
      <w:r>
        <w:rPr>
          <w:lang w:bidi="th-TH"/>
        </w:rPr>
        <w:t>]</w:t>
      </w:r>
    </w:p>
    <w:p w14:paraId="165B08C3" w14:textId="3E12550D" w:rsidR="00A1649C" w:rsidRPr="00CA0DE8" w:rsidRDefault="00A1649C" w:rsidP="00CA0DE8">
      <w:pPr>
        <w:pStyle w:val="AllQuotes"/>
        <w:rPr>
          <w:b/>
          <w:lang w:bidi="th-TH"/>
        </w:rPr>
      </w:pPr>
      <w:r w:rsidRPr="00CA0DE8">
        <w:rPr>
          <w:b/>
          <w:lang w:bidi="th-TH"/>
        </w:rPr>
        <w:t xml:space="preserve">“This aspect of the law proved highly significant in cases where the birth mother was </w:t>
      </w:r>
      <w:proofErr w:type="gramStart"/>
      <w:r w:rsidRPr="00CA0DE8">
        <w:rPr>
          <w:b/>
          <w:lang w:bidi="th-TH"/>
        </w:rPr>
        <w:t>Pākehā</w:t>
      </w:r>
      <w:proofErr w:type="gramEnd"/>
      <w:r w:rsidRPr="00CA0DE8">
        <w:rPr>
          <w:b/>
          <w:lang w:bidi="th-TH"/>
        </w:rPr>
        <w:t xml:space="preserve"> and the father was of Māori heritage. Māori social workers recalled many cases where the birth father’s family, especially the grandparents, wanted to adopt the child, but had no standing and were not permitted to do so.”</w:t>
      </w:r>
    </w:p>
    <w:p w14:paraId="3D6BD657" w14:textId="5A601A8E" w:rsidR="00A1649C" w:rsidRPr="00CA0DE8" w:rsidRDefault="00A1649C" w:rsidP="00CA0DE8">
      <w:pPr>
        <w:pStyle w:val="AllQuotes"/>
        <w:rPr>
          <w:b/>
          <w:lang w:bidi="th-TH"/>
        </w:rPr>
      </w:pPr>
      <w:r w:rsidRPr="00CA0DE8">
        <w:rPr>
          <w:b/>
          <w:lang w:bidi="th-TH"/>
        </w:rPr>
        <w:t>Dr Anne Else</w:t>
      </w:r>
    </w:p>
    <w:p w14:paraId="6D0A959A" w14:textId="77777777" w:rsidR="00A1649C" w:rsidRPr="00CA0DE8" w:rsidRDefault="00A1649C" w:rsidP="00CA0DE8">
      <w:pPr>
        <w:pStyle w:val="AllQuotes"/>
        <w:rPr>
          <w:b/>
          <w:lang w:bidi="th-TH"/>
        </w:rPr>
      </w:pPr>
      <w:r w:rsidRPr="00CA0DE8">
        <w:rPr>
          <w:b/>
          <w:lang w:bidi="th-TH"/>
        </w:rPr>
        <w:t>Author of ‘A question of adoption: Closed stranger adoption in New Zealand, 1944–1974’</w:t>
      </w:r>
    </w:p>
    <w:p w14:paraId="55BA2902" w14:textId="4A1A3885" w:rsidR="00A1649C" w:rsidRPr="004A0212" w:rsidRDefault="00A1649C" w:rsidP="0A27D6D4">
      <w:pPr>
        <w:pStyle w:val="AllNumbparas"/>
        <w:numPr>
          <w:ilvl w:val="0"/>
          <w:numId w:val="0"/>
        </w:numPr>
      </w:pPr>
    </w:p>
    <w:p w14:paraId="5961DE63" w14:textId="77010B22" w:rsidR="00E53DCB" w:rsidRPr="004A0212" w:rsidRDefault="00D434AD" w:rsidP="00E53DCB">
      <w:pPr>
        <w:pStyle w:val="Heading1"/>
        <w:rPr>
          <w:color w:val="222222"/>
          <w:sz w:val="22"/>
          <w:szCs w:val="22"/>
        </w:rPr>
      </w:pPr>
      <w:bookmarkStart w:id="575" w:name="_Toc1132233643"/>
      <w:bookmarkStart w:id="576" w:name="_Toc168639053"/>
      <w:proofErr w:type="spellStart"/>
      <w:r w:rsidRPr="004A0212">
        <w:t>Ū</w:t>
      </w:r>
      <w:r w:rsidR="3CFDEB89" w:rsidRPr="004A0212">
        <w:t>poko</w:t>
      </w:r>
      <w:proofErr w:type="spellEnd"/>
      <w:r w:rsidR="3CFDEB89" w:rsidRPr="004A0212">
        <w:t xml:space="preserve"> 10: </w:t>
      </w:r>
      <w:proofErr w:type="spellStart"/>
      <w:r w:rsidR="3CFDEB89" w:rsidRPr="004A0212">
        <w:t>Ngā</w:t>
      </w:r>
      <w:proofErr w:type="spellEnd"/>
      <w:r w:rsidR="3CFDEB89" w:rsidRPr="004A0212">
        <w:t xml:space="preserve"> </w:t>
      </w:r>
      <w:proofErr w:type="spellStart"/>
      <w:r w:rsidR="11905632" w:rsidRPr="004A0212">
        <w:t>whakaritenga</w:t>
      </w:r>
      <w:proofErr w:type="spellEnd"/>
      <w:r w:rsidR="11905632" w:rsidRPr="004A0212">
        <w:t xml:space="preserve"> </w:t>
      </w:r>
      <w:proofErr w:type="spellStart"/>
      <w:r w:rsidR="11905632" w:rsidRPr="004A0212">
        <w:t>taurima</w:t>
      </w:r>
      <w:proofErr w:type="spellEnd"/>
      <w:r w:rsidR="5F89B798" w:rsidRPr="004A0212">
        <w:t xml:space="preserve"> </w:t>
      </w:r>
      <w:r w:rsidR="11905632" w:rsidRPr="004A0212">
        <w:t xml:space="preserve">ā-Kāwanatanga </w:t>
      </w:r>
      <w:proofErr w:type="spellStart"/>
      <w:r w:rsidR="11905632" w:rsidRPr="004A0212">
        <w:t>i</w:t>
      </w:r>
      <w:proofErr w:type="spellEnd"/>
      <w:r w:rsidR="11905632" w:rsidRPr="004A0212">
        <w:t xml:space="preserve"> </w:t>
      </w:r>
      <w:proofErr w:type="spellStart"/>
      <w:r w:rsidR="11905632" w:rsidRPr="004A0212">
        <w:t>te</w:t>
      </w:r>
      <w:proofErr w:type="spellEnd"/>
      <w:r w:rsidR="11905632" w:rsidRPr="004A0212">
        <w:t xml:space="preserve"> </w:t>
      </w:r>
      <w:proofErr w:type="spellStart"/>
      <w:r w:rsidR="11905632" w:rsidRPr="004A0212">
        <w:t>wā</w:t>
      </w:r>
      <w:proofErr w:type="spellEnd"/>
      <w:r w:rsidR="11905632" w:rsidRPr="004A0212">
        <w:t xml:space="preserve"> </w:t>
      </w:r>
      <w:proofErr w:type="spellStart"/>
      <w:r w:rsidR="11905632" w:rsidRPr="004A0212">
        <w:t>Pakirehua</w:t>
      </w:r>
      <w:bookmarkEnd w:id="575"/>
      <w:bookmarkEnd w:id="576"/>
      <w:proofErr w:type="spellEnd"/>
      <w:r w:rsidR="11905632" w:rsidRPr="004A0212">
        <w:t xml:space="preserve"> </w:t>
      </w:r>
    </w:p>
    <w:p w14:paraId="5B3208EC" w14:textId="0103DAFD" w:rsidR="00ED6580" w:rsidRPr="004A0212" w:rsidRDefault="6A9490CD" w:rsidP="0042107B">
      <w:pPr>
        <w:pStyle w:val="Heading1"/>
      </w:pPr>
      <w:bookmarkStart w:id="577" w:name="_Toc1468377198"/>
      <w:bookmarkStart w:id="578" w:name="_Toc168639054"/>
      <w:r w:rsidRPr="004A0212">
        <w:t xml:space="preserve">Chapter </w:t>
      </w:r>
      <w:r w:rsidR="6FE8D438" w:rsidRPr="004A0212">
        <w:t>10</w:t>
      </w:r>
      <w:r w:rsidRPr="004A0212">
        <w:t xml:space="preserve">: </w:t>
      </w:r>
      <w:r w:rsidR="6F0B2B3C" w:rsidRPr="004A0212">
        <w:t xml:space="preserve">State-based care settings </w:t>
      </w:r>
      <w:bookmarkEnd w:id="436"/>
      <w:bookmarkEnd w:id="437"/>
      <w:r w:rsidR="18B7F248" w:rsidRPr="004A0212">
        <w:t>during the Inquiry period</w:t>
      </w:r>
      <w:bookmarkEnd w:id="577"/>
      <w:bookmarkEnd w:id="578"/>
    </w:p>
    <w:p w14:paraId="00B5C154" w14:textId="77777777" w:rsidR="0062717F" w:rsidRPr="004A0212" w:rsidRDefault="14CBC11D" w:rsidP="0062717F">
      <w:pPr>
        <w:pStyle w:val="AllNumbparas"/>
      </w:pPr>
      <w:r w:rsidRPr="004A0212">
        <w:t xml:space="preserve">Throughout the Inquiry period there were many different State care settings, managed by different government departments and involving a huge range of different staff, professions, legislation, policy and practice. A single survivor could move from foster care to a children’s short-stay facility, to a long-term facility and then on to a borstal, corrective training or a psychiatric institution. </w:t>
      </w:r>
    </w:p>
    <w:p w14:paraId="57C66079" w14:textId="6051A34E" w:rsidR="0062717F" w:rsidRPr="004A0212" w:rsidRDefault="07D39393" w:rsidP="0062717F">
      <w:pPr>
        <w:pStyle w:val="Heading2"/>
      </w:pPr>
      <w:bookmarkStart w:id="579" w:name="_Toc11884108"/>
      <w:bookmarkStart w:id="580" w:name="_Toc168639055"/>
      <w:proofErr w:type="spellStart"/>
      <w:r w:rsidRPr="004A0212">
        <w:t>Tokoora</w:t>
      </w:r>
      <w:proofErr w:type="spellEnd"/>
      <w:r w:rsidRPr="004A0212">
        <w:t xml:space="preserve"> </w:t>
      </w:r>
      <w:proofErr w:type="spellStart"/>
      <w:r w:rsidRPr="004A0212">
        <w:t>Pāpori</w:t>
      </w:r>
      <w:proofErr w:type="spellEnd"/>
      <w:r w:rsidRPr="004A0212">
        <w:t xml:space="preserve"> </w:t>
      </w:r>
      <w:r w:rsidR="0083663E">
        <w:t>|</w:t>
      </w:r>
      <w:r w:rsidRPr="004A0212">
        <w:t xml:space="preserve"> Social welfare 1950</w:t>
      </w:r>
      <w:r w:rsidR="017E1461" w:rsidRPr="004A0212">
        <w:t>–</w:t>
      </w:r>
      <w:r w:rsidRPr="004A0212">
        <w:t>1999</w:t>
      </w:r>
      <w:bookmarkEnd w:id="579"/>
      <w:bookmarkEnd w:id="580"/>
    </w:p>
    <w:p w14:paraId="706FDB32" w14:textId="1AEC6162" w:rsidR="0062717F" w:rsidRPr="004A0212" w:rsidRDefault="07D39393" w:rsidP="0062717F">
      <w:pPr>
        <w:pStyle w:val="Heading3"/>
      </w:pPr>
      <w:bookmarkStart w:id="581" w:name="_Toc2077624632"/>
      <w:bookmarkStart w:id="582" w:name="_Toc168639056"/>
      <w:proofErr w:type="spellStart"/>
      <w:r w:rsidRPr="004A0212">
        <w:rPr>
          <w:lang w:val="en-US"/>
        </w:rPr>
        <w:t>Te</w:t>
      </w:r>
      <w:proofErr w:type="spellEnd"/>
      <w:r w:rsidRPr="004A0212">
        <w:rPr>
          <w:lang w:val="en-US"/>
        </w:rPr>
        <w:t xml:space="preserve"> </w:t>
      </w:r>
      <w:proofErr w:type="spellStart"/>
      <w:r w:rsidRPr="004A0212">
        <w:rPr>
          <w:lang w:val="en-US"/>
        </w:rPr>
        <w:t>ture</w:t>
      </w:r>
      <w:proofErr w:type="spellEnd"/>
      <w:r w:rsidRPr="004A0212">
        <w:rPr>
          <w:lang w:val="en-US"/>
        </w:rPr>
        <w:t xml:space="preserve"> </w:t>
      </w:r>
      <w:proofErr w:type="spellStart"/>
      <w:r w:rsidRPr="004A0212">
        <w:rPr>
          <w:lang w:val="en-US"/>
        </w:rPr>
        <w:t>Tokoora</w:t>
      </w:r>
      <w:proofErr w:type="spellEnd"/>
      <w:r w:rsidRPr="004A0212">
        <w:rPr>
          <w:lang w:val="en-US"/>
        </w:rPr>
        <w:t xml:space="preserve"> Tamariki </w:t>
      </w:r>
      <w:r w:rsidR="0083663E">
        <w:rPr>
          <w:lang w:val="en-US"/>
        </w:rPr>
        <w:t>|</w:t>
      </w:r>
      <w:r w:rsidRPr="004A0212">
        <w:rPr>
          <w:lang w:val="en-US"/>
        </w:rPr>
        <w:t xml:space="preserve"> </w:t>
      </w:r>
      <w:r w:rsidRPr="004A0212">
        <w:t>Child Welfare legislation</w:t>
      </w:r>
      <w:bookmarkEnd w:id="581"/>
      <w:bookmarkEnd w:id="582"/>
      <w:r w:rsidRPr="004A0212">
        <w:t xml:space="preserve"> </w:t>
      </w:r>
    </w:p>
    <w:p w14:paraId="0E38FF49" w14:textId="77777777" w:rsidR="0062717F" w:rsidRPr="004A0212" w:rsidRDefault="14CBC11D" w:rsidP="0062717F">
      <w:pPr>
        <w:pStyle w:val="Numbparas"/>
      </w:pPr>
      <w:r w:rsidRPr="004A0212">
        <w:t>There were three key Acts across the Inquiry period governing child welfare and out of home placements. The first was the Child Welfare Act 1925.</w:t>
      </w:r>
      <w:r w:rsidR="0062717F" w:rsidRPr="004A0212">
        <w:rPr>
          <w:rStyle w:val="StyleFootnoteReferenceFagoFunotenzeichenFagoFunotenzeichen"/>
        </w:rPr>
        <w:footnoteReference w:id="503"/>
      </w:r>
      <w:r w:rsidRPr="004A0212">
        <w:rPr>
          <w:rStyle w:val="normaltextrun"/>
        </w:rPr>
        <w:t xml:space="preserve"> </w:t>
      </w:r>
      <w:r w:rsidRPr="004A0212">
        <w:t>The 1925 Act did not separate the care and protection of children from youth justice issues. Whether children and young people had broken the law or were in an unsuitable home environment, the State viewed them as in need of care and protection.</w:t>
      </w:r>
      <w:r w:rsidR="0062717F" w:rsidRPr="004A0212">
        <w:rPr>
          <w:rStyle w:val="StyleFootnoteReferenceFagoFunotenzeichenFagoFunotenzeichen"/>
        </w:rPr>
        <w:footnoteReference w:id="504"/>
      </w:r>
      <w:r w:rsidRPr="004A0212">
        <w:t xml:space="preserve"> </w:t>
      </w:r>
    </w:p>
    <w:p w14:paraId="3BA63936" w14:textId="77777777" w:rsidR="0062717F" w:rsidRPr="004A0212" w:rsidRDefault="14CBC11D" w:rsidP="0062717F">
      <w:pPr>
        <w:pStyle w:val="Numbparas"/>
      </w:pPr>
      <w:r w:rsidRPr="004A0212">
        <w:t>The Children and Young Persons Act 1974 replaced the Child Welfare Act 1925. Like the 1925 Act, the 1974 Act did not distinguish between youth justice and care and protection. The 1974 Act did, however, distinguish between children (those under 14 years old) and young people (15 to 16 years old) with the intention of diverting children away from the court system.</w:t>
      </w:r>
      <w:r w:rsidR="0062717F" w:rsidRPr="004A0212">
        <w:rPr>
          <w:rStyle w:val="StyleFootnoteReferenceFagoFunotenzeichenFagoFunotenzeichen"/>
        </w:rPr>
        <w:footnoteReference w:id="505"/>
      </w:r>
    </w:p>
    <w:p w14:paraId="72ED8E1A" w14:textId="7E4CE52D" w:rsidR="0062717F" w:rsidRPr="004A0212" w:rsidRDefault="14CBC11D" w:rsidP="0062717F">
      <w:pPr>
        <w:pStyle w:val="Numbparas"/>
      </w:pPr>
      <w:r w:rsidRPr="004A0212">
        <w:t xml:space="preserve">The Children, Young Persons and Their Families 1989 Act placed a focus on working with a child’s whānau </w:t>
      </w:r>
      <w:proofErr w:type="gramStart"/>
      <w:r w:rsidRPr="004A0212">
        <w:t>in an attempt to</w:t>
      </w:r>
      <w:proofErr w:type="gramEnd"/>
      <w:r w:rsidRPr="004A0212">
        <w:t xml:space="preserve"> give them more authority and power to make decisions about their children. That decision-making process was intended to be bolstered by the establishment of family group conferences where whānau could participate in the decision</w:t>
      </w:r>
      <w:r w:rsidR="0E31ABB6" w:rsidRPr="004A0212">
        <w:t>-</w:t>
      </w:r>
      <w:r w:rsidRPr="004A0212">
        <w:t>making process.</w:t>
      </w:r>
      <w:r w:rsidR="0062717F" w:rsidRPr="004A0212">
        <w:rPr>
          <w:rStyle w:val="StyleFootnoteReferenceFagoFunotenzeichenFagoFunotenzeichen"/>
        </w:rPr>
        <w:footnoteReference w:id="506"/>
      </w:r>
    </w:p>
    <w:p w14:paraId="0137315A" w14:textId="0636E8F0" w:rsidR="0062717F" w:rsidRPr="004A0212" w:rsidRDefault="07D39393" w:rsidP="02397200">
      <w:pPr>
        <w:pStyle w:val="Hed4"/>
      </w:pPr>
      <w:bookmarkStart w:id="583" w:name="_Toc606686880"/>
      <w:bookmarkStart w:id="584" w:name="_Toc168639057"/>
      <w:proofErr w:type="spellStart"/>
      <w:r w:rsidRPr="44ADDF6E">
        <w:rPr>
          <w:lang w:val="en-US"/>
        </w:rPr>
        <w:t>Te</w:t>
      </w:r>
      <w:proofErr w:type="spellEnd"/>
      <w:r w:rsidRPr="44ADDF6E">
        <w:rPr>
          <w:lang w:val="en-US"/>
        </w:rPr>
        <w:t xml:space="preserve"> Tari me </w:t>
      </w:r>
      <w:proofErr w:type="spellStart"/>
      <w:r w:rsidRPr="44ADDF6E">
        <w:rPr>
          <w:lang w:val="en-US"/>
        </w:rPr>
        <w:t>āna</w:t>
      </w:r>
      <w:proofErr w:type="spellEnd"/>
      <w:r w:rsidRPr="44ADDF6E">
        <w:rPr>
          <w:lang w:val="en-US"/>
        </w:rPr>
        <w:t xml:space="preserve"> </w:t>
      </w:r>
      <w:proofErr w:type="spellStart"/>
      <w:r w:rsidRPr="44ADDF6E">
        <w:rPr>
          <w:lang w:val="en-US"/>
        </w:rPr>
        <w:t>kaiārahi</w:t>
      </w:r>
      <w:bookmarkEnd w:id="583"/>
      <w:proofErr w:type="spellEnd"/>
      <w:r w:rsidR="0083663E" w:rsidRPr="44ADDF6E">
        <w:rPr>
          <w:lang w:val="en-US"/>
        </w:rPr>
        <w:t xml:space="preserve"> |</w:t>
      </w:r>
      <w:r w:rsidRPr="44ADDF6E">
        <w:rPr>
          <w:lang w:val="en-US"/>
        </w:rPr>
        <w:t xml:space="preserve"> </w:t>
      </w:r>
      <w:bookmarkStart w:id="585" w:name="_Toc646052190"/>
      <w:r w:rsidRPr="44ADDF6E">
        <w:rPr>
          <w:lang w:val="en-US"/>
        </w:rPr>
        <w:t>The Department and its leadership</w:t>
      </w:r>
      <w:bookmarkEnd w:id="584"/>
      <w:bookmarkEnd w:id="585"/>
    </w:p>
    <w:p w14:paraId="3D6CF1DB" w14:textId="4B20D858" w:rsidR="0062717F" w:rsidRPr="004A0212" w:rsidRDefault="14CBC11D" w:rsidP="0062717F">
      <w:pPr>
        <w:pStyle w:val="Numbparas"/>
      </w:pPr>
      <w:r w:rsidRPr="004A0212">
        <w:t>Departmental responsibility for administering child welfare legislation underwent several changes during the Inquiry period. For the first two decades of the Inquiry period</w:t>
      </w:r>
      <w:r w:rsidR="7DDAB51B" w:rsidRPr="004A0212">
        <w:t>,</w:t>
      </w:r>
      <w:r w:rsidRPr="004A0212">
        <w:t xml:space="preserve"> the Child Welfare Branch within the Department of Education was responsible for the welfare of all children and young people, under the Child Welfare Act 1925.</w:t>
      </w:r>
      <w:r w:rsidR="0062717F" w:rsidRPr="004A0212">
        <w:rPr>
          <w:rStyle w:val="StyleFootnoteReferenceFagoFunotenzeichenFagoFunotenzeichen"/>
        </w:rPr>
        <w:footnoteReference w:id="507"/>
      </w:r>
    </w:p>
    <w:p w14:paraId="17874630" w14:textId="6700FDA2" w:rsidR="0062717F" w:rsidRPr="004A0212" w:rsidRDefault="14CBC11D" w:rsidP="0062717F">
      <w:pPr>
        <w:pStyle w:val="Numbparas"/>
      </w:pPr>
      <w:r w:rsidRPr="004A0212">
        <w:t xml:space="preserve">From 1972, the newly established Department of Social Welfare took over responsibility for child welfare from the Department of Education. The Children and Young Persons Act 1974 governed the </w:t>
      </w:r>
      <w:r w:rsidR="7D28DBAB" w:rsidRPr="004A0212">
        <w:t xml:space="preserve">department’s </w:t>
      </w:r>
      <w:r w:rsidRPr="004A0212">
        <w:t>work until 1989, with the introduction of the Children, Young Persons, and Their Families Act 1989.</w:t>
      </w:r>
    </w:p>
    <w:p w14:paraId="3B9C6665" w14:textId="77777777" w:rsidR="0062717F" w:rsidRPr="004A0212" w:rsidRDefault="14CBC11D" w:rsidP="0062717F">
      <w:pPr>
        <w:pStyle w:val="Numbparas"/>
      </w:pPr>
      <w:r w:rsidRPr="004A0212">
        <w:t>Between 1950 and 1999, the following people were responsible for the administration of child welfare in New Zealand:</w:t>
      </w:r>
    </w:p>
    <w:p w14:paraId="7A110B0D" w14:textId="7BE0615D" w:rsidR="0062717F" w:rsidRPr="004A0212" w:rsidRDefault="0062717F" w:rsidP="005F640D">
      <w:pPr>
        <w:pStyle w:val="Bulletpoints"/>
      </w:pPr>
      <w:r w:rsidRPr="004A0212">
        <w:t xml:space="preserve">between 1950 and 1972, the </w:t>
      </w:r>
      <w:r w:rsidR="00DD530A" w:rsidRPr="004A0212">
        <w:t xml:space="preserve">superintendent </w:t>
      </w:r>
      <w:r w:rsidRPr="004A0212">
        <w:t xml:space="preserve">of the Child Welfare Division within the Department of Education. The </w:t>
      </w:r>
      <w:r w:rsidR="00DD530A" w:rsidRPr="004A0212">
        <w:t xml:space="preserve">superintendent </w:t>
      </w:r>
      <w:r w:rsidRPr="004A0212">
        <w:t>was appointed by the State Services Commission and was answerable to the Minister of Education through the Director of Education.</w:t>
      </w:r>
      <w:r w:rsidRPr="004A0212">
        <w:rPr>
          <w:rStyle w:val="StyleFootnoteReferenceFagoFunotenzeichenFagoFunotenzeichen"/>
        </w:rPr>
        <w:footnoteReference w:id="508"/>
      </w:r>
      <w:r w:rsidRPr="004A0212">
        <w:t xml:space="preserve"> The </w:t>
      </w:r>
      <w:r w:rsidR="00DD530A" w:rsidRPr="004A0212">
        <w:t xml:space="preserve">superintendent </w:t>
      </w:r>
      <w:r w:rsidRPr="004A0212">
        <w:t>was responsible for administering the Child Welfare Act 1925, Part V of the Infants Act 1908 relating to Infant homes,</w:t>
      </w:r>
      <w:r w:rsidRPr="004A0212">
        <w:rPr>
          <w:rStyle w:val="StyleFootnoteReferenceFagoFunotenzeichenFagoFunotenzeichen"/>
        </w:rPr>
        <w:footnoteReference w:id="509"/>
      </w:r>
      <w:r w:rsidRPr="004A0212">
        <w:t xml:space="preserve"> as well as the Child Welfare Division of the Department of Education.</w:t>
      </w:r>
      <w:r w:rsidRPr="004A0212">
        <w:rPr>
          <w:rStyle w:val="StyleFootnoteReferenceFagoFunotenzeichenFagoFunotenzeichen"/>
        </w:rPr>
        <w:footnoteReference w:id="510"/>
      </w:r>
    </w:p>
    <w:p w14:paraId="7AE1F42B" w14:textId="0D0814AC" w:rsidR="0062717F" w:rsidRPr="004A0212" w:rsidRDefault="42CB7D32" w:rsidP="00D668D0">
      <w:pPr>
        <w:pStyle w:val="Bulletpoints"/>
      </w:pPr>
      <w:r w:rsidRPr="004A0212">
        <w:t>The Child Welfare Act 1925 encouraged the use of community-based care rather than institutional care through the use of supervision orders where a Child Welfare Officer (social worker from 1971) would monitor a child at home.</w:t>
      </w:r>
      <w:r w:rsidR="0062717F" w:rsidRPr="004A0212">
        <w:rPr>
          <w:rStyle w:val="StyleFootnoteReferenceFagoFunotenzeichenFagoFunotenzeichen"/>
        </w:rPr>
        <w:footnoteReference w:id="511"/>
      </w:r>
      <w:r w:rsidRPr="004A0212">
        <w:t xml:space="preserve"> Under this Act, the </w:t>
      </w:r>
      <w:r w:rsidR="1B2B6A36" w:rsidRPr="004A0212">
        <w:t xml:space="preserve">superintendent </w:t>
      </w:r>
      <w:r w:rsidRPr="004A0212">
        <w:t xml:space="preserve">could become the person responsible for children and young people if the </w:t>
      </w:r>
      <w:r w:rsidR="1B2B6A36" w:rsidRPr="004A0212">
        <w:t xml:space="preserve">superintendent </w:t>
      </w:r>
      <w:r w:rsidRPr="004A0212">
        <w:t>entered an agreement with a parent or other guardian to take responsibility for a child or young person.</w:t>
      </w:r>
      <w:r w:rsidR="0062717F" w:rsidRPr="004A0212">
        <w:rPr>
          <w:rStyle w:val="StyleFootnoteReferenceFagoFunotenzeichenFagoFunotenzeichen"/>
        </w:rPr>
        <w:footnoteReference w:id="512"/>
      </w:r>
      <w:r w:rsidRPr="004A0212">
        <w:t xml:space="preserve"> Judges in the Children’s Court could also</w:t>
      </w:r>
      <w:r w:rsidRPr="004A0212" w:rsidDel="00F04BB4">
        <w:t xml:space="preserve"> </w:t>
      </w:r>
      <w:r w:rsidRPr="004A0212">
        <w:t xml:space="preserve">make a committal order, making the </w:t>
      </w:r>
      <w:r w:rsidR="1B2B6A36" w:rsidRPr="004A0212">
        <w:t xml:space="preserve">superintendent </w:t>
      </w:r>
      <w:r w:rsidRPr="004A0212">
        <w:t>responsible for the care of children and young people.</w:t>
      </w:r>
      <w:r w:rsidR="0062717F" w:rsidRPr="004A0212">
        <w:rPr>
          <w:rStyle w:val="StyleFootnoteReferenceFagoFunotenzeichenFagoFunotenzeichen"/>
        </w:rPr>
        <w:footnoteReference w:id="513"/>
      </w:r>
      <w:r w:rsidRPr="004A0212">
        <w:t xml:space="preserve"> Under either of these arrangements, the </w:t>
      </w:r>
      <w:r w:rsidR="1B2B6A36" w:rsidRPr="004A0212">
        <w:t xml:space="preserve">superintendent </w:t>
      </w:r>
      <w:r w:rsidRPr="004A0212">
        <w:t>became the sole guardian of the child or young person</w:t>
      </w:r>
      <w:r w:rsidR="0062717F" w:rsidRPr="004A0212">
        <w:rPr>
          <w:rStyle w:val="StyleFootnoteReferenceFagoFunotenzeichenFagoFunotenzeichen"/>
        </w:rPr>
        <w:footnoteReference w:id="514"/>
      </w:r>
      <w:r w:rsidRPr="004A0212">
        <w:t xml:space="preserve"> and had a duty to act with due expertise, skill and care in making any decisions which affected the child or young person’s wellbeing, care and development.</w:t>
      </w:r>
      <w:r w:rsidR="0062717F" w:rsidRPr="004A0212">
        <w:rPr>
          <w:rStyle w:val="StyleFootnoteReferenceFagoFunotenzeichenFagoFunotenzeichen"/>
        </w:rPr>
        <w:footnoteReference w:id="515"/>
      </w:r>
    </w:p>
    <w:p w14:paraId="49611EF7" w14:textId="00AC7A97" w:rsidR="0062717F" w:rsidRPr="004A0212" w:rsidRDefault="42CB7D32" w:rsidP="00D668D0">
      <w:pPr>
        <w:pStyle w:val="Bulletpoints"/>
      </w:pPr>
      <w:r w:rsidRPr="004A0212">
        <w:t xml:space="preserve">From 1974 to 1989, the </w:t>
      </w:r>
      <w:r w:rsidR="62422388" w:rsidRPr="004A0212">
        <w:t>director</w:t>
      </w:r>
      <w:r w:rsidRPr="004A0212">
        <w:t>-</w:t>
      </w:r>
      <w:r w:rsidR="62422388" w:rsidRPr="004A0212">
        <w:t xml:space="preserve">general </w:t>
      </w:r>
      <w:r w:rsidRPr="004A0212">
        <w:t>was the administrative head of the Department of Social Welfare,</w:t>
      </w:r>
      <w:r w:rsidR="0062717F" w:rsidRPr="004A0212">
        <w:rPr>
          <w:rStyle w:val="StyleFootnoteReferenceFagoFunotenzeichenFagoFunotenzeichen"/>
        </w:rPr>
        <w:footnoteReference w:id="516"/>
      </w:r>
      <w:r w:rsidRPr="004A0212">
        <w:rPr>
          <w:rStyle w:val="StyleFootnoteReferenceFagoFunotenzeichenFagoFunotenzeichen"/>
        </w:rPr>
        <w:t xml:space="preserve"> </w:t>
      </w:r>
      <w:r w:rsidRPr="004A0212">
        <w:t>responsible for providing care, protection, education, training</w:t>
      </w:r>
      <w:r w:rsidR="0062717F" w:rsidRPr="004A0212">
        <w:rPr>
          <w:rStyle w:val="StyleFootnoteReferenceFagoFunotenzeichenFagoFunotenzeichen"/>
        </w:rPr>
        <w:footnoteReference w:id="517"/>
      </w:r>
      <w:r w:rsidR="78AF73F1" w:rsidRPr="004A0212">
        <w:rPr>
          <w:vertAlign w:val="superscript"/>
        </w:rPr>
        <w:t>,</w:t>
      </w:r>
      <w:r w:rsidRPr="004A0212">
        <w:rPr>
          <w:rStyle w:val="StyleFootnoteReferenceFagoFunotenzeichenFagoFunotenzeichen1"/>
        </w:rPr>
        <w:t xml:space="preserve"> </w:t>
      </w:r>
      <w:r w:rsidR="0062717F" w:rsidRPr="004A0212">
        <w:rPr>
          <w:rStyle w:val="StyleFootnoteReferenceFagoFunotenzeichenFagoFunotenzeichen"/>
        </w:rPr>
        <w:footnoteReference w:id="518"/>
      </w:r>
      <w:r w:rsidRPr="004A0212">
        <w:t xml:space="preserve"> </w:t>
      </w:r>
    </w:p>
    <w:p w14:paraId="2DEDC19F" w14:textId="1F2C2C5E" w:rsidR="0062717F" w:rsidRPr="004A0212" w:rsidRDefault="42CB7D32" w:rsidP="00D668D0">
      <w:pPr>
        <w:pStyle w:val="Bulletpoints"/>
      </w:pPr>
      <w:r w:rsidRPr="004A0212">
        <w:t xml:space="preserve">Where the </w:t>
      </w:r>
      <w:r w:rsidR="62422388" w:rsidRPr="004A0212">
        <w:t>director</w:t>
      </w:r>
      <w:r w:rsidRPr="004A0212">
        <w:t>-</w:t>
      </w:r>
      <w:r w:rsidR="62422388" w:rsidRPr="004A0212">
        <w:t xml:space="preserve">general </w:t>
      </w:r>
      <w:r w:rsidRPr="004A0212">
        <w:t xml:space="preserve">was the child's or young person’s sole guardian, </w:t>
      </w:r>
      <w:r w:rsidR="0B9D5DC2" w:rsidRPr="004A0212">
        <w:t>they were</w:t>
      </w:r>
      <w:r w:rsidRPr="004A0212">
        <w:t xml:space="preserve"> responsible for decisions about where and with whom the child or young person lived.</w:t>
      </w:r>
      <w:r w:rsidR="0062717F" w:rsidRPr="004A0212">
        <w:rPr>
          <w:rStyle w:val="StyleFootnoteReferenceFagoFunotenzeichenFagoFunotenzeichen"/>
        </w:rPr>
        <w:footnoteReference w:id="519"/>
      </w:r>
      <w:r w:rsidRPr="004A0212">
        <w:t> </w:t>
      </w:r>
    </w:p>
    <w:p w14:paraId="1529CD14" w14:textId="7D99E6DB" w:rsidR="0062717F" w:rsidRPr="004A0212" w:rsidRDefault="42CB7D32" w:rsidP="00D668D0">
      <w:pPr>
        <w:pStyle w:val="Bulletpoints"/>
      </w:pPr>
      <w:r w:rsidRPr="004A0212">
        <w:t xml:space="preserve">Under the Children, Young Persons, and Their Families Act 1989 the </w:t>
      </w:r>
      <w:r w:rsidR="62422388" w:rsidRPr="004A0212">
        <w:t>director</w:t>
      </w:r>
      <w:r w:rsidR="5032D8CC" w:rsidRPr="004A0212">
        <w:t>-</w:t>
      </w:r>
      <w:r w:rsidR="62422388" w:rsidRPr="004A0212">
        <w:t>g</w:t>
      </w:r>
      <w:r w:rsidRPr="004A0212">
        <w:t xml:space="preserve">eneral (known as the </w:t>
      </w:r>
      <w:r w:rsidR="5032D8CC" w:rsidRPr="004A0212">
        <w:t xml:space="preserve">chief executive </w:t>
      </w:r>
      <w:r w:rsidRPr="004A0212">
        <w:t>from the early 1990s) was responsible for a comprehensive approach to the welfare and protection of children and young persons, considering cultural diversity, preventing child abuse, and maintaining high standards in service provision.</w:t>
      </w:r>
      <w:r w:rsidR="0062717F" w:rsidRPr="004A0212">
        <w:rPr>
          <w:rStyle w:val="StyleFootnoteReferenceFagoFunotenzeichenFagoFunotenzeichen"/>
        </w:rPr>
        <w:footnoteReference w:id="520"/>
      </w:r>
    </w:p>
    <w:p w14:paraId="7FAD2359" w14:textId="3D53099A" w:rsidR="0062717F" w:rsidRPr="004A0212" w:rsidRDefault="07D39393" w:rsidP="02397200">
      <w:pPr>
        <w:pStyle w:val="Hed4"/>
        <w:rPr>
          <w:i/>
          <w:lang w:val="en-US"/>
        </w:rPr>
      </w:pPr>
      <w:bookmarkStart w:id="586" w:name="_Toc2058602278"/>
      <w:bookmarkStart w:id="587" w:name="_Toc168639058"/>
      <w:proofErr w:type="spellStart"/>
      <w:r w:rsidRPr="700D4309">
        <w:rPr>
          <w:lang w:val="en-US"/>
        </w:rPr>
        <w:t>Ngā</w:t>
      </w:r>
      <w:proofErr w:type="spellEnd"/>
      <w:r w:rsidRPr="700D4309">
        <w:rPr>
          <w:lang w:val="en-US"/>
        </w:rPr>
        <w:t xml:space="preserve"> </w:t>
      </w:r>
      <w:proofErr w:type="spellStart"/>
      <w:r w:rsidRPr="700D4309">
        <w:rPr>
          <w:lang w:val="en-US"/>
        </w:rPr>
        <w:t>kaimahi</w:t>
      </w:r>
      <w:proofErr w:type="spellEnd"/>
      <w:r w:rsidRPr="700D4309">
        <w:rPr>
          <w:lang w:val="en-US"/>
        </w:rPr>
        <w:t xml:space="preserve"> me </w:t>
      </w:r>
      <w:proofErr w:type="spellStart"/>
      <w:r w:rsidRPr="700D4309">
        <w:rPr>
          <w:lang w:val="en-US"/>
        </w:rPr>
        <w:t>te</w:t>
      </w:r>
      <w:proofErr w:type="spellEnd"/>
      <w:r w:rsidRPr="700D4309">
        <w:rPr>
          <w:lang w:val="en-US"/>
        </w:rPr>
        <w:t xml:space="preserve"> </w:t>
      </w:r>
      <w:proofErr w:type="spellStart"/>
      <w:r w:rsidRPr="700D4309">
        <w:rPr>
          <w:lang w:val="en-US"/>
        </w:rPr>
        <w:t>whakahaerenga</w:t>
      </w:r>
      <w:proofErr w:type="spellEnd"/>
      <w:r w:rsidRPr="700D4309">
        <w:rPr>
          <w:lang w:val="en-US"/>
        </w:rPr>
        <w:t xml:space="preserve"> 1950</w:t>
      </w:r>
      <w:r w:rsidR="005F640D" w:rsidRPr="700D4309">
        <w:rPr>
          <w:lang w:val="en-US"/>
        </w:rPr>
        <w:t xml:space="preserve"> </w:t>
      </w:r>
      <w:r w:rsidR="3E90BA9D" w:rsidRPr="700D4309">
        <w:rPr>
          <w:lang w:val="en-US"/>
        </w:rPr>
        <w:t>–</w:t>
      </w:r>
      <w:r w:rsidRPr="700D4309">
        <w:rPr>
          <w:lang w:val="en-US"/>
        </w:rPr>
        <w:t xml:space="preserve"> 1999</w:t>
      </w:r>
      <w:bookmarkEnd w:id="586"/>
      <w:r w:rsidRPr="700D4309">
        <w:rPr>
          <w:lang w:val="en-US"/>
        </w:rPr>
        <w:t xml:space="preserve"> </w:t>
      </w:r>
      <w:r w:rsidR="005F640D" w:rsidRPr="700D4309">
        <w:rPr>
          <w:lang w:val="en-US"/>
        </w:rPr>
        <w:t xml:space="preserve">| </w:t>
      </w:r>
      <w:bookmarkStart w:id="588" w:name="_Toc497996645"/>
      <w:r w:rsidRPr="700D4309">
        <w:rPr>
          <w:lang w:val="en-US"/>
        </w:rPr>
        <w:t>Staff and structure 1950</w:t>
      </w:r>
      <w:r w:rsidR="005F640D" w:rsidRPr="700D4309">
        <w:rPr>
          <w:lang w:val="en-US"/>
        </w:rPr>
        <w:t xml:space="preserve"> </w:t>
      </w:r>
      <w:r w:rsidR="3E90BA9D" w:rsidRPr="700D4309">
        <w:rPr>
          <w:lang w:val="en-US"/>
        </w:rPr>
        <w:t>–</w:t>
      </w:r>
      <w:r w:rsidRPr="700D4309">
        <w:rPr>
          <w:lang w:val="en-US"/>
        </w:rPr>
        <w:t xml:space="preserve"> 1999</w:t>
      </w:r>
      <w:bookmarkEnd w:id="587"/>
      <w:bookmarkEnd w:id="588"/>
    </w:p>
    <w:p w14:paraId="3031F82E" w14:textId="1915437E" w:rsidR="0062717F" w:rsidRPr="004A0212" w:rsidRDefault="14CBC11D" w:rsidP="0062717F">
      <w:pPr>
        <w:pStyle w:val="Numbparas"/>
      </w:pPr>
      <w:r w:rsidRPr="004A0212">
        <w:t xml:space="preserve">The Child Welfare Division was organised into administrative, field, institution and clerical workers. Head office in Te Whanganui-a-Tara Wellington was responsible for national administration, and included the </w:t>
      </w:r>
      <w:r w:rsidR="37691FFC" w:rsidRPr="004A0212">
        <w:t>superintendent</w:t>
      </w:r>
      <w:r w:rsidRPr="004A0212">
        <w:t xml:space="preserve">, a </w:t>
      </w:r>
      <w:r w:rsidR="37691FFC" w:rsidRPr="004A0212">
        <w:t>deputy superintendent</w:t>
      </w:r>
      <w:r w:rsidRPr="004A0212">
        <w:t xml:space="preserve">, and two supervisors responsible for social welfare facilities and field services (the work of social workers in each district). A senior inspector oversaw the performance of district offices and social welfare facilities. A </w:t>
      </w:r>
      <w:r w:rsidR="37691FFC" w:rsidRPr="004A0212">
        <w:t xml:space="preserve">senior boys’ welfare officer </w:t>
      </w:r>
      <w:r w:rsidRPr="004A0212">
        <w:t xml:space="preserve">and </w:t>
      </w:r>
      <w:r w:rsidR="37691FFC" w:rsidRPr="004A0212">
        <w:t xml:space="preserve">senior child welfare officer </w:t>
      </w:r>
      <w:r w:rsidRPr="004A0212">
        <w:t>were responsible for staff training and supervision of case work respectively.</w:t>
      </w:r>
      <w:r w:rsidR="0062717F" w:rsidRPr="004A0212">
        <w:rPr>
          <w:rStyle w:val="StyleFootnoteReferenceFagoFunotenzeichenFagoFunotenzeichen"/>
        </w:rPr>
        <w:footnoteReference w:id="521"/>
      </w:r>
    </w:p>
    <w:p w14:paraId="080AD774" w14:textId="481FBF47" w:rsidR="0062717F" w:rsidRPr="004A0212" w:rsidRDefault="14CBC11D" w:rsidP="0062717F">
      <w:pPr>
        <w:pStyle w:val="Numbparas"/>
      </w:pPr>
      <w:r w:rsidRPr="004A0212">
        <w:t xml:space="preserve">Field work was carried out by district offices around Aotearoa New Zealand, with each district office under the control of a </w:t>
      </w:r>
      <w:r w:rsidR="37691FFC" w:rsidRPr="004A0212">
        <w:t>district child welfare officer</w:t>
      </w:r>
      <w:r w:rsidRPr="004A0212">
        <w:t>. They were responsible, among other things, for boys</w:t>
      </w:r>
      <w:r w:rsidR="37691FFC" w:rsidRPr="004A0212">
        <w:t>’</w:t>
      </w:r>
      <w:r w:rsidRPr="004A0212">
        <w:t xml:space="preserve"> and girls</w:t>
      </w:r>
      <w:r w:rsidR="37691FFC" w:rsidRPr="004A0212">
        <w:t>’</w:t>
      </w:r>
      <w:r w:rsidRPr="004A0212">
        <w:t xml:space="preserve"> homes, receiving homes and Family Homes in their district, as well as the Child Welfare Offices attached to their district.</w:t>
      </w:r>
      <w:r w:rsidR="0062717F" w:rsidRPr="004A0212">
        <w:rPr>
          <w:rStyle w:val="StyleFootnoteReferenceFagoFunotenzeichenFagoFunotenzeichen"/>
        </w:rPr>
        <w:footnoteReference w:id="522"/>
      </w:r>
      <w:r w:rsidRPr="004A0212">
        <w:t xml:space="preserve"> District </w:t>
      </w:r>
      <w:r w:rsidR="37691FFC" w:rsidRPr="004A0212">
        <w:t xml:space="preserve">child welfare officers </w:t>
      </w:r>
      <w:r w:rsidRPr="004A0212">
        <w:t xml:space="preserve">reported to National Office in Te Whanganui-a-Tara Wellington, and carried out functions on behalf of the </w:t>
      </w:r>
      <w:r w:rsidR="37691FFC" w:rsidRPr="004A0212">
        <w:t>superintendent</w:t>
      </w:r>
      <w:r w:rsidRPr="004A0212">
        <w:t>.</w:t>
      </w:r>
      <w:r w:rsidR="0062717F" w:rsidRPr="004A0212">
        <w:rPr>
          <w:rStyle w:val="StyleFootnoteReferenceFagoFunotenzeichenFagoFunotenzeichen"/>
        </w:rPr>
        <w:footnoteReference w:id="523"/>
      </w:r>
    </w:p>
    <w:p w14:paraId="22F82F58" w14:textId="4ECFFC1D" w:rsidR="0062717F" w:rsidRPr="004A0212" w:rsidRDefault="0062717F" w:rsidP="0062717F">
      <w:pPr>
        <w:pStyle w:val="Quote"/>
        <w:rPr>
          <w:i w:val="0"/>
          <w:iCs w:val="0"/>
        </w:rPr>
      </w:pPr>
      <w:r w:rsidRPr="004A0212">
        <w:rPr>
          <w:b/>
          <w:bCs/>
          <w:i w:val="0"/>
          <w:iCs w:val="0"/>
        </w:rPr>
        <w:t>Structure chart for the Child Welfare Division before 1972</w:t>
      </w:r>
      <w:r w:rsidRPr="004A0212">
        <w:rPr>
          <w:rStyle w:val="StyleFootnoteReferenceFagoFunotenzeichenFagoFunotenzeichen"/>
        </w:rPr>
        <w:footnoteReference w:id="524"/>
      </w:r>
    </w:p>
    <w:p w14:paraId="263D1145" w14:textId="77777777" w:rsidR="0062717F" w:rsidRPr="004A0212" w:rsidRDefault="0062717F" w:rsidP="0062717F">
      <w:pPr>
        <w:pStyle w:val="Numbparas"/>
        <w:numPr>
          <w:ilvl w:val="0"/>
          <w:numId w:val="0"/>
        </w:numPr>
      </w:pPr>
      <w:r w:rsidRPr="004A0212">
        <w:rPr>
          <w:noProof/>
        </w:rPr>
        <w:drawing>
          <wp:inline distT="0" distB="0" distL="0" distR="0" wp14:anchorId="27DEA651" wp14:editId="239F3157">
            <wp:extent cx="5731510" cy="2954020"/>
            <wp:effectExtent l="0" t="0" r="2540" b="0"/>
            <wp:docPr id="6" name="Picture 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ompan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2954020"/>
                    </a:xfrm>
                    <a:prstGeom prst="rect">
                      <a:avLst/>
                    </a:prstGeom>
                  </pic:spPr>
                </pic:pic>
              </a:graphicData>
            </a:graphic>
          </wp:inline>
        </w:drawing>
      </w:r>
    </w:p>
    <w:p w14:paraId="0FCC56CA" w14:textId="58C610F3" w:rsidR="0062717F" w:rsidRPr="004A0212" w:rsidRDefault="14CBC11D" w:rsidP="0062717F">
      <w:pPr>
        <w:pStyle w:val="Numbparas"/>
      </w:pPr>
      <w:r w:rsidRPr="004A0212">
        <w:rPr>
          <w:rStyle w:val="normaltextrun"/>
          <w:color w:val="000000" w:themeColor="text1"/>
        </w:rPr>
        <w:t xml:space="preserve">While the day-to-day care of children and young people was the responsibility of the residential staff or caregiver, the </w:t>
      </w:r>
      <w:r w:rsidR="37691FFC" w:rsidRPr="004A0212">
        <w:rPr>
          <w:rStyle w:val="normaltextrun"/>
          <w:color w:val="000000" w:themeColor="text1"/>
        </w:rPr>
        <w:t>superintendent</w:t>
      </w:r>
      <w:r w:rsidRPr="004A0212">
        <w:rPr>
          <w:rStyle w:val="normaltextrun"/>
          <w:color w:val="000000" w:themeColor="text1"/>
        </w:rPr>
        <w:t xml:space="preserve">, </w:t>
      </w:r>
      <w:r w:rsidR="283AAC31" w:rsidRPr="004A0212">
        <w:rPr>
          <w:rStyle w:val="normaltextrun"/>
          <w:color w:val="000000" w:themeColor="text1"/>
        </w:rPr>
        <w:t>director</w:t>
      </w:r>
      <w:r w:rsidRPr="004A0212">
        <w:rPr>
          <w:rStyle w:val="normaltextrun"/>
          <w:color w:val="000000" w:themeColor="text1"/>
        </w:rPr>
        <w:t>-</w:t>
      </w:r>
      <w:r w:rsidR="283AAC31" w:rsidRPr="004A0212">
        <w:rPr>
          <w:rStyle w:val="normaltextrun"/>
          <w:color w:val="000000" w:themeColor="text1"/>
        </w:rPr>
        <w:t xml:space="preserve">general </w:t>
      </w:r>
      <w:r w:rsidRPr="004A0212">
        <w:rPr>
          <w:rStyle w:val="normaltextrun"/>
          <w:color w:val="000000" w:themeColor="text1"/>
        </w:rPr>
        <w:t xml:space="preserve">or </w:t>
      </w:r>
      <w:r w:rsidR="37691FFC" w:rsidRPr="004A0212">
        <w:rPr>
          <w:rStyle w:val="normaltextrun"/>
          <w:color w:val="000000" w:themeColor="text1"/>
        </w:rPr>
        <w:t xml:space="preserve">chief executive </w:t>
      </w:r>
      <w:r w:rsidRPr="004A0212">
        <w:rPr>
          <w:rStyle w:val="normaltextrun"/>
          <w:color w:val="000000" w:themeColor="text1"/>
        </w:rPr>
        <w:t xml:space="preserve">relevant to the time was legally responsible for their well-being. They carried out part of that responsibility through delegation to departmental officers and employees such as </w:t>
      </w:r>
      <w:r w:rsidR="594D9B83" w:rsidRPr="004A0212">
        <w:rPr>
          <w:rStyle w:val="normaltextrun"/>
          <w:color w:val="000000" w:themeColor="text1"/>
        </w:rPr>
        <w:t xml:space="preserve">child welfare officers </w:t>
      </w:r>
      <w:r w:rsidRPr="004A0212">
        <w:rPr>
          <w:rStyle w:val="normaltextrun"/>
          <w:color w:val="000000" w:themeColor="text1"/>
        </w:rPr>
        <w:t>and social workers</w:t>
      </w:r>
      <w:r w:rsidRPr="004A0212">
        <w:t>.</w:t>
      </w:r>
      <w:r w:rsidR="0062717F" w:rsidRPr="004A0212">
        <w:rPr>
          <w:rStyle w:val="StyleFootnoteReferenceFagoFunotenzeichenFagoFunotenzeichen"/>
        </w:rPr>
        <w:footnoteReference w:id="525"/>
      </w:r>
      <w:r w:rsidRPr="004A0212">
        <w:t xml:space="preserve"> </w:t>
      </w:r>
    </w:p>
    <w:p w14:paraId="2D2A4B3E" w14:textId="67B9BF44" w:rsidR="0062717F" w:rsidRPr="004A0212" w:rsidRDefault="14CBC11D" w:rsidP="13A9954A">
      <w:pPr>
        <w:pStyle w:val="Numbparas"/>
        <w:rPr>
          <w:rFonts w:ascii="Roboto" w:hAnsi="Roboto"/>
          <w:color w:val="000000" w:themeColor="text1"/>
          <w:sz w:val="21"/>
          <w:szCs w:val="21"/>
        </w:rPr>
      </w:pPr>
      <w:r w:rsidRPr="004A0212">
        <w:t xml:space="preserve">Child </w:t>
      </w:r>
      <w:r w:rsidR="594D9B83" w:rsidRPr="004A0212">
        <w:t xml:space="preserve">welfare officers </w:t>
      </w:r>
      <w:r w:rsidRPr="004A0212">
        <w:t xml:space="preserve">were supervised in district offices by the </w:t>
      </w:r>
      <w:r w:rsidR="594D9B83" w:rsidRPr="004A0212">
        <w:t xml:space="preserve">district child welfare officer </w:t>
      </w:r>
      <w:r w:rsidRPr="004A0212">
        <w:t>(DCWO).</w:t>
      </w:r>
      <w:r w:rsidR="0062717F" w:rsidRPr="004A0212">
        <w:rPr>
          <w:rStyle w:val="StyleFootnoteReferenceFagoFunotenzeichenFagoFunotenzeichen"/>
        </w:rPr>
        <w:footnoteReference w:id="526"/>
      </w:r>
      <w:r w:rsidRPr="004A0212">
        <w:t xml:space="preserve"> Principals of district facilities reported to the local district </w:t>
      </w:r>
      <w:r w:rsidR="594D9B83" w:rsidRPr="004A0212">
        <w:t xml:space="preserve">director </w:t>
      </w:r>
      <w:r w:rsidRPr="004A0212">
        <w:t xml:space="preserve">while </w:t>
      </w:r>
      <w:r w:rsidR="594D9B83" w:rsidRPr="004A0212">
        <w:t xml:space="preserve">principals </w:t>
      </w:r>
      <w:r w:rsidRPr="004A0212">
        <w:t>of the four national facilities (Kohitere</w:t>
      </w:r>
      <w:r w:rsidR="1945FFB1" w:rsidRPr="004A0212">
        <w:t xml:space="preserve"> Boys’ Training Centre</w:t>
      </w:r>
      <w:r w:rsidRPr="004A0212">
        <w:t>, Kingslea</w:t>
      </w:r>
      <w:r w:rsidR="74C019C1" w:rsidRPr="004A0212">
        <w:t xml:space="preserve"> Girls Training </w:t>
      </w:r>
      <w:proofErr w:type="spellStart"/>
      <w:r w:rsidR="74C019C1" w:rsidRPr="004A0212">
        <w:t>Center</w:t>
      </w:r>
      <w:proofErr w:type="spellEnd"/>
      <w:r w:rsidRPr="004A0212">
        <w:t>, Hokio</w:t>
      </w:r>
      <w:r w:rsidR="3E2679AB" w:rsidRPr="004A0212">
        <w:t xml:space="preserve"> Beach School</w:t>
      </w:r>
      <w:r w:rsidRPr="004A0212">
        <w:t xml:space="preserve"> and Fareham House) reported directly to the </w:t>
      </w:r>
      <w:r w:rsidR="594D9B83" w:rsidRPr="004A0212">
        <w:t>director</w:t>
      </w:r>
      <w:r w:rsidRPr="004A0212">
        <w:t>-</w:t>
      </w:r>
      <w:r w:rsidR="594D9B83" w:rsidRPr="004A0212">
        <w:t>general</w:t>
      </w:r>
      <w:r w:rsidRPr="004A0212">
        <w:t>.</w:t>
      </w:r>
      <w:r w:rsidR="0062717F" w:rsidRPr="004A0212">
        <w:rPr>
          <w:rStyle w:val="StyleFootnoteReferenceFagoFunotenzeichenFagoFunotenzeichen"/>
        </w:rPr>
        <w:footnoteReference w:id="527"/>
      </w:r>
      <w:r w:rsidRPr="004A0212">
        <w:rPr>
          <w:rFonts w:ascii="Roboto" w:hAnsi="Roboto"/>
          <w:color w:val="000000"/>
          <w:sz w:val="21"/>
          <w:szCs w:val="21"/>
        </w:rPr>
        <w:t xml:space="preserve"> </w:t>
      </w:r>
    </w:p>
    <w:p w14:paraId="4A95446B" w14:textId="77777777" w:rsidR="0062717F" w:rsidRPr="004A0212" w:rsidRDefault="14CBC11D" w:rsidP="0062717F">
      <w:pPr>
        <w:pStyle w:val="Numbparas"/>
        <w:rPr>
          <w:vertAlign w:val="superscript"/>
        </w:rPr>
      </w:pPr>
      <w:r w:rsidRPr="004A0212">
        <w:t>Under the Child Welfare Act 1925, child welfare officers had broad powers to investigate the circumstances of children and their families, to oversee children under court-ordered supervision, and to inquire into the living situations of illegitimate children and their mothers.</w:t>
      </w:r>
      <w:r w:rsidR="0062717F" w:rsidRPr="004A0212">
        <w:rPr>
          <w:rStyle w:val="StyleFootnoteReferenceFagoFunotenzeichenFagoFunotenzeichen"/>
        </w:rPr>
        <w:footnoteReference w:id="528"/>
      </w:r>
      <w:r w:rsidRPr="004A0212">
        <w:t xml:space="preserve"> A police officer or child welfare officer could apply to the Children’s Court for a warrant to remove children and young people from their home.</w:t>
      </w:r>
      <w:r w:rsidR="0062717F" w:rsidRPr="004A0212">
        <w:rPr>
          <w:rStyle w:val="StyleFootnoteReferenceFagoFunotenzeichenFagoFunotenzeichen"/>
        </w:rPr>
        <w:footnoteReference w:id="529"/>
      </w:r>
      <w:r w:rsidRPr="004A0212">
        <w:t xml:space="preserve"> </w:t>
      </w:r>
    </w:p>
    <w:p w14:paraId="5B6E8DDE" w14:textId="5BAB8BA2" w:rsidR="0062717F" w:rsidRPr="004A0212" w:rsidRDefault="14CBC11D" w:rsidP="0062717F">
      <w:pPr>
        <w:pStyle w:val="Numbparas"/>
      </w:pPr>
      <w:r w:rsidRPr="004A0212">
        <w:rPr>
          <w:rStyle w:val="normaltextrun"/>
          <w:color w:val="000000" w:themeColor="text1"/>
        </w:rPr>
        <w:t xml:space="preserve">The </w:t>
      </w:r>
      <w:r w:rsidR="10AD5EB8" w:rsidRPr="004A0212">
        <w:rPr>
          <w:rStyle w:val="normaltextrun"/>
          <w:color w:val="000000" w:themeColor="text1"/>
        </w:rPr>
        <w:t xml:space="preserve">superintendent </w:t>
      </w:r>
      <w:r w:rsidRPr="004A0212">
        <w:rPr>
          <w:rStyle w:val="normaltextrun"/>
          <w:color w:val="000000" w:themeColor="text1"/>
        </w:rPr>
        <w:t>(or any child welfare officer acting with their delegated authority) had the discretion to place a child or young person who was under a court order in any care setting, anywhere in Aotearoa New Zealand, and they could move them at any time.</w:t>
      </w:r>
      <w:r w:rsidR="0062717F" w:rsidRPr="004A0212">
        <w:rPr>
          <w:rStyle w:val="StyleFootnoteReferenceFagoFunotenzeichenFagoFunotenzeichen"/>
        </w:rPr>
        <w:footnoteReference w:id="530"/>
      </w:r>
      <w:r w:rsidRPr="004A0212">
        <w:t xml:space="preserve"> </w:t>
      </w:r>
      <w:r w:rsidRPr="004A0212">
        <w:rPr>
          <w:rStyle w:val="normaltextrun"/>
          <w:color w:val="000000" w:themeColor="text1"/>
          <w:bdr w:val="none" w:sz="0" w:space="0" w:color="auto" w:frame="1"/>
        </w:rPr>
        <w:t xml:space="preserve">The </w:t>
      </w:r>
      <w:r w:rsidR="10AD5EB8" w:rsidRPr="004A0212">
        <w:rPr>
          <w:rStyle w:val="normaltextrun"/>
          <w:color w:val="000000" w:themeColor="text1"/>
        </w:rPr>
        <w:t xml:space="preserve">superintendent </w:t>
      </w:r>
      <w:r w:rsidRPr="004A0212">
        <w:rPr>
          <w:rStyle w:val="normaltextrun"/>
          <w:color w:val="000000" w:themeColor="text1"/>
          <w:bdr w:val="none" w:sz="0" w:space="0" w:color="auto" w:frame="1"/>
        </w:rPr>
        <w:t xml:space="preserve">or </w:t>
      </w:r>
      <w:r w:rsidR="10AD5EB8" w:rsidRPr="004A0212">
        <w:rPr>
          <w:rStyle w:val="normaltextrun"/>
          <w:color w:val="000000" w:themeColor="text1"/>
        </w:rPr>
        <w:t xml:space="preserve">director-general </w:t>
      </w:r>
      <w:r w:rsidRPr="004A0212">
        <w:rPr>
          <w:rStyle w:val="normaltextrun"/>
          <w:color w:val="000000" w:themeColor="text1"/>
          <w:bdr w:val="none" w:sz="0" w:space="0" w:color="auto" w:frame="1"/>
        </w:rPr>
        <w:t xml:space="preserve">had to personally approve placements for </w:t>
      </w:r>
      <w:proofErr w:type="gramStart"/>
      <w:r w:rsidRPr="004A0212">
        <w:rPr>
          <w:rStyle w:val="normaltextrun"/>
          <w:color w:val="000000" w:themeColor="text1"/>
          <w:bdr w:val="none" w:sz="0" w:space="0" w:color="auto" w:frame="1"/>
        </w:rPr>
        <w:t>particular settings</w:t>
      </w:r>
      <w:proofErr w:type="gramEnd"/>
      <w:r w:rsidRPr="004A0212">
        <w:t>.</w:t>
      </w:r>
      <w:r w:rsidR="001D06DA" w:rsidRPr="004A0212">
        <w:rPr>
          <w:rStyle w:val="FootnoteReference"/>
        </w:rPr>
        <w:footnoteReference w:id="531"/>
      </w:r>
    </w:p>
    <w:p w14:paraId="3B45650D" w14:textId="0C887E82" w:rsidR="0062717F" w:rsidRPr="004A0212" w:rsidRDefault="14CBC11D" w:rsidP="0062717F">
      <w:pPr>
        <w:pStyle w:val="Numbparas"/>
      </w:pPr>
      <w:r w:rsidRPr="004A0212">
        <w:t xml:space="preserve">By the mid-1980s </w:t>
      </w:r>
      <w:r w:rsidR="42ED6754" w:rsidRPr="004A0212">
        <w:t xml:space="preserve">child welfare officers </w:t>
      </w:r>
      <w:r w:rsidRPr="004A0212">
        <w:t xml:space="preserve">were known as social workers. Head Office was focused on overall administration of services, planning and advising the government. Directors of Social Work, Residential Services and Institutions and Family Homes reported to the </w:t>
      </w:r>
      <w:r w:rsidR="42ED6754" w:rsidRPr="004A0212">
        <w:t>director-g</w:t>
      </w:r>
      <w:r w:rsidRPr="004A0212">
        <w:t>eneral. District offices used a mix of specialist and general social work staff to carry out field work around Aotearoa New Zealand.</w:t>
      </w:r>
      <w:r w:rsidR="0062717F" w:rsidRPr="004A0212">
        <w:rPr>
          <w:rStyle w:val="StyleFootnoteReferenceFagoFunotenzeichenFagoFunotenzeichen"/>
        </w:rPr>
        <w:footnoteReference w:id="532"/>
      </w:r>
    </w:p>
    <w:p w14:paraId="704270AC" w14:textId="6AF31414" w:rsidR="0062717F" w:rsidRPr="004A0212" w:rsidRDefault="0062717F" w:rsidP="0062717F">
      <w:pPr>
        <w:pStyle w:val="AllNumbparas"/>
        <w:numPr>
          <w:ilvl w:val="0"/>
          <w:numId w:val="0"/>
        </w:numPr>
        <w:ind w:left="851"/>
        <w:rPr>
          <w:b/>
          <w:bCs w:val="0"/>
        </w:rPr>
      </w:pPr>
      <w:r w:rsidRPr="004A0212">
        <w:rPr>
          <w:b/>
        </w:rPr>
        <w:t>Department of Social Welfare District Office Structure 1986</w:t>
      </w:r>
      <w:r w:rsidRPr="004A0212">
        <w:rPr>
          <w:rStyle w:val="StyleFootnoteReferenceFagoFunotenzeichenFagoFunotenzeichen"/>
        </w:rPr>
        <w:footnoteReference w:id="533"/>
      </w:r>
    </w:p>
    <w:p w14:paraId="3FE9653B" w14:textId="77777777" w:rsidR="0062717F" w:rsidRPr="004A0212" w:rsidRDefault="0062717F" w:rsidP="0062717F">
      <w:pPr>
        <w:pStyle w:val="TSOtherBodyText"/>
      </w:pPr>
      <w:r w:rsidRPr="004A0212">
        <w:rPr>
          <w:noProof/>
        </w:rPr>
        <w:drawing>
          <wp:inline distT="0" distB="0" distL="0" distR="0" wp14:anchorId="2D34AE20" wp14:editId="5908BB18">
            <wp:extent cx="4349974" cy="2209914"/>
            <wp:effectExtent l="0" t="0" r="0" b="0"/>
            <wp:docPr id="7" name="Picture 7"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compan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49974" cy="2209914"/>
                    </a:xfrm>
                    <a:prstGeom prst="rect">
                      <a:avLst/>
                    </a:prstGeom>
                  </pic:spPr>
                </pic:pic>
              </a:graphicData>
            </a:graphic>
          </wp:inline>
        </w:drawing>
      </w:r>
      <w:r w:rsidRPr="004A0212">
        <w:rPr>
          <w:szCs w:val="16"/>
        </w:rPr>
        <w:t xml:space="preserve"> </w:t>
      </w:r>
    </w:p>
    <w:p w14:paraId="77DD4DE4" w14:textId="77777777" w:rsidR="0062717F" w:rsidRPr="004A0212" w:rsidRDefault="14CBC11D" w:rsidP="0062717F">
      <w:pPr>
        <w:pStyle w:val="Numbparas"/>
      </w:pPr>
      <w:r w:rsidRPr="004A0212">
        <w:t>In 1992 the Department of Social Welfare was restructured into several different business units, including:</w:t>
      </w:r>
    </w:p>
    <w:p w14:paraId="00020C48" w14:textId="77777777" w:rsidR="0062717F" w:rsidRPr="004A0212" w:rsidRDefault="0062717F" w:rsidP="00FC05B9">
      <w:pPr>
        <w:pStyle w:val="Bulletpoints"/>
      </w:pPr>
      <w:r w:rsidRPr="004A0212">
        <w:t>the New Zealand Children and Young People’s Service, responsible for care and protection, youth justice and adoption services</w:t>
      </w:r>
    </w:p>
    <w:p w14:paraId="699DE1B9" w14:textId="6B69EDBB" w:rsidR="0062717F" w:rsidRPr="004A0212" w:rsidRDefault="0062717F" w:rsidP="00FC05B9">
      <w:pPr>
        <w:pStyle w:val="Bulletpoints"/>
      </w:pPr>
      <w:r w:rsidRPr="004A0212">
        <w:t>the New Zealand Community Funding Agency, responsible for third</w:t>
      </w:r>
      <w:r w:rsidR="111E17AB" w:rsidRPr="004A0212">
        <w:t>-</w:t>
      </w:r>
      <w:r w:rsidRPr="004A0212">
        <w:t>party service providers</w:t>
      </w:r>
    </w:p>
    <w:p w14:paraId="68E95F8E" w14:textId="77777777" w:rsidR="0062717F" w:rsidRPr="004A0212" w:rsidRDefault="0062717F" w:rsidP="00FC05B9">
      <w:pPr>
        <w:pStyle w:val="Bulletpoints"/>
      </w:pPr>
      <w:r w:rsidRPr="004A0212">
        <w:t>the Social Policy Agency, responsible for provision of policy advice and review across core service divisions.</w:t>
      </w:r>
      <w:r w:rsidRPr="004A0212">
        <w:rPr>
          <w:rStyle w:val="StyleFootnoteReferenceFagoFunotenzeichenFagoFunotenzeichen"/>
        </w:rPr>
        <w:footnoteReference w:id="534"/>
      </w:r>
    </w:p>
    <w:p w14:paraId="5C03C11F" w14:textId="77777777" w:rsidR="0062717F" w:rsidRPr="004A0212" w:rsidRDefault="0062717F" w:rsidP="0062717F">
      <w:pPr>
        <w:keepLines w:val="0"/>
        <w:rPr>
          <w:rFonts w:ascii="Arial" w:eastAsia="Calibri" w:hAnsi="Arial" w:cs="Arial"/>
          <w:bCs/>
          <w:color w:val="222222"/>
          <w:sz w:val="22"/>
          <w:szCs w:val="22"/>
          <w:shd w:val="clear" w:color="auto" w:fill="FFFFFF"/>
          <w:lang w:eastAsia="en-NZ"/>
        </w:rPr>
      </w:pPr>
      <w:r w:rsidRPr="004A0212">
        <w:br w:type="page"/>
      </w:r>
    </w:p>
    <w:p w14:paraId="1714A9BE" w14:textId="77777777" w:rsidR="0062717F" w:rsidRPr="004A0212" w:rsidRDefault="14CBC11D" w:rsidP="0062717F">
      <w:pPr>
        <w:pStyle w:val="Numbparas"/>
      </w:pPr>
      <w:r w:rsidRPr="004A0212">
        <w:t>The Minister for Social Welfare was responsible for these business units through the Department of Social Welfare as the parent agency.</w:t>
      </w:r>
    </w:p>
    <w:p w14:paraId="0EC08B95" w14:textId="77777777" w:rsidR="0062717F" w:rsidRPr="004A0212" w:rsidRDefault="14CBC11D" w:rsidP="0062717F">
      <w:pPr>
        <w:pStyle w:val="Numbparas"/>
      </w:pPr>
      <w:r w:rsidRPr="004A0212">
        <w:t>There were further restructures throughout the 1990s, and by 1999 the New Zealand Community Funding Agency had merged with the Children, Young Persons and Their Families to become The Department of Children, Young Persons and Their Families Services (CYPFS). The Department of Social Welfare was disestablished, with CYPFS supported by the Ministry of Social Policy.</w:t>
      </w:r>
      <w:r w:rsidR="0062717F" w:rsidRPr="004A0212">
        <w:rPr>
          <w:rStyle w:val="StyleFootnoteReferenceFagoFunotenzeichenFagoFunotenzeichen"/>
        </w:rPr>
        <w:footnoteReference w:id="535"/>
      </w:r>
      <w:r w:rsidRPr="004A0212">
        <w:t xml:space="preserve"> These restructures would continue past 1999 into the following decades.</w:t>
      </w:r>
      <w:r w:rsidR="0062717F" w:rsidRPr="004A0212">
        <w:rPr>
          <w:rStyle w:val="FootnoteReference"/>
        </w:rPr>
        <w:footnoteReference w:id="536"/>
      </w:r>
    </w:p>
    <w:p w14:paraId="0BB79764" w14:textId="1C07B3F6" w:rsidR="0062717F" w:rsidRPr="004A0212" w:rsidRDefault="0062717F" w:rsidP="0062717F">
      <w:pPr>
        <w:pStyle w:val="Numbparas"/>
        <w:numPr>
          <w:ilvl w:val="0"/>
          <w:numId w:val="0"/>
        </w:numPr>
        <w:rPr>
          <w:b/>
          <w:bCs w:val="0"/>
        </w:rPr>
      </w:pPr>
      <w:r w:rsidRPr="004A0212">
        <w:rPr>
          <w:b/>
        </w:rPr>
        <w:t>The structure of Child Youth and Family as of October 1999</w:t>
      </w:r>
      <w:r w:rsidRPr="004A0212">
        <w:rPr>
          <w:rStyle w:val="StyleFootnoteReferenceFagoFunotenzeichenFagoFunotenzeichen"/>
        </w:rPr>
        <w:footnoteReference w:id="537"/>
      </w:r>
    </w:p>
    <w:p w14:paraId="1D379D04" w14:textId="77777777" w:rsidR="0062717F" w:rsidRPr="004A0212" w:rsidRDefault="0062717F" w:rsidP="0062717F">
      <w:pPr>
        <w:pStyle w:val="AllNumbparas"/>
        <w:numPr>
          <w:ilvl w:val="0"/>
          <w:numId w:val="0"/>
        </w:numPr>
      </w:pPr>
      <w:r w:rsidRPr="004A0212">
        <w:rPr>
          <w:noProof/>
        </w:rPr>
        <w:drawing>
          <wp:inline distT="0" distB="0" distL="0" distR="0" wp14:anchorId="3EFE6DC5" wp14:editId="41C6078B">
            <wp:extent cx="4705592" cy="2502029"/>
            <wp:effectExtent l="0" t="0" r="0" b="0"/>
            <wp:docPr id="8" name="Picture 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ompan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05592" cy="2502029"/>
                    </a:xfrm>
                    <a:prstGeom prst="rect">
                      <a:avLst/>
                    </a:prstGeom>
                  </pic:spPr>
                </pic:pic>
              </a:graphicData>
            </a:graphic>
          </wp:inline>
        </w:drawing>
      </w:r>
    </w:p>
    <w:p w14:paraId="798F5314" w14:textId="5DA6FD7D" w:rsidR="0062717F" w:rsidRPr="004A0212" w:rsidRDefault="07D39393" w:rsidP="02397200">
      <w:pPr>
        <w:pStyle w:val="Hed4"/>
        <w:rPr>
          <w:lang w:val="en-US"/>
        </w:rPr>
      </w:pPr>
      <w:bookmarkStart w:id="589" w:name="_Toc944525704"/>
      <w:bookmarkStart w:id="590" w:name="_Toc168639059"/>
      <w:proofErr w:type="spellStart"/>
      <w:r w:rsidRPr="700D4309">
        <w:rPr>
          <w:lang w:val="en-US"/>
        </w:rPr>
        <w:t>Te</w:t>
      </w:r>
      <w:proofErr w:type="spellEnd"/>
      <w:r w:rsidRPr="700D4309">
        <w:rPr>
          <w:lang w:val="en-US"/>
        </w:rPr>
        <w:t xml:space="preserve"> </w:t>
      </w:r>
      <w:proofErr w:type="spellStart"/>
      <w:r w:rsidRPr="700D4309">
        <w:rPr>
          <w:lang w:val="en-US"/>
        </w:rPr>
        <w:t>huarahi</w:t>
      </w:r>
      <w:proofErr w:type="spellEnd"/>
      <w:r w:rsidRPr="700D4309">
        <w:rPr>
          <w:lang w:val="en-US"/>
        </w:rPr>
        <w:t xml:space="preserve"> </w:t>
      </w:r>
      <w:proofErr w:type="spellStart"/>
      <w:r w:rsidRPr="700D4309">
        <w:rPr>
          <w:lang w:val="en-US"/>
        </w:rPr>
        <w:t>whakanoho</w:t>
      </w:r>
      <w:proofErr w:type="spellEnd"/>
      <w:r w:rsidRPr="700D4309">
        <w:rPr>
          <w:lang w:val="en-US"/>
        </w:rPr>
        <w:t xml:space="preserve"> </w:t>
      </w:r>
      <w:proofErr w:type="spellStart"/>
      <w:r w:rsidRPr="700D4309">
        <w:rPr>
          <w:lang w:val="en-US"/>
        </w:rPr>
        <w:t>tamariki</w:t>
      </w:r>
      <w:proofErr w:type="spellEnd"/>
      <w:r w:rsidRPr="700D4309">
        <w:rPr>
          <w:lang w:val="en-US"/>
        </w:rPr>
        <w:t xml:space="preserve"> me </w:t>
      </w:r>
      <w:proofErr w:type="spellStart"/>
      <w:r w:rsidRPr="700D4309">
        <w:rPr>
          <w:lang w:val="en-US"/>
        </w:rPr>
        <w:t>ngā</w:t>
      </w:r>
      <w:proofErr w:type="spellEnd"/>
      <w:r w:rsidRPr="700D4309">
        <w:rPr>
          <w:lang w:val="en-US"/>
        </w:rPr>
        <w:t xml:space="preserve"> </w:t>
      </w:r>
      <w:proofErr w:type="spellStart"/>
      <w:r w:rsidRPr="700D4309">
        <w:rPr>
          <w:lang w:val="en-US"/>
        </w:rPr>
        <w:t>rangatahi</w:t>
      </w:r>
      <w:proofErr w:type="spellEnd"/>
      <w:r w:rsidRPr="700D4309">
        <w:rPr>
          <w:lang w:val="en-US"/>
        </w:rPr>
        <w:t xml:space="preserve"> ki </w:t>
      </w:r>
      <w:proofErr w:type="spellStart"/>
      <w:r w:rsidRPr="700D4309">
        <w:rPr>
          <w:lang w:val="en-US"/>
        </w:rPr>
        <w:t>ngā</w:t>
      </w:r>
      <w:proofErr w:type="spellEnd"/>
      <w:r w:rsidRPr="700D4309">
        <w:rPr>
          <w:lang w:val="en-US"/>
        </w:rPr>
        <w:t xml:space="preserve"> </w:t>
      </w:r>
      <w:proofErr w:type="spellStart"/>
      <w:r w:rsidRPr="700D4309">
        <w:rPr>
          <w:lang w:val="en-US"/>
        </w:rPr>
        <w:t>tokoora</w:t>
      </w:r>
      <w:proofErr w:type="spellEnd"/>
      <w:r w:rsidRPr="700D4309">
        <w:rPr>
          <w:lang w:val="en-US"/>
        </w:rPr>
        <w:t xml:space="preserve"> </w:t>
      </w:r>
      <w:proofErr w:type="spellStart"/>
      <w:r w:rsidRPr="700D4309">
        <w:rPr>
          <w:lang w:val="en-US"/>
        </w:rPr>
        <w:t>pāpori</w:t>
      </w:r>
      <w:bookmarkEnd w:id="589"/>
      <w:bookmarkEnd w:id="590"/>
      <w:proofErr w:type="spellEnd"/>
    </w:p>
    <w:p w14:paraId="0A73220D" w14:textId="77777777" w:rsidR="0062717F" w:rsidRPr="004A0212" w:rsidRDefault="07D39393" w:rsidP="02397200">
      <w:pPr>
        <w:pStyle w:val="Hed4"/>
        <w:rPr>
          <w:rFonts w:cs="Arial"/>
        </w:rPr>
      </w:pPr>
      <w:bookmarkStart w:id="591" w:name="_Toc84245837"/>
      <w:bookmarkStart w:id="592" w:name="_Toc168639060"/>
      <w:r w:rsidRPr="004A0212">
        <w:t>How children and young people were placed in social welfare care</w:t>
      </w:r>
      <w:bookmarkEnd w:id="591"/>
      <w:bookmarkEnd w:id="592"/>
    </w:p>
    <w:p w14:paraId="7DEE02E4" w14:textId="17690BC9" w:rsidR="0062717F" w:rsidRPr="004A0212" w:rsidRDefault="14CBC11D" w:rsidP="0062717F">
      <w:pPr>
        <w:pStyle w:val="Numbparas"/>
      </w:pPr>
      <w:r w:rsidRPr="004A0212">
        <w:t>The Child Welfare Act 1925 set up a system of Children’s Courts to make decisions for children and young people who came to the attention of the State. Judges in the Children’s Court could deliver a range of judgements for children, bought before the court, for care and protection matters or offences, including placing them in State care. Under the Children and Young Persons Act 1974</w:t>
      </w:r>
      <w:r w:rsidR="1549C98B" w:rsidRPr="004A0212">
        <w:t>,</w:t>
      </w:r>
      <w:r w:rsidRPr="004A0212">
        <w:t xml:space="preserve"> the Children and Young Person’s Court heard cases on youth offending, while care and protection matters were heard by the Family Court.</w:t>
      </w:r>
      <w:r w:rsidR="0062717F" w:rsidRPr="004A0212">
        <w:rPr>
          <w:rStyle w:val="FootnoteReference"/>
        </w:rPr>
        <w:footnoteReference w:id="538"/>
      </w:r>
      <w:r w:rsidRPr="004A0212">
        <w:t xml:space="preserve"> </w:t>
      </w:r>
    </w:p>
    <w:p w14:paraId="2EF1F18B" w14:textId="4F2DE1C0" w:rsidR="0062717F" w:rsidRPr="004A0212" w:rsidRDefault="14CBC11D" w:rsidP="0062717F">
      <w:pPr>
        <w:pStyle w:val="Numbparas"/>
      </w:pPr>
      <w:r w:rsidRPr="004A0212">
        <w:t>Under the Children, Young Persons, and Their Families Act 1989</w:t>
      </w:r>
      <w:r w:rsidR="1549C98B" w:rsidRPr="004A0212">
        <w:t>,</w:t>
      </w:r>
      <w:r w:rsidRPr="004A0212">
        <w:t xml:space="preserve"> youth justice proceedings were dealt with by a new Youth Court and care and protection proceedings in the Family Court.</w:t>
      </w:r>
      <w:r w:rsidR="0062717F" w:rsidRPr="004A0212">
        <w:rPr>
          <w:rStyle w:val="FootnoteReference"/>
        </w:rPr>
        <w:footnoteReference w:id="539"/>
      </w:r>
      <w:r w:rsidRPr="004A0212">
        <w:t xml:space="preserve"> </w:t>
      </w:r>
    </w:p>
    <w:p w14:paraId="12CC4022" w14:textId="4E122237" w:rsidR="0062717F" w:rsidRPr="004A0212" w:rsidRDefault="14CBC11D" w:rsidP="0062717F">
      <w:pPr>
        <w:pStyle w:val="Numbparas"/>
      </w:pPr>
      <w:r w:rsidRPr="004A0212">
        <w:t xml:space="preserve">From 1950 to 1974, the Child Welfare Act 1925 set out four ways children and young people could be committed to social welfare care. </w:t>
      </w:r>
    </w:p>
    <w:p w14:paraId="40C51BA3" w14:textId="24116022" w:rsidR="0062717F" w:rsidRPr="004A0212" w:rsidRDefault="0062717F" w:rsidP="00840EF6">
      <w:pPr>
        <w:pStyle w:val="Bulletpoints"/>
      </w:pPr>
      <w:r w:rsidRPr="004A0212">
        <w:rPr>
          <w:b/>
        </w:rPr>
        <w:t>by agreement:</w:t>
      </w:r>
      <w:r w:rsidRPr="004A0212">
        <w:t xml:space="preserve"> The </w:t>
      </w:r>
      <w:r w:rsidR="4029AFD5" w:rsidRPr="004A0212">
        <w:t xml:space="preserve">superintendent </w:t>
      </w:r>
      <w:r w:rsidRPr="004A0212">
        <w:t>could make agreements with a child or young person's parents to take control of them.</w:t>
      </w:r>
      <w:r w:rsidRPr="004A0212">
        <w:rPr>
          <w:rStyle w:val="StyleFootnoteReferenceFagoFunotenzeichenFagoFunotenzeichen"/>
        </w:rPr>
        <w:footnoteReference w:id="540"/>
      </w:r>
      <w:r w:rsidRPr="004A0212">
        <w:t xml:space="preserve"> In such cases, the </w:t>
      </w:r>
      <w:r w:rsidR="4029AFD5" w:rsidRPr="004A0212">
        <w:t xml:space="preserve">superintendent </w:t>
      </w:r>
      <w:r w:rsidRPr="004A0212">
        <w:t>held the same powers and responsibilities as if the child were placed under their care through the Child Welfare Act of 1925, excluding guardianship.</w:t>
      </w:r>
      <w:r w:rsidRPr="004A0212">
        <w:rPr>
          <w:rStyle w:val="StyleFootnoteReferenceFagoFunotenzeichenFagoFunotenzeichen"/>
        </w:rPr>
        <w:footnoteReference w:id="541"/>
      </w:r>
      <w:r w:rsidRPr="004A0212">
        <w:t xml:space="preserve"> The </w:t>
      </w:r>
      <w:r w:rsidR="4029AFD5" w:rsidRPr="004A0212">
        <w:t xml:space="preserve">superintendent </w:t>
      </w:r>
      <w:r w:rsidRPr="004A0212">
        <w:t>would only assume guardianship if a committal order was issued after a complaint or application to the Children's Court</w:t>
      </w:r>
      <w:r w:rsidRPr="004A0212">
        <w:rPr>
          <w:rStyle w:val="StyleFootnoteReferenceFagoFunotenzeichenFagoFunotenzeichen"/>
        </w:rPr>
        <w:footnoteReference w:id="542"/>
      </w:r>
      <w:r w:rsidRPr="004A0212">
        <w:t xml:space="preserve"> </w:t>
      </w:r>
    </w:p>
    <w:p w14:paraId="64C21A66" w14:textId="1A064E28" w:rsidR="0062717F" w:rsidRPr="004A0212" w:rsidRDefault="0062717F" w:rsidP="00840EF6">
      <w:pPr>
        <w:pStyle w:val="Bulletpoints"/>
      </w:pPr>
      <w:r w:rsidRPr="004A0212">
        <w:rPr>
          <w:b/>
        </w:rPr>
        <w:t>by complaint:</w:t>
      </w:r>
      <w:r w:rsidRPr="004A0212">
        <w:t xml:space="preserve"> A constable or </w:t>
      </w:r>
      <w:r w:rsidR="4029AFD5" w:rsidRPr="004A0212">
        <w:t xml:space="preserve">child welfare officer </w:t>
      </w:r>
      <w:r w:rsidRPr="004A0212">
        <w:t>could file a complaint with the Children’s Court for children or young people who were neglected, indigent (poor), delinquent, or living in an environment detrimental to their well-being. Children’s Court judges could summon custody holders and issue warrants for the child or young person to be temporarily placed in a social welfare residence such as a borstal or youth prison.</w:t>
      </w:r>
      <w:r w:rsidRPr="004A0212">
        <w:rPr>
          <w:rStyle w:val="StyleFootnoteReferenceFagoFunotenzeichenFagoFunotenzeichen"/>
        </w:rPr>
        <w:footnoteReference w:id="543"/>
      </w:r>
      <w:r w:rsidRPr="004A0212">
        <w:t xml:space="preserve"> Following an investigation a hearing would be held. If the complaint was upheld, the judge could order the child or young person committed to the </w:t>
      </w:r>
      <w:r w:rsidR="19E98D37" w:rsidRPr="004A0212">
        <w:t xml:space="preserve">superintendent </w:t>
      </w:r>
      <w:r w:rsidRPr="004A0212">
        <w:t xml:space="preserve">or </w:t>
      </w:r>
      <w:r w:rsidR="19E98D37" w:rsidRPr="004A0212">
        <w:t>director-g</w:t>
      </w:r>
      <w:r w:rsidRPr="004A0212">
        <w:t xml:space="preserve">eneral’s care, or supervision by a </w:t>
      </w:r>
      <w:r w:rsidR="19E98D37" w:rsidRPr="004A0212">
        <w:t xml:space="preserve">child welfare officer </w:t>
      </w:r>
      <w:r w:rsidRPr="004A0212">
        <w:t>or social worker.</w:t>
      </w:r>
      <w:r w:rsidRPr="004A0212">
        <w:rPr>
          <w:rStyle w:val="StyleFootnoteReferenceFagoFunotenzeichenFagoFunotenzeichen"/>
        </w:rPr>
        <w:footnoteReference w:id="544"/>
      </w:r>
    </w:p>
    <w:p w14:paraId="057BA143" w14:textId="6DB314A2" w:rsidR="0062717F" w:rsidRPr="004A0212" w:rsidRDefault="0062717F" w:rsidP="00840EF6">
      <w:pPr>
        <w:pStyle w:val="Bulletpoints"/>
      </w:pPr>
      <w:r w:rsidRPr="004A0212">
        <w:rPr>
          <w:b/>
        </w:rPr>
        <w:t>by application:</w:t>
      </w:r>
      <w:r w:rsidRPr="004A0212">
        <w:t xml:space="preserve"> A constable or child welfare officer could bypass the complaint and summons process by directly requesting a committal order from the Children’s Court based on a report about the child or young person’s circumstances.</w:t>
      </w:r>
      <w:r w:rsidRPr="004A0212">
        <w:rPr>
          <w:rStyle w:val="StyleFootnoteReferenceFagoFunotenzeichenFagoFunotenzeichen"/>
        </w:rPr>
        <w:footnoteReference w:id="545"/>
      </w:r>
      <w:r w:rsidRPr="004A0212">
        <w:t xml:space="preserve"> If granted, the court didn’t have to specify a facility for the child or young person. Instead, the order gave a constable or </w:t>
      </w:r>
      <w:r w:rsidR="19E98D37" w:rsidRPr="004A0212">
        <w:t xml:space="preserve">child welfare officer </w:t>
      </w:r>
      <w:r w:rsidRPr="004A0212">
        <w:t xml:space="preserve">authority to take the child or young person to a facility designated by the </w:t>
      </w:r>
      <w:r w:rsidR="19E98D37" w:rsidRPr="004A0212">
        <w:t>superintendent</w:t>
      </w:r>
      <w:r w:rsidRPr="004A0212">
        <w:t>, or to the nearest available State institution</w:t>
      </w:r>
      <w:r w:rsidRPr="004A0212">
        <w:rPr>
          <w:rStyle w:val="StyleFootnoteReferenceFagoFunotenzeichenFagoFunotenzeichen"/>
        </w:rPr>
        <w:footnoteReference w:id="546"/>
      </w:r>
    </w:p>
    <w:p w14:paraId="72E63186" w14:textId="0A2B7E22" w:rsidR="0062717F" w:rsidRPr="004A0212" w:rsidRDefault="0062717F" w:rsidP="00840EF6">
      <w:pPr>
        <w:pStyle w:val="Bulletpoints"/>
      </w:pPr>
      <w:r w:rsidRPr="004A0212">
        <w:rPr>
          <w:b/>
        </w:rPr>
        <w:t>committal following charge:</w:t>
      </w:r>
      <w:r w:rsidRPr="004A0212">
        <w:t xml:space="preserve"> If a child or young person faced charges and appeared before the Children’s Court, the judge could commit them to the care of the </w:t>
      </w:r>
      <w:r w:rsidR="19E98D37" w:rsidRPr="004A0212">
        <w:t>superintendent</w:t>
      </w:r>
      <w:r w:rsidRPr="004A0212">
        <w:t>, treating it similarly to a filed complaint.</w:t>
      </w:r>
      <w:r w:rsidRPr="004A0212">
        <w:rPr>
          <w:rStyle w:val="StyleFootnoteReferenceFagoFunotenzeichenFagoFunotenzeichen"/>
        </w:rPr>
        <w:footnoteReference w:id="547"/>
      </w:r>
      <w:r w:rsidRPr="004A0212">
        <w:t xml:space="preserve"> In such cases, the judge did not need to rule on the charges but could base his or her decision to put the child or young person into care on factors such as the child's parentage, environment, history, education, mentality, disposition and other relevant considerations.</w:t>
      </w:r>
      <w:r w:rsidRPr="004A0212">
        <w:rPr>
          <w:rStyle w:val="StyleFootnoteReferenceFagoFunotenzeichenFagoFunotenzeichen"/>
        </w:rPr>
        <w:footnoteReference w:id="548"/>
      </w:r>
    </w:p>
    <w:p w14:paraId="0406C5A3" w14:textId="77777777" w:rsidR="0062717F" w:rsidRPr="004A0212" w:rsidRDefault="14CBC11D" w:rsidP="0062717F">
      <w:pPr>
        <w:pStyle w:val="Numbparas"/>
      </w:pPr>
      <w:r w:rsidRPr="004A0212">
        <w:t>Under the Children and Young Persons Act 1974, the interests and wellbeing of the child or young person were to be the first and most important consideration of the Court or any other person exercising powers under that Act.</w:t>
      </w:r>
      <w:r w:rsidR="0062717F" w:rsidRPr="004A0212">
        <w:rPr>
          <w:rStyle w:val="StyleFootnoteReferenceFagoFunotenzeichenFagoFunotenzeichen"/>
        </w:rPr>
        <w:footnoteReference w:id="549"/>
      </w:r>
      <w:r w:rsidRPr="004A0212">
        <w:t xml:space="preserve"> In 1983, the Act was amended to provide for a principle in favour of keeping a child or young person with his or her family group, except where expressly required by the Act or impractical.</w:t>
      </w:r>
      <w:r w:rsidR="0062717F" w:rsidRPr="004A0212">
        <w:rPr>
          <w:rStyle w:val="StyleFootnoteReferenceFagoFunotenzeichenFagoFunotenzeichen"/>
        </w:rPr>
        <w:footnoteReference w:id="550"/>
      </w:r>
      <w:r w:rsidRPr="004A0212">
        <w:t xml:space="preserve"> </w:t>
      </w:r>
    </w:p>
    <w:p w14:paraId="12D8BDAF" w14:textId="77777777" w:rsidR="0062717F" w:rsidRPr="004A0212" w:rsidRDefault="14CBC11D" w:rsidP="0062717F">
      <w:pPr>
        <w:pStyle w:val="Numbparas"/>
      </w:pPr>
      <w:r w:rsidRPr="004A0212">
        <w:t>The Children and Young Persons Act 1974 provided for Children's Boards to divert children and young people away from court. Children’s Boards involved community members such as police, social welfare officers, a representative appointed by the Secretary for Māori and Island Affairs, and a local resident.</w:t>
      </w:r>
      <w:r w:rsidR="0062717F" w:rsidRPr="004A0212">
        <w:rPr>
          <w:rStyle w:val="StyleFootnoteReferenceFagoFunotenzeichenFagoFunotenzeichen"/>
        </w:rPr>
        <w:footnoteReference w:id="551"/>
      </w:r>
      <w:r w:rsidRPr="004A0212">
        <w:t xml:space="preserve"> They considered reports and made inquiries to decide on appropriate actions, usually if matters were undisputed by the child or parents.</w:t>
      </w:r>
      <w:r w:rsidR="0062717F" w:rsidRPr="004A0212">
        <w:rPr>
          <w:rStyle w:val="StyleFootnoteReferenceFagoFunotenzeichenFagoFunotenzeichen"/>
        </w:rPr>
        <w:footnoteReference w:id="552"/>
      </w:r>
      <w:r w:rsidRPr="004A0212">
        <w:t xml:space="preserve"> Actions could include counselling or professional help or recommending a complaint to the Children and Young Persons Court by the police or a social worker.</w:t>
      </w:r>
      <w:r w:rsidR="0062717F" w:rsidRPr="004A0212">
        <w:rPr>
          <w:rStyle w:val="StyleFootnoteReferenceFagoFunotenzeichenFagoFunotenzeichen"/>
        </w:rPr>
        <w:footnoteReference w:id="553"/>
      </w:r>
    </w:p>
    <w:p w14:paraId="1FF19048" w14:textId="77777777" w:rsidR="0062717F" w:rsidRPr="004A0212" w:rsidRDefault="14CBC11D" w:rsidP="0062717F">
      <w:pPr>
        <w:pStyle w:val="Numbparas"/>
      </w:pPr>
      <w:r w:rsidRPr="004A0212">
        <w:t>From 1982 a complaint could only proceed to the Court after being reported to a Children's Board, except when the Court thought that delay was not in the child's or the public’s best interest.</w:t>
      </w:r>
      <w:r w:rsidR="0062717F" w:rsidRPr="004A0212">
        <w:rPr>
          <w:rStyle w:val="StyleFootnoteReferenceFagoFunotenzeichenFagoFunotenzeichen"/>
        </w:rPr>
        <w:footnoteReference w:id="554"/>
      </w:r>
    </w:p>
    <w:p w14:paraId="1138EC5B" w14:textId="0C521F07" w:rsidR="0062717F" w:rsidRPr="004A0212" w:rsidRDefault="14CBC11D" w:rsidP="0062717F">
      <w:pPr>
        <w:pStyle w:val="Numbparas"/>
      </w:pPr>
      <w:r w:rsidRPr="004A0212">
        <w:t>The Children, Young Persons, and Their Families Act 1989 represented a significant point, both nationally and internationally, in child welfare legislation.</w:t>
      </w:r>
      <w:r w:rsidR="0062717F" w:rsidRPr="004A0212">
        <w:rPr>
          <w:rStyle w:val="StyleFootnoteReferenceFagoFunotenzeichenFagoFunotenzeichen"/>
        </w:rPr>
        <w:footnoteReference w:id="555"/>
      </w:r>
      <w:r w:rsidRPr="004A0212">
        <w:rPr>
          <w:color w:val="FF0000"/>
        </w:rPr>
        <w:t xml:space="preserve"> </w:t>
      </w:r>
      <w:r w:rsidRPr="004A0212">
        <w:t xml:space="preserve">It reflected the insights and suggestions outlined in the </w:t>
      </w:r>
      <w:proofErr w:type="spellStart"/>
      <w:r w:rsidRPr="004A0212">
        <w:t>P</w:t>
      </w:r>
      <w:r w:rsidR="00426D96" w:rsidRPr="004A0212">
        <w:t>ū</w:t>
      </w:r>
      <w:r w:rsidRPr="004A0212">
        <w:t>ao-te-</w:t>
      </w:r>
      <w:r w:rsidR="00B41B24" w:rsidRPr="004A0212">
        <w:t>Ā</w:t>
      </w:r>
      <w:r w:rsidRPr="004A0212">
        <w:t>ta-tū</w:t>
      </w:r>
      <w:proofErr w:type="spellEnd"/>
      <w:r w:rsidRPr="004A0212">
        <w:t xml:space="preserve"> report of 1986, shifting the responsibility for decisions about care and protection for children and young offenders away from the State and toward families and wh</w:t>
      </w:r>
      <w:r w:rsidRPr="004A0212">
        <w:rPr>
          <w:rStyle w:val="normaltextrun"/>
        </w:rPr>
        <w:t>ā</w:t>
      </w:r>
      <w:r w:rsidRPr="004A0212">
        <w:t>nau.</w:t>
      </w:r>
      <w:r w:rsidR="0062717F" w:rsidRPr="004A0212">
        <w:rPr>
          <w:rStyle w:val="StyleFootnoteReferenceFagoFunotenzeichenFagoFunotenzeichen"/>
        </w:rPr>
        <w:footnoteReference w:id="556"/>
      </w:r>
      <w:r w:rsidRPr="004A0212">
        <w:t xml:space="preserve"> Beyond outlining general principles, such as prioritising the welfare and interests of the child or young person, the Act also contained specific principles related to care and protection and youth justice matters.</w:t>
      </w:r>
      <w:r w:rsidR="0062717F" w:rsidRPr="004A0212">
        <w:rPr>
          <w:rStyle w:val="StyleFootnoteReferenceFagoFunotenzeichenFagoFunotenzeichen"/>
        </w:rPr>
        <w:footnoteReference w:id="557"/>
      </w:r>
    </w:p>
    <w:p w14:paraId="4FD01C80" w14:textId="77777777" w:rsidR="0062717F" w:rsidRPr="004A0212" w:rsidRDefault="14CBC11D" w:rsidP="0062717F">
      <w:pPr>
        <w:pStyle w:val="Numbparas"/>
      </w:pPr>
      <w:r w:rsidRPr="004A0212">
        <w:t>At the heart of the Act was the concept of family and wh</w:t>
      </w:r>
      <w:r w:rsidRPr="004A0212">
        <w:rPr>
          <w:rStyle w:val="normaltextrun"/>
        </w:rPr>
        <w:t>ā</w:t>
      </w:r>
      <w:r w:rsidRPr="004A0212">
        <w:t>nau decision-making, formalised through the family group conference process.</w:t>
      </w:r>
      <w:r w:rsidR="0062717F" w:rsidRPr="004A0212">
        <w:rPr>
          <w:rStyle w:val="StyleFootnoteReferenceFagoFunotenzeichenFagoFunotenzeichen"/>
        </w:rPr>
        <w:footnoteReference w:id="558"/>
      </w:r>
      <w:r w:rsidRPr="004A0212">
        <w:t xml:space="preserve"> The focus on a child or young person’s whānau, hapū, iwi and extended family was intended to give them more authority and power to make decisions about their children and young people.</w:t>
      </w:r>
      <w:r w:rsidR="0062717F" w:rsidRPr="004A0212">
        <w:rPr>
          <w:rStyle w:val="StyleFootnoteReferenceFagoFunotenzeichenFagoFunotenzeichen"/>
        </w:rPr>
        <w:footnoteReference w:id="559"/>
      </w:r>
    </w:p>
    <w:p w14:paraId="7DE2323D" w14:textId="4192902E" w:rsidR="0062717F" w:rsidRPr="004A0212" w:rsidRDefault="14CBC11D" w:rsidP="0062717F">
      <w:pPr>
        <w:pStyle w:val="Numbparas"/>
      </w:pPr>
      <w:r w:rsidRPr="004A0212">
        <w:t xml:space="preserve">The Act divided youth justice and care and protection matters, with youth justice proceedings dealt with by a new Youth Court and care and protection proceedings in the Family Court. It </w:t>
      </w:r>
      <w:r w:rsidR="372329ED" w:rsidRPr="004A0212">
        <w:t xml:space="preserve">emphasised </w:t>
      </w:r>
      <w:r w:rsidRPr="004A0212">
        <w:t>the accountability of young offenders for their actions and the role of families and wh</w:t>
      </w:r>
      <w:r w:rsidRPr="004A0212">
        <w:rPr>
          <w:rStyle w:val="normaltextrun"/>
        </w:rPr>
        <w:t>ā</w:t>
      </w:r>
      <w:r w:rsidRPr="004A0212">
        <w:t>nau in supporting them to change their behaviour.</w:t>
      </w:r>
      <w:r w:rsidR="0062717F" w:rsidRPr="004A0212">
        <w:rPr>
          <w:rStyle w:val="StyleFootnoteReferenceFagoFunotenzeichenFagoFunotenzeichen"/>
        </w:rPr>
        <w:footnoteReference w:id="560"/>
      </w:r>
    </w:p>
    <w:p w14:paraId="69AE42E5" w14:textId="77777777" w:rsidR="0062717F" w:rsidRPr="004A0212" w:rsidRDefault="14CBC11D" w:rsidP="0062717F">
      <w:pPr>
        <w:pStyle w:val="Numbparas"/>
      </w:pPr>
      <w:r w:rsidRPr="004A0212">
        <w:t xml:space="preserve">While an attempt was made to reduce the powers of the State under the Children, Young Persons, and Their Families Act 1989, children and young people could still find themselves being placed into social welfare care if a Court found that they </w:t>
      </w:r>
      <w:proofErr w:type="gramStart"/>
      <w:r w:rsidRPr="004A0212">
        <w:t>were in need of</w:t>
      </w:r>
      <w:proofErr w:type="gramEnd"/>
      <w:r w:rsidRPr="004A0212">
        <w:t xml:space="preserve"> care and protection or there had been youth offending. </w:t>
      </w:r>
    </w:p>
    <w:p w14:paraId="5D494B64" w14:textId="77777777" w:rsidR="0062717F" w:rsidRPr="004A0212" w:rsidRDefault="14CBC11D" w:rsidP="0062717F">
      <w:pPr>
        <w:pStyle w:val="Numbparas"/>
      </w:pPr>
      <w:r w:rsidRPr="004A0212">
        <w:t>For care and protection matters, children and young people would now come to the attention of the State following a report of concern. A report of concern was where a person or an entity told a social worker or the police that they believed a child or young person had been harmed or neglected.</w:t>
      </w:r>
      <w:r w:rsidR="0062717F" w:rsidRPr="004A0212">
        <w:rPr>
          <w:rStyle w:val="StyleFootnoteReferenceFagoFunotenzeichenFagoFunotenzeichen"/>
        </w:rPr>
        <w:footnoteReference w:id="561"/>
      </w:r>
      <w:r w:rsidRPr="004A0212">
        <w:t xml:space="preserve"> </w:t>
      </w:r>
    </w:p>
    <w:p w14:paraId="5FDE335D" w14:textId="77777777" w:rsidR="0062717F" w:rsidRPr="004A0212" w:rsidRDefault="14CBC11D" w:rsidP="0062717F">
      <w:pPr>
        <w:pStyle w:val="Numbparas"/>
      </w:pPr>
      <w:r w:rsidRPr="004A0212">
        <w:t xml:space="preserve">Reports of concern could trigger an investigation. If the child or young person </w:t>
      </w:r>
      <w:proofErr w:type="gramStart"/>
      <w:r w:rsidRPr="004A0212">
        <w:t>was considered to be</w:t>
      </w:r>
      <w:proofErr w:type="gramEnd"/>
      <w:r w:rsidRPr="004A0212">
        <w:t xml:space="preserve"> in need of care or protection, a Care and Protection Coordinator could call a family group conference. The conference addressed concerns and decided recommendations and plans for the child or young person and their family.</w:t>
      </w:r>
      <w:r w:rsidR="0062717F" w:rsidRPr="004A0212">
        <w:rPr>
          <w:rStyle w:val="StyleFootnoteReferenceFagoFunotenzeichenFagoFunotenzeichen"/>
        </w:rPr>
        <w:footnoteReference w:id="562"/>
      </w:r>
      <w:r w:rsidRPr="004A0212">
        <w:t xml:space="preserve"> </w:t>
      </w:r>
    </w:p>
    <w:p w14:paraId="6A65502C" w14:textId="71457DE3" w:rsidR="0062717F" w:rsidRPr="004A0212" w:rsidRDefault="14CBC11D" w:rsidP="0062717F">
      <w:pPr>
        <w:pStyle w:val="Numbparas"/>
      </w:pPr>
      <w:r w:rsidRPr="004A0212">
        <w:t xml:space="preserve">Care and </w:t>
      </w:r>
      <w:r w:rsidR="50C17ADA" w:rsidRPr="004A0212">
        <w:t>protection c</w:t>
      </w:r>
      <w:r w:rsidR="00F374C4" w:rsidRPr="004A0212">
        <w:t>o-</w:t>
      </w:r>
      <w:r w:rsidR="50C17ADA" w:rsidRPr="004A0212">
        <w:t xml:space="preserve">ordinators </w:t>
      </w:r>
      <w:r w:rsidRPr="004A0212">
        <w:t>sought consensus on the plan made by the family group conference, and if agreed, the Director-General of Social Welfare was required to implement it unless it was impractical or was inconsistent with the child or young person’s welfare. Financial assistance could be provided if needed.</w:t>
      </w:r>
      <w:r w:rsidR="0062717F" w:rsidRPr="004A0212">
        <w:rPr>
          <w:rStyle w:val="StyleFootnoteReferenceFagoFunotenzeichenFagoFunotenzeichen"/>
        </w:rPr>
        <w:footnoteReference w:id="563"/>
      </w:r>
      <w:r w:rsidRPr="004A0212">
        <w:t xml:space="preserve"> </w:t>
      </w:r>
    </w:p>
    <w:p w14:paraId="4BC19C93" w14:textId="7924D047" w:rsidR="0062717F" w:rsidRPr="004A0212" w:rsidRDefault="14CBC11D" w:rsidP="0062717F">
      <w:pPr>
        <w:pStyle w:val="Numbparas"/>
      </w:pPr>
      <w:r w:rsidRPr="004A0212">
        <w:t xml:space="preserve">If no agreement was reached, the </w:t>
      </w:r>
      <w:r w:rsidR="50C17ADA" w:rsidRPr="004A0212">
        <w:t xml:space="preserve">co-ordinator </w:t>
      </w:r>
      <w:r w:rsidRPr="004A0212">
        <w:t>would report back to the referrer. Referrers, such as social workers or police officers, could then take appropriate actions under the Children, Young Persons, and Their Families</w:t>
      </w:r>
      <w:r w:rsidRPr="004A0212">
        <w:rPr>
          <w:rFonts w:ascii="Century Gothic" w:hAnsi="Century Gothic"/>
        </w:rPr>
        <w:t xml:space="preserve"> </w:t>
      </w:r>
      <w:r w:rsidRPr="004A0212">
        <w:t>Act 1989, including the use of warrants or pursuit of custody and guardianship orders in the Family Court.</w:t>
      </w:r>
      <w:r w:rsidR="0062717F" w:rsidRPr="004A0212">
        <w:rPr>
          <w:rStyle w:val="StyleFootnoteReferenceFagoFunotenzeichenFagoFunotenzeichen"/>
        </w:rPr>
        <w:footnoteReference w:id="564"/>
      </w:r>
    </w:p>
    <w:p w14:paraId="5DA07F27" w14:textId="77777777" w:rsidR="0062717F" w:rsidRPr="004A0212" w:rsidRDefault="14CBC11D" w:rsidP="0062717F">
      <w:pPr>
        <w:pStyle w:val="Numbparas"/>
      </w:pPr>
      <w:r w:rsidRPr="004A0212">
        <w:t>The Children, Young Persons, and Their Families Act 1989, like its predecessors, allowed the use of warrants in specific circumstances.</w:t>
      </w:r>
      <w:r w:rsidR="0062717F" w:rsidRPr="004A0212">
        <w:rPr>
          <w:rStyle w:val="StyleFootnoteReferenceFagoFunotenzeichenFagoFunotenzeichen"/>
        </w:rPr>
        <w:footnoteReference w:id="565"/>
      </w:r>
      <w:r w:rsidRPr="004A0212">
        <w:t xml:space="preserve"> Place of safety warrants and warrants to remove a child or young person could be issued if a Judge was satisfied that there were reasonable grounds that a child or young person was suffering, or was likely to suffer, ill-treatment, neglect, deprivation, abuse or harm.</w:t>
      </w:r>
      <w:r w:rsidR="0062717F" w:rsidRPr="004A0212">
        <w:rPr>
          <w:rStyle w:val="StyleFootnoteReferenceFagoFunotenzeichenFagoFunotenzeichen"/>
        </w:rPr>
        <w:footnoteReference w:id="566"/>
      </w:r>
      <w:r w:rsidRPr="004A0212">
        <w:t xml:space="preserve"> </w:t>
      </w:r>
    </w:p>
    <w:p w14:paraId="713AED82" w14:textId="145726D0" w:rsidR="0062717F" w:rsidRPr="004A0212" w:rsidRDefault="14CBC11D" w:rsidP="0062717F">
      <w:pPr>
        <w:pStyle w:val="Numbparas"/>
        <w:rPr>
          <w:rFonts w:ascii="Roboto" w:hAnsi="Roboto"/>
          <w:sz w:val="21"/>
          <w:szCs w:val="21"/>
        </w:rPr>
      </w:pPr>
      <w:r w:rsidRPr="004A0212">
        <w:t xml:space="preserve">The Children, Young Persons, and Their Families Act 1989 allowed non-government agencies to care for children and young people on behalf of the </w:t>
      </w:r>
      <w:r w:rsidR="571898BE" w:rsidRPr="004A0212">
        <w:t>State</w:t>
      </w:r>
      <w:r w:rsidRPr="004A0212">
        <w:t>. These third-party providers were required to be approved under section 396 of the Act.</w:t>
      </w:r>
      <w:r w:rsidR="0062717F" w:rsidRPr="004A0212">
        <w:rPr>
          <w:rStyle w:val="StyleFootnoteReferenceFagoFunotenzeichenFagoFunotenzeichen"/>
        </w:rPr>
        <w:footnoteReference w:id="567"/>
      </w:r>
      <w:r w:rsidRPr="004A0212">
        <w:t xml:space="preserve"> </w:t>
      </w:r>
    </w:p>
    <w:p w14:paraId="7CB6751B" w14:textId="77777777" w:rsidR="0062717F" w:rsidRPr="004A0212" w:rsidRDefault="14CBC11D" w:rsidP="0062717F">
      <w:pPr>
        <w:pStyle w:val="Numbparas"/>
        <w:rPr>
          <w:rStyle w:val="AlldraftingnotesChar"/>
        </w:rPr>
      </w:pPr>
      <w:r w:rsidRPr="004A0212">
        <w:t>In 1992 the New Zealand Community Funding Agency (NZCFA) was established within the Department of Social Welfare for the government to purchase social services from the not-for-profit sector. NZCFA inherited roles under the Disabled Persons Community Welfare Act 1975 and the Children, Young Persons, and Their Families Act 1989 and administered regulations, assessed service providers, negotiated contracts, distributed funds, and monitored performance</w:t>
      </w:r>
      <w:r w:rsidRPr="004A0212">
        <w:rPr>
          <w:rStyle w:val="AlldraftingnotesChar"/>
        </w:rPr>
        <w:t xml:space="preserve">. </w:t>
      </w:r>
    </w:p>
    <w:p w14:paraId="7EB787C3" w14:textId="557CBDEF" w:rsidR="0062717F" w:rsidRPr="004A0212" w:rsidRDefault="14CBC11D" w:rsidP="0062717F">
      <w:pPr>
        <w:pStyle w:val="Numbparas"/>
      </w:pPr>
      <w:r w:rsidRPr="004A0212">
        <w:t xml:space="preserve">The Children, Young Persons, and Their Families Act 1989 also allowed a parent, guardian or other caregiver to make an agreement with the </w:t>
      </w:r>
      <w:r w:rsidR="42BBFEF9" w:rsidRPr="004A0212">
        <w:t>director</w:t>
      </w:r>
      <w:r w:rsidRPr="004A0212">
        <w:t>-</w:t>
      </w:r>
      <w:r w:rsidR="42BBFEF9" w:rsidRPr="004A0212">
        <w:t xml:space="preserve">general </w:t>
      </w:r>
      <w:r w:rsidRPr="004A0212">
        <w:t xml:space="preserve">for the temporary or extended care of a child or young person. This could also include an agreement with an iwi or cultural organisation or the </w:t>
      </w:r>
      <w:r w:rsidR="42BBFEF9" w:rsidRPr="004A0212">
        <w:t xml:space="preserve">director </w:t>
      </w:r>
      <w:r w:rsidRPr="004A0212">
        <w:t>of a Child and Family Support Service. The maximum length of extended care agreements was usually 12 months. If the child or young person was “so mentally or physically disabled that suitable care for that child or young person can be provided only if that child or young person is placed in institutional care”,</w:t>
      </w:r>
      <w:r w:rsidR="009A412A" w:rsidRPr="004A0212">
        <w:rPr>
          <w:rStyle w:val="FootnoteReference"/>
        </w:rPr>
        <w:footnoteReference w:id="568"/>
      </w:r>
      <w:r w:rsidRPr="004A0212">
        <w:t xml:space="preserve"> the agreement could be for up to two years and could be extended biennially by a family group conference. </w:t>
      </w:r>
    </w:p>
    <w:p w14:paraId="61E046E3" w14:textId="2D8F59E2" w:rsidR="0062717F" w:rsidRPr="004A0212" w:rsidRDefault="14CBC11D" w:rsidP="0062717F">
      <w:pPr>
        <w:pStyle w:val="Numbparas"/>
      </w:pPr>
      <w:r w:rsidRPr="004A0212">
        <w:t>Under the Care and Protection Handbook (1996</w:t>
      </w:r>
      <w:r w:rsidR="158D4F1B" w:rsidRPr="004A0212">
        <w:t>–</w:t>
      </w:r>
      <w:r w:rsidRPr="004A0212">
        <w:t xml:space="preserve">2002), direction was given to social workers that temporary care agreements were only to be entered into when the child or young person would be returning home on expiry of the agreement. </w:t>
      </w:r>
    </w:p>
    <w:p w14:paraId="740C66D3" w14:textId="6F7807B1" w:rsidR="0062717F" w:rsidRPr="004A0212" w:rsidRDefault="14CBC11D" w:rsidP="0062717F">
      <w:pPr>
        <w:pStyle w:val="Numbparas"/>
      </w:pPr>
      <w:r w:rsidRPr="004A0212">
        <w:t xml:space="preserve">The </w:t>
      </w:r>
      <w:r w:rsidR="7A0BE302" w:rsidRPr="004A0212">
        <w:t>h</w:t>
      </w:r>
      <w:r w:rsidRPr="004A0212">
        <w:t>andbook required the social worker to ensure that people entering into the agreement fully understood it and that alternatives, such as accessing support services, were explored. A temporary care agreement could be entered into with one parent, guardian or caregiver in a “crisis situation” but other parents or guardians were to be notified as soon as possible.</w:t>
      </w:r>
      <w:r w:rsidR="00E92223" w:rsidRPr="004A0212">
        <w:rPr>
          <w:rStyle w:val="FootnoteReference"/>
        </w:rPr>
        <w:footnoteReference w:id="569"/>
      </w:r>
      <w:r w:rsidRPr="004A0212">
        <w:t xml:space="preserve"> It also stated that it was “good practice” to consult with a child over the age of 12</w:t>
      </w:r>
      <w:r w:rsidR="55E0A95A" w:rsidRPr="004A0212">
        <w:t xml:space="preserve"> years old</w:t>
      </w:r>
      <w:r w:rsidRPr="004A0212">
        <w:t>.</w:t>
      </w:r>
      <w:r w:rsidR="00E65E7D" w:rsidRPr="004A0212">
        <w:rPr>
          <w:rStyle w:val="FootnoteReference"/>
        </w:rPr>
        <w:footnoteReference w:id="570"/>
      </w:r>
    </w:p>
    <w:p w14:paraId="1AD1B03B" w14:textId="529DBF61" w:rsidR="0062717F" w:rsidRPr="004A0212" w:rsidRDefault="07D39393" w:rsidP="02397200">
      <w:pPr>
        <w:pStyle w:val="Hed4"/>
      </w:pPr>
      <w:bookmarkStart w:id="593" w:name="_Toc2099228338"/>
      <w:bookmarkStart w:id="594" w:name="_Toc168639061"/>
      <w:proofErr w:type="spellStart"/>
      <w:r w:rsidRPr="700D4309">
        <w:rPr>
          <w:lang w:val="en-US"/>
        </w:rPr>
        <w:t>Te</w:t>
      </w:r>
      <w:proofErr w:type="spellEnd"/>
      <w:r w:rsidRPr="700D4309">
        <w:rPr>
          <w:lang w:val="en-US"/>
        </w:rPr>
        <w:t xml:space="preserve"> </w:t>
      </w:r>
      <w:proofErr w:type="spellStart"/>
      <w:r w:rsidRPr="700D4309">
        <w:rPr>
          <w:lang w:val="en-US"/>
        </w:rPr>
        <w:t>wehe</w:t>
      </w:r>
      <w:proofErr w:type="spellEnd"/>
      <w:r w:rsidRPr="700D4309">
        <w:rPr>
          <w:lang w:val="en-US"/>
        </w:rPr>
        <w:t xml:space="preserve"> </w:t>
      </w:r>
      <w:proofErr w:type="spellStart"/>
      <w:r w:rsidRPr="700D4309">
        <w:rPr>
          <w:lang w:val="en-US"/>
        </w:rPr>
        <w:t>i</w:t>
      </w:r>
      <w:proofErr w:type="spellEnd"/>
      <w:r w:rsidRPr="700D4309">
        <w:rPr>
          <w:lang w:val="en-US"/>
        </w:rPr>
        <w:t xml:space="preserve"> </w:t>
      </w:r>
      <w:proofErr w:type="spellStart"/>
      <w:r w:rsidRPr="700D4309">
        <w:rPr>
          <w:lang w:val="en-US"/>
        </w:rPr>
        <w:t>te</w:t>
      </w:r>
      <w:proofErr w:type="spellEnd"/>
      <w:r w:rsidRPr="700D4309">
        <w:rPr>
          <w:lang w:val="en-US"/>
        </w:rPr>
        <w:t xml:space="preserve"> </w:t>
      </w:r>
      <w:proofErr w:type="spellStart"/>
      <w:r w:rsidRPr="700D4309">
        <w:rPr>
          <w:lang w:val="en-US"/>
        </w:rPr>
        <w:t>Taurimatanga</w:t>
      </w:r>
      <w:proofErr w:type="spellEnd"/>
      <w:r w:rsidRPr="700D4309">
        <w:rPr>
          <w:lang w:val="en-US"/>
        </w:rPr>
        <w:t xml:space="preserve"> </w:t>
      </w:r>
      <w:proofErr w:type="spellStart"/>
      <w:r w:rsidRPr="700D4309">
        <w:rPr>
          <w:lang w:val="en-US"/>
        </w:rPr>
        <w:t>Tokoora</w:t>
      </w:r>
      <w:proofErr w:type="spellEnd"/>
      <w:r w:rsidRPr="700D4309">
        <w:rPr>
          <w:lang w:val="en-US"/>
        </w:rPr>
        <w:t xml:space="preserve"> </w:t>
      </w:r>
      <w:proofErr w:type="spellStart"/>
      <w:proofErr w:type="gramStart"/>
      <w:r w:rsidRPr="700D4309">
        <w:rPr>
          <w:lang w:val="en-US"/>
        </w:rPr>
        <w:t>Pāpori</w:t>
      </w:r>
      <w:proofErr w:type="spellEnd"/>
      <w:r w:rsidRPr="700D4309">
        <w:rPr>
          <w:lang w:val="en-US"/>
        </w:rPr>
        <w:t xml:space="preserve">  |</w:t>
      </w:r>
      <w:proofErr w:type="gramEnd"/>
      <w:r w:rsidRPr="700D4309">
        <w:rPr>
          <w:lang w:val="en-US"/>
        </w:rPr>
        <w:t xml:space="preserve"> Exiting Social Welfare Care</w:t>
      </w:r>
      <w:bookmarkEnd w:id="593"/>
      <w:bookmarkEnd w:id="594"/>
    </w:p>
    <w:p w14:paraId="79627968" w14:textId="3232AEC0" w:rsidR="0062717F" w:rsidRPr="004A0212" w:rsidRDefault="14CBC11D" w:rsidP="0062717F">
      <w:pPr>
        <w:pStyle w:val="Numbparas"/>
      </w:pPr>
      <w:r w:rsidRPr="004A0212">
        <w:t>Until 1961, superintendents decided how long a child or young person stayed in social welfare care. Subsequent Acts introduced changes, allowing requests for discharge from the child, parents, or caregivers.</w:t>
      </w:r>
      <w:r w:rsidR="0062717F" w:rsidRPr="004A0212">
        <w:rPr>
          <w:rStyle w:val="StyleFootnoteReferenceFagoFunotenzeichenFagoFunotenzeichen"/>
        </w:rPr>
        <w:footnoteReference w:id="571"/>
      </w:r>
      <w:r w:rsidRPr="004A0212">
        <w:t xml:space="preserve"> Guardianship under the 1974 Act extended until age 20, subject to the </w:t>
      </w:r>
      <w:r w:rsidR="2A3B708E" w:rsidRPr="004A0212">
        <w:t>director</w:t>
      </w:r>
      <w:r w:rsidRPr="004A0212">
        <w:t>-</w:t>
      </w:r>
      <w:r w:rsidR="2A3B708E" w:rsidRPr="004A0212">
        <w:t xml:space="preserve">general’s </w:t>
      </w:r>
      <w:r w:rsidRPr="004A0212">
        <w:t>discretion.</w:t>
      </w:r>
      <w:r w:rsidR="0062717F" w:rsidRPr="004A0212">
        <w:rPr>
          <w:rStyle w:val="StyleFootnoteReferenceFagoFunotenzeichenFagoFunotenzeichen"/>
        </w:rPr>
        <w:footnoteReference w:id="572"/>
      </w:r>
      <w:r w:rsidRPr="004A0212">
        <w:rPr>
          <w:rStyle w:val="StyleFootnoteReferenceFagoFunotenzeichenFagoFunotenzeichen1"/>
        </w:rPr>
        <w:t xml:space="preserve"> </w:t>
      </w:r>
      <w:r w:rsidRPr="004A0212">
        <w:t>The 1989 Act gave courts the ability to issue declaration orders for custody or guardianship,</w:t>
      </w:r>
      <w:r w:rsidRPr="004A0212">
        <w:rPr>
          <w:rStyle w:val="StyleFootnoteReferenceFagoFunotenzeichenFagoFunotenzeichen1"/>
        </w:rPr>
        <w:t xml:space="preserve"> </w:t>
      </w:r>
      <w:r w:rsidRPr="004A0212">
        <w:t>with specific terms.</w:t>
      </w:r>
      <w:r w:rsidR="0062717F" w:rsidRPr="004A0212">
        <w:rPr>
          <w:rStyle w:val="StyleFootnoteReferenceFagoFunotenzeichenFagoFunotenzeichen"/>
        </w:rPr>
        <w:footnoteReference w:id="573"/>
      </w:r>
      <w:r w:rsidRPr="004A0212">
        <w:t xml:space="preserve"> </w:t>
      </w:r>
    </w:p>
    <w:p w14:paraId="51D890E7" w14:textId="77777777" w:rsidR="0062717F" w:rsidRPr="004A0212" w:rsidRDefault="14CBC11D" w:rsidP="0062717F">
      <w:pPr>
        <w:pStyle w:val="Numbparas"/>
      </w:pPr>
      <w:r w:rsidRPr="004A0212">
        <w:t>Social worker manuals from 1957, 1970 and 1984 provided general recommendations for transitioning State wards out of residential care and back into their communities.</w:t>
      </w:r>
      <w:r w:rsidR="0062717F" w:rsidRPr="004A0212">
        <w:rPr>
          <w:rStyle w:val="StyleFootnoteReferenceFagoFunotenzeichenFagoFunotenzeichen"/>
        </w:rPr>
        <w:footnoteReference w:id="574"/>
      </w:r>
      <w:r w:rsidRPr="004A0212">
        <w:t xml:space="preserve"> </w:t>
      </w:r>
    </w:p>
    <w:p w14:paraId="7C3BCD26" w14:textId="77777777" w:rsidR="0062717F" w:rsidRPr="004A0212" w:rsidRDefault="14CBC11D" w:rsidP="0062717F">
      <w:pPr>
        <w:pStyle w:val="Numbparas"/>
      </w:pPr>
      <w:r w:rsidRPr="004A0212">
        <w:t xml:space="preserve">The key criteria points listed in the 1984 Social Worker Manual included more short-term considerations, like whether a </w:t>
      </w:r>
      <w:proofErr w:type="gramStart"/>
      <w:r w:rsidRPr="004A0212">
        <w:t>State</w:t>
      </w:r>
      <w:proofErr w:type="gramEnd"/>
      <w:r w:rsidRPr="004A0212">
        <w:t xml:space="preserve"> ward’s living circumstances were satisfactory and whether employment or benefits had been established.</w:t>
      </w:r>
      <w:r w:rsidR="0062717F" w:rsidRPr="004A0212">
        <w:rPr>
          <w:rStyle w:val="StyleFootnoteReferenceFagoFunotenzeichenFagoFunotenzeichen"/>
        </w:rPr>
        <w:footnoteReference w:id="575"/>
      </w:r>
      <w:r w:rsidRPr="004A0212">
        <w:t xml:space="preserve"> There were no points made about ongoing support by the Department of Social Welfare. </w:t>
      </w:r>
    </w:p>
    <w:p w14:paraId="1D3A25D7" w14:textId="29013CB1" w:rsidR="0062717F" w:rsidRPr="004A0212" w:rsidRDefault="07D39393" w:rsidP="02397200">
      <w:pPr>
        <w:pStyle w:val="Hed4"/>
      </w:pPr>
      <w:bookmarkStart w:id="595" w:name="_Toc1834272138"/>
      <w:bookmarkStart w:id="596" w:name="_Toc168639062"/>
      <w:proofErr w:type="spellStart"/>
      <w:r w:rsidRPr="700D4309">
        <w:rPr>
          <w:lang w:val="en-US"/>
        </w:rPr>
        <w:t>Ngā</w:t>
      </w:r>
      <w:proofErr w:type="spellEnd"/>
      <w:r w:rsidRPr="700D4309">
        <w:rPr>
          <w:lang w:val="en-US"/>
        </w:rPr>
        <w:t xml:space="preserve"> </w:t>
      </w:r>
      <w:proofErr w:type="spellStart"/>
      <w:r w:rsidRPr="700D4309">
        <w:rPr>
          <w:lang w:val="en-US"/>
        </w:rPr>
        <w:t>tamariki</w:t>
      </w:r>
      <w:proofErr w:type="spellEnd"/>
      <w:r w:rsidRPr="700D4309">
        <w:rPr>
          <w:lang w:val="en-US"/>
        </w:rPr>
        <w:t xml:space="preserve"> </w:t>
      </w:r>
      <w:proofErr w:type="spellStart"/>
      <w:r w:rsidRPr="700D4309">
        <w:rPr>
          <w:lang w:val="en-US"/>
        </w:rPr>
        <w:t>whaikaha</w:t>
      </w:r>
      <w:proofErr w:type="spellEnd"/>
      <w:r w:rsidRPr="700D4309">
        <w:rPr>
          <w:lang w:val="en-US"/>
        </w:rPr>
        <w:t xml:space="preserve"> </w:t>
      </w:r>
      <w:proofErr w:type="spellStart"/>
      <w:r w:rsidRPr="700D4309">
        <w:rPr>
          <w:lang w:val="en-US"/>
        </w:rPr>
        <w:t>i</w:t>
      </w:r>
      <w:proofErr w:type="spellEnd"/>
      <w:r w:rsidRPr="700D4309">
        <w:rPr>
          <w:lang w:val="en-US"/>
        </w:rPr>
        <w:t xml:space="preserve"> </w:t>
      </w:r>
      <w:proofErr w:type="spellStart"/>
      <w:r w:rsidRPr="700D4309">
        <w:rPr>
          <w:lang w:val="en-US"/>
        </w:rPr>
        <w:t>pāngia</w:t>
      </w:r>
      <w:proofErr w:type="spellEnd"/>
      <w:r w:rsidRPr="700D4309">
        <w:rPr>
          <w:lang w:val="en-US"/>
        </w:rPr>
        <w:t xml:space="preserve"> e </w:t>
      </w:r>
      <w:proofErr w:type="spellStart"/>
      <w:r w:rsidRPr="700D4309">
        <w:rPr>
          <w:lang w:val="en-US"/>
        </w:rPr>
        <w:t>ngā</w:t>
      </w:r>
      <w:proofErr w:type="spellEnd"/>
      <w:r w:rsidRPr="700D4309">
        <w:rPr>
          <w:lang w:val="en-US"/>
        </w:rPr>
        <w:t xml:space="preserve"> </w:t>
      </w:r>
      <w:proofErr w:type="spellStart"/>
      <w:r w:rsidRPr="700D4309">
        <w:rPr>
          <w:lang w:val="en-US"/>
        </w:rPr>
        <w:t>whakaritenga</w:t>
      </w:r>
      <w:proofErr w:type="spellEnd"/>
      <w:r w:rsidRPr="700D4309">
        <w:rPr>
          <w:lang w:val="en-US"/>
        </w:rPr>
        <w:t xml:space="preserve"> o roto </w:t>
      </w:r>
      <w:proofErr w:type="spellStart"/>
      <w:r w:rsidRPr="700D4309">
        <w:rPr>
          <w:lang w:val="en-US"/>
        </w:rPr>
        <w:t>i</w:t>
      </w:r>
      <w:proofErr w:type="spellEnd"/>
      <w:r w:rsidRPr="700D4309">
        <w:rPr>
          <w:lang w:val="en-US"/>
        </w:rPr>
        <w:t xml:space="preserve"> </w:t>
      </w:r>
      <w:proofErr w:type="spellStart"/>
      <w:r w:rsidRPr="700D4309">
        <w:rPr>
          <w:lang w:val="en-US"/>
        </w:rPr>
        <w:t>te</w:t>
      </w:r>
      <w:proofErr w:type="spellEnd"/>
      <w:r w:rsidRPr="700D4309">
        <w:rPr>
          <w:lang w:val="en-US"/>
        </w:rPr>
        <w:t xml:space="preserve"> </w:t>
      </w:r>
      <w:proofErr w:type="spellStart"/>
      <w:r w:rsidRPr="700D4309">
        <w:rPr>
          <w:lang w:val="en-US"/>
        </w:rPr>
        <w:t>ture</w:t>
      </w:r>
      <w:bookmarkEnd w:id="595"/>
      <w:bookmarkEnd w:id="596"/>
      <w:proofErr w:type="spellEnd"/>
      <w:r w:rsidRPr="700D4309">
        <w:rPr>
          <w:lang w:val="en-US"/>
        </w:rPr>
        <w:t xml:space="preserve"> </w:t>
      </w:r>
    </w:p>
    <w:p w14:paraId="5ACA6678" w14:textId="77777777" w:rsidR="0062717F" w:rsidRPr="004A0212" w:rsidRDefault="07D39393" w:rsidP="02397200">
      <w:pPr>
        <w:pStyle w:val="Hed4"/>
      </w:pPr>
      <w:bookmarkStart w:id="597" w:name="_Toc83138708"/>
      <w:bookmarkStart w:id="598" w:name="_Toc168639063"/>
      <w:r w:rsidRPr="004A0212">
        <w:t>Disabled children affected by provisions in the law</w:t>
      </w:r>
      <w:bookmarkEnd w:id="597"/>
      <w:bookmarkEnd w:id="598"/>
    </w:p>
    <w:p w14:paraId="21CA00BB" w14:textId="581F0A8E" w:rsidR="0062717F" w:rsidRPr="004A0212" w:rsidRDefault="14CBC11D" w:rsidP="0062717F">
      <w:pPr>
        <w:pStyle w:val="Numbparas"/>
      </w:pPr>
      <w:proofErr w:type="gramStart"/>
      <w:r w:rsidRPr="004A0212">
        <w:t>Similar to</w:t>
      </w:r>
      <w:proofErr w:type="gramEnd"/>
      <w:r w:rsidRPr="004A0212">
        <w:t xml:space="preserve"> the voluntary agreement in Section 142 of the Disabled Persons Community Act 1975, the Children, Young Persons, and Their Families Act 1989 included separate provisions for the care and protection of disabled children and young people. These provisions applied to those children and young people </w:t>
      </w:r>
      <w:r w:rsidR="1A673A85" w:rsidRPr="004A0212">
        <w:t xml:space="preserve">who </w:t>
      </w:r>
      <w:proofErr w:type="gramStart"/>
      <w:r w:rsidR="1A673A85" w:rsidRPr="004A0212">
        <w:t xml:space="preserve">were considered </w:t>
      </w:r>
      <w:r w:rsidR="3E115FC6" w:rsidRPr="004A0212">
        <w:t>to be</w:t>
      </w:r>
      <w:proofErr w:type="gramEnd"/>
      <w:r w:rsidR="3E115FC6" w:rsidRPr="004A0212">
        <w:t xml:space="preserve"> in need of out of home care due to their disability</w:t>
      </w:r>
      <w:r w:rsidRPr="004A0212">
        <w:t>.</w:t>
      </w:r>
      <w:r w:rsidR="001E2091" w:rsidRPr="004A0212">
        <w:rPr>
          <w:rStyle w:val="FootnoteReference"/>
        </w:rPr>
        <w:footnoteReference w:id="576"/>
      </w:r>
      <w:r w:rsidRPr="004A0212">
        <w:t xml:space="preserve"> Sections 141 and 142 of the 1989 Act enabled out-of-home care placements for disabled children through the Ministry of Health's Disability Support Service. Placement decisions involved the Needs Assessment Service Coordination system, with final approval via a family group conference.</w:t>
      </w:r>
    </w:p>
    <w:p w14:paraId="5D8AD86E" w14:textId="77777777" w:rsidR="0062717F" w:rsidRPr="004A0212" w:rsidRDefault="07D39393" w:rsidP="0062717F">
      <w:pPr>
        <w:pStyle w:val="Heading2"/>
      </w:pPr>
      <w:bookmarkStart w:id="599" w:name="_Toc2052285979"/>
      <w:bookmarkStart w:id="600" w:name="_Toc168639064"/>
      <w:proofErr w:type="spellStart"/>
      <w:r w:rsidRPr="004A0212">
        <w:t>Ngā</w:t>
      </w:r>
      <w:proofErr w:type="spellEnd"/>
      <w:r w:rsidRPr="004A0212">
        <w:t xml:space="preserve"> </w:t>
      </w:r>
      <w:proofErr w:type="spellStart"/>
      <w:r w:rsidRPr="004A0212">
        <w:t>whakaritenga</w:t>
      </w:r>
      <w:proofErr w:type="spellEnd"/>
      <w:r w:rsidRPr="004A0212">
        <w:t xml:space="preserve"> </w:t>
      </w:r>
      <w:proofErr w:type="spellStart"/>
      <w:r w:rsidRPr="004A0212">
        <w:t>tokoora</w:t>
      </w:r>
      <w:proofErr w:type="spellEnd"/>
      <w:r w:rsidRPr="004A0212">
        <w:t xml:space="preserve"> </w:t>
      </w:r>
      <w:proofErr w:type="spellStart"/>
      <w:r w:rsidRPr="004A0212">
        <w:t>pāpori</w:t>
      </w:r>
      <w:proofErr w:type="spellEnd"/>
      <w:r w:rsidRPr="004A0212">
        <w:t xml:space="preserve"> | Social welfare settings</w:t>
      </w:r>
      <w:bookmarkEnd w:id="599"/>
      <w:bookmarkEnd w:id="600"/>
    </w:p>
    <w:p w14:paraId="1F288A78" w14:textId="77777777" w:rsidR="00270959" w:rsidRDefault="07D39393" w:rsidP="0062717F">
      <w:pPr>
        <w:pStyle w:val="Heading3"/>
      </w:pPr>
      <w:bookmarkStart w:id="601" w:name="_Toc168639065"/>
      <w:bookmarkStart w:id="602" w:name="_Toc562988815"/>
      <w:proofErr w:type="spellStart"/>
      <w:r w:rsidRPr="004A0212">
        <w:t>Te</w:t>
      </w:r>
      <w:proofErr w:type="spellEnd"/>
      <w:r w:rsidRPr="004A0212">
        <w:t xml:space="preserve"> </w:t>
      </w:r>
      <w:proofErr w:type="spellStart"/>
      <w:r w:rsidRPr="004A0212">
        <w:t>taurimatanga</w:t>
      </w:r>
      <w:proofErr w:type="spellEnd"/>
      <w:r w:rsidRPr="004A0212">
        <w:t xml:space="preserve"> </w:t>
      </w:r>
      <w:proofErr w:type="spellStart"/>
      <w:r w:rsidRPr="004A0212">
        <w:t>i</w:t>
      </w:r>
      <w:proofErr w:type="spellEnd"/>
      <w:r w:rsidRPr="004A0212">
        <w:t xml:space="preserve"> </w:t>
      </w:r>
      <w:proofErr w:type="spellStart"/>
      <w:r w:rsidRPr="004A0212">
        <w:t>ngā</w:t>
      </w:r>
      <w:proofErr w:type="spellEnd"/>
      <w:r w:rsidRPr="004A0212">
        <w:t xml:space="preserve"> </w:t>
      </w:r>
      <w:proofErr w:type="spellStart"/>
      <w:r w:rsidRPr="004A0212">
        <w:t>kāinga</w:t>
      </w:r>
      <w:proofErr w:type="spellEnd"/>
      <w:r w:rsidRPr="004A0212">
        <w:t xml:space="preserve"> </w:t>
      </w:r>
      <w:proofErr w:type="spellStart"/>
      <w:r w:rsidRPr="004A0212">
        <w:t>atawhai</w:t>
      </w:r>
      <w:proofErr w:type="spellEnd"/>
      <w:r w:rsidRPr="004A0212">
        <w:t xml:space="preserve"> me </w:t>
      </w:r>
      <w:proofErr w:type="spellStart"/>
      <w:r w:rsidRPr="004A0212">
        <w:t>ngā</w:t>
      </w:r>
      <w:proofErr w:type="spellEnd"/>
      <w:r w:rsidRPr="004A0212">
        <w:t xml:space="preserve"> </w:t>
      </w:r>
      <w:proofErr w:type="spellStart"/>
      <w:r w:rsidRPr="004A0212">
        <w:t>kāinga</w:t>
      </w:r>
      <w:proofErr w:type="spellEnd"/>
      <w:r w:rsidRPr="004A0212">
        <w:t xml:space="preserve"> whānau</w:t>
      </w:r>
      <w:bookmarkEnd w:id="601"/>
      <w:r w:rsidRPr="004A0212">
        <w:t xml:space="preserve"> </w:t>
      </w:r>
    </w:p>
    <w:p w14:paraId="329DCD47" w14:textId="53813705" w:rsidR="0062717F" w:rsidRPr="004A0212" w:rsidRDefault="07D39393" w:rsidP="0062717F">
      <w:pPr>
        <w:pStyle w:val="Heading3"/>
      </w:pPr>
      <w:bookmarkStart w:id="603" w:name="_Toc168639066"/>
      <w:r w:rsidRPr="004A0212">
        <w:t>Foster and Family Home care</w:t>
      </w:r>
      <w:bookmarkEnd w:id="602"/>
      <w:bookmarkEnd w:id="603"/>
    </w:p>
    <w:p w14:paraId="6AD8E40C" w14:textId="39E4E12C" w:rsidR="0062717F" w:rsidRPr="004A0212" w:rsidRDefault="14CBC11D" w:rsidP="0062717F">
      <w:pPr>
        <w:pStyle w:val="AllNumbparas"/>
      </w:pPr>
      <w:r w:rsidRPr="004A0212">
        <w:t xml:space="preserve">Foster care was the most common State care setting for children and young people during the Inquiry period. Children were placed with families – often unrelated to them </w:t>
      </w:r>
      <w:r w:rsidR="5497E3D5" w:rsidRPr="004A0212">
        <w:t xml:space="preserve">– </w:t>
      </w:r>
      <w:r w:rsidRPr="004A0212">
        <w:t>to live as a member of that family. Due to the number of foster placements, it is unclear from the records how many such placements occurred, or their locations.</w:t>
      </w:r>
    </w:p>
    <w:p w14:paraId="1DB19699" w14:textId="77777777" w:rsidR="0062717F" w:rsidRPr="004A0212" w:rsidRDefault="14CBC11D" w:rsidP="0062717F">
      <w:pPr>
        <w:pStyle w:val="AllNumbparas"/>
      </w:pPr>
      <w:r w:rsidRPr="004A0212">
        <w:t>Family Homes were established in the mid-1950s as an extension of fostering, with Family</w:t>
      </w:r>
      <w:r w:rsidRPr="004A0212" w:rsidDel="00B136CB">
        <w:t xml:space="preserve"> </w:t>
      </w:r>
      <w:r w:rsidRPr="004A0212">
        <w:t>Home caregivers intended to be surrogate parents. Married couples ran Family Homes and cared for multiple children. This type of care setting was thought to be more in keeping with a natural family life. Family Homes also allowed siblings to be kept together.</w:t>
      </w:r>
      <w:r w:rsidR="0062717F" w:rsidRPr="004A0212">
        <w:rPr>
          <w:rStyle w:val="StyleFootnoteReferenceFagoFunotenzeichenFagoFunotenzeichen"/>
        </w:rPr>
        <w:footnoteReference w:id="577"/>
      </w:r>
      <w:r w:rsidRPr="004A0212">
        <w:t xml:space="preserve"> By 1972 there were 78 Family Homes around the country.</w:t>
      </w:r>
      <w:r w:rsidR="0062717F" w:rsidRPr="004A0212">
        <w:rPr>
          <w:rStyle w:val="StyleFootnoteReferenceFagoFunotenzeichenFagoFunotenzeichen"/>
        </w:rPr>
        <w:footnoteReference w:id="578"/>
      </w:r>
      <w:r w:rsidRPr="004A0212">
        <w:t> </w:t>
      </w:r>
    </w:p>
    <w:p w14:paraId="40EB3756" w14:textId="77777777" w:rsidR="0062717F" w:rsidRPr="004A0212" w:rsidRDefault="14CBC11D" w:rsidP="0062717F">
      <w:pPr>
        <w:pStyle w:val="AllNumbparas"/>
      </w:pPr>
      <w:r w:rsidRPr="004A0212">
        <w:t xml:space="preserve">Family Homes were later developed for more transitional placements. However, the continuous shortage of foster carers meant that some children remained in Family Homes for extended periods. </w:t>
      </w:r>
    </w:p>
    <w:p w14:paraId="1AB6AA39" w14:textId="1C9F2AEE" w:rsidR="0062717F" w:rsidRPr="004A0212" w:rsidRDefault="14CBC11D" w:rsidP="0062717F">
      <w:pPr>
        <w:pStyle w:val="AllNumbparas"/>
      </w:pPr>
      <w:r w:rsidRPr="004A0212">
        <w:t xml:space="preserve">In 1983, the Department of Social Welfare and the Department of Māori Affairs started the </w:t>
      </w:r>
      <w:proofErr w:type="spellStart"/>
      <w:r w:rsidRPr="004A0212">
        <w:t>Mātua</w:t>
      </w:r>
      <w:proofErr w:type="spellEnd"/>
      <w:r w:rsidRPr="004A0212">
        <w:t xml:space="preserve"> </w:t>
      </w:r>
      <w:proofErr w:type="spellStart"/>
      <w:r w:rsidRPr="004A0212">
        <w:t>Whāngai</w:t>
      </w:r>
      <w:proofErr w:type="spellEnd"/>
      <w:r w:rsidRPr="004A0212">
        <w:t xml:space="preserve"> programme to place tamariki and rangatahi Māori in Māori homes rather than social welfare residences and non-Māori families. </w:t>
      </w:r>
      <w:proofErr w:type="spellStart"/>
      <w:r w:rsidRPr="004A0212">
        <w:t>Mātua</w:t>
      </w:r>
      <w:proofErr w:type="spellEnd"/>
      <w:r w:rsidRPr="004A0212">
        <w:t xml:space="preserve"> </w:t>
      </w:r>
      <w:proofErr w:type="spellStart"/>
      <w:r w:rsidRPr="004A0212">
        <w:t>Whāngai</w:t>
      </w:r>
      <w:proofErr w:type="spellEnd"/>
      <w:r w:rsidRPr="004A0212">
        <w:t xml:space="preserve"> evolved into a community-based initiative focused on reintegrating</w:t>
      </w:r>
      <w:r w:rsidR="17B5FDCD" w:rsidRPr="004A0212">
        <w:t xml:space="preserve"> </w:t>
      </w:r>
      <w:r w:rsidR="17B5FDCD" w:rsidRPr="004A0212">
        <w:rPr>
          <w:rFonts w:eastAsia="Segoe UI"/>
          <w:color w:val="333333"/>
        </w:rPr>
        <w:t xml:space="preserve">tamariki and rangatahi </w:t>
      </w:r>
      <w:r w:rsidR="17B5FDCD" w:rsidRPr="004A0212">
        <w:rPr>
          <w:rFonts w:eastAsia="Segoe UI"/>
          <w:color w:val="404040" w:themeColor="text1" w:themeTint="BF"/>
        </w:rPr>
        <w:t>Māori</w:t>
      </w:r>
      <w:r w:rsidRPr="004A0212">
        <w:rPr>
          <w:sz w:val="28"/>
          <w:szCs w:val="28"/>
        </w:rPr>
        <w:t xml:space="preserve"> </w:t>
      </w:r>
      <w:r w:rsidRPr="004A0212">
        <w:t>into their whānau or iwi and ran until around 1991.</w:t>
      </w:r>
    </w:p>
    <w:p w14:paraId="6CAD0739" w14:textId="7C819539" w:rsidR="0062717F" w:rsidRPr="004A0212" w:rsidRDefault="07D39393" w:rsidP="0062717F">
      <w:pPr>
        <w:pStyle w:val="Heading3"/>
      </w:pPr>
      <w:bookmarkStart w:id="604" w:name="_Toc660269141"/>
      <w:bookmarkStart w:id="605" w:name="_Toc168639067"/>
      <w:proofErr w:type="spellStart"/>
      <w:r w:rsidRPr="004A0212">
        <w:t>Kāinga</w:t>
      </w:r>
      <w:proofErr w:type="spellEnd"/>
      <w:r w:rsidRPr="004A0212">
        <w:t xml:space="preserve"> </w:t>
      </w:r>
      <w:proofErr w:type="spellStart"/>
      <w:r w:rsidR="377FCDF9" w:rsidRPr="004A0212">
        <w:t>tokoora</w:t>
      </w:r>
      <w:proofErr w:type="spellEnd"/>
      <w:r w:rsidRPr="004A0212">
        <w:t xml:space="preserve"> | Social </w:t>
      </w:r>
      <w:r w:rsidR="5FEA1152" w:rsidRPr="004A0212">
        <w:t xml:space="preserve">welfare </w:t>
      </w:r>
      <w:r w:rsidRPr="004A0212">
        <w:t>residences</w:t>
      </w:r>
      <w:bookmarkEnd w:id="604"/>
      <w:bookmarkEnd w:id="605"/>
    </w:p>
    <w:p w14:paraId="44FB1097" w14:textId="77777777" w:rsidR="0062717F" w:rsidRPr="004A0212" w:rsidRDefault="14CBC11D" w:rsidP="0062717F">
      <w:pPr>
        <w:pStyle w:val="AllNumbparas"/>
      </w:pPr>
      <w:r w:rsidRPr="004A0212">
        <w:t>Social welfare residences were broadly split into national and district institutions, with separate institutions for boys and girls.</w:t>
      </w:r>
      <w:r w:rsidR="0062717F" w:rsidRPr="004A0212">
        <w:rPr>
          <w:rStyle w:val="StyleFootnoteReferenceFagoFunotenzeichenFagoFunotenzeichen"/>
        </w:rPr>
        <w:footnoteReference w:id="579"/>
      </w:r>
      <w:r w:rsidRPr="004A0212">
        <w:t xml:space="preserve"> Each district or major centre had a boys’ and girls’ home for short- to medium-term placements. National institutions existed for long-term placements.</w:t>
      </w:r>
      <w:r w:rsidR="0062717F" w:rsidRPr="004A0212">
        <w:rPr>
          <w:rStyle w:val="StyleFootnoteReferenceFagoFunotenzeichenFagoFunotenzeichen"/>
        </w:rPr>
        <w:footnoteReference w:id="580"/>
      </w:r>
    </w:p>
    <w:p w14:paraId="6EB8467F" w14:textId="77777777" w:rsidR="0062717F" w:rsidRPr="004A0212" w:rsidRDefault="14CBC11D" w:rsidP="0062717F">
      <w:pPr>
        <w:pStyle w:val="AllNumbparas"/>
      </w:pPr>
      <w:r w:rsidRPr="004A0212">
        <w:t>There were six national and 14 district facilities which operated from the early 1950s to 1990. There were also receiving homes (or reception centres) which were short-term residences for babies and very young children.</w:t>
      </w:r>
      <w:r w:rsidR="0062717F" w:rsidRPr="004A0212">
        <w:rPr>
          <w:rStyle w:val="StyleFootnoteReferenceFagoFunotenzeichenFagoFunotenzeichen"/>
        </w:rPr>
        <w:footnoteReference w:id="581"/>
      </w:r>
      <w:r w:rsidRPr="004A0212">
        <w:t xml:space="preserve"> </w:t>
      </w:r>
    </w:p>
    <w:p w14:paraId="2E756794" w14:textId="77777777" w:rsidR="0062717F" w:rsidRPr="004A0212" w:rsidRDefault="14CBC11D" w:rsidP="0062717F">
      <w:pPr>
        <w:pStyle w:val="AllNumbparas"/>
      </w:pPr>
      <w:r w:rsidRPr="004A0212">
        <w:t>Children placed in district institutions were often between placements or being assessed for placement in a foster or Family Home or national institution. Those placed in national institutions were deemed to need an extended period of institutional training and behaviour management.</w:t>
      </w:r>
      <w:r w:rsidR="0062717F" w:rsidRPr="004A0212">
        <w:rPr>
          <w:rStyle w:val="StyleFootnoteReferenceFagoFunotenzeichenFagoFunotenzeichen"/>
        </w:rPr>
        <w:footnoteReference w:id="582"/>
      </w:r>
    </w:p>
    <w:p w14:paraId="691372E7" w14:textId="77777777" w:rsidR="0062717F" w:rsidRPr="004A0212" w:rsidRDefault="14CBC11D" w:rsidP="0062717F">
      <w:pPr>
        <w:pStyle w:val="AllNumbparas"/>
      </w:pPr>
      <w:r w:rsidRPr="004A0212">
        <w:t>Some residences were large homesteads, usually with several outbuildings, and dormitory-style accommodation. By the mid-1970s, many of the social welfare residences were overcrowded and in poor repair.</w:t>
      </w:r>
      <w:r w:rsidR="0062717F" w:rsidRPr="004A0212">
        <w:rPr>
          <w:rStyle w:val="StyleFootnoteReferenceFagoFunotenzeichenFagoFunotenzeichen"/>
        </w:rPr>
        <w:footnoteReference w:id="583"/>
      </w:r>
      <w:r w:rsidRPr="004A0212">
        <w:t xml:space="preserve"> </w:t>
      </w:r>
    </w:p>
    <w:p w14:paraId="4817D4AD" w14:textId="77777777" w:rsidR="00A91A97" w:rsidRDefault="14CBC11D" w:rsidP="0062717F">
      <w:pPr>
        <w:pStyle w:val="AllNumbparas"/>
      </w:pPr>
      <w:r w:rsidRPr="004A0212">
        <w:t xml:space="preserve">Over the 1980s the number of these institutions dropped from 26 to four in the main centres (Weymouth, </w:t>
      </w:r>
      <w:proofErr w:type="spellStart"/>
      <w:r w:rsidRPr="004A0212">
        <w:t>Epuni</w:t>
      </w:r>
      <w:proofErr w:type="spellEnd"/>
      <w:r w:rsidRPr="004A0212">
        <w:t>, Kingslea and Elliot Street).</w:t>
      </w:r>
      <w:r w:rsidR="0062717F" w:rsidRPr="004A0212">
        <w:rPr>
          <w:rStyle w:val="StyleFootnoteReferenceFagoFunotenzeichenFagoFunotenzeichen"/>
        </w:rPr>
        <w:footnoteReference w:id="584"/>
      </w:r>
    </w:p>
    <w:p w14:paraId="73749F22" w14:textId="51414A39" w:rsidR="0062717F" w:rsidRPr="004A0212" w:rsidRDefault="00390222" w:rsidP="0062717F">
      <w:pPr>
        <w:pStyle w:val="Heading2"/>
      </w:pPr>
      <w:bookmarkStart w:id="606" w:name="_Toc215778213"/>
      <w:bookmarkStart w:id="607" w:name="_Toc168639068"/>
      <w:proofErr w:type="spellStart"/>
      <w:r>
        <w:t>Tama</w:t>
      </w:r>
      <w:r w:rsidR="002726B3">
        <w:t>iti</w:t>
      </w:r>
      <w:proofErr w:type="spellEnd"/>
      <w:r w:rsidR="002726B3">
        <w:t xml:space="preserve"> </w:t>
      </w:r>
      <w:proofErr w:type="spellStart"/>
      <w:r w:rsidR="002726B3">
        <w:t>atawhai</w:t>
      </w:r>
      <w:proofErr w:type="spellEnd"/>
      <w:r w:rsidR="07D39393" w:rsidRPr="004A0212">
        <w:t xml:space="preserve"> | Adoption</w:t>
      </w:r>
      <w:bookmarkEnd w:id="606"/>
      <w:bookmarkEnd w:id="607"/>
    </w:p>
    <w:p w14:paraId="5C09D170" w14:textId="77777777" w:rsidR="0062717F" w:rsidRPr="004A0212" w:rsidRDefault="14CBC11D" w:rsidP="0062717F">
      <w:pPr>
        <w:pStyle w:val="Numbparas"/>
      </w:pPr>
      <w:r w:rsidRPr="004A0212">
        <w:t>Legal adoptions became possible in Aotearoa New Zealand from the late 19</w:t>
      </w:r>
      <w:r w:rsidRPr="004A0212">
        <w:rPr>
          <w:vertAlign w:val="superscript"/>
        </w:rPr>
        <w:t>th</w:t>
      </w:r>
      <w:r w:rsidRPr="004A0212">
        <w:t xml:space="preserve"> century but remained relatively uncommon before the Second World War. There was a separate legal process for Māori adoptions, which took place through the Native Land Court (the Māori Land Court from 1947). </w:t>
      </w:r>
      <w:proofErr w:type="gramStart"/>
      <w:r w:rsidRPr="004A0212">
        <w:t>The vast majority of</w:t>
      </w:r>
      <w:proofErr w:type="gramEnd"/>
      <w:r w:rsidRPr="004A0212">
        <w:t xml:space="preserve"> legal adoptions in this era were open, with adoptive children knowing the identity of their biological mother or parents.</w:t>
      </w:r>
      <w:r w:rsidR="0062717F" w:rsidRPr="004A0212">
        <w:rPr>
          <w:rStyle w:val="StyleFootnoteReferenceFagoFunotenzeichenFagoFunotenzeichen"/>
        </w:rPr>
        <w:footnoteReference w:id="585"/>
      </w:r>
      <w:r w:rsidRPr="004A0212">
        <w:t xml:space="preserve"> </w:t>
      </w:r>
    </w:p>
    <w:p w14:paraId="7FB499B7" w14:textId="77777777" w:rsidR="0062717F" w:rsidRPr="004A0212" w:rsidRDefault="14CBC11D" w:rsidP="0062717F">
      <w:pPr>
        <w:pStyle w:val="Numbparas"/>
      </w:pPr>
      <w:r w:rsidRPr="004A0212">
        <w:t>By 1945 over 1,000 children were adopted annually in Aotearoa New Zealand, growing</w:t>
      </w:r>
      <w:r w:rsidRPr="004A0212">
        <w:rPr>
          <w:rFonts w:ascii="Helvetica" w:hAnsi="Helvetica"/>
          <w:color w:val="404040" w:themeColor="text1" w:themeTint="BF"/>
          <w:shd w:val="clear" w:color="auto" w:fill="auto"/>
        </w:rPr>
        <w:t xml:space="preserve"> to 1,880 by 1960.</w:t>
      </w:r>
      <w:r w:rsidR="0062717F" w:rsidRPr="004A0212">
        <w:rPr>
          <w:rStyle w:val="StyleFootnoteReferenceFagoFunotenzeichenFagoFunotenzeichen"/>
        </w:rPr>
        <w:footnoteReference w:id="586"/>
      </w:r>
      <w:r w:rsidRPr="004A0212">
        <w:rPr>
          <w:rFonts w:ascii="Helvetica" w:hAnsi="Helvetica"/>
          <w:color w:val="404040" w:themeColor="text1" w:themeTint="BF"/>
          <w:shd w:val="clear" w:color="auto" w:fill="auto"/>
        </w:rPr>
        <w:t xml:space="preserve"> Initially, there were more people wanting to adopt than available children.</w:t>
      </w:r>
      <w:r w:rsidR="0062717F" w:rsidRPr="004A0212">
        <w:rPr>
          <w:rStyle w:val="StyleFootnoteReferenceFagoFunotenzeichenFagoFunotenzeichen"/>
        </w:rPr>
        <w:footnoteReference w:id="587"/>
      </w:r>
      <w:r w:rsidRPr="004A0212">
        <w:rPr>
          <w:rFonts w:ascii="Helvetica" w:hAnsi="Helvetica"/>
          <w:color w:val="404040" w:themeColor="text1" w:themeTint="BF"/>
          <w:shd w:val="clear" w:color="auto" w:fill="auto"/>
        </w:rPr>
        <w:t xml:space="preserve"> </w:t>
      </w:r>
      <w:r w:rsidRPr="004A0212">
        <w:t>However, by the</w:t>
      </w:r>
      <w:r w:rsidRPr="004A0212">
        <w:rPr>
          <w:rFonts w:ascii="Helvetica" w:hAnsi="Helvetica"/>
          <w:color w:val="404040" w:themeColor="text1" w:themeTint="BF"/>
          <w:shd w:val="clear" w:color="auto" w:fill="auto"/>
        </w:rPr>
        <w:t xml:space="preserve"> early to mid-1960s, </w:t>
      </w:r>
      <w:r w:rsidRPr="004A0212">
        <w:t>State and faith-based institutions were reporting an increase in children being placed up for adoption but extreme difficulties finding adoptive homes.</w:t>
      </w:r>
      <w:r w:rsidR="0062717F" w:rsidRPr="004A0212">
        <w:rPr>
          <w:rStyle w:val="StyleFootnoteReferenceFagoFunotenzeichenFagoFunotenzeichen"/>
        </w:rPr>
        <w:footnoteReference w:id="588"/>
      </w:r>
      <w:r w:rsidRPr="004A0212">
        <w:rPr>
          <w:rFonts w:ascii="Helvetica" w:hAnsi="Helvetica"/>
          <w:color w:val="404040" w:themeColor="text1" w:themeTint="BF"/>
          <w:shd w:val="clear" w:color="auto" w:fill="auto"/>
        </w:rPr>
        <w:t xml:space="preserve"> </w:t>
      </w:r>
    </w:p>
    <w:p w14:paraId="4E79EE20" w14:textId="77777777" w:rsidR="0062717F" w:rsidRPr="004A0212" w:rsidRDefault="14CBC11D" w:rsidP="0062717F">
      <w:pPr>
        <w:pStyle w:val="Numbparas"/>
      </w:pPr>
      <w:r w:rsidRPr="004A0212">
        <w:t>Until 1955 legal adoptions were mainly arranged privately, often by agencies, doctors, maternity homes, hospital matrons or facilitated through faith-based unmarried mothers’ homes.</w:t>
      </w:r>
      <w:r w:rsidR="0062717F" w:rsidRPr="004A0212">
        <w:rPr>
          <w:rStyle w:val="StyleFootnoteReferenceFagoFunotenzeichenFagoFunotenzeichen"/>
        </w:rPr>
        <w:footnoteReference w:id="589"/>
      </w:r>
      <w:r w:rsidRPr="004A0212">
        <w:t xml:space="preserve"> Social workers were not required to approve or be involved in adoptions until the Adoption Act 1955 was passed.</w:t>
      </w:r>
      <w:r w:rsidR="0062717F" w:rsidRPr="004A0212">
        <w:rPr>
          <w:rStyle w:val="StyleFootnoteReferenceFagoFunotenzeichenFagoFunotenzeichen"/>
        </w:rPr>
        <w:footnoteReference w:id="590"/>
      </w:r>
    </w:p>
    <w:p w14:paraId="36B12A27" w14:textId="70551BC0" w:rsidR="0062717F" w:rsidRPr="004A0212" w:rsidRDefault="14CBC11D" w:rsidP="0062717F">
      <w:pPr>
        <w:pStyle w:val="Numbparas"/>
        <w:rPr>
          <w:rStyle w:val="FootnoteReference"/>
        </w:rPr>
      </w:pPr>
      <w:r w:rsidRPr="004A0212">
        <w:t>The State became more involved in adoptions following the Adoption Act.</w:t>
      </w:r>
      <w:r w:rsidR="0062717F" w:rsidRPr="004A0212">
        <w:rPr>
          <w:rStyle w:val="StyleFootnoteReferenceFagoFunotenzeichenFagoFunotenzeichen"/>
        </w:rPr>
        <w:footnoteReference w:id="591"/>
      </w:r>
      <w:r w:rsidRPr="004A0212">
        <w:rPr>
          <w:rStyle w:val="FootnoteReference"/>
        </w:rPr>
        <w:t xml:space="preserve"> </w:t>
      </w:r>
      <w:r w:rsidRPr="004A0212">
        <w:t>The Act promoted a ‘complete break’ between birth and adoptive families</w:t>
      </w:r>
      <w:r w:rsidR="0062717F" w:rsidRPr="004A0212">
        <w:rPr>
          <w:rStyle w:val="StyleFootnoteReferenceFagoFunotenzeichenFagoFunotenzeichen"/>
        </w:rPr>
        <w:footnoteReference w:id="592"/>
      </w:r>
      <w:r w:rsidRPr="004A0212">
        <w:rPr>
          <w:rStyle w:val="FootnoteReference"/>
        </w:rPr>
        <w:t xml:space="preserve"> </w:t>
      </w:r>
      <w:r w:rsidRPr="004A0212">
        <w:t>by providing for closed adoptions by unrelated strangers where “all identifying details of the child’s birth parents remained confidential”.</w:t>
      </w:r>
      <w:r w:rsidR="0062717F" w:rsidRPr="004A0212">
        <w:rPr>
          <w:rStyle w:val="StyleFootnoteReferenceFagoFunotenzeichenFagoFunotenzeichen"/>
        </w:rPr>
        <w:footnoteReference w:id="593"/>
      </w:r>
      <w:r w:rsidRPr="004A0212">
        <w:t xml:space="preserve"> Birth mothers could consent to adoption 10 days following the birth, one of the shortest periods in any country.</w:t>
      </w:r>
      <w:r w:rsidR="0062717F" w:rsidRPr="004A0212">
        <w:rPr>
          <w:rStyle w:val="StyleFootnoteReferenceFagoFunotenzeichenFagoFunotenzeichen"/>
        </w:rPr>
        <w:footnoteReference w:id="594"/>
      </w:r>
      <w:r w:rsidRPr="004A0212">
        <w:rPr>
          <w:rStyle w:val="FootnoteReference"/>
        </w:rPr>
        <w:t xml:space="preserve"> </w:t>
      </w:r>
      <w:r w:rsidRPr="004A0212">
        <w:t>The birth father</w:t>
      </w:r>
      <w:r w:rsidR="424964BD" w:rsidRPr="004A0212">
        <w:t>’</w:t>
      </w:r>
      <w:r w:rsidRPr="004A0212">
        <w:t>s consent was not required.</w:t>
      </w:r>
    </w:p>
    <w:p w14:paraId="45AADC8E" w14:textId="77777777" w:rsidR="0062717F" w:rsidRPr="004A0212" w:rsidRDefault="14CBC11D" w:rsidP="0062717F">
      <w:pPr>
        <w:pStyle w:val="Numbparas"/>
      </w:pPr>
      <w:r w:rsidRPr="004A0212">
        <w:t>There were grounds when consent of the parent (almost always the birth mother) or guardian could be dispensed with for adoption to proceed. These were set out in Section 8 of the Adoption Act 1955 and included situations where the parent or guardian had “abandoned, neglected, persistently failed to maintain, or persistently ill-treated the child, or failed to exercise the normal duty and care of parenthood”.</w:t>
      </w:r>
      <w:r w:rsidR="0062717F" w:rsidRPr="004A0212">
        <w:rPr>
          <w:rStyle w:val="StyleFootnoteReferenceFagoFunotenzeichenFagoFunotenzeichen"/>
        </w:rPr>
        <w:footnoteReference w:id="595"/>
      </w:r>
      <w:r w:rsidRPr="004A0212">
        <w:t xml:space="preserve"> It also included situations where the parent or guardian was thought to be unable to care for the child due to physical or mental incapacity.</w:t>
      </w:r>
      <w:r w:rsidR="0062717F" w:rsidRPr="004A0212">
        <w:rPr>
          <w:rStyle w:val="StyleFootnoteReferenceFagoFunotenzeichenFagoFunotenzeichen"/>
        </w:rPr>
        <w:footnoteReference w:id="596"/>
      </w:r>
    </w:p>
    <w:p w14:paraId="46DC0AE1" w14:textId="77777777" w:rsidR="0062717F" w:rsidRPr="004A0212" w:rsidRDefault="14CBC11D" w:rsidP="0062717F">
      <w:pPr>
        <w:pStyle w:val="Numbparas"/>
      </w:pPr>
      <w:r w:rsidRPr="004A0212">
        <w:t>The Child Welfare Division took an active role in identifying the babies of single mothers for adoption, advising its officers to co-operate closely with unmarried mothers’ homes. The Field Officers’ Manual for 1958 to 1969 advised officers to help the mother “think carefully about the future” and “assist her towards a satisfactory decision”.</w:t>
      </w:r>
      <w:r w:rsidR="0062717F" w:rsidRPr="004A0212">
        <w:rPr>
          <w:rStyle w:val="StyleFootnoteReferenceFagoFunotenzeichenFagoFunotenzeichen"/>
        </w:rPr>
        <w:footnoteReference w:id="597"/>
      </w:r>
      <w:r w:rsidRPr="004A0212">
        <w:t xml:space="preserve"> There was a growing reluctance among social workers from the 1960s towards making such intrusive investigations.</w:t>
      </w:r>
      <w:r w:rsidR="0062717F" w:rsidRPr="004A0212">
        <w:rPr>
          <w:rStyle w:val="StyleFootnoteReferenceFagoFunotenzeichenFagoFunotenzeichen"/>
        </w:rPr>
        <w:footnoteReference w:id="598"/>
      </w:r>
      <w:r w:rsidRPr="004A0212">
        <w:t xml:space="preserve">  </w:t>
      </w:r>
    </w:p>
    <w:p w14:paraId="029A24AC" w14:textId="77777777" w:rsidR="0062717F" w:rsidRPr="004A0212" w:rsidRDefault="14CBC11D" w:rsidP="0062717F">
      <w:pPr>
        <w:pStyle w:val="Numbparas"/>
      </w:pPr>
      <w:r w:rsidRPr="004A0212">
        <w:t>Between 1984 and 1996, social workers were advised to build a relationship of trust with young mothers while they were still pregnant to help them reach a “realistic decision” that took into regard the child’s future.</w:t>
      </w:r>
      <w:r w:rsidR="0062717F" w:rsidRPr="004A0212">
        <w:rPr>
          <w:rStyle w:val="StyleFootnoteReferenceFagoFunotenzeichenFagoFunotenzeichen"/>
        </w:rPr>
        <w:footnoteReference w:id="599"/>
      </w:r>
      <w:r w:rsidRPr="004A0212">
        <w:t xml:space="preserve"> The Social Work Manual warned that because ex-nuptial pregnancies were now more socially acceptable, and a benefit was available, mothers were “frequently confronted by a tempting choice” of alternatives to adoption:</w:t>
      </w:r>
    </w:p>
    <w:p w14:paraId="6E7D802C" w14:textId="77777777" w:rsidR="0062717F" w:rsidRPr="004A0212" w:rsidRDefault="0062717F" w:rsidP="0062717F">
      <w:pPr>
        <w:pStyle w:val="AllQuotes"/>
        <w:rPr>
          <w:shd w:val="clear" w:color="auto" w:fill="FFFFFF"/>
        </w:rPr>
      </w:pPr>
      <w:r w:rsidRPr="004A0212">
        <w:t>“Unfortunately experience indicates that many of the young girls who decide to keep their babies are the very ones who are least ready to assume the responsibility – and constraints on their social life – of the care of a young child. The Social Worker should not too readily accept the mother’s statement that she has already decided the baby’s future.”</w:t>
      </w:r>
      <w:r w:rsidRPr="004A0212">
        <w:rPr>
          <w:rStyle w:val="StyleFootnoteReferenceFagoFunotenzeichenFagoFunotenzeichen"/>
        </w:rPr>
        <w:footnoteReference w:id="600"/>
      </w:r>
      <w:r w:rsidRPr="004A0212">
        <w:t xml:space="preserve"> </w:t>
      </w:r>
    </w:p>
    <w:p w14:paraId="5FAAFFD6" w14:textId="77777777" w:rsidR="0062717F" w:rsidRPr="004A0212" w:rsidRDefault="14CBC11D" w:rsidP="0062717F">
      <w:pPr>
        <w:pStyle w:val="Numbparas"/>
      </w:pPr>
      <w:r w:rsidRPr="004A0212">
        <w:t>Adoption rates peaked at 3,976 in 1971, comprising 6 percent of live births, and declined to 2,200 by 1979 (4 percent of live births).</w:t>
      </w:r>
      <w:r w:rsidR="0062717F" w:rsidRPr="004A0212">
        <w:rPr>
          <w:rStyle w:val="StyleFootnoteReferenceFagoFunotenzeichenFagoFunotenzeichen"/>
        </w:rPr>
        <w:footnoteReference w:id="601"/>
      </w:r>
      <w:r w:rsidRPr="004A0212">
        <w:t xml:space="preserve"> Most adoptions involved children born to unmarried parents,</w:t>
      </w:r>
      <w:r w:rsidR="0062717F" w:rsidRPr="004A0212">
        <w:rPr>
          <w:rStyle w:val="StyleFootnoteReferenceFagoFunotenzeichenFagoFunotenzeichen"/>
        </w:rPr>
        <w:footnoteReference w:id="602"/>
      </w:r>
      <w:r w:rsidRPr="004A0212">
        <w:t xml:space="preserve"> with a decrease in the percentage over the years (82 percent in 1945, 67 percent in 1971). Even into the 1970s, when social attitudes towards single motherhood began to shift, State financial support remained limited. Few childcare options existed, and women's work was often low paid. This severely constrained single mothers’ ability to provide for themselves and their children.</w:t>
      </w:r>
      <w:r w:rsidR="0062717F" w:rsidRPr="004A0212">
        <w:rPr>
          <w:rStyle w:val="StyleFootnoteReferenceFagoFunotenzeichenFagoFunotenzeichen"/>
        </w:rPr>
        <w:footnoteReference w:id="603"/>
      </w:r>
      <w:r w:rsidRPr="004A0212">
        <w:t xml:space="preserve"> An estimated 45,000 closed stranger adoptions occurred between 1955 and 1985.</w:t>
      </w:r>
      <w:r w:rsidR="0062717F" w:rsidRPr="004A0212">
        <w:rPr>
          <w:rStyle w:val="StyleFootnoteReferenceFagoFunotenzeichenFagoFunotenzeichen"/>
        </w:rPr>
        <w:footnoteReference w:id="604"/>
      </w:r>
    </w:p>
    <w:p w14:paraId="64F84D28" w14:textId="14068EF9" w:rsidR="009E392F" w:rsidRPr="004A0212" w:rsidRDefault="009E392F" w:rsidP="009E392F">
      <w:pPr>
        <w:pStyle w:val="Numbparas"/>
      </w:pPr>
      <w:r w:rsidRPr="004A0212">
        <w:t>In 1985 the Adult Adoption Information Act 1985 allowed adopted people aged over 20 to obtain their original birth certificate and potentially apply for identifying information about their birth mother and / or father.</w:t>
      </w:r>
      <w:r w:rsidRPr="004A0212">
        <w:rPr>
          <w:rStyle w:val="StyleFootnoteReferenceFagoFunotenzeichenFagoFunotenzeichen"/>
        </w:rPr>
        <w:footnoteReference w:id="605"/>
      </w:r>
    </w:p>
    <w:p w14:paraId="3E259C38" w14:textId="77777777" w:rsidR="0062717F" w:rsidRPr="004A0212" w:rsidRDefault="0062717F" w:rsidP="0062717F">
      <w:pPr>
        <w:keepLines w:val="0"/>
        <w:rPr>
          <w:rStyle w:val="Heading5Char0"/>
          <w:b/>
          <w:shd w:val="clear" w:color="auto" w:fill="FFFFFF"/>
        </w:rPr>
      </w:pPr>
      <w:r w:rsidRPr="004A0212">
        <w:rPr>
          <w:rStyle w:val="Heading5Char0"/>
          <w:b/>
          <w:bCs/>
        </w:rPr>
        <w:br w:type="page"/>
      </w:r>
    </w:p>
    <w:p w14:paraId="43E6E443" w14:textId="6E8FAC85" w:rsidR="0062717F" w:rsidRPr="004A0212" w:rsidRDefault="0062717F" w:rsidP="0062717F">
      <w:pPr>
        <w:pStyle w:val="AllNumbparas"/>
        <w:numPr>
          <w:ilvl w:val="0"/>
          <w:numId w:val="0"/>
        </w:numPr>
      </w:pPr>
      <w:r w:rsidRPr="004A0212">
        <w:rPr>
          <w:rStyle w:val="Heading5Char0"/>
          <w:b/>
        </w:rPr>
        <w:t xml:space="preserve">Table of legal adoptions </w:t>
      </w:r>
      <w:r w:rsidRPr="004A0212">
        <w:rPr>
          <w:b/>
          <w:bCs w:val="0"/>
          <w:noProof/>
        </w:rPr>
        <mc:AlternateContent>
          <mc:Choice Requires="wps">
            <w:drawing>
              <wp:anchor distT="0" distB="0" distL="114300" distR="114300" simplePos="0" relativeHeight="251658240" behindDoc="1" locked="0" layoutInCell="1" allowOverlap="1" wp14:anchorId="651C2554" wp14:editId="03D0EC73">
                <wp:simplePos x="0" y="0"/>
                <wp:positionH relativeFrom="column">
                  <wp:posOffset>57150</wp:posOffset>
                </wp:positionH>
                <wp:positionV relativeFrom="paragraph">
                  <wp:posOffset>171450</wp:posOffset>
                </wp:positionV>
                <wp:extent cx="5313045" cy="3167380"/>
                <wp:effectExtent l="0" t="0" r="1905" b="0"/>
                <wp:wrapTight wrapText="bothSides">
                  <wp:wrapPolygon edited="0">
                    <wp:start x="0" y="0"/>
                    <wp:lineTo x="0" y="21435"/>
                    <wp:lineTo x="21530" y="21435"/>
                    <wp:lineTo x="21530"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045" cy="316738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3EB61C4" w14:textId="77777777" w:rsidR="0062717F" w:rsidRDefault="0062717F" w:rsidP="006271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C2554" id="_x0000_t202" coordsize="21600,21600" o:spt="202" path="m,l,21600r21600,l21600,xe">
                <v:stroke joinstyle="miter"/>
                <v:path gradientshapeok="t" o:connecttype="rect"/>
              </v:shapetype>
              <v:shape id="Text Box 5" o:spid="_x0000_s1026" type="#_x0000_t202" style="position:absolute;margin-left:4.5pt;margin-top:13.5pt;width:418.35pt;height:24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" stroked="f">
                <v:fill r:id="rId16" o:title="" recolor="t" rotate="t" type="frame"/>
                <v:textbox>
                  <w:txbxContent>
                    <w:p w14:paraId="13EB61C4" w14:textId="77777777" w:rsidR="0062717F" w:rsidRDefault="0062717F" w:rsidP="0062717F"/>
                  </w:txbxContent>
                </v:textbox>
                <w10:wrap type="tight"/>
              </v:shape>
            </w:pict>
          </mc:Fallback>
        </mc:AlternateContent>
      </w:r>
      <w:r w:rsidRPr="004A0212">
        <w:rPr>
          <w:rStyle w:val="Heading5Char0"/>
          <w:b/>
        </w:rPr>
        <w:t>during the period of 1943 – 1979</w:t>
      </w:r>
      <w:r w:rsidRPr="004A0212">
        <w:rPr>
          <w:rStyle w:val="StyleFootnoteReferenceFagoFunotenzeichenFagoFunotenzeichen"/>
        </w:rPr>
        <w:footnoteReference w:id="606"/>
      </w:r>
    </w:p>
    <w:p w14:paraId="0BCFC8F7" w14:textId="77777777" w:rsidR="0062717F" w:rsidRPr="004A0212" w:rsidRDefault="0062717F" w:rsidP="0062717F">
      <w:pPr>
        <w:pStyle w:val="AllNumbparas"/>
        <w:numPr>
          <w:ilvl w:val="0"/>
          <w:numId w:val="0"/>
        </w:numPr>
      </w:pPr>
    </w:p>
    <w:p w14:paraId="44D4C680" w14:textId="4F04827E" w:rsidR="0062717F" w:rsidRPr="004A0212" w:rsidRDefault="07D39393" w:rsidP="02397200">
      <w:pPr>
        <w:pStyle w:val="Hed4"/>
      </w:pPr>
      <w:bookmarkStart w:id="608" w:name="_Toc1906316380"/>
      <w:bookmarkStart w:id="609" w:name="_Toc168639069"/>
      <w:proofErr w:type="spellStart"/>
      <w:r w:rsidRPr="700D4309">
        <w:rPr>
          <w:lang w:val="en-US"/>
        </w:rPr>
        <w:t>Te</w:t>
      </w:r>
      <w:proofErr w:type="spellEnd"/>
      <w:r w:rsidRPr="700D4309">
        <w:rPr>
          <w:lang w:val="en-US"/>
        </w:rPr>
        <w:t xml:space="preserve"> Ture </w:t>
      </w:r>
      <w:proofErr w:type="spellStart"/>
      <w:r w:rsidRPr="700D4309">
        <w:rPr>
          <w:lang w:val="en-US"/>
        </w:rPr>
        <w:t>Whāngai</w:t>
      </w:r>
      <w:proofErr w:type="spellEnd"/>
      <w:r w:rsidRPr="700D4309">
        <w:rPr>
          <w:lang w:val="en-US"/>
        </w:rPr>
        <w:t xml:space="preserve"> 1955, </w:t>
      </w:r>
      <w:proofErr w:type="spellStart"/>
      <w:r w:rsidRPr="700D4309">
        <w:rPr>
          <w:lang w:val="en-US"/>
        </w:rPr>
        <w:t>te</w:t>
      </w:r>
      <w:proofErr w:type="spellEnd"/>
      <w:r w:rsidRPr="700D4309">
        <w:rPr>
          <w:lang w:val="en-US"/>
        </w:rPr>
        <w:t xml:space="preserve"> </w:t>
      </w:r>
      <w:proofErr w:type="spellStart"/>
      <w:r w:rsidRPr="700D4309">
        <w:rPr>
          <w:lang w:val="en-US"/>
        </w:rPr>
        <w:t>whāngai</w:t>
      </w:r>
      <w:proofErr w:type="spellEnd"/>
      <w:r w:rsidRPr="700D4309">
        <w:rPr>
          <w:lang w:val="en-US"/>
        </w:rPr>
        <w:t xml:space="preserve"> Māori me </w:t>
      </w:r>
      <w:proofErr w:type="spellStart"/>
      <w:r w:rsidRPr="700D4309">
        <w:rPr>
          <w:lang w:val="en-US"/>
        </w:rPr>
        <w:t>te</w:t>
      </w:r>
      <w:proofErr w:type="spellEnd"/>
      <w:r w:rsidRPr="700D4309">
        <w:rPr>
          <w:lang w:val="en-US"/>
        </w:rPr>
        <w:t xml:space="preserve"> </w:t>
      </w:r>
      <w:proofErr w:type="spellStart"/>
      <w:r w:rsidRPr="700D4309">
        <w:rPr>
          <w:lang w:val="en-US"/>
        </w:rPr>
        <w:t>whāngai</w:t>
      </w:r>
      <w:bookmarkEnd w:id="608"/>
      <w:bookmarkEnd w:id="609"/>
      <w:proofErr w:type="spellEnd"/>
      <w:r w:rsidRPr="700D4309">
        <w:rPr>
          <w:lang w:val="en-US"/>
        </w:rPr>
        <w:t xml:space="preserve"> </w:t>
      </w:r>
    </w:p>
    <w:p w14:paraId="31CFF1EB" w14:textId="322D1D25" w:rsidR="0062717F" w:rsidRPr="004A0212" w:rsidRDefault="07D39393" w:rsidP="02397200">
      <w:pPr>
        <w:pStyle w:val="Hed4"/>
      </w:pPr>
      <w:bookmarkStart w:id="610" w:name="_Toc1971198160"/>
      <w:bookmarkStart w:id="611" w:name="_Toc168639070"/>
      <w:r w:rsidRPr="700D4309">
        <w:rPr>
          <w:lang w:val="en-US"/>
        </w:rPr>
        <w:t xml:space="preserve">The Adoption Act 1955 and Māori </w:t>
      </w:r>
      <w:proofErr w:type="spellStart"/>
      <w:r w:rsidRPr="700D4309">
        <w:rPr>
          <w:lang w:val="en-US"/>
        </w:rPr>
        <w:t>whāngai</w:t>
      </w:r>
      <w:proofErr w:type="spellEnd"/>
      <w:r w:rsidRPr="700D4309">
        <w:rPr>
          <w:lang w:val="en-US"/>
        </w:rPr>
        <w:t xml:space="preserve"> and adoptions</w:t>
      </w:r>
      <w:bookmarkEnd w:id="610"/>
      <w:bookmarkEnd w:id="611"/>
    </w:p>
    <w:p w14:paraId="1180A0E9" w14:textId="4949AC1B" w:rsidR="0062717F" w:rsidRPr="004A0212" w:rsidRDefault="14CBC11D" w:rsidP="0062717F">
      <w:pPr>
        <w:pStyle w:val="Numbparas"/>
      </w:pPr>
      <w:r w:rsidRPr="004A0212">
        <w:t xml:space="preserve">Māori traditionally had a system of caring for children among wider whānau and had common and accepted practices such as </w:t>
      </w:r>
      <w:proofErr w:type="spellStart"/>
      <w:r w:rsidRPr="004A0212">
        <w:t>whāngai</w:t>
      </w:r>
      <w:proofErr w:type="spellEnd"/>
      <w:r w:rsidRPr="004A0212">
        <w:t xml:space="preserve"> or </w:t>
      </w:r>
      <w:proofErr w:type="spellStart"/>
      <w:r w:rsidRPr="004A0212">
        <w:t>atawhai</w:t>
      </w:r>
      <w:proofErr w:type="spellEnd"/>
      <w:r w:rsidR="6DB58B3B" w:rsidRPr="004A0212">
        <w:t>,</w:t>
      </w:r>
      <w:r w:rsidRPr="004A0212">
        <w:t xml:space="preserve"> which involved tamariki Māori being raised by whānau members.</w:t>
      </w:r>
      <w:r w:rsidR="0062717F" w:rsidRPr="004A0212">
        <w:rPr>
          <w:rStyle w:val="StyleFootnoteReferenceFagoFunotenzeichenFagoFunotenzeichen"/>
        </w:rPr>
        <w:footnoteReference w:id="607"/>
      </w:r>
      <w:r w:rsidRPr="004A0212">
        <w:t xml:space="preserve"> </w:t>
      </w:r>
      <w:proofErr w:type="spellStart"/>
      <w:r w:rsidRPr="004A0212">
        <w:t>Whāngai</w:t>
      </w:r>
      <w:proofErr w:type="spellEnd"/>
      <w:r w:rsidRPr="004A0212">
        <w:t xml:space="preserve"> also enabled </w:t>
      </w:r>
      <w:proofErr w:type="spellStart"/>
      <w:r w:rsidRPr="004A0212">
        <w:t>tamariki</w:t>
      </w:r>
      <w:proofErr w:type="spellEnd"/>
      <w:r w:rsidRPr="004A0212">
        <w:t xml:space="preserve"> Māori to maintain connection with their birth whānau and their </w:t>
      </w:r>
      <w:proofErr w:type="spellStart"/>
      <w:r w:rsidRPr="004A0212">
        <w:t>whāngai</w:t>
      </w:r>
      <w:proofErr w:type="spellEnd"/>
      <w:r w:rsidRPr="004A0212">
        <w:t xml:space="preserve"> whānau and meant the child’s and hapū rights and privileges remained protected.</w:t>
      </w:r>
      <w:r w:rsidR="0062717F" w:rsidRPr="004A0212">
        <w:rPr>
          <w:rStyle w:val="StyleFootnoteReferenceFagoFunotenzeichenFagoFunotenzeichen"/>
        </w:rPr>
        <w:footnoteReference w:id="608"/>
      </w:r>
      <w:r w:rsidRPr="004A0212">
        <w:t xml:space="preserve"> </w:t>
      </w:r>
    </w:p>
    <w:p w14:paraId="0EA9CAA3" w14:textId="59DBA0B2" w:rsidR="0062717F" w:rsidRPr="004A0212" w:rsidRDefault="14CBC11D" w:rsidP="0062717F">
      <w:pPr>
        <w:pStyle w:val="Numbparas"/>
      </w:pPr>
      <w:r w:rsidRPr="004A0212">
        <w:t xml:space="preserve">From the 1900s Māori adoptions and </w:t>
      </w:r>
      <w:proofErr w:type="spellStart"/>
      <w:r w:rsidRPr="004A0212">
        <w:t>whāngai</w:t>
      </w:r>
      <w:proofErr w:type="spellEnd"/>
      <w:r w:rsidRPr="004A0212">
        <w:t xml:space="preserve"> became increasingly controlled and regulated by the State. In 1901, Māori adoptions and </w:t>
      </w:r>
      <w:proofErr w:type="spellStart"/>
      <w:r w:rsidRPr="004A0212">
        <w:t>whāngai</w:t>
      </w:r>
      <w:proofErr w:type="spellEnd"/>
      <w:r w:rsidRPr="004A0212">
        <w:t xml:space="preserve"> were not recognised legally unless they were registered in the Native Land Court, where they had to be approved by a </w:t>
      </w:r>
      <w:r w:rsidR="27369DA1" w:rsidRPr="004A0212">
        <w:t>j</w:t>
      </w:r>
      <w:r w:rsidRPr="004A0212">
        <w:t>udge.</w:t>
      </w:r>
      <w:r w:rsidR="0062717F" w:rsidRPr="004A0212">
        <w:rPr>
          <w:rStyle w:val="StyleFootnoteReferenceFagoFunotenzeichenFagoFunotenzeichen"/>
        </w:rPr>
        <w:footnoteReference w:id="609"/>
      </w:r>
      <w:r w:rsidRPr="004A0212">
        <w:t xml:space="preserve"> In 1909, it became illegal for Māori to adopt non-Māori. Māori rates of adoption and </w:t>
      </w:r>
      <w:proofErr w:type="spellStart"/>
      <w:r w:rsidRPr="004A0212">
        <w:t>whāngai</w:t>
      </w:r>
      <w:proofErr w:type="spellEnd"/>
      <w:r w:rsidRPr="004A0212">
        <w:t xml:space="preserve"> were not recorded during this time. </w:t>
      </w:r>
    </w:p>
    <w:p w14:paraId="22CF8757" w14:textId="77777777" w:rsidR="0062717F" w:rsidRPr="004A0212" w:rsidRDefault="14CBC11D" w:rsidP="0062717F">
      <w:pPr>
        <w:pStyle w:val="Numbparas"/>
      </w:pPr>
      <w:r w:rsidRPr="004A0212">
        <w:t xml:space="preserve">The 1955 Act removed the ban on Māori adopting non-Māori, and Māori adoptions were also brought under almost the same rules as adoption. As such, the Act did not recognise Māori </w:t>
      </w:r>
      <w:proofErr w:type="spellStart"/>
      <w:r w:rsidRPr="004A0212">
        <w:t>whāngai</w:t>
      </w:r>
      <w:proofErr w:type="spellEnd"/>
      <w:r w:rsidRPr="004A0212">
        <w:t xml:space="preserve"> practices.</w:t>
      </w:r>
      <w:r w:rsidR="0062717F" w:rsidRPr="004A0212">
        <w:rPr>
          <w:rStyle w:val="StyleFootnoteReferenceFagoFunotenzeichenFagoFunotenzeichen"/>
        </w:rPr>
        <w:footnoteReference w:id="610"/>
      </w:r>
      <w:r w:rsidRPr="004A0212">
        <w:t xml:space="preserve"> </w:t>
      </w:r>
    </w:p>
    <w:p w14:paraId="0E87C9F5" w14:textId="77777777" w:rsidR="0062717F" w:rsidRPr="004A0212" w:rsidRDefault="14CBC11D" w:rsidP="0062717F">
      <w:pPr>
        <w:pStyle w:val="Numbparas"/>
      </w:pPr>
      <w:r w:rsidRPr="004A0212">
        <w:t>A 1962 amendment transferred Māori adoption hearings from the (open) Māori Land Courts to the (closed) Magistrates Courts. Financial costs and questioning of applicants’ personal circumstances disadvantaged whānau Māori.</w:t>
      </w:r>
      <w:r w:rsidR="0062717F" w:rsidRPr="004A0212">
        <w:rPr>
          <w:rStyle w:val="StyleFootnoteReferenceFagoFunotenzeichenFagoFunotenzeichen"/>
        </w:rPr>
        <w:footnoteReference w:id="611"/>
      </w:r>
      <w:r w:rsidRPr="004A0212">
        <w:t xml:space="preserve"> This reduced the number of potential Māori adoptive parents and increased the likelihood of </w:t>
      </w:r>
      <w:proofErr w:type="spellStart"/>
      <w:r w:rsidRPr="004A0212">
        <w:t>pēpē</w:t>
      </w:r>
      <w:proofErr w:type="spellEnd"/>
      <w:r w:rsidRPr="004A0212">
        <w:t xml:space="preserve"> and </w:t>
      </w:r>
      <w:proofErr w:type="spellStart"/>
      <w:r w:rsidRPr="004A0212">
        <w:t>tamariki</w:t>
      </w:r>
      <w:proofErr w:type="spellEnd"/>
      <w:r w:rsidRPr="004A0212">
        <w:t xml:space="preserve"> Māori being placed in foster care or being adopted by Pākehā parents.</w:t>
      </w:r>
      <w:r w:rsidR="0062717F" w:rsidRPr="004A0212">
        <w:rPr>
          <w:rStyle w:val="StyleFootnoteReferenceFagoFunotenzeichenFagoFunotenzeichen"/>
        </w:rPr>
        <w:footnoteReference w:id="612"/>
      </w:r>
    </w:p>
    <w:p w14:paraId="0A5B7C12" w14:textId="77777777" w:rsidR="0062717F" w:rsidRPr="004A0212" w:rsidRDefault="14CBC11D" w:rsidP="0062717F">
      <w:pPr>
        <w:pStyle w:val="Numbparas"/>
      </w:pPr>
      <w:r w:rsidRPr="004A0212">
        <w:t xml:space="preserve">Some </w:t>
      </w:r>
      <w:proofErr w:type="spellStart"/>
      <w:r w:rsidRPr="004A0212">
        <w:t>pēpē</w:t>
      </w:r>
      <w:proofErr w:type="spellEnd"/>
      <w:r w:rsidRPr="004A0212">
        <w:t xml:space="preserve"> and </w:t>
      </w:r>
      <w:proofErr w:type="spellStart"/>
      <w:r w:rsidRPr="004A0212">
        <w:t>tamariki</w:t>
      </w:r>
      <w:proofErr w:type="spellEnd"/>
      <w:r w:rsidRPr="004A0212">
        <w:t xml:space="preserve"> Māori adopted out through this closed process lost knowledge of their whakapapa or were even unaware that they were Māori.</w:t>
      </w:r>
      <w:r w:rsidR="0062717F" w:rsidRPr="004A0212">
        <w:rPr>
          <w:rStyle w:val="StyleFootnoteReferenceFagoFunotenzeichenFagoFunotenzeichen"/>
        </w:rPr>
        <w:footnoteReference w:id="613"/>
      </w:r>
      <w:r w:rsidRPr="004A0212">
        <w:t xml:space="preserve"> For tamariki Māori who were adopted out, their iwi </w:t>
      </w:r>
      <w:proofErr w:type="gramStart"/>
      <w:r w:rsidRPr="004A0212">
        <w:t>were</w:t>
      </w:r>
      <w:proofErr w:type="gramEnd"/>
      <w:r w:rsidRPr="004A0212">
        <w:t xml:space="preserve"> rarely recorded, and their ethnicity was often incorrectly recorded.</w:t>
      </w:r>
    </w:p>
    <w:p w14:paraId="72B37DA0" w14:textId="77777777" w:rsidR="0062717F" w:rsidRPr="004A0212" w:rsidRDefault="14CBC11D" w:rsidP="0062717F">
      <w:pPr>
        <w:pStyle w:val="Numbparas"/>
      </w:pPr>
      <w:r w:rsidRPr="004A0212">
        <w:t xml:space="preserve">This was particularly the case where the mother was </w:t>
      </w:r>
      <w:proofErr w:type="gramStart"/>
      <w:r w:rsidRPr="004A0212">
        <w:t>Pākehā</w:t>
      </w:r>
      <w:proofErr w:type="gramEnd"/>
      <w:r w:rsidRPr="004A0212">
        <w:t xml:space="preserve"> and the father was Māori. Pākehā women increasingly gave their </w:t>
      </w:r>
      <w:proofErr w:type="spellStart"/>
      <w:r w:rsidRPr="004A0212">
        <w:t>pēpē</w:t>
      </w:r>
      <w:proofErr w:type="spellEnd"/>
      <w:r w:rsidRPr="004A0212">
        <w:t xml:space="preserve"> up for adoption to avoid racial and social discrimination and prejudice, often omitting the name of the Māori fathers on birth certificates.</w:t>
      </w:r>
      <w:r w:rsidR="0062717F" w:rsidRPr="004A0212">
        <w:rPr>
          <w:rStyle w:val="StyleFootnoteReferenceFagoFunotenzeichenFagoFunotenzeichen"/>
        </w:rPr>
        <w:footnoteReference w:id="614"/>
      </w:r>
      <w:r w:rsidRPr="004A0212">
        <w:t xml:space="preserve"> Dr Anne Else told the Inquiry that any claims from the father or wider whānau were often not recognised:</w:t>
      </w:r>
    </w:p>
    <w:p w14:paraId="6AE76114" w14:textId="77777777" w:rsidR="0062717F" w:rsidRPr="004A0212" w:rsidRDefault="0062717F" w:rsidP="0062717F">
      <w:pPr>
        <w:pStyle w:val="AllQuotes"/>
      </w:pPr>
      <w:r w:rsidRPr="004A0212">
        <w:t xml:space="preserve">“This aspect of the law proved highly significant in cases where the birth mother was </w:t>
      </w:r>
      <w:proofErr w:type="gramStart"/>
      <w:r w:rsidRPr="004A0212">
        <w:t>Pākehā</w:t>
      </w:r>
      <w:proofErr w:type="gramEnd"/>
      <w:r w:rsidRPr="004A0212">
        <w:t xml:space="preserve"> and the father was of Māori heritage. Māori social workers recalled many cases where the birth father’s family, especially the grandparents, wanted to adopt the child, but had no standing and were not permitted to do so.”</w:t>
      </w:r>
      <w:r w:rsidRPr="004A0212">
        <w:rPr>
          <w:rStyle w:val="StyleFootnoteReferenceFagoFunotenzeichenFagoFunotenzeichen"/>
        </w:rPr>
        <w:footnoteReference w:id="615"/>
      </w:r>
      <w:r w:rsidRPr="004A0212">
        <w:t xml:space="preserve"> </w:t>
      </w:r>
    </w:p>
    <w:p w14:paraId="6D45050D" w14:textId="3B5E508B" w:rsidR="0062717F" w:rsidRPr="00B25361" w:rsidRDefault="14CBC11D" w:rsidP="0062717F">
      <w:pPr>
        <w:pStyle w:val="Numbparas"/>
      </w:pPr>
      <w:r w:rsidRPr="004A0212">
        <w:t>Māori researchers and experts have noted closed adoption policies were part of a wider context of State policies “oriented towards the nuclear family, domesticity and producing ‘ideal citizens’”, and supported the prevailing assimilationist agenda.</w:t>
      </w:r>
      <w:r w:rsidR="0062717F" w:rsidRPr="004A0212">
        <w:rPr>
          <w:rStyle w:val="StyleFootnoteReferenceFagoFunotenzeichenFagoFunotenzeichen"/>
        </w:rPr>
        <w:footnoteReference w:id="616"/>
      </w:r>
      <w:r w:rsidRPr="004A0212">
        <w:t xml:space="preserve"> </w:t>
      </w:r>
    </w:p>
    <w:p w14:paraId="074ACF02" w14:textId="77777777" w:rsidR="00B25361" w:rsidRDefault="07D39393" w:rsidP="0062717F">
      <w:pPr>
        <w:pStyle w:val="Heading2"/>
      </w:pPr>
      <w:bookmarkStart w:id="612" w:name="_Toc168639071"/>
      <w:bookmarkStart w:id="613" w:name="_Toc825792792"/>
      <w:proofErr w:type="spellStart"/>
      <w:r w:rsidRPr="004A0212">
        <w:t>Whakaritenga</w:t>
      </w:r>
      <w:proofErr w:type="spellEnd"/>
      <w:r w:rsidRPr="004A0212">
        <w:t xml:space="preserve"> </w:t>
      </w:r>
      <w:proofErr w:type="spellStart"/>
      <w:r w:rsidRPr="004A0212">
        <w:t>whakawhiti</w:t>
      </w:r>
      <w:proofErr w:type="spellEnd"/>
      <w:r w:rsidRPr="004A0212">
        <w:t xml:space="preserve">, </w:t>
      </w:r>
      <w:proofErr w:type="spellStart"/>
      <w:r w:rsidRPr="004A0212">
        <w:t>whakaū</w:t>
      </w:r>
      <w:proofErr w:type="spellEnd"/>
      <w:r w:rsidRPr="004A0212">
        <w:t xml:space="preserve"> </w:t>
      </w:r>
      <w:proofErr w:type="spellStart"/>
      <w:r w:rsidRPr="004A0212">
        <w:t>ture</w:t>
      </w:r>
      <w:proofErr w:type="spellEnd"/>
      <w:r w:rsidRPr="004A0212">
        <w:t xml:space="preserve"> </w:t>
      </w:r>
      <w:proofErr w:type="spellStart"/>
      <w:r w:rsidRPr="004A0212">
        <w:t>hoki</w:t>
      </w:r>
      <w:bookmarkEnd w:id="612"/>
      <w:proofErr w:type="spellEnd"/>
      <w:r w:rsidRPr="004A0212">
        <w:t xml:space="preserve"> </w:t>
      </w:r>
    </w:p>
    <w:p w14:paraId="0BDFAFEC" w14:textId="74FC1F54" w:rsidR="0062717F" w:rsidRPr="004A0212" w:rsidRDefault="07D39393" w:rsidP="0062717F">
      <w:pPr>
        <w:pStyle w:val="Heading2"/>
      </w:pPr>
      <w:bookmarkStart w:id="614" w:name="_Toc168639072"/>
      <w:r w:rsidRPr="004A0212">
        <w:t>Transitional and law enforcement settings</w:t>
      </w:r>
      <w:bookmarkEnd w:id="613"/>
      <w:bookmarkEnd w:id="614"/>
    </w:p>
    <w:p w14:paraId="1F6CAF4D" w14:textId="59B0B783" w:rsidR="0062717F" w:rsidRPr="004A0212" w:rsidRDefault="3B433AE5" w:rsidP="0062717F">
      <w:pPr>
        <w:pStyle w:val="AllNumbparas"/>
      </w:pPr>
      <w:r w:rsidRPr="004A0212">
        <w:t xml:space="preserve">NZ </w:t>
      </w:r>
      <w:r w:rsidR="14CBC11D" w:rsidRPr="004A0212">
        <w:t xml:space="preserve">Police also had children, young people and adults in their care. Children, young people and adults in care for disability or mental distress who were picked up by </w:t>
      </w:r>
      <w:r w:rsidRPr="004A0212">
        <w:t xml:space="preserve">police officers </w:t>
      </w:r>
      <w:r w:rsidR="14CBC11D" w:rsidRPr="004A0212">
        <w:t>or were being processed for sentencing or placement in another care setting could find themselves temporarily in police cells, police custody, court cells and transfers to, between, or out of State care residences. Police cells were also used sometimes when there were no beds available in other facilities.</w:t>
      </w:r>
      <w:r w:rsidR="0062717F" w:rsidRPr="004A0212">
        <w:rPr>
          <w:rStyle w:val="StyleFootnoteReferenceFagoFunotenzeichenFagoFunotenzeichen"/>
        </w:rPr>
        <w:footnoteReference w:id="617"/>
      </w:r>
    </w:p>
    <w:p w14:paraId="278DEA27" w14:textId="77777777" w:rsidR="0062717F" w:rsidRPr="004A0212" w:rsidRDefault="14CBC11D" w:rsidP="0062717F">
      <w:pPr>
        <w:pStyle w:val="AllNumbparas"/>
      </w:pPr>
      <w:r w:rsidRPr="004A0212">
        <w:t>Police cells were established as penal institutions under the Penal Institution Act 1954 for holding a person on remand or for short-term sentences.</w:t>
      </w:r>
      <w:r w:rsidR="0062717F" w:rsidRPr="004A0212">
        <w:rPr>
          <w:rStyle w:val="StyleFootnoteReferenceFagoFunotenzeichenFagoFunotenzeichen"/>
        </w:rPr>
        <w:footnoteReference w:id="618"/>
      </w:r>
      <w:r w:rsidRPr="004A0212">
        <w:t xml:space="preserve"> Under the Criminal Justice Act 1954, young people could be sentenced to imprisonment in an adult prison if the judge thought it was appropriate.</w:t>
      </w:r>
      <w:r w:rsidR="0062717F" w:rsidRPr="004A0212">
        <w:rPr>
          <w:rStyle w:val="StyleFootnoteReferenceFagoFunotenzeichenFagoFunotenzeichen"/>
        </w:rPr>
        <w:footnoteReference w:id="619"/>
      </w:r>
    </w:p>
    <w:p w14:paraId="0A5C9118" w14:textId="6B7CF72D" w:rsidR="0062717F" w:rsidRPr="004A0212" w:rsidRDefault="14CBC11D" w:rsidP="0062717F">
      <w:pPr>
        <w:pStyle w:val="AllNumbparas"/>
      </w:pPr>
      <w:r w:rsidRPr="004A0212">
        <w:t xml:space="preserve">The role of </w:t>
      </w:r>
      <w:r w:rsidR="3B926C44" w:rsidRPr="004A0212">
        <w:t>NZ P</w:t>
      </w:r>
      <w:r w:rsidRPr="004A0212">
        <w:t>olice in relation to care was often carried out alongside social workers. Children and young people came to the attention of police</w:t>
      </w:r>
      <w:r w:rsidR="160900F1" w:rsidRPr="004A0212">
        <w:t xml:space="preserve"> officers</w:t>
      </w:r>
      <w:r w:rsidRPr="004A0212">
        <w:t xml:space="preserve"> for a variety of reasons, from perceived antisocial behaviour to notifications and referrals from other agencies.</w:t>
      </w:r>
    </w:p>
    <w:p w14:paraId="1C36FEAB" w14:textId="5656639F" w:rsidR="0062717F" w:rsidRPr="004A0212" w:rsidRDefault="14CBC11D" w:rsidP="0062717F">
      <w:pPr>
        <w:pStyle w:val="AllNumbparas"/>
      </w:pPr>
      <w:r w:rsidRPr="004A0212">
        <w:t>The Child and Young Persons Act 1974 detailed the broad powers of police</w:t>
      </w:r>
      <w:r w:rsidR="7FDCEE12" w:rsidRPr="004A0212">
        <w:t xml:space="preserve"> officers</w:t>
      </w:r>
      <w:r w:rsidRPr="004A0212">
        <w:t xml:space="preserve"> to pick up unaccompanied children in public places if they were in an environment ‘which is detrimental to his physical or moral well-being'.</w:t>
      </w:r>
      <w:r w:rsidR="0062717F" w:rsidRPr="004A0212">
        <w:rPr>
          <w:rStyle w:val="StyleFootnoteReferenceFagoFunotenzeichenFagoFunotenzeichen"/>
        </w:rPr>
        <w:footnoteReference w:id="620"/>
      </w:r>
      <w:r w:rsidRPr="004A0212">
        <w:t xml:space="preserve"> Police officers ultimately had discretion to determine whether a situation was harmful to the child or young person’s well-being. If a parent or guardian could not be found</w:t>
      </w:r>
      <w:r w:rsidR="2B16A4D3" w:rsidRPr="004A0212">
        <w:t>,</w:t>
      </w:r>
      <w:r w:rsidRPr="004A0212">
        <w:t xml:space="preserve"> police</w:t>
      </w:r>
      <w:r w:rsidR="2B16A4D3" w:rsidRPr="004A0212">
        <w:t xml:space="preserve"> officers</w:t>
      </w:r>
      <w:r w:rsidRPr="004A0212">
        <w:t xml:space="preserve"> could deliver the child or young person to the custody of the Director-General of Social Welfare.</w:t>
      </w:r>
      <w:r w:rsidR="0062717F" w:rsidRPr="004A0212">
        <w:rPr>
          <w:rStyle w:val="StyleFootnoteReferenceFagoFunotenzeichenFagoFunotenzeichen"/>
        </w:rPr>
        <w:footnoteReference w:id="621"/>
      </w:r>
    </w:p>
    <w:p w14:paraId="04D49B66" w14:textId="34236A57" w:rsidR="0062717F" w:rsidRPr="004A0212" w:rsidRDefault="14CBC11D" w:rsidP="0062717F">
      <w:pPr>
        <w:pStyle w:val="AllNumbparas"/>
      </w:pPr>
      <w:r w:rsidRPr="004A0212">
        <w:t xml:space="preserve">The Children, Young Persons, and Their Families Act 1989 outlined principles for dealing with young offenders, </w:t>
      </w:r>
      <w:r w:rsidR="6AB01B1B" w:rsidRPr="004A0212">
        <w:t xml:space="preserve">emphasising </w:t>
      </w:r>
      <w:r w:rsidRPr="004A0212">
        <w:t>that criminal proceedings should be a last resort,</w:t>
      </w:r>
      <w:r w:rsidR="0062717F" w:rsidRPr="004A0212">
        <w:rPr>
          <w:rStyle w:val="StyleFootnoteReferenceFagoFunotenzeichenFagoFunotenzeichen"/>
        </w:rPr>
        <w:footnoteReference w:id="622"/>
      </w:r>
      <w:r w:rsidRPr="004A0212">
        <w:t xml:space="preserve"> not initiated solely for welfare assistance, and designed to strengthen the family group’s ability to address offences.</w:t>
      </w:r>
      <w:r w:rsidR="0062717F" w:rsidRPr="004A0212">
        <w:rPr>
          <w:rStyle w:val="StyleFootnoteReferenceFagoFunotenzeichenFagoFunotenzeichen"/>
        </w:rPr>
        <w:footnoteReference w:id="623"/>
      </w:r>
      <w:r w:rsidRPr="004A0212">
        <w:t xml:space="preserve"> Police</w:t>
      </w:r>
      <w:r w:rsidR="356DBAC7" w:rsidRPr="004A0212">
        <w:t xml:space="preserve"> officers</w:t>
      </w:r>
      <w:r w:rsidRPr="004A0212">
        <w:t xml:space="preserve"> had to consider alternatives such as warnings or formal cautions, with recommendations from family group conferences.</w:t>
      </w:r>
      <w:r w:rsidR="0062717F" w:rsidRPr="004A0212">
        <w:rPr>
          <w:rStyle w:val="StyleFootnoteReferenceFagoFunotenzeichenFagoFunotenzeichen"/>
        </w:rPr>
        <w:footnoteReference w:id="624"/>
      </w:r>
    </w:p>
    <w:p w14:paraId="6B5A5126" w14:textId="6AA3F2ED" w:rsidR="0062717F" w:rsidRPr="004A0212" w:rsidRDefault="14CBC11D" w:rsidP="0062717F">
      <w:pPr>
        <w:pStyle w:val="AllNumbparas"/>
      </w:pPr>
      <w:r w:rsidRPr="004A0212">
        <w:t>Family group conferences offered an opportunity for families to respond to issues involving their young people before matters reached the courts.</w:t>
      </w:r>
      <w:r w:rsidR="0062717F" w:rsidRPr="004A0212">
        <w:rPr>
          <w:rStyle w:val="StyleFootnoteReferenceFagoFunotenzeichenFagoFunotenzeichen"/>
        </w:rPr>
        <w:footnoteReference w:id="625"/>
      </w:r>
      <w:r w:rsidRPr="004A0212">
        <w:t xml:space="preserve"> From the 1990s, family group conferences became the primary means of dealing with young offenders. Of nearly 6,000 family group conferences held in 1990</w:t>
      </w:r>
      <w:r w:rsidR="714EBE15" w:rsidRPr="004A0212">
        <w:t xml:space="preserve"> </w:t>
      </w:r>
      <w:r w:rsidRPr="004A0212">
        <w:t>/</w:t>
      </w:r>
      <w:r w:rsidR="714EBE15" w:rsidRPr="004A0212">
        <w:t xml:space="preserve"> </w:t>
      </w:r>
      <w:r w:rsidRPr="004A0212">
        <w:t>1991, only 300 cases were referred on to the Youth Court for resolution.</w:t>
      </w:r>
      <w:r w:rsidR="0062717F" w:rsidRPr="004A0212">
        <w:rPr>
          <w:rStyle w:val="StyleFootnoteReferenceFagoFunotenzeichenFagoFunotenzeichen"/>
        </w:rPr>
        <w:footnoteReference w:id="626"/>
      </w:r>
      <w:r w:rsidRPr="004A0212">
        <w:t xml:space="preserve"> </w:t>
      </w:r>
    </w:p>
    <w:p w14:paraId="02E80862" w14:textId="75C91DC6" w:rsidR="0062717F" w:rsidRPr="004A0212" w:rsidRDefault="14CBC11D" w:rsidP="0062717F">
      <w:pPr>
        <w:pStyle w:val="AllNumbparas"/>
      </w:pPr>
      <w:r w:rsidRPr="004A0212">
        <w:t>Police</w:t>
      </w:r>
      <w:r w:rsidR="45C804E2" w:rsidRPr="004A0212">
        <w:t xml:space="preserve"> officers</w:t>
      </w:r>
      <w:r w:rsidRPr="004A0212">
        <w:t xml:space="preserve"> could arrest a child or young person without a warrant for purely indictable (requiring a prison term) offences in the public interest or in specific situations.</w:t>
      </w:r>
      <w:r w:rsidR="0062717F" w:rsidRPr="004A0212">
        <w:rPr>
          <w:rStyle w:val="StyleFootnoteReferenceFagoFunotenzeichenFagoFunotenzeichen"/>
        </w:rPr>
        <w:footnoteReference w:id="627"/>
      </w:r>
      <w:r w:rsidRPr="004A0212">
        <w:t xml:space="preserve"> After arrest, with their agreement, the child or young person could be delivered to an iwi or cultural authority, the </w:t>
      </w:r>
      <w:r w:rsidR="1C4A71D8" w:rsidRPr="004A0212">
        <w:t>director</w:t>
      </w:r>
      <w:r w:rsidRPr="004A0212">
        <w:t>-</w:t>
      </w:r>
      <w:r w:rsidR="1C4A71D8" w:rsidRPr="004A0212">
        <w:t>general</w:t>
      </w:r>
      <w:r w:rsidRPr="004A0212">
        <w:t>, or placed in custody, depending on the circumstances.</w:t>
      </w:r>
      <w:r w:rsidR="0062717F" w:rsidRPr="004A0212">
        <w:rPr>
          <w:rStyle w:val="StyleFootnoteReferenceFagoFunotenzeichenFagoFunotenzeichen"/>
        </w:rPr>
        <w:footnoteReference w:id="628"/>
      </w:r>
      <w:r w:rsidRPr="004A0212">
        <w:t xml:space="preserve"> This could also be done without their agreement, but had to happen within 24 hours</w:t>
      </w:r>
      <w:r w:rsidR="0062717F" w:rsidRPr="004A0212">
        <w:rPr>
          <w:rStyle w:val="StyleFootnoteReferenceFagoFunotenzeichenFagoFunotenzeichen"/>
        </w:rPr>
        <w:footnoteReference w:id="629"/>
      </w:r>
      <w:r w:rsidRPr="004A0212">
        <w:t xml:space="preserve"> unless a senior social worker and member of the police agreed the child or young person was likely to run away or be violent and social welfare did not have suitable facilities for them.</w:t>
      </w:r>
      <w:r w:rsidR="0062717F" w:rsidRPr="004A0212">
        <w:rPr>
          <w:rStyle w:val="StyleFootnoteReferenceFagoFunotenzeichenFagoFunotenzeichen"/>
        </w:rPr>
        <w:footnoteReference w:id="630"/>
      </w:r>
      <w:r w:rsidRPr="004A0212">
        <w:t xml:space="preserve"> In these circumstances, the young person could be detained in police custody until appearing in Court.</w:t>
      </w:r>
      <w:r w:rsidR="0062717F" w:rsidRPr="004A0212">
        <w:rPr>
          <w:rStyle w:val="StyleFootnoteReferenceFagoFunotenzeichenFagoFunotenzeichen"/>
        </w:rPr>
        <w:footnoteReference w:id="631"/>
      </w:r>
    </w:p>
    <w:p w14:paraId="1A964888" w14:textId="77777777" w:rsidR="0062717F" w:rsidRPr="004A0212" w:rsidRDefault="07D39393" w:rsidP="0062717F">
      <w:pPr>
        <w:pStyle w:val="Heading2"/>
      </w:pPr>
      <w:bookmarkStart w:id="615" w:name="_Toc139664363"/>
      <w:bookmarkStart w:id="616" w:name="_Toc168639073"/>
      <w:proofErr w:type="spellStart"/>
      <w:r w:rsidRPr="004A0212">
        <w:t>Te</w:t>
      </w:r>
      <w:proofErr w:type="spellEnd"/>
      <w:r w:rsidRPr="004A0212">
        <w:t xml:space="preserve"> </w:t>
      </w:r>
      <w:proofErr w:type="spellStart"/>
      <w:r w:rsidRPr="004A0212">
        <w:t>manatika</w:t>
      </w:r>
      <w:proofErr w:type="spellEnd"/>
      <w:r w:rsidRPr="004A0212">
        <w:t xml:space="preserve"> </w:t>
      </w:r>
      <w:proofErr w:type="spellStart"/>
      <w:r w:rsidRPr="004A0212">
        <w:t>taiohi</w:t>
      </w:r>
      <w:proofErr w:type="spellEnd"/>
      <w:r w:rsidRPr="004A0212">
        <w:t xml:space="preserve"> | Youth justice</w:t>
      </w:r>
      <w:bookmarkEnd w:id="615"/>
      <w:bookmarkEnd w:id="616"/>
    </w:p>
    <w:p w14:paraId="12695457" w14:textId="77777777" w:rsidR="0062717F" w:rsidRPr="004A0212" w:rsidRDefault="14CBC11D" w:rsidP="0062717F">
      <w:pPr>
        <w:pStyle w:val="AllNumbparas"/>
      </w:pPr>
      <w:r w:rsidRPr="004A0212">
        <w:t xml:space="preserve">From the 1950s to the late 1990s, Aotearoa New Zealand had several types of settings for young people considered to </w:t>
      </w:r>
      <w:proofErr w:type="gramStart"/>
      <w:r w:rsidRPr="004A0212">
        <w:t>be in need of</w:t>
      </w:r>
      <w:proofErr w:type="gramEnd"/>
      <w:r w:rsidRPr="004A0212">
        <w:t xml:space="preserve"> youth justice care or corrective training. These included borstals, detention centres and youth prisons. Some social welfare residences also had a corrective or training element to them intended to address perceived behavioural issues with children and young people – </w:t>
      </w:r>
      <w:proofErr w:type="gramStart"/>
      <w:r w:rsidRPr="004A0212">
        <w:t>this included residences</w:t>
      </w:r>
      <w:proofErr w:type="gramEnd"/>
      <w:r w:rsidRPr="004A0212">
        <w:t xml:space="preserve"> such as Hokio, </w:t>
      </w:r>
      <w:proofErr w:type="spellStart"/>
      <w:r w:rsidRPr="004A0212">
        <w:t>Kohitere</w:t>
      </w:r>
      <w:proofErr w:type="spellEnd"/>
      <w:r w:rsidRPr="004A0212">
        <w:t xml:space="preserve"> and </w:t>
      </w:r>
      <w:proofErr w:type="spellStart"/>
      <w:r w:rsidRPr="004A0212">
        <w:t>Epuni</w:t>
      </w:r>
      <w:proofErr w:type="spellEnd"/>
      <w:r w:rsidRPr="004A0212">
        <w:t xml:space="preserve">.  </w:t>
      </w:r>
    </w:p>
    <w:p w14:paraId="6DD54A4B" w14:textId="77777777" w:rsidR="0062717F" w:rsidRPr="004A0212" w:rsidRDefault="14CBC11D" w:rsidP="0062717F">
      <w:pPr>
        <w:pStyle w:val="AllNumbparas"/>
      </w:pPr>
      <w:r w:rsidRPr="004A0212">
        <w:t>Up until 1995 when the Department of Corrections was formed, the Department of Justice was responsible for overseeing young people in these facilities.</w:t>
      </w:r>
      <w:r w:rsidR="0062717F" w:rsidRPr="004A0212">
        <w:rPr>
          <w:rStyle w:val="StyleFootnoteReferenceFagoFunotenzeichenFagoFunotenzeichen"/>
        </w:rPr>
        <w:footnoteReference w:id="632"/>
      </w:r>
      <w:r w:rsidRPr="004A0212">
        <w:t xml:space="preserve"> If the Department of Social Welfare was transferring a young person from a social welfare residence to a borstal, they were no longer responsible for the young person once the transfer was complete.</w:t>
      </w:r>
      <w:r w:rsidR="0062717F" w:rsidRPr="004A0212">
        <w:rPr>
          <w:rStyle w:val="StyleFootnoteReferenceFagoFunotenzeichenFagoFunotenzeichen"/>
        </w:rPr>
        <w:footnoteReference w:id="633"/>
      </w:r>
      <w:r w:rsidRPr="004A0212">
        <w:t xml:space="preserve"> </w:t>
      </w:r>
    </w:p>
    <w:p w14:paraId="2A902465" w14:textId="77777777" w:rsidR="0062717F" w:rsidRPr="004A0212" w:rsidRDefault="14CBC11D" w:rsidP="0062717F">
      <w:pPr>
        <w:pStyle w:val="AllNumbparas"/>
      </w:pPr>
      <w:r w:rsidRPr="004A0212">
        <w:t>Borstals were introduced in 1924 with the Prevention of Crime (Borstal Institutions Establishment) Act 1924. Young offenders between 15 and 21 years of age</w:t>
      </w:r>
      <w:r w:rsidR="0062717F" w:rsidRPr="004A0212">
        <w:rPr>
          <w:rStyle w:val="StyleFootnoteReferenceFagoFunotenzeichenFagoFunotenzeichen"/>
        </w:rPr>
        <w:footnoteReference w:id="634"/>
      </w:r>
      <w:r w:rsidRPr="004A0212">
        <w:t xml:space="preserve"> could be sentenced to undergo borstal training for a period of up to three years</w:t>
      </w:r>
      <w:r w:rsidR="0062717F" w:rsidRPr="004A0212">
        <w:rPr>
          <w:rStyle w:val="StyleFootnoteReferenceFagoFunotenzeichenFagoFunotenzeichen"/>
        </w:rPr>
        <w:footnoteReference w:id="635"/>
      </w:r>
      <w:r w:rsidRPr="004A0212">
        <w:t xml:space="preserve"> if they had been convicted of an offence punishable by imprisonment.</w:t>
      </w:r>
      <w:r w:rsidR="0062717F" w:rsidRPr="004A0212">
        <w:rPr>
          <w:rStyle w:val="StyleFootnoteReferenceFagoFunotenzeichenFagoFunotenzeichen"/>
        </w:rPr>
        <w:footnoteReference w:id="636"/>
      </w:r>
      <w:r w:rsidRPr="004A0212">
        <w:t xml:space="preserve"> </w:t>
      </w:r>
    </w:p>
    <w:p w14:paraId="76D107FC" w14:textId="77777777" w:rsidR="0062717F" w:rsidRPr="004A0212" w:rsidRDefault="14CBC11D" w:rsidP="0062717F">
      <w:pPr>
        <w:pStyle w:val="AllNumbparas"/>
      </w:pPr>
      <w:r w:rsidRPr="004A0212">
        <w:t>The purpose of the borstals was to reform young offenders with the goal of diverting them from becoming habitual criminals.</w:t>
      </w:r>
      <w:r w:rsidR="0062717F" w:rsidRPr="004A0212">
        <w:rPr>
          <w:rStyle w:val="StyleFootnoteReferenceFagoFunotenzeichenFagoFunotenzeichen"/>
        </w:rPr>
        <w:footnoteReference w:id="637"/>
      </w:r>
      <w:r w:rsidRPr="004A0212">
        <w:t xml:space="preserve"> A 1969 review of Aotearoa New Zealand Borstals stated that borstals aimed to:</w:t>
      </w:r>
    </w:p>
    <w:p w14:paraId="4C2C51D2" w14:textId="77777777" w:rsidR="0062717F" w:rsidRPr="004A0212" w:rsidRDefault="0062717F" w:rsidP="0062717F">
      <w:pPr>
        <w:pStyle w:val="Bulletpoints"/>
      </w:pPr>
      <w:r w:rsidRPr="004A0212">
        <w:t>“</w:t>
      </w:r>
      <w:proofErr w:type="gramStart"/>
      <w:r w:rsidRPr="004A0212">
        <w:t>keep</w:t>
      </w:r>
      <w:proofErr w:type="gramEnd"/>
      <w:r w:rsidRPr="004A0212">
        <w:t xml:space="preserve"> youths from further offending during a difficult period of their lives” </w:t>
      </w:r>
    </w:p>
    <w:p w14:paraId="5B4BC81E" w14:textId="77777777" w:rsidR="0062717F" w:rsidRPr="004A0212" w:rsidRDefault="0062717F" w:rsidP="0062717F">
      <w:pPr>
        <w:pStyle w:val="Bulletpoints"/>
      </w:pPr>
      <w:r w:rsidRPr="004A0212">
        <w:t>“</w:t>
      </w:r>
      <w:proofErr w:type="gramStart"/>
      <w:r w:rsidRPr="004A0212">
        <w:t>develop</w:t>
      </w:r>
      <w:proofErr w:type="gramEnd"/>
      <w:r w:rsidRPr="004A0212">
        <w:t xml:space="preserve"> moral standards, good work habits, vocational skills, and personal hygiene” </w:t>
      </w:r>
    </w:p>
    <w:p w14:paraId="05491725" w14:textId="77777777" w:rsidR="0062717F" w:rsidRPr="004A0212" w:rsidRDefault="0062717F" w:rsidP="0062717F">
      <w:pPr>
        <w:pStyle w:val="Bulletpoints"/>
      </w:pPr>
      <w:r w:rsidRPr="004A0212">
        <w:t>“</w:t>
      </w:r>
      <w:proofErr w:type="gramStart"/>
      <w:r w:rsidRPr="004A0212">
        <w:t>train</w:t>
      </w:r>
      <w:proofErr w:type="gramEnd"/>
      <w:r w:rsidRPr="004A0212">
        <w:t xml:space="preserve"> youths to live responsibly as citizens in the community.”</w:t>
      </w:r>
      <w:r w:rsidRPr="004A0212">
        <w:rPr>
          <w:rStyle w:val="StyleFootnoteReferenceFagoFunotenzeichenFagoFunotenzeichen"/>
        </w:rPr>
        <w:footnoteReference w:id="638"/>
      </w:r>
      <w:r w:rsidRPr="004A0212">
        <w:t xml:space="preserve"> </w:t>
      </w:r>
    </w:p>
    <w:p w14:paraId="60099DA9" w14:textId="77777777" w:rsidR="0062717F" w:rsidRPr="004A0212" w:rsidRDefault="14CBC11D" w:rsidP="0062717F">
      <w:pPr>
        <w:pStyle w:val="AllNumbparas"/>
      </w:pPr>
      <w:r w:rsidRPr="004A0212">
        <w:t>As their sentence progressed, borstal trainees were gradually awarded privileges, freedoms and responsibilities during their stay to rehabilitate them for life on the outside.</w:t>
      </w:r>
      <w:r w:rsidR="0062717F" w:rsidRPr="004A0212">
        <w:rPr>
          <w:rStyle w:val="StyleFootnoteReferenceFagoFunotenzeichenFagoFunotenzeichen"/>
        </w:rPr>
        <w:footnoteReference w:id="639"/>
      </w:r>
      <w:r w:rsidRPr="004A0212">
        <w:t xml:space="preserve"> However, borstal trainees often had a high rate of reoffending.</w:t>
      </w:r>
      <w:r w:rsidR="0062717F" w:rsidRPr="004A0212">
        <w:rPr>
          <w:rStyle w:val="StyleFootnoteReferenceFagoFunotenzeichenFagoFunotenzeichen"/>
        </w:rPr>
        <w:footnoteReference w:id="640"/>
      </w:r>
    </w:p>
    <w:p w14:paraId="6BF25793" w14:textId="77777777" w:rsidR="0062717F" w:rsidRPr="004A0212" w:rsidRDefault="14CBC11D" w:rsidP="0062717F">
      <w:pPr>
        <w:pStyle w:val="AllNumbparas"/>
      </w:pPr>
      <w:r w:rsidRPr="004A0212">
        <w:t>There was also the option to send young people that had been convicted of an offence punishable by imprisonment to a detention centre for short-term corrective training. At the beginning of the Inquiry period young people between the age of 17 and 23 years could be sent to a detention centre for corrective training for a period of four months.</w:t>
      </w:r>
      <w:r w:rsidR="0062717F" w:rsidRPr="004A0212">
        <w:rPr>
          <w:rStyle w:val="StyleFootnoteReferenceFagoFunotenzeichenFagoFunotenzeichen"/>
        </w:rPr>
        <w:footnoteReference w:id="641"/>
      </w:r>
      <w:r w:rsidRPr="004A0212">
        <w:t xml:space="preserve"> In 1961 the age range was lowered to between 16 and 21 and the length of the programme was reduced to three months.</w:t>
      </w:r>
      <w:r w:rsidR="0062717F" w:rsidRPr="004A0212">
        <w:rPr>
          <w:rStyle w:val="StyleFootnoteReferenceFagoFunotenzeichenFagoFunotenzeichen"/>
        </w:rPr>
        <w:footnoteReference w:id="642"/>
      </w:r>
    </w:p>
    <w:p w14:paraId="4B1693EB" w14:textId="77777777" w:rsidR="0062717F" w:rsidRPr="004A0212" w:rsidRDefault="14CBC11D" w:rsidP="0062717F">
      <w:pPr>
        <w:pStyle w:val="AllNumbparas"/>
      </w:pPr>
      <w:r w:rsidRPr="004A0212">
        <w:t>Borstals and detention centres were abolished by the Criminal Justice Amendment Act 1975, though this did not come into force until 1981.</w:t>
      </w:r>
      <w:r w:rsidR="0062717F" w:rsidRPr="004A0212">
        <w:rPr>
          <w:rStyle w:val="StyleFootnoteReferenceFagoFunotenzeichenFagoFunotenzeichen"/>
        </w:rPr>
        <w:footnoteReference w:id="643"/>
      </w:r>
      <w:r w:rsidRPr="004A0212">
        <w:t xml:space="preserve"> Though the borstal programme was finished, under the Penal Institutions Amendment Act 1980, some borstals transitioned into youth prisons and became known as Youth Institutions from April 1981.</w:t>
      </w:r>
      <w:r w:rsidR="0062717F" w:rsidRPr="004A0212">
        <w:rPr>
          <w:rStyle w:val="StyleFootnoteReferenceFagoFunotenzeichenFagoFunotenzeichen"/>
        </w:rPr>
        <w:footnoteReference w:id="644"/>
      </w:r>
    </w:p>
    <w:p w14:paraId="3C357F67" w14:textId="3F882A31" w:rsidR="0062717F" w:rsidRPr="004A0212" w:rsidRDefault="14CBC11D" w:rsidP="0062717F">
      <w:pPr>
        <w:pStyle w:val="AllNumbparas"/>
      </w:pPr>
      <w:r w:rsidRPr="004A0212">
        <w:t xml:space="preserve">Under the Criminal Justice Act 1954, young people could also be sentenced to imprisonment in an adult prison, if the </w:t>
      </w:r>
      <w:r w:rsidR="103339EC" w:rsidRPr="004A0212">
        <w:t xml:space="preserve">judge </w:t>
      </w:r>
      <w:r w:rsidRPr="004A0212">
        <w:t>believed that it was appropriate.</w:t>
      </w:r>
      <w:r w:rsidR="0062717F" w:rsidRPr="004A0212">
        <w:rPr>
          <w:rStyle w:val="StyleFootnoteReferenceFagoFunotenzeichenFagoFunotenzeichen"/>
        </w:rPr>
        <w:footnoteReference w:id="645"/>
      </w:r>
      <w:r w:rsidRPr="004A0212">
        <w:t xml:space="preserve"> Children and young people were sometimes held in adult prisons on remand or awaiting court when other facilities were full.</w:t>
      </w:r>
      <w:r w:rsidR="0062717F" w:rsidRPr="004A0212">
        <w:rPr>
          <w:rStyle w:val="StyleFootnoteReferenceFagoFunotenzeichenFagoFunotenzeichen"/>
        </w:rPr>
        <w:footnoteReference w:id="646"/>
      </w:r>
    </w:p>
    <w:p w14:paraId="6B6574DF" w14:textId="77777777" w:rsidR="0062717F" w:rsidRPr="004A0212" w:rsidRDefault="14CBC11D" w:rsidP="0062717F">
      <w:pPr>
        <w:pStyle w:val="AllNumbparas"/>
      </w:pPr>
      <w:r w:rsidRPr="004A0212">
        <w:t xml:space="preserve">There was one borstal for girls, </w:t>
      </w:r>
      <w:proofErr w:type="spellStart"/>
      <w:r w:rsidRPr="004A0212">
        <w:t>Arohata</w:t>
      </w:r>
      <w:proofErr w:type="spellEnd"/>
      <w:r w:rsidRPr="004A0212">
        <w:t xml:space="preserve">, which was attached to the women’s prison in Te Whanganui-a-Tara Wellington. It opened in 1944 and closed in 1981. There were five borstals for boys, two in the South Island – </w:t>
      </w:r>
      <w:proofErr w:type="spellStart"/>
      <w:r w:rsidRPr="004A0212">
        <w:t>Waihōpai</w:t>
      </w:r>
      <w:proofErr w:type="spellEnd"/>
      <w:r w:rsidRPr="004A0212">
        <w:t xml:space="preserve"> Invercargill and </w:t>
      </w:r>
      <w:proofErr w:type="spellStart"/>
      <w:r w:rsidRPr="004A0212">
        <w:t>Waipiata</w:t>
      </w:r>
      <w:proofErr w:type="spellEnd"/>
      <w:r w:rsidRPr="004A0212">
        <w:t xml:space="preserve"> – and three in the North Island, at Kaitoke, Tongariro and </w:t>
      </w:r>
      <w:proofErr w:type="spellStart"/>
      <w:r w:rsidRPr="004A0212">
        <w:t>Waikeria</w:t>
      </w:r>
      <w:proofErr w:type="spellEnd"/>
      <w:r w:rsidRPr="004A0212">
        <w:t xml:space="preserve">. All were closed by 1981. </w:t>
      </w:r>
    </w:p>
    <w:p w14:paraId="2E4182C7" w14:textId="77777777" w:rsidR="0062717F" w:rsidRPr="004A0212" w:rsidRDefault="14CBC11D" w:rsidP="0062717F">
      <w:pPr>
        <w:pStyle w:val="AllNumbparas"/>
      </w:pPr>
      <w:r w:rsidRPr="004A0212">
        <w:t xml:space="preserve">There were also four detention centres, the first of which opened in </w:t>
      </w:r>
      <w:proofErr w:type="spellStart"/>
      <w:r w:rsidRPr="004A0212">
        <w:t>Waikeria</w:t>
      </w:r>
      <w:proofErr w:type="spellEnd"/>
      <w:r w:rsidRPr="004A0212">
        <w:t xml:space="preserve"> in 1961. The other three were </w:t>
      </w:r>
      <w:proofErr w:type="spellStart"/>
      <w:r w:rsidRPr="004A0212">
        <w:t>Rangipo</w:t>
      </w:r>
      <w:proofErr w:type="spellEnd"/>
      <w:r w:rsidRPr="004A0212">
        <w:t xml:space="preserve"> and Hautu, both near </w:t>
      </w:r>
      <w:proofErr w:type="spellStart"/>
      <w:r w:rsidRPr="004A0212">
        <w:t>Tūrangi</w:t>
      </w:r>
      <w:proofErr w:type="spellEnd"/>
      <w:r w:rsidRPr="004A0212">
        <w:t xml:space="preserve">, and Rolleston in </w:t>
      </w:r>
      <w:proofErr w:type="spellStart"/>
      <w:r w:rsidRPr="004A0212">
        <w:t>Waitaha</w:t>
      </w:r>
      <w:proofErr w:type="spellEnd"/>
      <w:r w:rsidRPr="004A0212">
        <w:t xml:space="preserve"> Canterbury. By the late 1980s these had also closed. </w:t>
      </w:r>
    </w:p>
    <w:p w14:paraId="2242D833" w14:textId="77777777" w:rsidR="0062717F" w:rsidRPr="004A0212" w:rsidRDefault="14CBC11D" w:rsidP="0062717F">
      <w:pPr>
        <w:pStyle w:val="AllNumbparas"/>
        <w:rPr>
          <w:rStyle w:val="eop"/>
        </w:rPr>
      </w:pPr>
      <w:r w:rsidRPr="004A0212">
        <w:t xml:space="preserve">The Children, Young Persons, and Their Families Act 1989 established mixed purpose residences with both youth justice and care and protection, although the two groups were generally cared for separately. </w:t>
      </w:r>
    </w:p>
    <w:p w14:paraId="796CD013" w14:textId="77777777" w:rsidR="0062717F" w:rsidRPr="004A0212" w:rsidRDefault="14CBC11D" w:rsidP="0062717F">
      <w:pPr>
        <w:pStyle w:val="AllNumbparas"/>
      </w:pPr>
      <w:r w:rsidRPr="004A0212">
        <w:t xml:space="preserve">Some of the former social welfare residences were adapted to these new mixed purpose residences. These included Kingslea Residential Centre in </w:t>
      </w:r>
      <w:proofErr w:type="spellStart"/>
      <w:r w:rsidRPr="004A0212">
        <w:t>Ōtautahi</w:t>
      </w:r>
      <w:proofErr w:type="spellEnd"/>
      <w:r w:rsidRPr="004A0212">
        <w:t xml:space="preserve"> Christchurch, </w:t>
      </w:r>
      <w:proofErr w:type="spellStart"/>
      <w:r w:rsidRPr="004A0212">
        <w:t>Puketai</w:t>
      </w:r>
      <w:proofErr w:type="spellEnd"/>
      <w:r w:rsidRPr="004A0212">
        <w:t xml:space="preserve"> in </w:t>
      </w:r>
      <w:proofErr w:type="spellStart"/>
      <w:r w:rsidRPr="004A0212">
        <w:t>Ōtepoti</w:t>
      </w:r>
      <w:proofErr w:type="spellEnd"/>
      <w:r w:rsidRPr="004A0212">
        <w:t xml:space="preserve"> Dunedin, </w:t>
      </w:r>
      <w:proofErr w:type="spellStart"/>
      <w:r w:rsidRPr="004A0212">
        <w:t>Epuni</w:t>
      </w:r>
      <w:proofErr w:type="spellEnd"/>
      <w:r w:rsidRPr="004A0212">
        <w:t xml:space="preserve"> in Te Whanganui-a-Tara Wellington, Dey Street in Kirikiriroa Hamilton and Northern Residential Centre in Tāmaki Makaurau Auckland (formerly Weymouth). From the mid-1990s there was concern about the mixing of care and protection and youth justice groups</w:t>
      </w:r>
      <w:r w:rsidR="0062717F" w:rsidRPr="004A0212">
        <w:rPr>
          <w:rStyle w:val="StyleFootnoteReferenceFagoFunotenzeichenFagoFunotenzeichen"/>
        </w:rPr>
        <w:footnoteReference w:id="647"/>
      </w:r>
      <w:r w:rsidRPr="004A0212">
        <w:t xml:space="preserve"> and a youth justice-only facility was opened in </w:t>
      </w:r>
      <w:proofErr w:type="spellStart"/>
      <w:r w:rsidRPr="004A0212">
        <w:t>Te</w:t>
      </w:r>
      <w:proofErr w:type="spellEnd"/>
      <w:r w:rsidRPr="004A0212">
        <w:t xml:space="preserve"> </w:t>
      </w:r>
      <w:proofErr w:type="spellStart"/>
      <w:r w:rsidRPr="004A0212">
        <w:t>Papaioea</w:t>
      </w:r>
      <w:proofErr w:type="spellEnd"/>
      <w:r w:rsidRPr="004A0212">
        <w:t xml:space="preserve"> Palmerston North in 1997.  </w:t>
      </w:r>
    </w:p>
    <w:p w14:paraId="5E7767E7" w14:textId="65C77DFA" w:rsidR="0062717F" w:rsidRPr="004A0212" w:rsidRDefault="14CBC11D" w:rsidP="0062717F">
      <w:pPr>
        <w:pStyle w:val="AllNumbparas"/>
      </w:pPr>
      <w:r w:rsidRPr="004A0212">
        <w:t>From the 1990s children and young people charged through the courts could also be sent to third</w:t>
      </w:r>
      <w:r w:rsidR="27A125B5" w:rsidRPr="004A0212">
        <w:t>-</w:t>
      </w:r>
      <w:r w:rsidRPr="004A0212">
        <w:t>party providers contracted under section 396 of the Children, Young Persons</w:t>
      </w:r>
      <w:r w:rsidR="27A125B5" w:rsidRPr="004A0212">
        <w:t>,</w:t>
      </w:r>
      <w:r w:rsidRPr="004A0212">
        <w:t xml:space="preserve"> and Their Families Act 1989. The main ones which took young offenders in the 1990s were </w:t>
      </w:r>
      <w:proofErr w:type="spellStart"/>
      <w:r w:rsidRPr="004A0212">
        <w:t>Moerangi</w:t>
      </w:r>
      <w:proofErr w:type="spellEnd"/>
      <w:r w:rsidRPr="004A0212">
        <w:t xml:space="preserve"> Treks in </w:t>
      </w:r>
      <w:proofErr w:type="spellStart"/>
      <w:r w:rsidRPr="004A0212">
        <w:t>Te</w:t>
      </w:r>
      <w:proofErr w:type="spellEnd"/>
      <w:r w:rsidRPr="004A0212">
        <w:t xml:space="preserve"> </w:t>
      </w:r>
      <w:proofErr w:type="spellStart"/>
      <w:r w:rsidRPr="004A0212">
        <w:t>Urewera</w:t>
      </w:r>
      <w:proofErr w:type="spellEnd"/>
      <w:r w:rsidRPr="004A0212">
        <w:t xml:space="preserve"> and </w:t>
      </w:r>
      <w:proofErr w:type="spellStart"/>
      <w:r w:rsidRPr="004A0212">
        <w:t>Whakapakari</w:t>
      </w:r>
      <w:proofErr w:type="spellEnd"/>
      <w:r w:rsidRPr="004A0212">
        <w:t xml:space="preserve"> on Aotea Great Barrier Island. From 1999 the State also funded a residence in </w:t>
      </w:r>
      <w:proofErr w:type="spellStart"/>
      <w:r w:rsidRPr="004A0212">
        <w:t>Ōtautahi</w:t>
      </w:r>
      <w:proofErr w:type="spellEnd"/>
      <w:r w:rsidRPr="004A0212">
        <w:t xml:space="preserve"> Christchurch, managed by </w:t>
      </w:r>
      <w:proofErr w:type="spellStart"/>
      <w:r w:rsidRPr="004A0212">
        <w:t>Barnados</w:t>
      </w:r>
      <w:proofErr w:type="spellEnd"/>
      <w:r w:rsidRPr="004A0212">
        <w:t xml:space="preserve">, for adolescent sex offenders. </w:t>
      </w:r>
    </w:p>
    <w:p w14:paraId="25DA04A0" w14:textId="77777777" w:rsidR="0062717F" w:rsidRPr="004A0212" w:rsidRDefault="0062717F" w:rsidP="0062717F">
      <w:pPr>
        <w:keepLines w:val="0"/>
        <w:rPr>
          <w:rFonts w:ascii="Arial" w:hAnsi="Arial" w:cs="Arial"/>
          <w:b/>
          <w:bCs/>
          <w:color w:val="4F7D29" w:themeColor="accent4"/>
          <w:sz w:val="36"/>
          <w:szCs w:val="36"/>
          <w:lang w:eastAsia="en-NZ"/>
        </w:rPr>
      </w:pPr>
      <w:r w:rsidRPr="004A0212">
        <w:br w:type="page"/>
      </w:r>
    </w:p>
    <w:p w14:paraId="37F043B2" w14:textId="77777777" w:rsidR="0062717F" w:rsidRPr="004A0212" w:rsidRDefault="07D39393" w:rsidP="0062717F">
      <w:pPr>
        <w:pStyle w:val="Heading2"/>
      </w:pPr>
      <w:bookmarkStart w:id="617" w:name="_Toc1456329293"/>
      <w:bookmarkStart w:id="618" w:name="_Toc168639074"/>
      <w:proofErr w:type="spellStart"/>
      <w:r w:rsidRPr="004A0212">
        <w:t>Te</w:t>
      </w:r>
      <w:proofErr w:type="spellEnd"/>
      <w:r w:rsidRPr="004A0212">
        <w:t xml:space="preserve"> </w:t>
      </w:r>
      <w:proofErr w:type="spellStart"/>
      <w:r w:rsidRPr="004A0212">
        <w:t>whaikahatanga</w:t>
      </w:r>
      <w:proofErr w:type="spellEnd"/>
      <w:r w:rsidRPr="004A0212">
        <w:t xml:space="preserve"> me </w:t>
      </w:r>
      <w:proofErr w:type="spellStart"/>
      <w:r w:rsidRPr="004A0212">
        <w:t>te</w:t>
      </w:r>
      <w:proofErr w:type="spellEnd"/>
      <w:r w:rsidRPr="004A0212">
        <w:t xml:space="preserve"> </w:t>
      </w:r>
      <w:proofErr w:type="spellStart"/>
      <w:r w:rsidRPr="004A0212">
        <w:t>whaioratanga</w:t>
      </w:r>
      <w:proofErr w:type="spellEnd"/>
      <w:r w:rsidRPr="004A0212">
        <w:t xml:space="preserve"> | Disability and Mental Health</w:t>
      </w:r>
      <w:bookmarkEnd w:id="617"/>
      <w:bookmarkEnd w:id="618"/>
      <w:r w:rsidRPr="004A0212">
        <w:t xml:space="preserve"> </w:t>
      </w:r>
    </w:p>
    <w:p w14:paraId="1D39D50B" w14:textId="788E47BF" w:rsidR="0062717F" w:rsidRPr="004A0212" w:rsidRDefault="07D39393" w:rsidP="0062717F">
      <w:pPr>
        <w:pStyle w:val="Heading3"/>
      </w:pPr>
      <w:bookmarkStart w:id="619" w:name="_Toc1832445429"/>
      <w:bookmarkStart w:id="620" w:name="_Toc168639075"/>
      <w:r w:rsidRPr="004A0212">
        <w:rPr>
          <w:lang w:val="en-US"/>
        </w:rPr>
        <w:t xml:space="preserve">I </w:t>
      </w:r>
      <w:proofErr w:type="spellStart"/>
      <w:r w:rsidRPr="004A0212">
        <w:rPr>
          <w:lang w:val="en-US"/>
        </w:rPr>
        <w:t>te</w:t>
      </w:r>
      <w:proofErr w:type="spellEnd"/>
      <w:r w:rsidRPr="004A0212">
        <w:rPr>
          <w:lang w:val="en-US"/>
        </w:rPr>
        <w:t xml:space="preserve"> Tari Hauora me </w:t>
      </w:r>
      <w:proofErr w:type="spellStart"/>
      <w:r w:rsidRPr="004A0212">
        <w:rPr>
          <w:lang w:val="en-US"/>
        </w:rPr>
        <w:t>ngā</w:t>
      </w:r>
      <w:proofErr w:type="spellEnd"/>
      <w:r w:rsidRPr="004A0212">
        <w:rPr>
          <w:lang w:val="en-US"/>
        </w:rPr>
        <w:t xml:space="preserve"> </w:t>
      </w:r>
      <w:proofErr w:type="spellStart"/>
      <w:r w:rsidRPr="004A0212">
        <w:rPr>
          <w:lang w:val="en-US"/>
        </w:rPr>
        <w:t>poari</w:t>
      </w:r>
      <w:proofErr w:type="spellEnd"/>
      <w:r w:rsidRPr="004A0212">
        <w:rPr>
          <w:lang w:val="en-US"/>
        </w:rPr>
        <w:t xml:space="preserve"> </w:t>
      </w:r>
      <w:proofErr w:type="spellStart"/>
      <w:r w:rsidRPr="004A0212">
        <w:rPr>
          <w:lang w:val="en-US"/>
        </w:rPr>
        <w:t>hohipera</w:t>
      </w:r>
      <w:proofErr w:type="spellEnd"/>
      <w:r w:rsidRPr="004A0212">
        <w:rPr>
          <w:lang w:val="en-US"/>
        </w:rPr>
        <w:t xml:space="preserve"> </w:t>
      </w:r>
      <w:proofErr w:type="spellStart"/>
      <w:r w:rsidRPr="004A0212">
        <w:rPr>
          <w:lang w:val="en-US"/>
        </w:rPr>
        <w:t>te</w:t>
      </w:r>
      <w:proofErr w:type="spellEnd"/>
      <w:r w:rsidRPr="004A0212">
        <w:rPr>
          <w:lang w:val="en-US"/>
        </w:rPr>
        <w:t xml:space="preserve"> </w:t>
      </w:r>
      <w:proofErr w:type="spellStart"/>
      <w:r w:rsidRPr="004A0212">
        <w:rPr>
          <w:lang w:val="en-US"/>
        </w:rPr>
        <w:t>haepapa</w:t>
      </w:r>
      <w:proofErr w:type="spellEnd"/>
      <w:r w:rsidRPr="004A0212">
        <w:rPr>
          <w:lang w:val="en-US"/>
        </w:rPr>
        <w:t xml:space="preserve"> </w:t>
      </w:r>
      <w:proofErr w:type="spellStart"/>
      <w:r w:rsidRPr="004A0212">
        <w:rPr>
          <w:lang w:val="en-US"/>
        </w:rPr>
        <w:t>matua</w:t>
      </w:r>
      <w:bookmarkEnd w:id="619"/>
      <w:bookmarkEnd w:id="620"/>
      <w:proofErr w:type="spellEnd"/>
      <w:r w:rsidRPr="004A0212">
        <w:rPr>
          <w:lang w:val="en-US"/>
        </w:rPr>
        <w:t xml:space="preserve"> </w:t>
      </w:r>
    </w:p>
    <w:p w14:paraId="4EAEBFDE" w14:textId="77777777" w:rsidR="0062717F" w:rsidRPr="004A0212" w:rsidRDefault="07D39393" w:rsidP="0062717F">
      <w:pPr>
        <w:pStyle w:val="Heading3"/>
      </w:pPr>
      <w:bookmarkStart w:id="621" w:name="_Toc1493310085"/>
      <w:bookmarkStart w:id="622" w:name="_Toc168639076"/>
      <w:r w:rsidRPr="004A0212">
        <w:t>Department of Health and Hospital Boards had overall responsibility</w:t>
      </w:r>
      <w:bookmarkEnd w:id="621"/>
      <w:bookmarkEnd w:id="622"/>
    </w:p>
    <w:p w14:paraId="21037C52" w14:textId="77777777" w:rsidR="0062717F" w:rsidRPr="004A0212" w:rsidRDefault="14CBC11D" w:rsidP="0062717F">
      <w:pPr>
        <w:pStyle w:val="Numbparas"/>
      </w:pPr>
      <w:r w:rsidRPr="004A0212">
        <w:t>Decisions about how the disability and mental health care system operated were usually made at a national level by the Minister of Health, the Director-General of Health or the Department of Health.</w:t>
      </w:r>
      <w:r w:rsidR="0062717F" w:rsidRPr="004A0212">
        <w:rPr>
          <w:rStyle w:val="StyleFootnoteReferenceFagoFunotenzeichenFagoFunotenzeichen"/>
        </w:rPr>
        <w:footnoteReference w:id="648"/>
      </w:r>
    </w:p>
    <w:p w14:paraId="1DC51302" w14:textId="77777777" w:rsidR="0062717F" w:rsidRPr="004A0212" w:rsidRDefault="14CBC11D" w:rsidP="0062717F">
      <w:pPr>
        <w:pStyle w:val="Numbparas"/>
        <w:rPr>
          <w:rFonts w:ascii="Calibri" w:hAnsi="Calibri" w:cs="Calibri"/>
          <w:color w:val="000000" w:themeColor="text1"/>
        </w:rPr>
      </w:pPr>
      <w:r w:rsidRPr="004A0212">
        <w:t>Ultimate accountability for the disability and mental health care system sat with the Minister of Health</w:t>
      </w:r>
      <w:r w:rsidRPr="004A0212">
        <w:rPr>
          <w:rFonts w:ascii="Calibri" w:hAnsi="Calibri" w:cs="Calibri"/>
          <w:color w:val="000000" w:themeColor="text1"/>
        </w:rPr>
        <w:t xml:space="preserve">, </w:t>
      </w:r>
      <w:r w:rsidRPr="004A0212">
        <w:t>who provided overall direction, oversight and control over the system.</w:t>
      </w:r>
      <w:r w:rsidR="0062717F" w:rsidRPr="004A0212">
        <w:rPr>
          <w:rStyle w:val="StyleFootnoteReferenceFagoFunotenzeichenFagoFunotenzeichen"/>
        </w:rPr>
        <w:footnoteReference w:id="649"/>
      </w:r>
    </w:p>
    <w:p w14:paraId="2C76F690" w14:textId="77777777" w:rsidR="0062717F" w:rsidRPr="004A0212" w:rsidRDefault="14CBC11D" w:rsidP="0062717F">
      <w:pPr>
        <w:pStyle w:val="Numbparas"/>
      </w:pPr>
      <w:r w:rsidRPr="004A0212">
        <w:t>During the Inquiry period decisions about what disability and mental health care should look like and how it should be delivered and funded sat variously with the Department of Health (followed by the Ministry of Health from 1993 onwards) and Division of Mental Health / Mental Hygiene, the Director-General of Health and the Director of Mental Hygiene / Mental Health, and a range of devolved decision-makers including Area Health Boards and Crown Health Enterprises.</w:t>
      </w:r>
      <w:r w:rsidR="0062717F" w:rsidRPr="004A0212">
        <w:rPr>
          <w:rStyle w:val="StyleFootnoteReferenceFagoFunotenzeichenFagoFunotenzeichen"/>
        </w:rPr>
        <w:footnoteReference w:id="650"/>
      </w:r>
    </w:p>
    <w:p w14:paraId="6ADDCD0C" w14:textId="2435DC3B" w:rsidR="0062717F" w:rsidRPr="004A0212" w:rsidRDefault="14CBC11D" w:rsidP="0062717F">
      <w:pPr>
        <w:pStyle w:val="Numbparas"/>
        <w:rPr>
          <w:rFonts w:ascii="Calibri" w:hAnsi="Calibri" w:cs="Calibri"/>
          <w:color w:val="000000" w:themeColor="text1"/>
        </w:rPr>
      </w:pPr>
      <w:r w:rsidRPr="004A0212">
        <w:t>The Director</w:t>
      </w:r>
      <w:r w:rsidR="1D662C28" w:rsidRPr="004A0212">
        <w:t>-</w:t>
      </w:r>
      <w:r w:rsidRPr="004A0212">
        <w:t xml:space="preserve">General of Health was the chief administrative officer of the </w:t>
      </w:r>
      <w:r w:rsidR="1D662C28" w:rsidRPr="004A0212">
        <w:t>department</w:t>
      </w:r>
      <w:r w:rsidRPr="004A0212">
        <w:t>, and the Ministry of Health from 1993. Reporting to the Director</w:t>
      </w:r>
      <w:r w:rsidR="1D662C28" w:rsidRPr="004A0212">
        <w:t>-</w:t>
      </w:r>
      <w:r w:rsidRPr="004A0212">
        <w:t>General was the Director of Mental Hygiene, later Director of Mental Health, who had specific legislative obligations relating to people in disability and mental health care</w:t>
      </w:r>
      <w:r w:rsidRPr="004A0212">
        <w:rPr>
          <w:rFonts w:ascii="Calibri" w:hAnsi="Calibri" w:cs="Calibri"/>
          <w:color w:val="000000" w:themeColor="text1"/>
        </w:rPr>
        <w:t>.</w:t>
      </w:r>
      <w:r w:rsidR="0062717F" w:rsidRPr="004A0212">
        <w:rPr>
          <w:rStyle w:val="StyleFootnoteReferenceFagoFunotenzeichenFagoFunotenzeichen"/>
        </w:rPr>
        <w:footnoteReference w:id="651"/>
      </w:r>
      <w:r w:rsidRPr="004A0212">
        <w:rPr>
          <w:rFonts w:ascii="Calibri" w:hAnsi="Calibri" w:cs="Calibri"/>
          <w:color w:val="000000" w:themeColor="text1"/>
        </w:rPr>
        <w:t xml:space="preserve"> </w:t>
      </w:r>
    </w:p>
    <w:p w14:paraId="5A104449" w14:textId="77777777" w:rsidR="0062717F" w:rsidRPr="004A0212" w:rsidRDefault="14CBC11D" w:rsidP="0062717F">
      <w:pPr>
        <w:pStyle w:val="Numbparas"/>
      </w:pPr>
      <w:r w:rsidRPr="004A0212">
        <w:t>Until 1983, hospital services were provided by District Health Offices and Hospital Boards. From 1983 to 1993 there was a decentralisation of purchasing and provision of health care away from the Department of Health to Area Health Boards, and with further reform this changed again to Regional Health Authorities and Crown Health Enterprises and the establishment of Needs Assessment and Service Coordination agencies. In 1998, further reform created the Health Funding Authority and Hospital and Health Services</w:t>
      </w:r>
      <w:r w:rsidRPr="004A0212">
        <w:rPr>
          <w:rFonts w:ascii="Calibri" w:hAnsi="Calibri" w:cs="Calibri"/>
          <w:color w:val="000000" w:themeColor="text1"/>
        </w:rPr>
        <w:t>.</w:t>
      </w:r>
      <w:r w:rsidR="0062717F" w:rsidRPr="004A0212">
        <w:rPr>
          <w:rStyle w:val="StyleFootnoteReferenceFagoFunotenzeichenFagoFunotenzeichen"/>
        </w:rPr>
        <w:footnoteReference w:id="652"/>
      </w:r>
      <w:r w:rsidRPr="004A0212">
        <w:rPr>
          <w:rFonts w:ascii="Calibri" w:hAnsi="Calibri" w:cs="Calibri"/>
          <w:color w:val="000000" w:themeColor="text1"/>
        </w:rPr>
        <w:t xml:space="preserve"> </w:t>
      </w:r>
    </w:p>
    <w:p w14:paraId="3D189955" w14:textId="7020C28A" w:rsidR="0062717F" w:rsidRPr="004A0212" w:rsidRDefault="14CBC11D" w:rsidP="0062717F">
      <w:pPr>
        <w:pStyle w:val="Numbparas"/>
      </w:pPr>
      <w:r w:rsidRPr="004A0212">
        <w:t xml:space="preserve">More localised decisions about how specific institutions or third-party providers should be run were made by individuals such as </w:t>
      </w:r>
      <w:r w:rsidR="25E002FF" w:rsidRPr="004A0212">
        <w:t xml:space="preserve">superintendents </w:t>
      </w:r>
      <w:r w:rsidRPr="004A0212">
        <w:t xml:space="preserve">or </w:t>
      </w:r>
      <w:r w:rsidR="25E002FF" w:rsidRPr="004A0212">
        <w:t>medical officers</w:t>
      </w:r>
      <w:r w:rsidRPr="004A0212">
        <w:t>, or devolved decision-makers such as Area Health Boards and Crown Health Enterprises.</w:t>
      </w:r>
    </w:p>
    <w:p w14:paraId="73BF3289" w14:textId="77777777" w:rsidR="0062717F" w:rsidRPr="004A0212" w:rsidRDefault="14CBC11D" w:rsidP="0062717F">
      <w:pPr>
        <w:pStyle w:val="Numbparas"/>
      </w:pPr>
      <w:r w:rsidRPr="004A0212">
        <w:t>In 1992 the Needs Assessment and Service Coordination system was set up after a review of the existing disability support services.</w:t>
      </w:r>
      <w:r w:rsidR="0062717F" w:rsidRPr="004A0212">
        <w:rPr>
          <w:rStyle w:val="StyleFootnoteReferenceFagoFunotenzeichenFagoFunotenzeichen"/>
        </w:rPr>
        <w:footnoteReference w:id="653"/>
      </w:r>
      <w:r w:rsidRPr="004A0212">
        <w:t xml:space="preserve"> The funding and delivery of existing support services were redistributed across the four Regional Health Authorities.</w:t>
      </w:r>
      <w:r w:rsidR="0062717F" w:rsidRPr="004A0212">
        <w:rPr>
          <w:rStyle w:val="StyleFootnoteReferenceFagoFunotenzeichenFagoFunotenzeichen"/>
        </w:rPr>
        <w:footnoteReference w:id="654"/>
      </w:r>
      <w:r w:rsidRPr="004A0212">
        <w:t xml:space="preserve"> </w:t>
      </w:r>
    </w:p>
    <w:p w14:paraId="090297C0" w14:textId="77777777" w:rsidR="0062717F" w:rsidRPr="004A0212" w:rsidRDefault="14CBC11D" w:rsidP="0062717F">
      <w:pPr>
        <w:pStyle w:val="Numbparas"/>
      </w:pPr>
      <w:r w:rsidRPr="004A0212">
        <w:t>Under this system, disabled people needed to be assessed to see what funding they were eligible for. This funding then determined the support and resources they could access.</w:t>
      </w:r>
      <w:r w:rsidR="0062717F" w:rsidRPr="004A0212">
        <w:rPr>
          <w:rStyle w:val="StyleFootnoteReferenceFagoFunotenzeichenFagoFunotenzeichen"/>
        </w:rPr>
        <w:footnoteReference w:id="655"/>
      </w:r>
      <w:r w:rsidRPr="004A0212">
        <w:rPr>
          <w:rStyle w:val="FootnoteReference"/>
        </w:rPr>
        <w:t xml:space="preserve"> </w:t>
      </w:r>
    </w:p>
    <w:p w14:paraId="43845C78" w14:textId="77777777" w:rsidR="0062717F" w:rsidRPr="004A0212" w:rsidRDefault="07D39393" w:rsidP="0062717F">
      <w:pPr>
        <w:pStyle w:val="Heading3"/>
      </w:pPr>
      <w:bookmarkStart w:id="623" w:name="_Toc476517292"/>
      <w:bookmarkStart w:id="624" w:name="_Toc168639077"/>
      <w:proofErr w:type="spellStart"/>
      <w:r w:rsidRPr="004A0212">
        <w:rPr>
          <w:lang w:val="en-US"/>
        </w:rPr>
        <w:t>Ngā</w:t>
      </w:r>
      <w:proofErr w:type="spellEnd"/>
      <w:r w:rsidRPr="004A0212">
        <w:rPr>
          <w:lang w:val="en-US"/>
        </w:rPr>
        <w:t xml:space="preserve"> ngaio </w:t>
      </w:r>
      <w:proofErr w:type="spellStart"/>
      <w:r w:rsidRPr="004A0212">
        <w:rPr>
          <w:lang w:val="en-US"/>
        </w:rPr>
        <w:t>hauora</w:t>
      </w:r>
      <w:proofErr w:type="spellEnd"/>
      <w:r w:rsidRPr="004A0212">
        <w:rPr>
          <w:lang w:val="en-US"/>
        </w:rPr>
        <w:t xml:space="preserve"> me </w:t>
      </w:r>
      <w:proofErr w:type="spellStart"/>
      <w:r w:rsidRPr="004A0212">
        <w:rPr>
          <w:lang w:val="en-US"/>
        </w:rPr>
        <w:t>ētahi</w:t>
      </w:r>
      <w:proofErr w:type="spellEnd"/>
      <w:r w:rsidRPr="004A0212">
        <w:rPr>
          <w:lang w:val="en-US"/>
        </w:rPr>
        <w:t xml:space="preserve"> </w:t>
      </w:r>
      <w:proofErr w:type="spellStart"/>
      <w:r w:rsidRPr="004A0212">
        <w:rPr>
          <w:lang w:val="en-US"/>
        </w:rPr>
        <w:t>atu</w:t>
      </w:r>
      <w:proofErr w:type="spellEnd"/>
      <w:r w:rsidRPr="004A0212">
        <w:rPr>
          <w:lang w:val="en-US"/>
        </w:rPr>
        <w:t xml:space="preserve"> </w:t>
      </w:r>
      <w:proofErr w:type="spellStart"/>
      <w:r w:rsidRPr="004A0212">
        <w:rPr>
          <w:lang w:val="en-US"/>
        </w:rPr>
        <w:t>kaimahi</w:t>
      </w:r>
      <w:proofErr w:type="spellEnd"/>
      <w:r w:rsidRPr="004A0212">
        <w:rPr>
          <w:lang w:val="en-US"/>
        </w:rPr>
        <w:t xml:space="preserve"> </w:t>
      </w:r>
      <w:proofErr w:type="spellStart"/>
      <w:r w:rsidRPr="004A0212">
        <w:rPr>
          <w:lang w:val="en-US"/>
        </w:rPr>
        <w:t>taurima</w:t>
      </w:r>
      <w:bookmarkEnd w:id="623"/>
      <w:bookmarkEnd w:id="624"/>
      <w:proofErr w:type="spellEnd"/>
      <w:r w:rsidRPr="004A0212">
        <w:rPr>
          <w:lang w:val="en-US"/>
        </w:rPr>
        <w:t xml:space="preserve"> </w:t>
      </w:r>
    </w:p>
    <w:p w14:paraId="47DC3884" w14:textId="77777777" w:rsidR="0062717F" w:rsidRPr="004A0212" w:rsidRDefault="07D39393" w:rsidP="0062717F">
      <w:pPr>
        <w:pStyle w:val="Heading3"/>
      </w:pPr>
      <w:bookmarkStart w:id="625" w:name="_Toc1725855857"/>
      <w:bookmarkStart w:id="626" w:name="_Toc168639078"/>
      <w:r w:rsidRPr="004A0212">
        <w:t>Health professionals and other care workers</w:t>
      </w:r>
      <w:bookmarkEnd w:id="625"/>
      <w:bookmarkEnd w:id="626"/>
      <w:r w:rsidRPr="004A0212">
        <w:t xml:space="preserve"> </w:t>
      </w:r>
    </w:p>
    <w:p w14:paraId="66710062" w14:textId="77777777" w:rsidR="0062717F" w:rsidRPr="004A0212" w:rsidRDefault="14CBC11D" w:rsidP="0062717F">
      <w:pPr>
        <w:pStyle w:val="Numbparas"/>
      </w:pPr>
      <w:r w:rsidRPr="004A0212">
        <w:t>Most immediate to people in health settings were medical professionals and other health care workers who made decisions about individual treatment, care and other daily activities. Decision-making about how care and treatment was provided both generally and in specific instances by medical professionals and health care workers, including doctors, psychiatrists, nurses and other health care workers.</w:t>
      </w:r>
    </w:p>
    <w:p w14:paraId="4B4DE528" w14:textId="1514D667" w:rsidR="6D97241E" w:rsidRPr="004A0212" w:rsidRDefault="6D97241E" w:rsidP="02397200">
      <w:pPr>
        <w:pStyle w:val="Heading3"/>
      </w:pPr>
      <w:bookmarkStart w:id="627" w:name="_Toc168639079"/>
      <w:proofErr w:type="spellStart"/>
      <w:r w:rsidRPr="004A0212">
        <w:t>Ngā</w:t>
      </w:r>
      <w:proofErr w:type="spellEnd"/>
      <w:r w:rsidRPr="004A0212">
        <w:t xml:space="preserve"> </w:t>
      </w:r>
      <w:proofErr w:type="spellStart"/>
      <w:r w:rsidRPr="004A0212">
        <w:t>ture</w:t>
      </w:r>
      <w:proofErr w:type="spellEnd"/>
      <w:r w:rsidRPr="004A0212">
        <w:t xml:space="preserve"> </w:t>
      </w:r>
      <w:proofErr w:type="spellStart"/>
      <w:r w:rsidRPr="004A0212">
        <w:t>mō</w:t>
      </w:r>
      <w:proofErr w:type="spellEnd"/>
      <w:r w:rsidRPr="004A0212">
        <w:t xml:space="preserve"> </w:t>
      </w:r>
      <w:proofErr w:type="spellStart"/>
      <w:r w:rsidRPr="004A0212">
        <w:t>te</w:t>
      </w:r>
      <w:proofErr w:type="spellEnd"/>
      <w:r w:rsidRPr="004A0212">
        <w:t xml:space="preserve"> </w:t>
      </w:r>
      <w:proofErr w:type="spellStart"/>
      <w:r w:rsidRPr="004A0212">
        <w:t>whaikaha</w:t>
      </w:r>
      <w:proofErr w:type="spellEnd"/>
      <w:r w:rsidRPr="004A0212">
        <w:t xml:space="preserve"> </w:t>
      </w:r>
      <w:r w:rsidR="2E753D29" w:rsidRPr="004A0212">
        <w:t xml:space="preserve">me </w:t>
      </w:r>
      <w:proofErr w:type="spellStart"/>
      <w:r w:rsidR="2E753D29" w:rsidRPr="004A0212">
        <w:t>te</w:t>
      </w:r>
      <w:proofErr w:type="spellEnd"/>
      <w:r w:rsidR="2E753D29" w:rsidRPr="004A0212">
        <w:t xml:space="preserve"> </w:t>
      </w:r>
      <w:proofErr w:type="spellStart"/>
      <w:r w:rsidRPr="004A0212">
        <w:t>ha</w:t>
      </w:r>
      <w:r w:rsidR="3E676838" w:rsidRPr="004A0212">
        <w:t>uora</w:t>
      </w:r>
      <w:proofErr w:type="spellEnd"/>
      <w:r w:rsidR="3E676838" w:rsidRPr="004A0212">
        <w:t xml:space="preserve"> </w:t>
      </w:r>
      <w:proofErr w:type="spellStart"/>
      <w:r w:rsidRPr="004A0212">
        <w:t>hinengaro</w:t>
      </w:r>
      <w:bookmarkEnd w:id="627"/>
      <w:proofErr w:type="spellEnd"/>
    </w:p>
    <w:p w14:paraId="1828A70A" w14:textId="77777777" w:rsidR="0062717F" w:rsidRPr="004A0212" w:rsidRDefault="07D39393" w:rsidP="0062717F">
      <w:pPr>
        <w:pStyle w:val="Heading3"/>
      </w:pPr>
      <w:bookmarkStart w:id="628" w:name="_Toc365012789"/>
      <w:bookmarkStart w:id="629" w:name="_Toc168639080"/>
      <w:r w:rsidRPr="004A0212">
        <w:t>Disability and mental health legislation</w:t>
      </w:r>
      <w:bookmarkEnd w:id="628"/>
      <w:bookmarkEnd w:id="629"/>
    </w:p>
    <w:p w14:paraId="6A9CF2A3" w14:textId="77777777" w:rsidR="0062717F" w:rsidRPr="004A0212" w:rsidRDefault="14CBC11D" w:rsidP="0062717F">
      <w:pPr>
        <w:pStyle w:val="Numbparas"/>
      </w:pPr>
      <w:r w:rsidRPr="004A0212">
        <w:t>The Mental Defectives Act 1911 set out the conditions for admission into disability and mental health institutions until it was replaced by the Mental Health Act 1969. The Mental Defectives Act 1911 was the first legislation in Aotearoa New Zealand to categorise types of disability, long-term health conditions and mental distress. The Act arranged ‘mental defectives’ into six categories: persons of unsound mind, mentally infirm, idiots, imbeciles, feeble-minded and epileptics.</w:t>
      </w:r>
      <w:r w:rsidRPr="004A0212">
        <w:rPr>
          <w:rStyle w:val="FootnoteReference"/>
        </w:rPr>
        <w:t xml:space="preserve"> </w:t>
      </w:r>
      <w:r w:rsidR="0062717F" w:rsidRPr="004A0212">
        <w:rPr>
          <w:rStyle w:val="StyleFootnoteReferenceFagoFunotenzeichenFagoFunotenzeichen"/>
        </w:rPr>
        <w:footnoteReference w:id="656"/>
      </w:r>
      <w:r w:rsidRPr="004A0212">
        <w:t xml:space="preserve"> </w:t>
      </w:r>
    </w:p>
    <w:p w14:paraId="22154669" w14:textId="77777777" w:rsidR="0062717F" w:rsidRPr="004A0212" w:rsidRDefault="14CBC11D" w:rsidP="0062717F">
      <w:pPr>
        <w:pStyle w:val="Numbparas"/>
      </w:pPr>
      <w:r w:rsidRPr="004A0212">
        <w:t>This was extended by the Mental Defectives Amendment Act 1928 to include a seventh category: persons socially defective (defined as anti-social behaviour requiring supervision).</w:t>
      </w:r>
      <w:r w:rsidR="0062717F" w:rsidRPr="004A0212">
        <w:rPr>
          <w:rStyle w:val="StyleFootnoteReferenceFagoFunotenzeichenFagoFunotenzeichen"/>
        </w:rPr>
        <w:footnoteReference w:id="657"/>
      </w:r>
      <w:r w:rsidRPr="004A0212">
        <w:t xml:space="preserve"> </w:t>
      </w:r>
    </w:p>
    <w:p w14:paraId="253AF2E7" w14:textId="3328B043" w:rsidR="0062717F" w:rsidRPr="004A0212" w:rsidRDefault="14CBC11D" w:rsidP="0062717F">
      <w:pPr>
        <w:pStyle w:val="Numbparas"/>
      </w:pPr>
      <w:r w:rsidRPr="004A0212">
        <w:t>The Mental Health Act 1969 replaced the Mental Health Act 1911 and its amendments but continued the same basic approach. Under the Mental Health Act 1969 anyone who met the definition of ‘mentally disordered’ in the Act, including those suffering from mental illness or deemed ‘mentally infirm’ or ‘mentally subnormal’ could be required to undergo treatment through a compulsory treatment order.</w:t>
      </w:r>
      <w:r w:rsidR="0062717F" w:rsidRPr="004A0212">
        <w:rPr>
          <w:rStyle w:val="FootnoteReference"/>
        </w:rPr>
        <w:footnoteReference w:id="658"/>
      </w:r>
      <w:r w:rsidRPr="004A0212">
        <w:t xml:space="preserve"> The 1969 Act was replaced by the Mental Health (Compulsory Assessment and Treatment) Act 1992.</w:t>
      </w:r>
    </w:p>
    <w:p w14:paraId="34470B8D" w14:textId="28B163C2" w:rsidR="008967F2" w:rsidRPr="004A0212" w:rsidRDefault="008967F2" w:rsidP="008967F2">
      <w:pPr>
        <w:pStyle w:val="Numbparas"/>
        <w:numPr>
          <w:ilvl w:val="0"/>
          <w:numId w:val="0"/>
        </w:numPr>
      </w:pPr>
    </w:p>
    <w:p w14:paraId="618549B4" w14:textId="38A37A9A" w:rsidR="0062717F" w:rsidRPr="004A0212" w:rsidRDefault="4BB4896E" w:rsidP="0062717F">
      <w:pPr>
        <w:pStyle w:val="Heading3"/>
      </w:pPr>
      <w:bookmarkStart w:id="630" w:name="_Toc1546343378"/>
      <w:bookmarkStart w:id="631" w:name="_Toc168639081"/>
      <w:proofErr w:type="spellStart"/>
      <w:r w:rsidRPr="004A0212">
        <w:t>Whare</w:t>
      </w:r>
      <w:proofErr w:type="spellEnd"/>
      <w:r w:rsidRPr="004A0212">
        <w:t xml:space="preserve"> </w:t>
      </w:r>
      <w:proofErr w:type="spellStart"/>
      <w:r w:rsidRPr="004A0212">
        <w:t>hauora</w:t>
      </w:r>
      <w:proofErr w:type="spellEnd"/>
      <w:r w:rsidRPr="004A0212">
        <w:t xml:space="preserve"> </w:t>
      </w:r>
      <w:proofErr w:type="spellStart"/>
      <w:r w:rsidRPr="004A0212">
        <w:t>hinengaro</w:t>
      </w:r>
      <w:proofErr w:type="spellEnd"/>
      <w:r w:rsidR="07D39393" w:rsidRPr="004A0212">
        <w:t xml:space="preserve"> | Psychiatric hospitals</w:t>
      </w:r>
      <w:bookmarkEnd w:id="630"/>
      <w:bookmarkEnd w:id="631"/>
    </w:p>
    <w:p w14:paraId="51696AA9" w14:textId="77777777" w:rsidR="0062717F" w:rsidRPr="004A0212" w:rsidRDefault="14CBC11D" w:rsidP="0062717F">
      <w:pPr>
        <w:pStyle w:val="Numbparas"/>
      </w:pPr>
      <w:r w:rsidRPr="004A0212">
        <w:t xml:space="preserve">For people who experienced mental distress during the Inquiry period, placement in psychiatric settings was often compulsory. It was not until the enactment of the Mental Health (Compulsory Assessment and Treatment) Act 1992 that the focus shifted to upholding the rights of those under compulsory treatment. </w:t>
      </w:r>
    </w:p>
    <w:p w14:paraId="542DC14A" w14:textId="77777777" w:rsidR="0062717F" w:rsidRPr="004A0212" w:rsidRDefault="14CBC11D" w:rsidP="0062717F">
      <w:pPr>
        <w:pStyle w:val="Numbparas"/>
      </w:pPr>
      <w:r w:rsidRPr="004A0212">
        <w:t>People who experienced mental distress were placed in psychiatric settings by order of the court, on an emergency basis, or through the criminal justice system. Sometimes people entered mental health settings voluntarily or on the advice of their family or clinician.</w:t>
      </w:r>
      <w:r w:rsidR="0062717F" w:rsidRPr="004A0212">
        <w:rPr>
          <w:rStyle w:val="StyleFootnoteReferenceFagoFunotenzeichenFagoFunotenzeichen"/>
        </w:rPr>
        <w:footnoteReference w:id="659"/>
      </w:r>
      <w:r w:rsidRPr="004A0212">
        <w:t xml:space="preserve"> </w:t>
      </w:r>
    </w:p>
    <w:p w14:paraId="7A5D234C" w14:textId="77777777" w:rsidR="0062717F" w:rsidRPr="004A0212" w:rsidRDefault="14CBC11D" w:rsidP="0062717F">
      <w:pPr>
        <w:pStyle w:val="Numbparas"/>
      </w:pPr>
      <w:r w:rsidRPr="004A0212">
        <w:t>The Mental Health (Compulsory Assessment and Treatment) Act 1992 led to substantial changes in New Zealand’s mental health system. It put more importance on the rights of patients, recognising the role of cultural factors in diagnosis and treatment and the right to appeal treatment.</w:t>
      </w:r>
      <w:r w:rsidR="0062717F" w:rsidRPr="004A0212">
        <w:rPr>
          <w:rStyle w:val="StyleFootnoteReferenceFagoFunotenzeichenFagoFunotenzeichen"/>
        </w:rPr>
        <w:footnoteReference w:id="660"/>
      </w:r>
      <w:r w:rsidRPr="004A0212">
        <w:t xml:space="preserve"> </w:t>
      </w:r>
    </w:p>
    <w:p w14:paraId="62201EA2" w14:textId="77777777" w:rsidR="0062717F" w:rsidRPr="004A0212" w:rsidRDefault="14CBC11D" w:rsidP="0062717F">
      <w:pPr>
        <w:pStyle w:val="Numbparas"/>
      </w:pPr>
      <w:r w:rsidRPr="004A0212">
        <w:t xml:space="preserve">The 1992 Act still enabled compulsory mental health assessment or treatment, if someone was judged to be </w:t>
      </w:r>
      <w:proofErr w:type="gramStart"/>
      <w:r w:rsidRPr="004A0212">
        <w:t>a serious danger</w:t>
      </w:r>
      <w:proofErr w:type="gramEnd"/>
      <w:r w:rsidRPr="004A0212">
        <w:t xml:space="preserve"> to themselves or others, or unable to take care of themselves.</w:t>
      </w:r>
      <w:r w:rsidR="0062717F" w:rsidRPr="004A0212">
        <w:rPr>
          <w:rStyle w:val="StyleFootnoteReferenceFagoFunotenzeichenFagoFunotenzeichen"/>
        </w:rPr>
        <w:footnoteReference w:id="661"/>
      </w:r>
      <w:r w:rsidRPr="004A0212">
        <w:t xml:space="preserve"> People experiencing mental distress could also be compulsorily assessed and treated in the community. </w:t>
      </w:r>
    </w:p>
    <w:p w14:paraId="054408CB" w14:textId="77777777" w:rsidR="0062717F" w:rsidRPr="004A0212" w:rsidRDefault="14CBC11D" w:rsidP="0062717F">
      <w:pPr>
        <w:pStyle w:val="Numbparas"/>
      </w:pPr>
      <w:r w:rsidRPr="004A0212">
        <w:t>The Director of Mental Health became responsible for administration of the Mental Health (Compulsory Assessment and Treatment) Act 1992.</w:t>
      </w:r>
      <w:r w:rsidR="0062717F" w:rsidRPr="004A0212">
        <w:rPr>
          <w:rStyle w:val="StyleFootnoteReferenceFagoFunotenzeichenFagoFunotenzeichen"/>
        </w:rPr>
        <w:footnoteReference w:id="662"/>
      </w:r>
      <w:r w:rsidRPr="004A0212">
        <w:t xml:space="preserve"> The Director-General of Health could also appoint a director of area mental health services for each region, to lead the mental health workforce for their area.</w:t>
      </w:r>
      <w:r w:rsidR="0062717F" w:rsidRPr="004A0212">
        <w:rPr>
          <w:rStyle w:val="StyleFootnoteReferenceFagoFunotenzeichenFagoFunotenzeichen"/>
        </w:rPr>
        <w:footnoteReference w:id="663"/>
      </w:r>
    </w:p>
    <w:p w14:paraId="1E12025B" w14:textId="77777777" w:rsidR="0062717F" w:rsidRPr="004A0212" w:rsidRDefault="14CBC11D" w:rsidP="0062717F">
      <w:pPr>
        <w:pStyle w:val="AllNumbparas"/>
      </w:pPr>
      <w:r w:rsidRPr="004A0212">
        <w:t xml:space="preserve">By 1911, Aotearoa New Zealand had six asylums – Tāmaki Makaurau Auckland, Porirua, </w:t>
      </w:r>
      <w:proofErr w:type="spellStart"/>
      <w:r w:rsidRPr="004A0212">
        <w:t>Whakatū</w:t>
      </w:r>
      <w:proofErr w:type="spellEnd"/>
      <w:r w:rsidRPr="004A0212">
        <w:t xml:space="preserve"> Nelson, Sunnyside (</w:t>
      </w:r>
      <w:proofErr w:type="spellStart"/>
      <w:r w:rsidRPr="004A0212">
        <w:t>Waitaha</w:t>
      </w:r>
      <w:proofErr w:type="spellEnd"/>
      <w:r w:rsidRPr="004A0212">
        <w:t xml:space="preserve"> Canterbury), Seaview (South Island West Coast) and Seacliff (</w:t>
      </w:r>
      <w:proofErr w:type="spellStart"/>
      <w:r w:rsidRPr="004A0212">
        <w:t>Ōtepoti</w:t>
      </w:r>
      <w:proofErr w:type="spellEnd"/>
      <w:r w:rsidRPr="004A0212">
        <w:t xml:space="preserve"> Dunedin) – with a combined total of 3,913 patients.</w:t>
      </w:r>
      <w:r w:rsidR="0062717F" w:rsidRPr="004A0212">
        <w:rPr>
          <w:rStyle w:val="StyleFootnoteReferenceFagoFunotenzeichenFagoFunotenzeichen"/>
        </w:rPr>
        <w:footnoteReference w:id="664"/>
      </w:r>
      <w:r w:rsidRPr="004A0212">
        <w:t xml:space="preserve"> As the 20</w:t>
      </w:r>
      <w:r w:rsidRPr="004A0212">
        <w:rPr>
          <w:vertAlign w:val="superscript"/>
        </w:rPr>
        <w:t>th</w:t>
      </w:r>
      <w:r w:rsidRPr="004A0212">
        <w:t xml:space="preserve"> century progressed, these buildings were replaced by villa-type residences, usually located in more rural areas.</w:t>
      </w:r>
      <w:r w:rsidR="0062717F" w:rsidRPr="004A0212">
        <w:rPr>
          <w:rStyle w:val="StyleFootnoteReferenceFagoFunotenzeichenFagoFunotenzeichen"/>
        </w:rPr>
        <w:footnoteReference w:id="665"/>
      </w:r>
    </w:p>
    <w:p w14:paraId="33F10FC9" w14:textId="77777777" w:rsidR="0062717F" w:rsidRPr="004A0212" w:rsidRDefault="14CBC11D" w:rsidP="0062717F">
      <w:pPr>
        <w:pStyle w:val="AllNumbparas"/>
      </w:pPr>
      <w:r w:rsidRPr="004A0212">
        <w:t>Psychiatric settings continued to grow as Kingseat (</w:t>
      </w:r>
      <w:proofErr w:type="spellStart"/>
      <w:r w:rsidRPr="004A0212">
        <w:t>Tāmaki</w:t>
      </w:r>
      <w:proofErr w:type="spellEnd"/>
      <w:r w:rsidRPr="004A0212">
        <w:t xml:space="preserve"> Makaurau Auckland), </w:t>
      </w:r>
      <w:proofErr w:type="spellStart"/>
      <w:r w:rsidRPr="004A0212">
        <w:t>Tokanui</w:t>
      </w:r>
      <w:proofErr w:type="spellEnd"/>
      <w:r w:rsidRPr="004A0212">
        <w:t xml:space="preserve"> (</w:t>
      </w:r>
      <w:proofErr w:type="spellStart"/>
      <w:r w:rsidRPr="004A0212">
        <w:t>Te</w:t>
      </w:r>
      <w:proofErr w:type="spellEnd"/>
      <w:r w:rsidRPr="004A0212">
        <w:t xml:space="preserve"> Awamutu), Cherry Farm (</w:t>
      </w:r>
      <w:proofErr w:type="spellStart"/>
      <w:r w:rsidRPr="004A0212">
        <w:t>Ōtepoti</w:t>
      </w:r>
      <w:proofErr w:type="spellEnd"/>
      <w:r w:rsidRPr="004A0212">
        <w:t xml:space="preserve"> Dunedin) and various inpatient units attached to hospitals were established. By 1996, almost all the large psychiatric hospitals had closed.</w:t>
      </w:r>
      <w:r w:rsidR="0062717F" w:rsidRPr="004A0212">
        <w:rPr>
          <w:rStyle w:val="StyleFootnoteReferenceFagoFunotenzeichenFagoFunotenzeichen"/>
        </w:rPr>
        <w:footnoteReference w:id="666"/>
      </w:r>
    </w:p>
    <w:p w14:paraId="41F76ABC" w14:textId="177C1518" w:rsidR="0062717F" w:rsidRPr="004A0212" w:rsidRDefault="497AB8A7" w:rsidP="0062717F">
      <w:pPr>
        <w:pStyle w:val="Heading3"/>
      </w:pPr>
      <w:bookmarkStart w:id="632" w:name="_Toc82243946"/>
      <w:bookmarkStart w:id="633" w:name="_Toc168639082"/>
      <w:proofErr w:type="spellStart"/>
      <w:r w:rsidRPr="004A0212">
        <w:t>Whare</w:t>
      </w:r>
      <w:proofErr w:type="spellEnd"/>
      <w:r w:rsidRPr="004A0212">
        <w:t xml:space="preserve"> </w:t>
      </w:r>
      <w:proofErr w:type="spellStart"/>
      <w:r w:rsidRPr="004A0212">
        <w:t>hauora</w:t>
      </w:r>
      <w:proofErr w:type="spellEnd"/>
      <w:r w:rsidRPr="004A0212">
        <w:t xml:space="preserve"> </w:t>
      </w:r>
      <w:proofErr w:type="spellStart"/>
      <w:r w:rsidRPr="004A0212">
        <w:t>hinengaro</w:t>
      </w:r>
      <w:proofErr w:type="spellEnd"/>
      <w:r w:rsidR="07D39393" w:rsidRPr="004A0212">
        <w:t xml:space="preserve"> </w:t>
      </w:r>
      <w:proofErr w:type="spellStart"/>
      <w:r w:rsidR="07D39393" w:rsidRPr="004A0212">
        <w:t>tamariki</w:t>
      </w:r>
      <w:proofErr w:type="spellEnd"/>
      <w:r w:rsidR="07D39393" w:rsidRPr="004A0212">
        <w:t xml:space="preserve"> | Psychopaedic hospitals</w:t>
      </w:r>
      <w:bookmarkEnd w:id="632"/>
      <w:bookmarkEnd w:id="633"/>
    </w:p>
    <w:p w14:paraId="4BC68A89" w14:textId="77777777" w:rsidR="0062717F" w:rsidRPr="004A0212" w:rsidRDefault="14CBC11D" w:rsidP="0062717F">
      <w:pPr>
        <w:pStyle w:val="AllNumbparas"/>
      </w:pPr>
      <w:r w:rsidRPr="004A0212">
        <w:t>Psychopaedic was a 20</w:t>
      </w:r>
      <w:r w:rsidRPr="004A0212">
        <w:rPr>
          <w:vertAlign w:val="superscript"/>
        </w:rPr>
        <w:t>th</w:t>
      </w:r>
      <w:r w:rsidRPr="004A0212">
        <w:t xml:space="preserve"> century Aotearoa New Zealand term to distinguish children, young people and adults with a learning disability from people who experienced mental distress. The main psychopaedic institutions were Templeton (</w:t>
      </w:r>
      <w:proofErr w:type="spellStart"/>
      <w:r w:rsidRPr="004A0212">
        <w:t>Waitaha</w:t>
      </w:r>
      <w:proofErr w:type="spellEnd"/>
      <w:r w:rsidRPr="004A0212">
        <w:t xml:space="preserve"> Canterbury), Kimberley (</w:t>
      </w:r>
      <w:proofErr w:type="spellStart"/>
      <w:r w:rsidRPr="004A0212">
        <w:t>Taitoko</w:t>
      </w:r>
      <w:proofErr w:type="spellEnd"/>
      <w:r w:rsidRPr="004A0212">
        <w:t xml:space="preserve"> Levin), Braemar (</w:t>
      </w:r>
      <w:proofErr w:type="spellStart"/>
      <w:r w:rsidRPr="004A0212">
        <w:t>Whakatū</w:t>
      </w:r>
      <w:proofErr w:type="spellEnd"/>
      <w:r w:rsidRPr="004A0212">
        <w:t xml:space="preserve"> Nelson) and Mangere (Tāmaki Makaurau Auckland).</w:t>
      </w:r>
      <w:r w:rsidR="0062717F" w:rsidRPr="004A0212">
        <w:rPr>
          <w:rStyle w:val="StyleFootnoteReferenceFagoFunotenzeichenFagoFunotenzeichen"/>
        </w:rPr>
        <w:footnoteReference w:id="667"/>
      </w:r>
      <w:r w:rsidRPr="004A0212">
        <w:t xml:space="preserve"> Some psychiatric hospitals such as </w:t>
      </w:r>
      <w:proofErr w:type="spellStart"/>
      <w:r w:rsidRPr="004A0212">
        <w:t>Tokanui</w:t>
      </w:r>
      <w:proofErr w:type="spellEnd"/>
      <w:r w:rsidRPr="004A0212">
        <w:t xml:space="preserve"> had psychopaedic wards.</w:t>
      </w:r>
    </w:p>
    <w:p w14:paraId="1ABD7440" w14:textId="77777777" w:rsidR="0062717F" w:rsidRPr="004A0212" w:rsidRDefault="14CBC11D" w:rsidP="0062717F">
      <w:pPr>
        <w:pStyle w:val="AllNumbparas"/>
      </w:pPr>
      <w:r w:rsidRPr="004A0212">
        <w:t>Families could voluntarily place their disabled family member into one of these hospitals, often because a lack of other supports in the community meant they had no other real options. Authorities such as medical staff often recommended psychopaedic care as the best choice.</w:t>
      </w:r>
    </w:p>
    <w:p w14:paraId="712183DA" w14:textId="77777777" w:rsidR="0062717F" w:rsidRPr="004A0212" w:rsidRDefault="14CBC11D" w:rsidP="0062717F">
      <w:pPr>
        <w:pStyle w:val="AllNumbparas"/>
      </w:pPr>
      <w:r w:rsidRPr="004A0212">
        <w:t>The large institutions began to close in the 1990s and were replaced with smaller group residential homes. These were mainly run by voluntary organisations contracted by the State, such as the IHC and trusts.</w:t>
      </w:r>
      <w:r w:rsidR="0062717F" w:rsidRPr="004A0212">
        <w:rPr>
          <w:rStyle w:val="FootnoteReference"/>
        </w:rPr>
        <w:footnoteReference w:id="668"/>
      </w:r>
    </w:p>
    <w:p w14:paraId="2DCC42C6" w14:textId="7D34D08D" w:rsidR="0062717F" w:rsidRPr="004A0212" w:rsidRDefault="07D39393" w:rsidP="0062717F">
      <w:pPr>
        <w:pStyle w:val="Heading3"/>
      </w:pPr>
      <w:bookmarkStart w:id="634" w:name="_Toc1637190099"/>
      <w:bookmarkStart w:id="635" w:name="_Toc168639083"/>
      <w:proofErr w:type="spellStart"/>
      <w:r w:rsidRPr="004A0212">
        <w:t>Kāinga</w:t>
      </w:r>
      <w:proofErr w:type="spellEnd"/>
      <w:r w:rsidRPr="004A0212">
        <w:t xml:space="preserve"> </w:t>
      </w:r>
      <w:proofErr w:type="spellStart"/>
      <w:r w:rsidRPr="004A0212">
        <w:t>mō</w:t>
      </w:r>
      <w:proofErr w:type="spellEnd"/>
      <w:r w:rsidRPr="004A0212">
        <w:t xml:space="preserve"> </w:t>
      </w:r>
      <w:proofErr w:type="spellStart"/>
      <w:r w:rsidRPr="004A0212">
        <w:t>te</w:t>
      </w:r>
      <w:proofErr w:type="spellEnd"/>
      <w:r w:rsidRPr="004A0212">
        <w:t xml:space="preserve"> </w:t>
      </w:r>
      <w:proofErr w:type="spellStart"/>
      <w:r w:rsidRPr="004A0212">
        <w:t>hunga</w:t>
      </w:r>
      <w:proofErr w:type="spellEnd"/>
      <w:r w:rsidRPr="004A0212">
        <w:t xml:space="preserve"> </w:t>
      </w:r>
      <w:proofErr w:type="spellStart"/>
      <w:r w:rsidRPr="004A0212">
        <w:t>whaikaha</w:t>
      </w:r>
      <w:proofErr w:type="spellEnd"/>
      <w:r w:rsidR="6611442B" w:rsidRPr="004A0212">
        <w:t xml:space="preserve"> </w:t>
      </w:r>
      <w:r w:rsidRPr="004A0212">
        <w:t>ā-</w:t>
      </w:r>
      <w:proofErr w:type="spellStart"/>
      <w:r w:rsidRPr="004A0212">
        <w:t>tinana</w:t>
      </w:r>
      <w:proofErr w:type="spellEnd"/>
      <w:r w:rsidRPr="004A0212">
        <w:t xml:space="preserve"> | Homes for physically disabled people</w:t>
      </w:r>
      <w:bookmarkEnd w:id="634"/>
      <w:bookmarkEnd w:id="635"/>
    </w:p>
    <w:p w14:paraId="102A7415" w14:textId="77777777" w:rsidR="0062717F" w:rsidRPr="004A0212" w:rsidRDefault="14CBC11D" w:rsidP="0062717F">
      <w:pPr>
        <w:pStyle w:val="AllNumbparas"/>
      </w:pPr>
      <w:r w:rsidRPr="004A0212">
        <w:t>For disabled people with no family support, limited care options existed until the establishment of some group homes in the early 20</w:t>
      </w:r>
      <w:r w:rsidRPr="004A0212">
        <w:rPr>
          <w:vertAlign w:val="superscript"/>
        </w:rPr>
        <w:t>th</w:t>
      </w:r>
      <w:r w:rsidRPr="004A0212">
        <w:t xml:space="preserve"> century. In 1914, the Elizabeth Knox Home and Hospital opened in Tāmaki Makaurau Auckland, with the specific purpose of caring for disabled people with physical impairments.</w:t>
      </w:r>
      <w:r w:rsidR="0062717F" w:rsidRPr="004A0212">
        <w:rPr>
          <w:rStyle w:val="StyleFootnoteReferenceFagoFunotenzeichenFagoFunotenzeichen"/>
        </w:rPr>
        <w:footnoteReference w:id="669"/>
      </w:r>
    </w:p>
    <w:p w14:paraId="16AA948C" w14:textId="77777777" w:rsidR="00A91A97" w:rsidRPr="00A91A97" w:rsidRDefault="14CBC11D" w:rsidP="0062717F">
      <w:pPr>
        <w:pStyle w:val="AllNumbparas"/>
        <w:rPr>
          <w:color w:val="3B5D1E" w:themeColor="accent4" w:themeShade="BF"/>
          <w:szCs w:val="26"/>
        </w:rPr>
      </w:pPr>
      <w:proofErr w:type="spellStart"/>
      <w:r w:rsidRPr="004A0212">
        <w:t>Pukeora</w:t>
      </w:r>
      <w:proofErr w:type="spellEnd"/>
      <w:r w:rsidRPr="004A0212">
        <w:t>, an institution for children and young adults with physical impairments, was founded near Dannevirke in the late 1950s.</w:t>
      </w:r>
      <w:r w:rsidR="0062717F" w:rsidRPr="004A0212">
        <w:rPr>
          <w:rStyle w:val="StyleFootnoteReferenceFagoFunotenzeichenFagoFunotenzeichen"/>
        </w:rPr>
        <w:footnoteReference w:id="670"/>
      </w:r>
    </w:p>
    <w:p w14:paraId="6199C89B" w14:textId="77777777" w:rsidR="0062717F" w:rsidRPr="004A0212" w:rsidRDefault="07D39393" w:rsidP="0062717F">
      <w:pPr>
        <w:pStyle w:val="Heading3"/>
      </w:pPr>
      <w:bookmarkStart w:id="636" w:name="_Toc698592186"/>
      <w:bookmarkStart w:id="637" w:name="_Toc168639084"/>
      <w:r w:rsidRPr="004A0212">
        <w:t xml:space="preserve">Wāhi mahi </w:t>
      </w:r>
      <w:proofErr w:type="spellStart"/>
      <w:r w:rsidRPr="004A0212">
        <w:t>āhuru</w:t>
      </w:r>
      <w:proofErr w:type="spellEnd"/>
      <w:r w:rsidRPr="004A0212">
        <w:t xml:space="preserve"> | Sheltered workshops</w:t>
      </w:r>
      <w:bookmarkEnd w:id="636"/>
      <w:bookmarkEnd w:id="637"/>
    </w:p>
    <w:p w14:paraId="63B1C2D0" w14:textId="77777777" w:rsidR="0062717F" w:rsidRPr="004A0212" w:rsidRDefault="14CBC11D" w:rsidP="0062717F">
      <w:pPr>
        <w:pStyle w:val="AllNumbparas"/>
      </w:pPr>
      <w:r w:rsidRPr="004A0212">
        <w:t>From the early part of the 20</w:t>
      </w:r>
      <w:r w:rsidRPr="004A0212">
        <w:rPr>
          <w:vertAlign w:val="superscript"/>
        </w:rPr>
        <w:t>th</w:t>
      </w:r>
      <w:r w:rsidRPr="004A0212">
        <w:t xml:space="preserve"> century, sheltered workshops provided employment and training for wounded war veterans, or disabled civilians with learning or physical impairments.</w:t>
      </w:r>
      <w:r w:rsidR="0062717F" w:rsidRPr="004A0212">
        <w:rPr>
          <w:rStyle w:val="StyleFootnoteReferenceFagoFunotenzeichenFagoFunotenzeichen"/>
        </w:rPr>
        <w:footnoteReference w:id="671"/>
      </w:r>
      <w:r w:rsidRPr="004A0212">
        <w:t xml:space="preserve"> The work was menial and repetitive, and payment was tokenistic. However, the workshops became the main source of occupation for many disabled people.</w:t>
      </w:r>
    </w:p>
    <w:p w14:paraId="358BA3F8" w14:textId="77777777" w:rsidR="0062717F" w:rsidRPr="004A0212" w:rsidRDefault="14CBC11D" w:rsidP="0062717F">
      <w:pPr>
        <w:pStyle w:val="AllNumbparas"/>
      </w:pPr>
      <w:r w:rsidRPr="004A0212">
        <w:t>In 1956, the responsibility for the Occupational Centres, originally founded by the Intellectually Handicapped Children’s Parents Association, was transferred to the control of regional Education Boards. These centres became Day Special Schools under the management of the State. Children who had attended day programmes run by voluntary groups could transfer to the special schools. Government funding was provided to the IHC Occupation Workshops catering for the needs of adults with learning disability.</w:t>
      </w:r>
      <w:r w:rsidR="0062717F" w:rsidRPr="004A0212">
        <w:rPr>
          <w:rStyle w:val="StyleFootnoteReferenceFagoFunotenzeichenFagoFunotenzeichen"/>
        </w:rPr>
        <w:footnoteReference w:id="672"/>
      </w:r>
    </w:p>
    <w:p w14:paraId="491E24FB" w14:textId="77777777" w:rsidR="0062717F" w:rsidRPr="004A0212" w:rsidRDefault="14CBC11D" w:rsidP="0062717F">
      <w:pPr>
        <w:pStyle w:val="AllNumbparas"/>
      </w:pPr>
      <w:r w:rsidRPr="004A0212">
        <w:t>Disabled people who worked in sheltered workshops were not given the same rights as other employees and were exempt from legislation designed to protect employees throughout the Inquiry period.</w:t>
      </w:r>
      <w:r w:rsidR="0062717F" w:rsidRPr="004A0212">
        <w:rPr>
          <w:rStyle w:val="StyleFootnoteReferenceFagoFunotenzeichenFagoFunotenzeichen"/>
        </w:rPr>
        <w:footnoteReference w:id="673"/>
      </w:r>
    </w:p>
    <w:p w14:paraId="247D7A64" w14:textId="77777777" w:rsidR="0062717F" w:rsidRPr="004A0212" w:rsidRDefault="07D39393" w:rsidP="0062717F">
      <w:pPr>
        <w:pStyle w:val="Heading3"/>
      </w:pPr>
      <w:bookmarkStart w:id="638" w:name="_Toc1433933393"/>
      <w:bookmarkStart w:id="639" w:name="_Toc168639085"/>
      <w:proofErr w:type="spellStart"/>
      <w:r w:rsidRPr="004A0212">
        <w:t>Hōpuni</w:t>
      </w:r>
      <w:proofErr w:type="spellEnd"/>
      <w:r w:rsidRPr="004A0212">
        <w:t xml:space="preserve"> </w:t>
      </w:r>
      <w:proofErr w:type="spellStart"/>
      <w:r w:rsidRPr="004A0212">
        <w:t>hauora</w:t>
      </w:r>
      <w:proofErr w:type="spellEnd"/>
      <w:r w:rsidRPr="004A0212">
        <w:t xml:space="preserve"> | Health camps</w:t>
      </w:r>
      <w:bookmarkEnd w:id="638"/>
      <w:bookmarkEnd w:id="639"/>
    </w:p>
    <w:p w14:paraId="7CCD138F" w14:textId="264144FD" w:rsidR="0062717F" w:rsidRPr="004A0212" w:rsidRDefault="14CBC11D" w:rsidP="0062717F">
      <w:pPr>
        <w:pStyle w:val="Numbparas"/>
      </w:pPr>
      <w:r w:rsidRPr="004A0212">
        <w:t>Health camps were established in the early 20</w:t>
      </w:r>
      <w:r w:rsidRPr="004A0212">
        <w:rPr>
          <w:vertAlign w:val="superscript"/>
        </w:rPr>
        <w:t>th</w:t>
      </w:r>
      <w:r w:rsidRPr="004A0212">
        <w:t xml:space="preserve"> century and focused on physical health and nutrition for children and young people, such as recovering from tuberculosis, or to put on weight or increase fitness and learn healthy habits.</w:t>
      </w:r>
      <w:r w:rsidR="0062717F" w:rsidRPr="004A0212">
        <w:rPr>
          <w:rStyle w:val="StyleFootnoteReferenceFagoFunotenzeichenFagoFunotenzeichen"/>
        </w:rPr>
        <w:footnoteReference w:id="674"/>
      </w:r>
      <w:r w:rsidRPr="004A0212">
        <w:t xml:space="preserve"> Responsibility for </w:t>
      </w:r>
      <w:r w:rsidR="583D3164" w:rsidRPr="004A0212">
        <w:t xml:space="preserve">health camps </w:t>
      </w:r>
      <w:r w:rsidRPr="004A0212">
        <w:t>was shared between the Department of Health and the Department of Education.</w:t>
      </w:r>
      <w:r w:rsidR="0062717F" w:rsidRPr="004A0212">
        <w:rPr>
          <w:rStyle w:val="StyleFootnoteReferenceFagoFunotenzeichenFagoFunotenzeichen"/>
        </w:rPr>
        <w:footnoteReference w:id="675"/>
      </w:r>
      <w:r w:rsidRPr="004A0212">
        <w:t xml:space="preserve"> Health </w:t>
      </w:r>
      <w:r w:rsidR="1389E4E9" w:rsidRPr="004A0212">
        <w:t xml:space="preserve">camps </w:t>
      </w:r>
      <w:r w:rsidRPr="004A0212">
        <w:t xml:space="preserve">were administered by a </w:t>
      </w:r>
      <w:r w:rsidR="1389E4E9" w:rsidRPr="004A0212">
        <w:t xml:space="preserve">board </w:t>
      </w:r>
      <w:r w:rsidRPr="004A0212">
        <w:t>and had their own legislation – the King George V Memorial Fund Act 1938 and the Children’s Health Camp Act 1972.</w:t>
      </w:r>
      <w:r w:rsidR="0062717F" w:rsidRPr="004A0212">
        <w:rPr>
          <w:rStyle w:val="StyleFootnoteReferenceFagoFunotenzeichenFagoFunotenzeichen"/>
        </w:rPr>
        <w:footnoteReference w:id="676"/>
      </w:r>
      <w:r w:rsidRPr="004A0212">
        <w:t xml:space="preserve"> </w:t>
      </w:r>
    </w:p>
    <w:p w14:paraId="62744EDB" w14:textId="31006731" w:rsidR="0062717F" w:rsidRPr="004A0212" w:rsidRDefault="14CBC11D" w:rsidP="0062717F">
      <w:pPr>
        <w:pStyle w:val="Numbparas"/>
      </w:pPr>
      <w:r w:rsidRPr="004A0212">
        <w:t xml:space="preserve">From the 1960s onwards, the focus turned to children with emotional or behavioural difficulties. </w:t>
      </w:r>
      <w:r w:rsidR="2592BD11" w:rsidRPr="004A0212">
        <w:t xml:space="preserve">Health camps </w:t>
      </w:r>
      <w:r w:rsidRPr="004A0212">
        <w:t>provided respite care, particularly those with difficult home lives. This was in line with the better understanding of children and child psychology emerging at the time.</w:t>
      </w:r>
    </w:p>
    <w:p w14:paraId="230215C8" w14:textId="77777777" w:rsidR="0062717F" w:rsidRPr="004A0212" w:rsidRDefault="14CBC11D" w:rsidP="0062717F">
      <w:pPr>
        <w:pStyle w:val="AllNumbparas"/>
      </w:pPr>
      <w:r w:rsidRPr="004A0212">
        <w:t xml:space="preserve">By the 1950s, permanent health camps had been established in Whangarei, Pakuranga, </w:t>
      </w:r>
      <w:proofErr w:type="spellStart"/>
      <w:r w:rsidRPr="004A0212">
        <w:t>Tairāwhiti</w:t>
      </w:r>
      <w:proofErr w:type="spellEnd"/>
      <w:r w:rsidRPr="004A0212">
        <w:t xml:space="preserve"> Gisborne, Ōtaki, </w:t>
      </w:r>
      <w:proofErr w:type="spellStart"/>
      <w:r w:rsidRPr="004A0212">
        <w:t>Whakatū</w:t>
      </w:r>
      <w:proofErr w:type="spellEnd"/>
      <w:r w:rsidRPr="004A0212">
        <w:t xml:space="preserve"> Nelson, </w:t>
      </w:r>
      <w:proofErr w:type="spellStart"/>
      <w:r w:rsidRPr="004A0212">
        <w:t>Ōtautahi</w:t>
      </w:r>
      <w:proofErr w:type="spellEnd"/>
      <w:r w:rsidRPr="004A0212">
        <w:t xml:space="preserve"> Christchurch (Glenelg) and Roxburgh (</w:t>
      </w:r>
      <w:proofErr w:type="spellStart"/>
      <w:r w:rsidRPr="004A0212">
        <w:t>Ōtākou</w:t>
      </w:r>
      <w:proofErr w:type="spellEnd"/>
      <w:r w:rsidRPr="004A0212">
        <w:t xml:space="preserve"> Otago). Children were referred to them through </w:t>
      </w:r>
      <w:r w:rsidRPr="004A0212">
        <w:rPr>
          <w:color w:val="000000"/>
        </w:rPr>
        <w:t>school nurses, teachers or their family doctor.</w:t>
      </w:r>
      <w:r w:rsidR="0062717F" w:rsidRPr="004A0212">
        <w:rPr>
          <w:rStyle w:val="FootnoteReference"/>
          <w:color w:val="000000"/>
        </w:rPr>
        <w:footnoteReference w:id="677"/>
      </w:r>
    </w:p>
    <w:p w14:paraId="220A548D" w14:textId="0D11E8CA" w:rsidR="0062717F" w:rsidRPr="004A0212" w:rsidRDefault="14CBC11D" w:rsidP="0062717F">
      <w:pPr>
        <w:pStyle w:val="AllNumbparas"/>
      </w:pPr>
      <w:r w:rsidRPr="004A0212">
        <w:t xml:space="preserve">By the 1980s all the camps were still in use, other than the camp at </w:t>
      </w:r>
      <w:proofErr w:type="spellStart"/>
      <w:r w:rsidRPr="004A0212">
        <w:t>Whakatū</w:t>
      </w:r>
      <w:proofErr w:type="spellEnd"/>
      <w:r w:rsidRPr="004A0212">
        <w:t xml:space="preserve"> Nelson. In 1983 the Princess of Wales Children’s Health Camp was opened in Rotorua. In the late 1990s some of these health camps began to close. In 1999 responsibility for remaining </w:t>
      </w:r>
      <w:r w:rsidR="0B759A46" w:rsidRPr="004A0212">
        <w:t xml:space="preserve">health camps </w:t>
      </w:r>
      <w:r w:rsidRPr="004A0212">
        <w:t xml:space="preserve">and their liabilities was transferred to a charitable trust, Stand Tu </w:t>
      </w:r>
      <w:proofErr w:type="spellStart"/>
      <w:r w:rsidRPr="004A0212">
        <w:t>Māia</w:t>
      </w:r>
      <w:proofErr w:type="spellEnd"/>
      <w:r w:rsidRPr="004A0212">
        <w:t>.</w:t>
      </w:r>
      <w:r w:rsidR="0062717F" w:rsidRPr="004A0212">
        <w:rPr>
          <w:rStyle w:val="StyleFootnoteReferenceFagoFunotenzeichenFagoFunotenzeichen"/>
        </w:rPr>
        <w:footnoteReference w:id="678"/>
      </w:r>
    </w:p>
    <w:p w14:paraId="015A7639" w14:textId="77777777" w:rsidR="0062717F" w:rsidRPr="004A0212" w:rsidRDefault="07D39393" w:rsidP="0062717F">
      <w:pPr>
        <w:pStyle w:val="Heading2"/>
      </w:pPr>
      <w:bookmarkStart w:id="640" w:name="_Toc1334496812"/>
      <w:bookmarkStart w:id="641" w:name="_Toc168639086"/>
      <w:r w:rsidRPr="004A0212">
        <w:t>Mātauranga | Education</w:t>
      </w:r>
      <w:bookmarkEnd w:id="640"/>
      <w:bookmarkEnd w:id="641"/>
    </w:p>
    <w:p w14:paraId="067629C0" w14:textId="77777777" w:rsidR="0062717F" w:rsidRPr="004A0212" w:rsidRDefault="07D39393" w:rsidP="0062717F">
      <w:pPr>
        <w:pStyle w:val="Heading3"/>
      </w:pPr>
      <w:bookmarkStart w:id="642" w:name="_Toc1603441475"/>
      <w:bookmarkStart w:id="643" w:name="_Toc168639087"/>
      <w:r w:rsidRPr="004A0212">
        <w:rPr>
          <w:lang w:val="en-US"/>
        </w:rPr>
        <w:t>Te Ture Mātauranga me Te Tari Mātauranga</w:t>
      </w:r>
      <w:bookmarkEnd w:id="642"/>
      <w:bookmarkEnd w:id="643"/>
      <w:r w:rsidRPr="004A0212">
        <w:rPr>
          <w:lang w:val="en-US"/>
        </w:rPr>
        <w:t xml:space="preserve"> </w:t>
      </w:r>
    </w:p>
    <w:p w14:paraId="7E2C5156" w14:textId="77777777" w:rsidR="0062717F" w:rsidRPr="004A0212" w:rsidRDefault="07D39393" w:rsidP="4254EAC9">
      <w:pPr>
        <w:pStyle w:val="Heading3"/>
        <w:rPr>
          <w:lang w:val="en-US"/>
        </w:rPr>
      </w:pPr>
      <w:bookmarkStart w:id="644" w:name="_Toc1790843507"/>
      <w:bookmarkStart w:id="645" w:name="_Toc168639088"/>
      <w:r w:rsidRPr="004A0212">
        <w:rPr>
          <w:lang w:val="en-US"/>
        </w:rPr>
        <w:t>Education legislation and the Department of Education</w:t>
      </w:r>
      <w:bookmarkEnd w:id="644"/>
      <w:bookmarkEnd w:id="645"/>
    </w:p>
    <w:p w14:paraId="05394A7D" w14:textId="77777777" w:rsidR="0062717F" w:rsidRPr="004A0212" w:rsidRDefault="14CBC11D" w:rsidP="0062717F">
      <w:pPr>
        <w:pStyle w:val="Numbparas"/>
      </w:pPr>
      <w:r w:rsidRPr="004A0212">
        <w:t>Up until 1989, the Director-General of Education oversaw the administration of</w:t>
      </w:r>
      <w:r w:rsidR="0062717F" w:rsidRPr="004A0212">
        <w:br/>
      </w:r>
      <w:r w:rsidRPr="004A0212">
        <w:t xml:space="preserve">the education sector under the Education Acts 1877, 1914 and 1964, along with their amendments and regulations. The Department of Education had regional offices in Tāmaki Makaurau Auckland, Te Whanganui-a-Tara Wellington, and </w:t>
      </w:r>
      <w:proofErr w:type="spellStart"/>
      <w:r w:rsidRPr="004A0212">
        <w:rPr>
          <w:rStyle w:val="normaltextrun"/>
        </w:rPr>
        <w:t>Ōtautahi</w:t>
      </w:r>
      <w:proofErr w:type="spellEnd"/>
      <w:r w:rsidRPr="004A0212">
        <w:t xml:space="preserve"> Christchurch, each under the control of a superintendent.</w:t>
      </w:r>
      <w:r w:rsidR="0062717F" w:rsidRPr="004A0212">
        <w:rPr>
          <w:rStyle w:val="StyleFootnoteReferenceFagoFunotenzeichenFagoFunotenzeichen"/>
        </w:rPr>
        <w:footnoteReference w:id="679"/>
      </w:r>
    </w:p>
    <w:p w14:paraId="01EB4367" w14:textId="090362AB" w:rsidR="0062717F" w:rsidRPr="004A0212" w:rsidRDefault="14CBC11D" w:rsidP="0062717F">
      <w:pPr>
        <w:pStyle w:val="Numbparas"/>
      </w:pPr>
      <w:r w:rsidRPr="004A0212">
        <w:t xml:space="preserve">The </w:t>
      </w:r>
      <w:r w:rsidR="00CF7104" w:rsidRPr="004A0212">
        <w:t>D</w:t>
      </w:r>
      <w:r w:rsidR="64B34FCD" w:rsidRPr="004A0212">
        <w:t xml:space="preserve">epartment </w:t>
      </w:r>
      <w:r w:rsidRPr="004A0212">
        <w:t>inspected all schools (State, State integrated and private), organised the recruitment, training and assessment of teachers, and directly controlled departmental special schools, the Correspondence School, and the Psychological Service (a diagnostic, advisory, and counselling service for children whose academic or social progress was causing concern).</w:t>
      </w:r>
      <w:r w:rsidR="0062717F" w:rsidRPr="004A0212">
        <w:rPr>
          <w:rStyle w:val="StyleFootnoteReferenceFagoFunotenzeichenFagoFunotenzeichen"/>
        </w:rPr>
        <w:footnoteReference w:id="680"/>
      </w:r>
    </w:p>
    <w:p w14:paraId="39857D6B" w14:textId="77777777" w:rsidR="0062717F" w:rsidRPr="004A0212" w:rsidRDefault="14CBC11D" w:rsidP="0062717F">
      <w:pPr>
        <w:pStyle w:val="Numbparas"/>
      </w:pPr>
      <w:r w:rsidRPr="004A0212">
        <w:t>Ten regional education boards were responsible for the control and management of State primary schools. Each primary school also had a school committee whose main responsibilities were the maintenance of school buildings, grounds and equipment.</w:t>
      </w:r>
      <w:r w:rsidR="0062717F" w:rsidRPr="004A0212">
        <w:rPr>
          <w:rStyle w:val="StyleFootnoteReferenceFagoFunotenzeichenFagoFunotenzeichen"/>
        </w:rPr>
        <w:footnoteReference w:id="681"/>
      </w:r>
    </w:p>
    <w:p w14:paraId="512931C9" w14:textId="77777777" w:rsidR="0062717F" w:rsidRPr="004A0212" w:rsidRDefault="14CBC11D" w:rsidP="0062717F">
      <w:pPr>
        <w:pStyle w:val="Numbparas"/>
      </w:pPr>
      <w:r w:rsidRPr="004A0212">
        <w:t>State secondary schools were administered by boards of governors (made up of representatives of parents, members of the education board of the district, representatives of other local organisations, and a teacher), which was responsible for the management of the school, including the appointment of the principal and staff.</w:t>
      </w:r>
      <w:r w:rsidR="0062717F" w:rsidRPr="004A0212">
        <w:rPr>
          <w:rStyle w:val="StyleFootnoteReferenceFagoFunotenzeichenFagoFunotenzeichen"/>
        </w:rPr>
        <w:footnoteReference w:id="682"/>
      </w:r>
    </w:p>
    <w:p w14:paraId="3467DA8A" w14:textId="77777777" w:rsidR="0062717F" w:rsidRPr="004A0212" w:rsidRDefault="14CBC11D" w:rsidP="0062717F">
      <w:pPr>
        <w:pStyle w:val="Numbparas"/>
      </w:pPr>
      <w:r w:rsidRPr="004A0212">
        <w:t xml:space="preserve">The Education Act 1989 saw a major change in the education sector with the Tomorrow’s Schools reforms. These reforms changed the way schools and </w:t>
      </w:r>
      <w:proofErr w:type="spellStart"/>
      <w:r w:rsidRPr="004A0212">
        <w:t>kura</w:t>
      </w:r>
      <w:proofErr w:type="spellEnd"/>
      <w:r w:rsidRPr="004A0212">
        <w:t xml:space="preserve"> were governed. Decision-making moved away from central government agencies to school communities via self-managing and self-governing locally elected school boards of trustees. The Department of Education was abolished by the Education Act 1989 and replaced by the smaller Ministry of Education.</w:t>
      </w:r>
    </w:p>
    <w:p w14:paraId="0F37B6E7" w14:textId="77777777" w:rsidR="0062717F" w:rsidRPr="004A0212" w:rsidRDefault="14CBC11D" w:rsidP="0062717F">
      <w:pPr>
        <w:pStyle w:val="Numbparas"/>
      </w:pPr>
      <w:r w:rsidRPr="004A0212">
        <w:t xml:space="preserve">The Education Act 1989 brought in powers to allow the Secretary for Education to intervene in the control and management of schools in trouble, including in some circumstances dissolving the Board and appointing a </w:t>
      </w:r>
      <w:proofErr w:type="gramStart"/>
      <w:r w:rsidRPr="004A0212">
        <w:t>Commissioner</w:t>
      </w:r>
      <w:proofErr w:type="gramEnd"/>
      <w:r w:rsidRPr="004A0212">
        <w:t xml:space="preserve"> in its place.</w:t>
      </w:r>
      <w:r w:rsidR="0062717F" w:rsidRPr="004A0212">
        <w:rPr>
          <w:rStyle w:val="StyleFootnoteReferenceFagoFunotenzeichenFagoFunotenzeichen"/>
        </w:rPr>
        <w:footnoteReference w:id="683"/>
      </w:r>
      <w:r w:rsidRPr="004A0212">
        <w:t xml:space="preserve"> From 1990 the Secretary of Education had powers of entry and inspection of all registered schools. From 1998 they also had powers to enter private schools suspected of operating while unregistered.</w:t>
      </w:r>
      <w:r w:rsidR="0062717F" w:rsidRPr="004A0212">
        <w:rPr>
          <w:rStyle w:val="StyleFootnoteReferenceFagoFunotenzeichenFagoFunotenzeichen"/>
        </w:rPr>
        <w:footnoteReference w:id="684"/>
      </w:r>
    </w:p>
    <w:p w14:paraId="4ED4DD33" w14:textId="262493BE" w:rsidR="00E911E6" w:rsidRDefault="00E911E6" w:rsidP="00E911E6">
      <w:pPr>
        <w:pStyle w:val="Numbparas"/>
        <w:numPr>
          <w:ilvl w:val="0"/>
          <w:numId w:val="0"/>
        </w:numPr>
        <w:ind w:left="851" w:hanging="851"/>
      </w:pPr>
      <w:r>
        <w:t>[</w:t>
      </w:r>
      <w:r w:rsidR="002B5321">
        <w:t>Q</w:t>
      </w:r>
      <w:r>
        <w:t>uote]</w:t>
      </w:r>
    </w:p>
    <w:p w14:paraId="4CB1B280" w14:textId="07DE7648" w:rsidR="00E911E6" w:rsidRPr="00502055" w:rsidRDefault="00805478" w:rsidP="00502055">
      <w:pPr>
        <w:pStyle w:val="AllQuotes"/>
        <w:rPr>
          <w:b/>
        </w:rPr>
      </w:pPr>
      <w:r w:rsidRPr="00502055">
        <w:rPr>
          <w:b/>
        </w:rPr>
        <w:t>“Churches, particularly the Catholic, Anglican, Methodist and Presbyterian Churches and The Salvation Army, were involved in care provision during the Inquiry Period.”</w:t>
      </w:r>
    </w:p>
    <w:p w14:paraId="7C6C673E" w14:textId="6E61167E" w:rsidR="00805478" w:rsidRPr="00502055" w:rsidRDefault="002B5321" w:rsidP="00502055">
      <w:pPr>
        <w:pStyle w:val="AllQuotes"/>
        <w:rPr>
          <w:b/>
        </w:rPr>
      </w:pPr>
      <w:r w:rsidRPr="00502055">
        <w:rPr>
          <w:b/>
        </w:rPr>
        <w:t>John Evans</w:t>
      </w:r>
      <w:r w:rsidR="00BD7646">
        <w:rPr>
          <w:b/>
        </w:rPr>
        <w:t>,</w:t>
      </w:r>
    </w:p>
    <w:p w14:paraId="22C3CD28" w14:textId="1CC2E0B3" w:rsidR="002B5321" w:rsidRPr="00502055" w:rsidRDefault="002B5321" w:rsidP="00502055">
      <w:pPr>
        <w:pStyle w:val="AllQuotes"/>
        <w:rPr>
          <w:b/>
        </w:rPr>
      </w:pPr>
      <w:r w:rsidRPr="00502055">
        <w:rPr>
          <w:b/>
        </w:rPr>
        <w:t>Doctoral Thesis, Church state relations in New Zealand 1940 to 1990</w:t>
      </w:r>
      <w:r w:rsidR="00502055" w:rsidRPr="00502055">
        <w:rPr>
          <w:b/>
        </w:rPr>
        <w:t xml:space="preserve">, with </w:t>
      </w:r>
      <w:proofErr w:type="gramStart"/>
      <w:r w:rsidR="00502055" w:rsidRPr="00502055">
        <w:rPr>
          <w:b/>
        </w:rPr>
        <w:t>particular reference</w:t>
      </w:r>
      <w:proofErr w:type="gramEnd"/>
      <w:r w:rsidR="00502055" w:rsidRPr="00502055">
        <w:rPr>
          <w:b/>
        </w:rPr>
        <w:t xml:space="preserve"> to the Presbyterian and Methodist Churches.</w:t>
      </w:r>
    </w:p>
    <w:p w14:paraId="67707C6E" w14:textId="6CEE29D3" w:rsidR="0062717F" w:rsidRPr="004A0212" w:rsidRDefault="07D39393" w:rsidP="02397200">
      <w:pPr>
        <w:pStyle w:val="Hed4"/>
        <w:rPr>
          <w:lang w:val="en-US"/>
        </w:rPr>
      </w:pPr>
      <w:bookmarkStart w:id="646" w:name="_Toc775853388"/>
      <w:bookmarkStart w:id="647" w:name="_Toc168639089"/>
      <w:r w:rsidRPr="700D4309">
        <w:rPr>
          <w:lang w:val="en-US"/>
        </w:rPr>
        <w:t xml:space="preserve">Kura </w:t>
      </w:r>
      <w:proofErr w:type="spellStart"/>
      <w:r w:rsidRPr="700D4309">
        <w:rPr>
          <w:lang w:val="en-US"/>
        </w:rPr>
        <w:t>kōhure</w:t>
      </w:r>
      <w:proofErr w:type="spellEnd"/>
      <w:r w:rsidRPr="700D4309">
        <w:rPr>
          <w:lang w:val="en-US"/>
        </w:rPr>
        <w:t xml:space="preserve"> | Special schools</w:t>
      </w:r>
      <w:bookmarkEnd w:id="646"/>
      <w:bookmarkEnd w:id="647"/>
    </w:p>
    <w:p w14:paraId="616270DC" w14:textId="77777777" w:rsidR="0062717F" w:rsidRPr="004A0212" w:rsidRDefault="14CBC11D" w:rsidP="0062717F">
      <w:pPr>
        <w:pStyle w:val="Numbparas"/>
      </w:pPr>
      <w:r w:rsidRPr="004A0212">
        <w:t xml:space="preserve">Before 1950 the government had established </w:t>
      </w:r>
      <w:proofErr w:type="gramStart"/>
      <w:r w:rsidRPr="004A0212">
        <w:t>a number of</w:t>
      </w:r>
      <w:proofErr w:type="gramEnd"/>
      <w:r w:rsidRPr="004A0212">
        <w:t xml:space="preserve"> State special schools, units and classrooms for children and young people who were Deaf, blind, had additional learning needs, or had “behavioural management challenges”.</w:t>
      </w:r>
      <w:r w:rsidR="0062717F" w:rsidRPr="004A0212">
        <w:rPr>
          <w:rStyle w:val="StyleFootnoteReferenceFagoFunotenzeichenFagoFunotenzeichen"/>
        </w:rPr>
        <w:footnoteReference w:id="685"/>
      </w:r>
      <w:r w:rsidRPr="004A0212">
        <w:t xml:space="preserve"> During the Inquiry period there were </w:t>
      </w:r>
      <w:r w:rsidRPr="004A0212">
        <w:rPr>
          <w:color w:val="auto"/>
        </w:rPr>
        <w:t>five</w:t>
      </w:r>
      <w:r w:rsidRPr="004A0212">
        <w:rPr>
          <w:color w:val="FF0000"/>
        </w:rPr>
        <w:t xml:space="preserve"> </w:t>
      </w:r>
      <w:r w:rsidRPr="004A0212">
        <w:t xml:space="preserve">residential special schools overseen by the Department of Education, as well as schools for Deaf, blind and Deafblind students. </w:t>
      </w:r>
    </w:p>
    <w:p w14:paraId="18908D27" w14:textId="77777777" w:rsidR="0062717F" w:rsidRPr="004A0212" w:rsidRDefault="14CBC11D" w:rsidP="0062717F">
      <w:pPr>
        <w:pStyle w:val="AllNumbparas"/>
      </w:pPr>
      <w:r w:rsidRPr="004A0212">
        <w:t>The first two special schools, Salisbury and Campbell Park, were opened in the 1900s. Campbell Park was located near Oamaru and had a maximum roll of 108. It was for boys aged 10 to 17 years old who were considered emotionally disturbed, ‘backward’ or aggressive.</w:t>
      </w:r>
      <w:r w:rsidR="0062717F" w:rsidRPr="004A0212">
        <w:rPr>
          <w:rStyle w:val="StyleFootnoteReferenceFagoFunotenzeichenFagoFunotenzeichen"/>
        </w:rPr>
        <w:footnoteReference w:id="686"/>
      </w:r>
      <w:r w:rsidRPr="004A0212">
        <w:t xml:space="preserve"> </w:t>
      </w:r>
    </w:p>
    <w:p w14:paraId="7C83D3DA" w14:textId="77777777" w:rsidR="0062717F" w:rsidRPr="004A0212" w:rsidRDefault="14CBC11D" w:rsidP="0062717F">
      <w:pPr>
        <w:pStyle w:val="AllNumbparas"/>
      </w:pPr>
      <w:r w:rsidRPr="004A0212">
        <w:t xml:space="preserve">Salisbury School in </w:t>
      </w:r>
      <w:proofErr w:type="spellStart"/>
      <w:r w:rsidRPr="004A0212">
        <w:t>Whakatū</w:t>
      </w:r>
      <w:proofErr w:type="spellEnd"/>
      <w:r w:rsidRPr="004A0212">
        <w:t xml:space="preserve"> Nelson could take up to 90 girls aged 8 to 18 years old who were seen as “educationally backward, delinquent or had personal or social problems.”</w:t>
      </w:r>
      <w:r w:rsidR="0062717F" w:rsidRPr="004A0212">
        <w:rPr>
          <w:rStyle w:val="StyleFootnoteReferenceFagoFunotenzeichenFagoFunotenzeichen"/>
        </w:rPr>
        <w:footnoteReference w:id="687"/>
      </w:r>
      <w:r w:rsidRPr="004A0212">
        <w:t xml:space="preserve"> Campbell Park and Salisbury took referrals through the Department of Education’s psychological service or the Child Welfare Division.</w:t>
      </w:r>
    </w:p>
    <w:p w14:paraId="6863455C" w14:textId="77777777" w:rsidR="0062717F" w:rsidRPr="004A0212" w:rsidRDefault="14CBC11D" w:rsidP="0062717F">
      <w:pPr>
        <w:pStyle w:val="AllNumbparas"/>
      </w:pPr>
      <w:r w:rsidRPr="004A0212">
        <w:t xml:space="preserve">Mount Wellington Residential School for Maladjusted Children opened in Tāmaki Makaurau Auckland in 1960, before moving to Bucklands Beach in 1980, when it was renamed </w:t>
      </w:r>
      <w:proofErr w:type="spellStart"/>
      <w:r w:rsidRPr="004A0212">
        <w:t>Waimokoia</w:t>
      </w:r>
      <w:proofErr w:type="spellEnd"/>
      <w:r w:rsidRPr="004A0212">
        <w:t>. It was intended to cater for children with severe behavioural and social problems.</w:t>
      </w:r>
      <w:r w:rsidR="0062717F" w:rsidRPr="004A0212">
        <w:rPr>
          <w:rStyle w:val="StyleFootnoteReferenceFagoFunotenzeichenFagoFunotenzeichen"/>
        </w:rPr>
        <w:footnoteReference w:id="688"/>
      </w:r>
      <w:r w:rsidRPr="004A0212">
        <w:t xml:space="preserve"> </w:t>
      </w:r>
    </w:p>
    <w:p w14:paraId="4368BB4E" w14:textId="77777777" w:rsidR="0062717F" w:rsidRPr="004A0212" w:rsidRDefault="14CBC11D" w:rsidP="0062717F">
      <w:pPr>
        <w:pStyle w:val="AllNumbparas"/>
      </w:pPr>
      <w:r w:rsidRPr="004A0212">
        <w:t xml:space="preserve">McKenzie Residential School opened in </w:t>
      </w:r>
      <w:proofErr w:type="spellStart"/>
      <w:r w:rsidRPr="004A0212">
        <w:rPr>
          <w:rStyle w:val="normaltextrun"/>
        </w:rPr>
        <w:t>Ōtautahi</w:t>
      </w:r>
      <w:proofErr w:type="spellEnd"/>
      <w:r w:rsidRPr="004A0212">
        <w:t xml:space="preserve"> Christchurch in 1971 for children with serious emotional difficulties.</w:t>
      </w:r>
      <w:r w:rsidR="0062717F" w:rsidRPr="004A0212">
        <w:rPr>
          <w:rStyle w:val="StyleFootnoteReferenceFagoFunotenzeichenFagoFunotenzeichen"/>
        </w:rPr>
        <w:footnoteReference w:id="689"/>
      </w:r>
      <w:r w:rsidRPr="004A0212">
        <w:t xml:space="preserve"> It could take up to 25 children from the ages of 7 to 14 years old.</w:t>
      </w:r>
      <w:r w:rsidR="0062717F" w:rsidRPr="004A0212">
        <w:rPr>
          <w:rStyle w:val="StyleFootnoteReferenceFagoFunotenzeichenFagoFunotenzeichen"/>
        </w:rPr>
        <w:footnoteReference w:id="690"/>
      </w:r>
    </w:p>
    <w:p w14:paraId="23E673DB" w14:textId="77777777" w:rsidR="0062717F" w:rsidRPr="004A0212" w:rsidRDefault="14CBC11D" w:rsidP="0062717F">
      <w:pPr>
        <w:pStyle w:val="AllNumbparas"/>
      </w:pPr>
      <w:r w:rsidRPr="004A0212">
        <w:t xml:space="preserve">Several schools were established for Deaf or blind children and young people. </w:t>
      </w:r>
    </w:p>
    <w:p w14:paraId="5AF76E33" w14:textId="64F92811" w:rsidR="0062717F" w:rsidRPr="004A0212" w:rsidRDefault="0062717F" w:rsidP="0062717F">
      <w:pPr>
        <w:pStyle w:val="Bulletpoints"/>
      </w:pPr>
      <w:r w:rsidRPr="004A0212">
        <w:t>Sumner</w:t>
      </w:r>
      <w:r w:rsidR="003F7ECB" w:rsidRPr="004A0212">
        <w:t xml:space="preserve"> Institution for the Deaf and Dumb</w:t>
      </w:r>
      <w:r w:rsidRPr="004A0212">
        <w:t>, which opened in 1880 (then Van Asch</w:t>
      </w:r>
      <w:r w:rsidR="003C19F8" w:rsidRPr="004A0212">
        <w:t xml:space="preserve"> College</w:t>
      </w:r>
      <w:r w:rsidRPr="004A0212">
        <w:t>, combined with Kelston to become Ko Taku Reo: Deaf Education New Zealand in 2020)</w:t>
      </w:r>
    </w:p>
    <w:p w14:paraId="614B8BF8" w14:textId="77777777" w:rsidR="0062717F" w:rsidRPr="004A0212" w:rsidRDefault="0062717F" w:rsidP="0062717F">
      <w:pPr>
        <w:pStyle w:val="Bulletpoints"/>
      </w:pPr>
      <w:r w:rsidRPr="004A0212">
        <w:t>Kelston School for the Deaf, which opened in 1958</w:t>
      </w:r>
    </w:p>
    <w:p w14:paraId="2A458316" w14:textId="77777777" w:rsidR="0062717F" w:rsidRPr="004A0212" w:rsidRDefault="0062717F" w:rsidP="0062717F">
      <w:pPr>
        <w:pStyle w:val="Bulletpoints"/>
      </w:pPr>
      <w:r w:rsidRPr="004A0212">
        <w:t>Jubilee Institute, which opened in 1890 and offered the first educational services for blind children in Aotearoa New Zealand, as well as a residential programme and workshops for blind adults.</w:t>
      </w:r>
      <w:r w:rsidRPr="004A0212">
        <w:rPr>
          <w:rStyle w:val="StyleFootnoteReferenceFagoFunotenzeichenFagoFunotenzeichen"/>
        </w:rPr>
        <w:footnoteReference w:id="691"/>
      </w:r>
      <w:r w:rsidRPr="004A0212">
        <w:t xml:space="preserve"> It was opened by the Royal New Zealand Foundation for the Blind at Parnell</w:t>
      </w:r>
      <w:r w:rsidRPr="004A0212">
        <w:rPr>
          <w:rStyle w:val="StyleFootnoteReferenceFagoFunotenzeichenFagoFunotenzeichen"/>
        </w:rPr>
        <w:footnoteReference w:id="692"/>
      </w:r>
    </w:p>
    <w:p w14:paraId="47C29C3D" w14:textId="77777777" w:rsidR="0062717F" w:rsidRPr="004A0212" w:rsidRDefault="0062717F" w:rsidP="0062717F">
      <w:pPr>
        <w:pStyle w:val="Bulletpoints"/>
      </w:pPr>
      <w:r w:rsidRPr="004A0212">
        <w:t>Homai School for the Blind replaced Jubilee Institute for the Blind of New Zealand, opening in 1965. A facility for Deafblind students was added in 1968.</w:t>
      </w:r>
    </w:p>
    <w:p w14:paraId="0FF0A150" w14:textId="77777777" w:rsidR="0062717F" w:rsidRPr="004A0212" w:rsidRDefault="14CBC11D" w:rsidP="0062717F">
      <w:pPr>
        <w:pStyle w:val="AllNumbparas"/>
      </w:pPr>
      <w:r w:rsidRPr="004A0212">
        <w:t>Children could be admitted to schools for the Deaf as day pupils at the age of 3 years old and boarding pupils at 5 years old.</w:t>
      </w:r>
      <w:r w:rsidR="0062717F" w:rsidRPr="004A0212">
        <w:rPr>
          <w:rStyle w:val="StyleFootnoteReferenceFagoFunotenzeichenFagoFunotenzeichen"/>
        </w:rPr>
        <w:footnoteReference w:id="693"/>
      </w:r>
    </w:p>
    <w:p w14:paraId="1D6922AD" w14:textId="710A65E6" w:rsidR="0062717F" w:rsidRPr="004A0212" w:rsidRDefault="0062717F" w:rsidP="00093255">
      <w:pPr>
        <w:pStyle w:val="Numbparas"/>
      </w:pPr>
      <w:r w:rsidRPr="004A0212">
        <w:t xml:space="preserve">Under the Education Act 1964 the </w:t>
      </w:r>
      <w:r w:rsidR="00FA227E" w:rsidRPr="004A0212">
        <w:t xml:space="preserve">minister </w:t>
      </w:r>
      <w:r w:rsidRPr="004A0212">
        <w:t>could establish “any special class, clinic or service” and outline conditions for compulsory enrolment of certain children.</w:t>
      </w:r>
      <w:r w:rsidRPr="004A0212">
        <w:rPr>
          <w:rStyle w:val="StyleFootnoteReferenceFagoFunotenzeichenFagoFunotenzeichen"/>
        </w:rPr>
        <w:footnoteReference w:id="694"/>
      </w:r>
      <w:r w:rsidRPr="004A0212">
        <w:rPr>
          <w:vertAlign w:val="superscript"/>
        </w:rPr>
        <w:t xml:space="preserve"> </w:t>
      </w:r>
      <w:r w:rsidRPr="004A0212">
        <w:t>For disabled children the Act provided alternative education pathways where a regular school may not have provided a suitable education to meet their needs. The Act provided for training teachers for special education purposes and regulations regarding funding and inspections.</w:t>
      </w:r>
      <w:r w:rsidRPr="004A0212">
        <w:rPr>
          <w:rStyle w:val="StyleFootnoteReferenceFagoFunotenzeichenFagoFunotenzeichen"/>
        </w:rPr>
        <w:footnoteReference w:id="695"/>
      </w:r>
      <w:r w:rsidRPr="004A0212">
        <w:t xml:space="preserve"> The Education Department employed educational psychologists, while regional Education Boards employed speech language therapists, to assist children with special education needs who were enrolled in regular schools</w:t>
      </w:r>
      <w:r w:rsidRPr="004A0212">
        <w:rPr>
          <w:color w:val="000000" w:themeColor="text1"/>
        </w:rPr>
        <w:t>.</w:t>
      </w:r>
      <w:r w:rsidRPr="004A0212">
        <w:rPr>
          <w:rStyle w:val="StyleFootnoteReferenceFagoFunotenzeichenFagoFunotenzeichen"/>
        </w:rPr>
        <w:t xml:space="preserve"> </w:t>
      </w:r>
      <w:r w:rsidRPr="004A0212">
        <w:rPr>
          <w:rStyle w:val="StyleFootnoteReferenceFagoFunotenzeichenFagoFunotenzeichen"/>
        </w:rPr>
        <w:footnoteReference w:id="696"/>
      </w:r>
    </w:p>
    <w:p w14:paraId="65640B8E" w14:textId="77777777" w:rsidR="0062717F" w:rsidRPr="004A0212" w:rsidRDefault="42CB7D32" w:rsidP="0062717F">
      <w:pPr>
        <w:pStyle w:val="AllNumbparas"/>
      </w:pPr>
      <w:r w:rsidRPr="004A0212">
        <w:t xml:space="preserve">The Department of Education was responsible for the education of all children, including disabled children in psychopaedic and psychiatric institutions. </w:t>
      </w:r>
      <w:proofErr w:type="gramStart"/>
      <w:r w:rsidRPr="004A0212">
        <w:t>However</w:t>
      </w:r>
      <w:proofErr w:type="gramEnd"/>
      <w:r w:rsidRPr="004A0212">
        <w:t xml:space="preserve"> only a small proportion of children in these settings went to a school and received an education.  The Department of Health trained and employed training officers in institutions that provided a minimal level of education to children, often focused on behaviour modification using aversion techniques, known during the inquiry period as aversion therapy.</w:t>
      </w:r>
      <w:r w:rsidR="0062717F" w:rsidRPr="004A0212">
        <w:rPr>
          <w:rStyle w:val="StyleFootnoteReferenceFagoFunotenzeichenFagoFunotenzeichen"/>
        </w:rPr>
        <w:footnoteReference w:id="697"/>
      </w:r>
    </w:p>
    <w:p w14:paraId="4A1C3614" w14:textId="77777777" w:rsidR="0062717F" w:rsidRPr="004A0212" w:rsidRDefault="42CB7D32" w:rsidP="0062717F">
      <w:pPr>
        <w:pStyle w:val="AllNumbparas"/>
      </w:pPr>
      <w:r w:rsidRPr="004A0212">
        <w:t xml:space="preserve">The growing trend towards mainstreaming the education of learning-disabled children led the rolls of the Department of Education’s special residential schools to shrink over the 1980s. </w:t>
      </w:r>
    </w:p>
    <w:p w14:paraId="375381E5" w14:textId="77777777" w:rsidR="0062717F" w:rsidRPr="004A0212" w:rsidRDefault="42CB7D32" w:rsidP="0062717F">
      <w:pPr>
        <w:pStyle w:val="AllNumbparas"/>
      </w:pPr>
      <w:r w:rsidRPr="004A0212">
        <w:t xml:space="preserve">Falling rolls led to some school closures. Campbell Park closed in 1987, and its remaining pupils were transferred to Hogben School (formerly Marylands) or placed into mainstream schools with learning support. </w:t>
      </w:r>
    </w:p>
    <w:p w14:paraId="19AB05DC" w14:textId="77777777" w:rsidR="0062717F" w:rsidRPr="004A0212" w:rsidRDefault="42CB7D32" w:rsidP="0062717F">
      <w:pPr>
        <w:pStyle w:val="AllNumbparas"/>
      </w:pPr>
      <w:r w:rsidRPr="004A0212">
        <w:t>The Education Act 1989 formalised the move away from special residential schools to the State education system by increasing provisions for disabled children in mainstream education.</w:t>
      </w:r>
    </w:p>
    <w:p w14:paraId="510C9054" w14:textId="77777777" w:rsidR="0062717F" w:rsidRPr="004A0212" w:rsidRDefault="42CB7D32" w:rsidP="0062717F">
      <w:pPr>
        <w:pStyle w:val="AllNumbparas"/>
        <w:rPr>
          <w:rFonts w:eastAsiaTheme="minorHAnsi"/>
          <w:color w:val="404040" w:themeColor="text1" w:themeTint="BF"/>
        </w:rPr>
      </w:pPr>
      <w:r w:rsidRPr="004A0212">
        <w:t xml:space="preserve">The Act signalled a move away from the previous model of segregation in residential institutions towards an inclusive educational environment that aimed to integrate the needs of all students. However, the Secretary of Education could still direct a disabled child to attend a special school or class. </w:t>
      </w:r>
    </w:p>
    <w:p w14:paraId="6A09C453" w14:textId="568C8958" w:rsidR="0062717F" w:rsidRPr="004A0212" w:rsidRDefault="07D39393" w:rsidP="02397200">
      <w:pPr>
        <w:pStyle w:val="Hed4"/>
        <w:rPr>
          <w:color w:val="FFFFFF" w:themeColor="background1"/>
          <w:lang w:val="en-US" w:eastAsia="en-US"/>
        </w:rPr>
      </w:pPr>
      <w:bookmarkStart w:id="648" w:name="_Toc1134220625"/>
      <w:bookmarkStart w:id="649" w:name="_Toc168639090"/>
      <w:proofErr w:type="spellStart"/>
      <w:r w:rsidRPr="700D4309">
        <w:rPr>
          <w:lang w:val="en-US"/>
        </w:rPr>
        <w:t>Te</w:t>
      </w:r>
      <w:proofErr w:type="spellEnd"/>
      <w:r w:rsidRPr="700D4309">
        <w:rPr>
          <w:lang w:val="en-US"/>
        </w:rPr>
        <w:t xml:space="preserve"> </w:t>
      </w:r>
      <w:proofErr w:type="spellStart"/>
      <w:r w:rsidRPr="700D4309">
        <w:rPr>
          <w:lang w:val="en-US"/>
        </w:rPr>
        <w:t>Ratonga</w:t>
      </w:r>
      <w:proofErr w:type="spellEnd"/>
      <w:r w:rsidRPr="700D4309">
        <w:rPr>
          <w:lang w:val="en-US"/>
        </w:rPr>
        <w:t xml:space="preserve"> Hauora Hinengaro | The Psychological Service</w:t>
      </w:r>
      <w:bookmarkEnd w:id="648"/>
      <w:bookmarkEnd w:id="649"/>
    </w:p>
    <w:p w14:paraId="13BD8DE1" w14:textId="77777777" w:rsidR="0062717F" w:rsidRPr="004A0212" w:rsidRDefault="42CB7D32" w:rsidP="0062717F">
      <w:pPr>
        <w:pStyle w:val="AllNumbparas"/>
      </w:pPr>
      <w:r w:rsidRPr="004A0212">
        <w:t>Established in 1945, the Department of Education’s Psychological Service was the main</w:t>
      </w:r>
      <w:r w:rsidRPr="004A0212">
        <w:rPr>
          <w:rFonts w:ascii="Roboto" w:hAnsi="Roboto"/>
        </w:rPr>
        <w:t xml:space="preserve"> </w:t>
      </w:r>
      <w:r w:rsidRPr="004A0212">
        <w:t>assessment and guidance service available to assist children from birth to their</w:t>
      </w:r>
      <w:r w:rsidRPr="004A0212">
        <w:rPr>
          <w:rFonts w:ascii="Roboto" w:hAnsi="Roboto"/>
        </w:rPr>
        <w:t xml:space="preserve"> </w:t>
      </w:r>
      <w:r w:rsidRPr="004A0212">
        <w:t>late adolescent years, their parents and their teachers. Schools, parents, child welfare officers, doctors, and government and voluntary agencies could refer children and young people to the service for assessment and advice.</w:t>
      </w:r>
      <w:r w:rsidR="0062717F" w:rsidRPr="004A0212">
        <w:rPr>
          <w:rStyle w:val="StyleFootnoteReferenceFagoFunotenzeichenFagoFunotenzeichen"/>
        </w:rPr>
        <w:footnoteReference w:id="698"/>
      </w:r>
      <w:r w:rsidRPr="004A0212">
        <w:t xml:space="preserve"> After 1989 a new crown entity, the Special Education Service, was created to provide specialist support and interventions to students with special educational needs.</w:t>
      </w:r>
      <w:r w:rsidRPr="004A0212">
        <w:rPr>
          <w:rFonts w:ascii="Calibri" w:hAnsi="Calibri" w:cs="Calibri"/>
        </w:rPr>
        <w:t xml:space="preserve"> </w:t>
      </w:r>
    </w:p>
    <w:p w14:paraId="69F8AF87" w14:textId="6D48BE65" w:rsidR="0062717F" w:rsidRPr="004A0212" w:rsidRDefault="07D39393" w:rsidP="02397200">
      <w:pPr>
        <w:pStyle w:val="Hed4"/>
      </w:pPr>
      <w:bookmarkStart w:id="650" w:name="_Toc670420893"/>
      <w:bookmarkStart w:id="651" w:name="_Toc168639091"/>
      <w:r w:rsidRPr="700D4309">
        <w:rPr>
          <w:lang w:val="en-US"/>
        </w:rPr>
        <w:t xml:space="preserve">He </w:t>
      </w:r>
      <w:proofErr w:type="spellStart"/>
      <w:r w:rsidRPr="700D4309">
        <w:rPr>
          <w:lang w:val="en-US"/>
        </w:rPr>
        <w:t>hononga</w:t>
      </w:r>
      <w:proofErr w:type="spellEnd"/>
      <w:r w:rsidRPr="700D4309">
        <w:rPr>
          <w:lang w:val="en-US"/>
        </w:rPr>
        <w:t xml:space="preserve"> </w:t>
      </w:r>
      <w:proofErr w:type="spellStart"/>
      <w:r w:rsidRPr="700D4309">
        <w:rPr>
          <w:lang w:val="en-US"/>
        </w:rPr>
        <w:t>tō</w:t>
      </w:r>
      <w:proofErr w:type="spellEnd"/>
      <w:r w:rsidRPr="700D4309">
        <w:rPr>
          <w:lang w:val="en-US"/>
        </w:rPr>
        <w:t xml:space="preserve"> </w:t>
      </w:r>
      <w:proofErr w:type="spellStart"/>
      <w:r w:rsidRPr="700D4309">
        <w:rPr>
          <w:lang w:val="en-US"/>
        </w:rPr>
        <w:t>ngā</w:t>
      </w:r>
      <w:proofErr w:type="spellEnd"/>
      <w:r w:rsidRPr="700D4309">
        <w:rPr>
          <w:lang w:val="en-US"/>
        </w:rPr>
        <w:t xml:space="preserve"> </w:t>
      </w:r>
      <w:proofErr w:type="spellStart"/>
      <w:r w:rsidRPr="700D4309">
        <w:rPr>
          <w:lang w:val="en-US"/>
        </w:rPr>
        <w:t>kura</w:t>
      </w:r>
      <w:proofErr w:type="spellEnd"/>
      <w:r w:rsidRPr="700D4309">
        <w:rPr>
          <w:lang w:val="en-US"/>
        </w:rPr>
        <w:t xml:space="preserve"> ki </w:t>
      </w:r>
      <w:proofErr w:type="spellStart"/>
      <w:r w:rsidRPr="700D4309">
        <w:rPr>
          <w:lang w:val="en-US"/>
        </w:rPr>
        <w:t>te</w:t>
      </w:r>
      <w:proofErr w:type="spellEnd"/>
      <w:r w:rsidRPr="700D4309">
        <w:rPr>
          <w:lang w:val="en-US"/>
        </w:rPr>
        <w:t xml:space="preserve"> </w:t>
      </w:r>
      <w:proofErr w:type="spellStart"/>
      <w:r w:rsidRPr="700D4309">
        <w:rPr>
          <w:lang w:val="en-US"/>
        </w:rPr>
        <w:t>tokoora</w:t>
      </w:r>
      <w:proofErr w:type="spellEnd"/>
      <w:r w:rsidRPr="700D4309">
        <w:rPr>
          <w:lang w:val="en-US"/>
        </w:rPr>
        <w:t xml:space="preserve"> </w:t>
      </w:r>
      <w:proofErr w:type="spellStart"/>
      <w:r w:rsidRPr="700D4309">
        <w:rPr>
          <w:lang w:val="en-US"/>
        </w:rPr>
        <w:t>pāpori</w:t>
      </w:r>
      <w:proofErr w:type="spellEnd"/>
      <w:r w:rsidRPr="700D4309">
        <w:rPr>
          <w:lang w:val="en-US"/>
        </w:rPr>
        <w:t xml:space="preserve"> me </w:t>
      </w:r>
      <w:proofErr w:type="spellStart"/>
      <w:r w:rsidRPr="700D4309">
        <w:rPr>
          <w:lang w:val="en-US"/>
        </w:rPr>
        <w:t>ngā</w:t>
      </w:r>
      <w:proofErr w:type="spellEnd"/>
      <w:r w:rsidRPr="700D4309">
        <w:rPr>
          <w:lang w:val="en-US"/>
        </w:rPr>
        <w:t xml:space="preserve"> </w:t>
      </w:r>
      <w:proofErr w:type="spellStart"/>
      <w:r w:rsidRPr="700D4309">
        <w:rPr>
          <w:lang w:val="en-US"/>
        </w:rPr>
        <w:t>kāinga</w:t>
      </w:r>
      <w:proofErr w:type="spellEnd"/>
      <w:r w:rsidRPr="700D4309">
        <w:rPr>
          <w:lang w:val="en-US"/>
        </w:rPr>
        <w:t xml:space="preserve"> tika </w:t>
      </w:r>
      <w:proofErr w:type="spellStart"/>
      <w:r w:rsidRPr="700D4309">
        <w:rPr>
          <w:lang w:val="en-US"/>
        </w:rPr>
        <w:t>rangatahi</w:t>
      </w:r>
      <w:proofErr w:type="spellEnd"/>
      <w:r w:rsidRPr="700D4309">
        <w:rPr>
          <w:lang w:val="en-US"/>
        </w:rPr>
        <w:t xml:space="preserve"> | Schools attached to child welfare and youth justice residences</w:t>
      </w:r>
      <w:bookmarkEnd w:id="650"/>
      <w:bookmarkEnd w:id="651"/>
      <w:r w:rsidRPr="700D4309">
        <w:rPr>
          <w:lang w:val="en-US"/>
        </w:rPr>
        <w:t xml:space="preserve">  </w:t>
      </w:r>
    </w:p>
    <w:p w14:paraId="0472B021" w14:textId="36F40F6F" w:rsidR="0062717F" w:rsidRPr="004A0212" w:rsidRDefault="42CB7D32" w:rsidP="0062717F">
      <w:pPr>
        <w:pStyle w:val="AllNumbparas"/>
      </w:pPr>
      <w:r w:rsidRPr="004A0212">
        <w:t>Many social welfare and youth justice residences had schools onsite, with teachers supplied by the Department of Education. After 1989 these onsite schools were staffed by either staff supplied by the Ministry of Education, or third</w:t>
      </w:r>
      <w:r w:rsidR="58ABDC24" w:rsidRPr="004A0212">
        <w:t>-</w:t>
      </w:r>
      <w:r w:rsidRPr="004A0212">
        <w:t>party providers contracted to provide education services.</w:t>
      </w:r>
      <w:r w:rsidR="0062717F" w:rsidRPr="004A0212">
        <w:rPr>
          <w:rStyle w:val="StyleFootnoteReferenceFagoFunotenzeichenFagoFunotenzeichen"/>
        </w:rPr>
        <w:footnoteReference w:id="699"/>
      </w:r>
      <w:r w:rsidRPr="004A0212">
        <w:t xml:space="preserve"> They were classified as special schools and provided a mix of primary and secondary education depending on the age mix at the social welfare residence they were attached to.</w:t>
      </w:r>
      <w:r w:rsidR="0062717F" w:rsidRPr="004A0212">
        <w:rPr>
          <w:rStyle w:val="StyleFootnoteReferenceFagoFunotenzeichenFagoFunotenzeichen"/>
        </w:rPr>
        <w:footnoteReference w:id="700"/>
      </w:r>
      <w:r w:rsidRPr="004A0212">
        <w:t xml:space="preserve"> Social welfare staff at the residences were expected to work collaboratively with the onsite teachers to support student learning.</w:t>
      </w:r>
      <w:r w:rsidR="0062717F" w:rsidRPr="004A0212">
        <w:rPr>
          <w:rStyle w:val="StyleFootnoteReferenceFagoFunotenzeichenFagoFunotenzeichen"/>
        </w:rPr>
        <w:footnoteReference w:id="701"/>
      </w:r>
      <w:r w:rsidRPr="004A0212">
        <w:t xml:space="preserve"> </w:t>
      </w:r>
    </w:p>
    <w:p w14:paraId="3EDB8C8C" w14:textId="1770C746" w:rsidR="0062717F" w:rsidRPr="000C0692" w:rsidRDefault="07D39393" w:rsidP="028A5F3E">
      <w:pPr>
        <w:pStyle w:val="Hed4"/>
        <w:rPr>
          <w:rFonts w:eastAsia="Calibri" w:cs="Arial"/>
          <w:i/>
          <w:color w:val="222222"/>
          <w:shd w:val="clear" w:color="auto" w:fill="FFFFFF"/>
          <w:lang w:val="en-US"/>
        </w:rPr>
      </w:pPr>
      <w:bookmarkStart w:id="652" w:name="_Toc1455429355"/>
      <w:bookmarkStart w:id="653" w:name="_Toc168639092"/>
      <w:proofErr w:type="spellStart"/>
      <w:r w:rsidRPr="700D4309">
        <w:rPr>
          <w:lang w:val="en-US"/>
        </w:rPr>
        <w:t>Te</w:t>
      </w:r>
      <w:proofErr w:type="spellEnd"/>
      <w:r w:rsidRPr="700D4309">
        <w:rPr>
          <w:lang w:val="en-US"/>
        </w:rPr>
        <w:t xml:space="preserve"> Tari </w:t>
      </w:r>
      <w:proofErr w:type="spellStart"/>
      <w:r w:rsidRPr="700D4309">
        <w:rPr>
          <w:lang w:val="en-US"/>
        </w:rPr>
        <w:t>Arotake</w:t>
      </w:r>
      <w:proofErr w:type="spellEnd"/>
      <w:r w:rsidRPr="700D4309">
        <w:rPr>
          <w:lang w:val="en-US"/>
        </w:rPr>
        <w:t xml:space="preserve"> </w:t>
      </w:r>
      <w:proofErr w:type="spellStart"/>
      <w:r w:rsidRPr="700D4309">
        <w:rPr>
          <w:lang w:val="en-US"/>
        </w:rPr>
        <w:t>Mātauranga</w:t>
      </w:r>
      <w:proofErr w:type="spellEnd"/>
      <w:r w:rsidRPr="700D4309">
        <w:rPr>
          <w:lang w:val="en-US"/>
        </w:rPr>
        <w:t xml:space="preserve"> | Education Review Office</w:t>
      </w:r>
      <w:bookmarkEnd w:id="652"/>
      <w:bookmarkEnd w:id="653"/>
    </w:p>
    <w:p w14:paraId="07ABB74C" w14:textId="77777777" w:rsidR="0062717F" w:rsidRPr="004A0212" w:rsidRDefault="42CB7D32" w:rsidP="0062717F">
      <w:pPr>
        <w:pStyle w:val="AllNumbparas"/>
      </w:pPr>
      <w:r w:rsidRPr="004A0212">
        <w:t xml:space="preserve">The Education Review Office (ERO) was established in 1989 as part of the Tomorrow’s Schools reforms. ERO is a government department with responsibility for evaluating and publicly reporting on the education and care of children and young people in early childhood services and schools. </w:t>
      </w:r>
      <w:proofErr w:type="gramStart"/>
      <w:r w:rsidRPr="004A0212">
        <w:t>The majority of</w:t>
      </w:r>
      <w:proofErr w:type="gramEnd"/>
      <w:r w:rsidRPr="004A0212">
        <w:t xml:space="preserve"> its reviews are regular, although on occasion ERO will complete a review on a particular matter of concern or as directed by the Minister of Education.</w:t>
      </w:r>
      <w:r w:rsidRPr="004A0212">
        <w:rPr>
          <w:rStyle w:val="FootnoteReference"/>
        </w:rPr>
        <w:t xml:space="preserve"> </w:t>
      </w:r>
      <w:r w:rsidR="0062717F" w:rsidRPr="004A0212">
        <w:rPr>
          <w:rStyle w:val="StyleFootnoteReferenceFagoFunotenzeichenFagoFunotenzeichen"/>
        </w:rPr>
        <w:footnoteReference w:id="702"/>
      </w:r>
    </w:p>
    <w:p w14:paraId="61A38951" w14:textId="497665DF" w:rsidR="0062717F" w:rsidRPr="004A0212" w:rsidRDefault="07D39393" w:rsidP="02397200">
      <w:pPr>
        <w:pStyle w:val="Hed4"/>
      </w:pPr>
      <w:bookmarkStart w:id="654" w:name="_Toc1024221515"/>
      <w:bookmarkStart w:id="655" w:name="_Toc168639093"/>
      <w:proofErr w:type="spellStart"/>
      <w:r w:rsidRPr="700D4309">
        <w:rPr>
          <w:lang w:val="en-US"/>
        </w:rPr>
        <w:t>Te</w:t>
      </w:r>
      <w:proofErr w:type="spellEnd"/>
      <w:r w:rsidRPr="700D4309">
        <w:rPr>
          <w:lang w:val="en-US"/>
        </w:rPr>
        <w:t xml:space="preserve"> </w:t>
      </w:r>
      <w:proofErr w:type="spellStart"/>
      <w:r w:rsidRPr="700D4309">
        <w:rPr>
          <w:lang w:val="en-US"/>
        </w:rPr>
        <w:t>Poari</w:t>
      </w:r>
      <w:proofErr w:type="spellEnd"/>
      <w:r w:rsidRPr="700D4309">
        <w:rPr>
          <w:lang w:val="en-US"/>
        </w:rPr>
        <w:t xml:space="preserve"> </w:t>
      </w:r>
      <w:proofErr w:type="spellStart"/>
      <w:r w:rsidRPr="700D4309">
        <w:rPr>
          <w:lang w:val="en-US"/>
        </w:rPr>
        <w:t>Rēhita</w:t>
      </w:r>
      <w:proofErr w:type="spellEnd"/>
      <w:r w:rsidRPr="700D4309">
        <w:rPr>
          <w:lang w:val="en-US"/>
        </w:rPr>
        <w:t xml:space="preserve"> Kaiako | Teacher Registration Board</w:t>
      </w:r>
      <w:bookmarkEnd w:id="654"/>
      <w:bookmarkEnd w:id="655"/>
    </w:p>
    <w:p w14:paraId="59D7D6CB" w14:textId="77777777" w:rsidR="0062717F" w:rsidRPr="004A0212" w:rsidRDefault="42CB7D32" w:rsidP="0062717F">
      <w:pPr>
        <w:pStyle w:val="AllNumbparas"/>
      </w:pPr>
      <w:r w:rsidRPr="004A0212">
        <w:t>Before 1989, teachers in State schools were required to be registered and the Teacher’s Register was kept by the Director-General of Education.</w:t>
      </w:r>
      <w:r w:rsidR="0062717F" w:rsidRPr="004A0212">
        <w:rPr>
          <w:rStyle w:val="StyleFootnoteReferenceFagoFunotenzeichenFagoFunotenzeichen"/>
        </w:rPr>
        <w:footnoteReference w:id="703"/>
      </w:r>
      <w:r w:rsidRPr="004A0212">
        <w:t xml:space="preserve"> </w:t>
      </w:r>
    </w:p>
    <w:p w14:paraId="485818F1" w14:textId="77777777" w:rsidR="0062717F" w:rsidRPr="004A0212" w:rsidRDefault="42CB7D32" w:rsidP="0062717F">
      <w:pPr>
        <w:pStyle w:val="AllNumbparas"/>
      </w:pPr>
      <w:r w:rsidRPr="004A0212">
        <w:t>The Teacher Registration Board was established by the Education Act 1989.</w:t>
      </w:r>
      <w:r w:rsidR="0062717F" w:rsidRPr="004A0212">
        <w:rPr>
          <w:rStyle w:val="StyleFootnoteReferenceFagoFunotenzeichenFagoFunotenzeichen"/>
        </w:rPr>
        <w:footnoteReference w:id="704"/>
      </w:r>
      <w:r w:rsidRPr="004A0212">
        <w:rPr>
          <w:rStyle w:val="StyleFootnoteReferenceFagoFunotenzeichenFagoFunotenzeichen"/>
        </w:rPr>
        <w:t xml:space="preserve"> </w:t>
      </w:r>
      <w:r w:rsidRPr="004A0212">
        <w:t xml:space="preserve">The Registration Board was established with no functions specified in legislation. </w:t>
      </w:r>
    </w:p>
    <w:p w14:paraId="76C19E4E" w14:textId="77777777" w:rsidR="0062717F" w:rsidRPr="004A0212" w:rsidRDefault="42CB7D32" w:rsidP="0062717F">
      <w:pPr>
        <w:pStyle w:val="AllNumbparas"/>
      </w:pPr>
      <w:r w:rsidRPr="004A0212">
        <w:t>The mandate of the Registration Board was to register and certify teachers. The Registration Board could consider cancellation of registration on the grounds of character, fitness to teach or lack of satisfactory training.</w:t>
      </w:r>
      <w:r w:rsidR="0062717F" w:rsidRPr="004A0212">
        <w:rPr>
          <w:rStyle w:val="StyleFootnoteReferenceFagoFunotenzeichenFagoFunotenzeichen"/>
        </w:rPr>
        <w:footnoteReference w:id="705"/>
      </w:r>
      <w:r w:rsidRPr="004A0212">
        <w:t xml:space="preserve"> </w:t>
      </w:r>
    </w:p>
    <w:p w14:paraId="7CE2FE7C" w14:textId="77777777" w:rsidR="0062717F" w:rsidRPr="004A0212" w:rsidRDefault="07D39393" w:rsidP="02397200">
      <w:pPr>
        <w:pStyle w:val="Hed4"/>
      </w:pPr>
      <w:bookmarkStart w:id="656" w:name="_Toc504136328"/>
      <w:bookmarkStart w:id="657" w:name="_Toc168639094"/>
      <w:r w:rsidRPr="004A0212">
        <w:t>Kura Hourua | State integrated schools</w:t>
      </w:r>
      <w:bookmarkEnd w:id="656"/>
      <w:bookmarkEnd w:id="657"/>
    </w:p>
    <w:p w14:paraId="2B49C778" w14:textId="77777777" w:rsidR="0062717F" w:rsidRPr="004A0212" w:rsidRDefault="42CB7D32" w:rsidP="0062717F">
      <w:pPr>
        <w:pStyle w:val="AllNumbparas"/>
        <w:rPr>
          <w:rStyle w:val="normaltextrun"/>
        </w:rPr>
      </w:pPr>
      <w:r w:rsidRPr="004A0212">
        <w:rPr>
          <w:rStyle w:val="normaltextrun"/>
        </w:rPr>
        <w:t>Prior to the Private Schools Conditional Integration Act 1975, all faith-based schools were private. The Act came into effect in August 1976 and provided the option for private schools to integrate into the State education system. They could then receive government funding and had to teach the New Zealand Curriculum, while being able to maintain their religious or “special character” and offer religious education.</w:t>
      </w:r>
      <w:r w:rsidR="0062717F" w:rsidRPr="004A0212">
        <w:rPr>
          <w:rStyle w:val="StyleFootnoteReferenceFagoFunotenzeichenFagoFunotenzeichen"/>
        </w:rPr>
        <w:footnoteReference w:id="706"/>
      </w:r>
      <w:r w:rsidRPr="004A0212">
        <w:rPr>
          <w:rStyle w:val="normaltextrun"/>
        </w:rPr>
        <w:t xml:space="preserve"> </w:t>
      </w:r>
    </w:p>
    <w:p w14:paraId="48761A23" w14:textId="77777777" w:rsidR="0062717F" w:rsidRPr="004A0212" w:rsidRDefault="07D39393" w:rsidP="02397200">
      <w:pPr>
        <w:pStyle w:val="Hed4"/>
        <w:rPr>
          <w:rStyle w:val="normaltextrun"/>
        </w:rPr>
      </w:pPr>
      <w:bookmarkStart w:id="658" w:name="_Toc1340961267"/>
      <w:bookmarkStart w:id="659" w:name="_Toc168639095"/>
      <w:r w:rsidRPr="004A0212">
        <w:rPr>
          <w:rStyle w:val="normaltextrun"/>
          <w:lang w:val="en-US"/>
        </w:rPr>
        <w:t xml:space="preserve">Kura </w:t>
      </w:r>
      <w:proofErr w:type="spellStart"/>
      <w:r w:rsidRPr="004A0212">
        <w:rPr>
          <w:rStyle w:val="normaltextrun"/>
          <w:lang w:val="en-US"/>
        </w:rPr>
        <w:t>tūmataiti</w:t>
      </w:r>
      <w:proofErr w:type="spellEnd"/>
      <w:r w:rsidRPr="004A0212">
        <w:rPr>
          <w:rStyle w:val="normaltextrun"/>
          <w:lang w:val="en-US"/>
        </w:rPr>
        <w:t xml:space="preserve"> | </w:t>
      </w:r>
      <w:r w:rsidRPr="004A0212">
        <w:rPr>
          <w:rStyle w:val="normaltextrun"/>
        </w:rPr>
        <w:t>Private schools</w:t>
      </w:r>
      <w:bookmarkEnd w:id="658"/>
      <w:bookmarkEnd w:id="659"/>
    </w:p>
    <w:p w14:paraId="75D59EDB" w14:textId="77777777" w:rsidR="0062717F" w:rsidRPr="004A0212" w:rsidRDefault="42CB7D32" w:rsidP="0062717F">
      <w:pPr>
        <w:pStyle w:val="AllNumbparas"/>
      </w:pPr>
      <w:r w:rsidRPr="004A0212">
        <w:t>In 1975, ahead of the Private Schools Conditional Integration Act, around 11 percent of primary and 18 percent of secondary students attended private schools in Aotearoa New Zealand.</w:t>
      </w:r>
      <w:r w:rsidR="0062717F" w:rsidRPr="004A0212">
        <w:rPr>
          <w:rStyle w:val="StyleFootnoteReferenceFagoFunotenzeichenFagoFunotenzeichen"/>
        </w:rPr>
        <w:footnoteReference w:id="707"/>
      </w:r>
      <w:r w:rsidRPr="004A0212">
        <w:t xml:space="preserve"> As discussed in the section on faith-based schools, the number of private schools decreased after integration became an option in 1976.</w:t>
      </w:r>
    </w:p>
    <w:p w14:paraId="1F3C3836" w14:textId="77777777" w:rsidR="0062717F" w:rsidRPr="004A0212" w:rsidRDefault="42CB7D32" w:rsidP="0062717F">
      <w:pPr>
        <w:pStyle w:val="AllNumbparas"/>
      </w:pPr>
      <w:r w:rsidRPr="004A0212">
        <w:t>Private schools are both owned and operated by private entities rather than the State. Private schools must follow the law in running the school. They receive some State funding and must be registered, but otherwise have a large amount of flexibility in setting their own curriculum, assessment methods and internal rules.</w:t>
      </w:r>
      <w:r w:rsidR="0062717F" w:rsidRPr="004A0212">
        <w:rPr>
          <w:rStyle w:val="StyleFootnoteReferenceFagoFunotenzeichenFagoFunotenzeichen"/>
        </w:rPr>
        <w:footnoteReference w:id="708"/>
      </w:r>
    </w:p>
    <w:p w14:paraId="644544CF" w14:textId="77777777" w:rsidR="0062717F" w:rsidRPr="004A0212" w:rsidRDefault="07D39393" w:rsidP="02397200">
      <w:pPr>
        <w:pStyle w:val="Hed4"/>
      </w:pPr>
      <w:bookmarkStart w:id="660" w:name="_Toc171849727"/>
      <w:bookmarkStart w:id="661" w:name="_Toc168639096"/>
      <w:r w:rsidRPr="004A0212">
        <w:t>Kura Noho | Boarding schools</w:t>
      </w:r>
      <w:bookmarkEnd w:id="660"/>
      <w:bookmarkEnd w:id="661"/>
    </w:p>
    <w:p w14:paraId="506DA731" w14:textId="77777777" w:rsidR="0062717F" w:rsidRPr="004A0212" w:rsidRDefault="42CB7D32" w:rsidP="0062717F">
      <w:pPr>
        <w:pStyle w:val="AllNumbparas"/>
        <w:rPr>
          <w:rStyle w:val="normaltextrun"/>
        </w:rPr>
      </w:pPr>
      <w:r w:rsidRPr="004A0212">
        <w:rPr>
          <w:rStyle w:val="normaltextrun"/>
        </w:rPr>
        <w:t>By 1997 Aotearoa New Zealand had 102 schools with some form of boarding facility available. Seventy-eight of these were State or State integrated, and 24 were private schools. Most were single sex, for boys or girls only. Around 3 percent of all students attending State and State integrated schools and 16 percent of those attending private schools boarded in hostels connected to those schools.</w:t>
      </w:r>
      <w:r w:rsidR="0062717F" w:rsidRPr="004A0212">
        <w:rPr>
          <w:rStyle w:val="StyleFootnoteReferenceFagoFunotenzeichenFagoFunotenzeichen"/>
        </w:rPr>
        <w:footnoteReference w:id="709"/>
      </w:r>
      <w:r w:rsidRPr="004A0212">
        <w:rPr>
          <w:rStyle w:val="normaltextrun"/>
        </w:rPr>
        <w:t xml:space="preserve"> Most boarding schools also had pupils who attended as day students and did not live in boarding hostels during term time.</w:t>
      </w:r>
      <w:r w:rsidR="0062717F" w:rsidRPr="004A0212">
        <w:rPr>
          <w:rStyle w:val="StyleFootnoteReferenceFagoFunotenzeichenFagoFunotenzeichen"/>
        </w:rPr>
        <w:footnoteReference w:id="710"/>
      </w:r>
      <w:r w:rsidRPr="004A0212">
        <w:rPr>
          <w:rStyle w:val="StyleFootnoteReferenceFagoFunotenzeichenFagoFunotenzeichen1"/>
        </w:rPr>
        <w:t xml:space="preserve"> </w:t>
      </w:r>
      <w:r w:rsidRPr="004A0212">
        <w:rPr>
          <w:rStyle w:val="normaltextrun"/>
        </w:rPr>
        <w:t>The term boarding school was not legally defined but covered a variety of arrangements for student education and accommodation.</w:t>
      </w:r>
      <w:r w:rsidR="0062717F" w:rsidRPr="004A0212">
        <w:rPr>
          <w:rStyle w:val="StyleFootnoteReferenceFagoFunotenzeichenFagoFunotenzeichen"/>
        </w:rPr>
        <w:footnoteReference w:id="711"/>
      </w:r>
      <w:r w:rsidRPr="004A0212">
        <w:rPr>
          <w:rStyle w:val="StyleFootnoteReferenceFagoFunotenzeichenFagoFunotenzeichen1"/>
        </w:rPr>
        <w:t xml:space="preserve"> </w:t>
      </w:r>
      <w:r w:rsidRPr="004A0212">
        <w:rPr>
          <w:rStyle w:val="normaltextrun"/>
        </w:rPr>
        <w:t xml:space="preserve"> </w:t>
      </w:r>
    </w:p>
    <w:p w14:paraId="60C916F9" w14:textId="77777777" w:rsidR="003B7430" w:rsidRPr="004A0212" w:rsidRDefault="42CB7D32" w:rsidP="00D668D0">
      <w:pPr>
        <w:pStyle w:val="AllNumbparas"/>
        <w:rPr>
          <w:rStyle w:val="normaltextrun"/>
        </w:rPr>
      </w:pPr>
      <w:r w:rsidRPr="004A0212">
        <w:rPr>
          <w:rStyle w:val="normaltextrun"/>
        </w:rPr>
        <w:t xml:space="preserve">Responsibility for boarding hostels in State and State integrated schools varied between </w:t>
      </w:r>
      <w:r w:rsidR="70841CD0" w:rsidRPr="004A0212">
        <w:rPr>
          <w:rStyle w:val="normaltextrun"/>
        </w:rPr>
        <w:t xml:space="preserve">boards </w:t>
      </w:r>
      <w:r w:rsidRPr="004A0212">
        <w:rPr>
          <w:rStyle w:val="normaltextrun"/>
        </w:rPr>
        <w:t xml:space="preserve">of </w:t>
      </w:r>
      <w:r w:rsidR="70841CD0" w:rsidRPr="004A0212">
        <w:rPr>
          <w:rStyle w:val="normaltextrun"/>
        </w:rPr>
        <w:t xml:space="preserve">trustees </w:t>
      </w:r>
      <w:r w:rsidRPr="004A0212">
        <w:rPr>
          <w:rFonts w:ascii="Calibri" w:hAnsi="Calibri" w:cs="Calibri"/>
          <w:color w:val="000000"/>
          <w:shd w:val="clear" w:color="auto" w:fill="auto"/>
        </w:rPr>
        <w:t>/</w:t>
      </w:r>
      <w:r w:rsidR="70841CD0" w:rsidRPr="004A0212">
        <w:rPr>
          <w:rFonts w:ascii="Calibri" w:hAnsi="Calibri" w:cs="Calibri"/>
          <w:color w:val="000000" w:themeColor="text1"/>
        </w:rPr>
        <w:t xml:space="preserve"> </w:t>
      </w:r>
      <w:r w:rsidR="70841CD0" w:rsidRPr="004A0212">
        <w:rPr>
          <w:rStyle w:val="normaltextrun"/>
        </w:rPr>
        <w:t>school boards</w:t>
      </w:r>
      <w:r w:rsidRPr="004A0212">
        <w:rPr>
          <w:rStyle w:val="normaltextrun"/>
        </w:rPr>
        <w:t xml:space="preserve">, </w:t>
      </w:r>
      <w:r w:rsidR="70841CD0" w:rsidRPr="004A0212">
        <w:rPr>
          <w:rStyle w:val="normaltextrun"/>
        </w:rPr>
        <w:t xml:space="preserve">boards </w:t>
      </w:r>
      <w:r w:rsidRPr="004A0212">
        <w:rPr>
          <w:rStyle w:val="normaltextrun"/>
        </w:rPr>
        <w:t xml:space="preserve">of </w:t>
      </w:r>
      <w:r w:rsidR="70841CD0" w:rsidRPr="004A0212">
        <w:rPr>
          <w:rStyle w:val="normaltextrun"/>
        </w:rPr>
        <w:t>proprietors</w:t>
      </w:r>
      <w:r w:rsidRPr="004A0212">
        <w:rPr>
          <w:rStyle w:val="normaltextrun"/>
        </w:rPr>
        <w:t>, hostel trust boards, private companies, hostel committees and, where a hostel was used by more than one school, trusts made up of appointees from parents, trust boards and the schools concerned. In private schools the hostel was governed by the school trust board.</w:t>
      </w:r>
      <w:r w:rsidR="0062717F" w:rsidRPr="004A0212">
        <w:rPr>
          <w:rStyle w:val="StyleFootnoteReferenceFagoFunotenzeichenFagoFunotenzeichen"/>
        </w:rPr>
        <w:footnoteReference w:id="712"/>
      </w:r>
      <w:r w:rsidRPr="004A0212">
        <w:rPr>
          <w:rStyle w:val="normaltextrun"/>
        </w:rPr>
        <w:t xml:space="preserve"> Hostels might be on the same physical site as the school, or in another location.</w:t>
      </w:r>
      <w:r w:rsidR="0062717F" w:rsidRPr="004A0212">
        <w:rPr>
          <w:rStyle w:val="StyleFootnoteReferenceFagoFunotenzeichenFagoFunotenzeichen"/>
        </w:rPr>
        <w:footnoteReference w:id="713"/>
      </w:r>
      <w:r w:rsidRPr="004A0212">
        <w:rPr>
          <w:rStyle w:val="normaltextrun"/>
        </w:rPr>
        <w:t xml:space="preserve"> The Education Act 1989 was largely silent about school hostels and the responsibilities of Boards of Trustees for student safety in hostel accommodation.</w:t>
      </w:r>
      <w:r w:rsidR="0062717F" w:rsidRPr="004A0212">
        <w:rPr>
          <w:rStyle w:val="StyleFootnoteReferenceFagoFunotenzeichenFagoFunotenzeichen"/>
        </w:rPr>
        <w:footnoteReference w:id="714"/>
      </w:r>
      <w:r w:rsidRPr="004A0212">
        <w:rPr>
          <w:rStyle w:val="normaltextrun"/>
        </w:rPr>
        <w:t xml:space="preserve"> Hostel accommodation was essentially a private commercial arrangement between parents and the hostel management.</w:t>
      </w:r>
      <w:r w:rsidR="0062717F" w:rsidRPr="004A0212">
        <w:rPr>
          <w:rStyle w:val="StyleFootnoteReferenceFagoFunotenzeichenFagoFunotenzeichen"/>
        </w:rPr>
        <w:footnoteReference w:id="715"/>
      </w:r>
      <w:r w:rsidR="003B7430" w:rsidRPr="004A0212">
        <w:rPr>
          <w:rStyle w:val="normaltextrun"/>
        </w:rPr>
        <w:t xml:space="preserve"> </w:t>
      </w:r>
    </w:p>
    <w:p w14:paraId="4DD5A473" w14:textId="1C94327F" w:rsidR="003B7430" w:rsidRPr="004A0212" w:rsidRDefault="003B7430" w:rsidP="003B7430">
      <w:pPr>
        <w:pStyle w:val="AllNumbparas"/>
        <w:numPr>
          <w:ilvl w:val="0"/>
          <w:numId w:val="0"/>
        </w:numPr>
        <w:ind w:left="851" w:hanging="851"/>
        <w:rPr>
          <w:rStyle w:val="normaltextrun"/>
        </w:rPr>
      </w:pPr>
    </w:p>
    <w:p w14:paraId="7C61FE13" w14:textId="6ACD370E" w:rsidR="001A7736" w:rsidRPr="004A0212" w:rsidRDefault="001A7736" w:rsidP="001A7736">
      <w:pPr>
        <w:pStyle w:val="BodyText"/>
        <w:rPr>
          <w:rStyle w:val="normaltextrun"/>
        </w:rPr>
      </w:pPr>
      <w:r>
        <w:rPr>
          <w:rStyle w:val="normaltextrun"/>
        </w:rPr>
        <w:t>[Survivor quote]</w:t>
      </w:r>
    </w:p>
    <w:p w14:paraId="3B4C59CB" w14:textId="77777777" w:rsidR="0057658E" w:rsidRPr="001A7736" w:rsidRDefault="0057658E" w:rsidP="001A7736">
      <w:pPr>
        <w:pStyle w:val="AllQuotes"/>
        <w:rPr>
          <w:b/>
          <w:lang w:bidi="th-TH"/>
        </w:rPr>
      </w:pPr>
      <w:r w:rsidRPr="001A7736">
        <w:rPr>
          <w:b/>
          <w:lang w:bidi="th-TH"/>
        </w:rPr>
        <w:t>“I did complain once about how I was treated but I guess they didn’t believe me because nothing was done, except I got a hiding when they left.”</w:t>
      </w:r>
    </w:p>
    <w:p w14:paraId="7B1D9A22" w14:textId="1E1E643A" w:rsidR="0057658E" w:rsidRPr="001A7736" w:rsidRDefault="0057658E" w:rsidP="001A7736">
      <w:pPr>
        <w:pStyle w:val="AllQuotes"/>
        <w:rPr>
          <w:b/>
          <w:lang w:bidi="th-TH"/>
        </w:rPr>
      </w:pPr>
      <w:r w:rsidRPr="001A7736">
        <w:rPr>
          <w:b/>
          <w:lang w:bidi="th-TH"/>
        </w:rPr>
        <w:t xml:space="preserve">Peter </w:t>
      </w:r>
      <w:proofErr w:type="spellStart"/>
      <w:r w:rsidRPr="001A7736">
        <w:rPr>
          <w:b/>
          <w:lang w:bidi="th-TH"/>
        </w:rPr>
        <w:t>Evaroa</w:t>
      </w:r>
      <w:proofErr w:type="spellEnd"/>
    </w:p>
    <w:p w14:paraId="39AEFEF1" w14:textId="1A0A6A14" w:rsidR="0057658E" w:rsidRPr="001A7736" w:rsidRDefault="0057658E" w:rsidP="001A7736">
      <w:pPr>
        <w:pStyle w:val="AllQuotes"/>
        <w:rPr>
          <w:b/>
          <w:lang w:bidi="th-TH"/>
        </w:rPr>
      </w:pPr>
      <w:r w:rsidRPr="001A7736">
        <w:rPr>
          <w:b/>
          <w:lang w:bidi="th-TH"/>
        </w:rPr>
        <w:t>Rarotongan</w:t>
      </w:r>
      <w:r w:rsidR="001A7736" w:rsidRPr="001A7736">
        <w:rPr>
          <w:b/>
          <w:lang w:bidi="th-TH"/>
        </w:rPr>
        <w:t xml:space="preserve"> and</w:t>
      </w:r>
      <w:r w:rsidRPr="001A7736">
        <w:rPr>
          <w:b/>
          <w:lang w:bidi="th-TH"/>
        </w:rPr>
        <w:t xml:space="preserve"> Pākeh</w:t>
      </w:r>
      <w:r w:rsidR="00BD5D4B" w:rsidRPr="001A7736">
        <w:rPr>
          <w:b/>
          <w:lang w:bidi="th-TH"/>
        </w:rPr>
        <w:t>ā</w:t>
      </w:r>
    </w:p>
    <w:p w14:paraId="109F8E63" w14:textId="59A7D121" w:rsidR="0062717F" w:rsidRPr="004A0212" w:rsidRDefault="00D873CC" w:rsidP="001A7736">
      <w:pPr>
        <w:pStyle w:val="AllNumbparas"/>
        <w:numPr>
          <w:ilvl w:val="0"/>
          <w:numId w:val="0"/>
        </w:numPr>
        <w:ind w:left="851" w:hanging="851"/>
      </w:pPr>
      <w:r w:rsidRPr="004A0212">
        <w:rPr>
          <w:rStyle w:val="normaltextrun"/>
        </w:rPr>
        <w:br w:type="page"/>
      </w:r>
    </w:p>
    <w:p w14:paraId="67AD4456" w14:textId="160EBB14" w:rsidR="001C5987" w:rsidRPr="004A0212" w:rsidRDefault="00D434AD" w:rsidP="001142DD">
      <w:pPr>
        <w:pStyle w:val="Heading1"/>
      </w:pPr>
      <w:bookmarkStart w:id="662" w:name="_Toc168639097"/>
      <w:bookmarkStart w:id="663" w:name="_Toc1192244353"/>
      <w:proofErr w:type="spellStart"/>
      <w:r w:rsidRPr="004A0212">
        <w:t>Ū</w:t>
      </w:r>
      <w:r w:rsidR="075A7BDD" w:rsidRPr="004A0212">
        <w:t>poko</w:t>
      </w:r>
      <w:proofErr w:type="spellEnd"/>
      <w:r w:rsidR="075A7BDD" w:rsidRPr="004A0212">
        <w:t xml:space="preserve"> 11</w:t>
      </w:r>
      <w:r w:rsidR="219EDCA3" w:rsidRPr="004A0212">
        <w:t xml:space="preserve">: </w:t>
      </w:r>
      <w:proofErr w:type="spellStart"/>
      <w:r w:rsidR="0093A404" w:rsidRPr="004A0212">
        <w:t>Ngā</w:t>
      </w:r>
      <w:proofErr w:type="spellEnd"/>
      <w:r w:rsidR="0093A404" w:rsidRPr="004A0212">
        <w:t xml:space="preserve"> </w:t>
      </w:r>
      <w:proofErr w:type="spellStart"/>
      <w:r w:rsidR="0093A404" w:rsidRPr="004A0212">
        <w:t>whare</w:t>
      </w:r>
      <w:proofErr w:type="spellEnd"/>
      <w:r w:rsidR="0093A404" w:rsidRPr="004A0212">
        <w:t xml:space="preserve"> </w:t>
      </w:r>
      <w:proofErr w:type="spellStart"/>
      <w:r w:rsidR="0093A404" w:rsidRPr="004A0212">
        <w:t>t</w:t>
      </w:r>
      <w:r w:rsidR="4B903A77" w:rsidRPr="004A0212">
        <w:t>ū</w:t>
      </w:r>
      <w:r w:rsidR="0093A404" w:rsidRPr="004A0212">
        <w:t>āpapa-whakapono</w:t>
      </w:r>
      <w:proofErr w:type="spellEnd"/>
      <w:r w:rsidR="0093A404" w:rsidRPr="004A0212">
        <w:t xml:space="preserve"> </w:t>
      </w:r>
      <w:proofErr w:type="spellStart"/>
      <w:r w:rsidR="169F2A8F" w:rsidRPr="004A0212">
        <w:t>i</w:t>
      </w:r>
      <w:proofErr w:type="spellEnd"/>
      <w:r w:rsidR="169F2A8F" w:rsidRPr="004A0212">
        <w:t xml:space="preserve"> </w:t>
      </w:r>
      <w:proofErr w:type="spellStart"/>
      <w:r w:rsidR="169F2A8F" w:rsidRPr="004A0212">
        <w:t>te</w:t>
      </w:r>
      <w:proofErr w:type="spellEnd"/>
      <w:r w:rsidR="169F2A8F" w:rsidRPr="004A0212">
        <w:t xml:space="preserve"> </w:t>
      </w:r>
      <w:proofErr w:type="spellStart"/>
      <w:r w:rsidR="169F2A8F" w:rsidRPr="004A0212">
        <w:t>wā</w:t>
      </w:r>
      <w:proofErr w:type="spellEnd"/>
      <w:r w:rsidR="169F2A8F" w:rsidRPr="004A0212">
        <w:t xml:space="preserve"> </w:t>
      </w:r>
      <w:proofErr w:type="spellStart"/>
      <w:r w:rsidR="169F2A8F" w:rsidRPr="004A0212">
        <w:t>Pakirehua</w:t>
      </w:r>
      <w:bookmarkEnd w:id="662"/>
      <w:proofErr w:type="spellEnd"/>
      <w:r w:rsidR="7F8C954B" w:rsidRPr="004A0212">
        <w:t xml:space="preserve"> </w:t>
      </w:r>
      <w:bookmarkEnd w:id="663"/>
    </w:p>
    <w:p w14:paraId="14C22F15" w14:textId="6F2DBA3E" w:rsidR="00DE7C7A" w:rsidRPr="004A0212" w:rsidRDefault="219EDCA3" w:rsidP="001142DD">
      <w:pPr>
        <w:pStyle w:val="Heading1"/>
      </w:pPr>
      <w:bookmarkStart w:id="664" w:name="_Toc1156664095"/>
      <w:bookmarkStart w:id="665" w:name="_Toc168639098"/>
      <w:r w:rsidRPr="004A0212">
        <w:t xml:space="preserve">Chapter 11: </w:t>
      </w:r>
      <w:bookmarkStart w:id="666" w:name="_Toc165441886"/>
      <w:r w:rsidR="6E2D0745" w:rsidRPr="004A0212">
        <w:t>Faith-</w:t>
      </w:r>
      <w:bookmarkEnd w:id="666"/>
      <w:r w:rsidR="6E2D0745" w:rsidRPr="004A0212">
        <w:t>based institutions during the Inquiry period</w:t>
      </w:r>
      <w:bookmarkEnd w:id="664"/>
      <w:bookmarkEnd w:id="665"/>
    </w:p>
    <w:p w14:paraId="2B808C56" w14:textId="108E4A53" w:rsidR="004C3995" w:rsidRPr="004A0212" w:rsidRDefault="66EE1105" w:rsidP="004C3995">
      <w:pPr>
        <w:pStyle w:val="Numbparas"/>
      </w:pPr>
      <w:r w:rsidRPr="004A0212">
        <w:t xml:space="preserve">This chapter provides background information and a structural overview on how the different </w:t>
      </w:r>
      <w:r w:rsidR="7EA5DB69" w:rsidRPr="004A0212">
        <w:t>f</w:t>
      </w:r>
      <w:r w:rsidRPr="004A0212">
        <w:t xml:space="preserve">aith-based institutions were set up and run, and key </w:t>
      </w:r>
      <w:r w:rsidR="7EA5DB69" w:rsidRPr="004A0212">
        <w:t>f</w:t>
      </w:r>
      <w:r w:rsidRPr="004A0212">
        <w:t xml:space="preserve">aith settings during the Inquiry period. </w:t>
      </w:r>
    </w:p>
    <w:p w14:paraId="1E197E4E" w14:textId="77777777" w:rsidR="003C41FE" w:rsidRDefault="1526C45E" w:rsidP="003C41FE">
      <w:pPr>
        <w:pStyle w:val="Heading2"/>
      </w:pPr>
      <w:bookmarkStart w:id="667" w:name="_Toc165441885"/>
      <w:bookmarkStart w:id="668" w:name="_Toc168639099"/>
      <w:bookmarkStart w:id="669" w:name="_Toc1272245214"/>
      <w:r w:rsidRPr="004A0212">
        <w:t xml:space="preserve">I mahi </w:t>
      </w:r>
      <w:proofErr w:type="spellStart"/>
      <w:r w:rsidRPr="004A0212">
        <w:t>tahi</w:t>
      </w:r>
      <w:proofErr w:type="spellEnd"/>
      <w:r w:rsidRPr="004A0212">
        <w:t xml:space="preserve"> </w:t>
      </w:r>
      <w:proofErr w:type="spellStart"/>
      <w:r w:rsidRPr="004A0212">
        <w:t>te</w:t>
      </w:r>
      <w:proofErr w:type="spellEnd"/>
      <w:r w:rsidRPr="004A0212">
        <w:t xml:space="preserve"> </w:t>
      </w:r>
      <w:proofErr w:type="spellStart"/>
      <w:r w:rsidRPr="004A0212">
        <w:t>rāngai</w:t>
      </w:r>
      <w:proofErr w:type="spellEnd"/>
      <w:r w:rsidRPr="004A0212">
        <w:t xml:space="preserve"> </w:t>
      </w:r>
      <w:proofErr w:type="spellStart"/>
      <w:r w:rsidRPr="004A0212">
        <w:t>whakapono</w:t>
      </w:r>
      <w:proofErr w:type="spellEnd"/>
      <w:r w:rsidRPr="004A0212">
        <w:t xml:space="preserve"> me </w:t>
      </w:r>
      <w:proofErr w:type="spellStart"/>
      <w:r w:rsidRPr="004A0212">
        <w:t>te</w:t>
      </w:r>
      <w:proofErr w:type="spellEnd"/>
      <w:r w:rsidRPr="004A0212">
        <w:t xml:space="preserve"> Kāwanatanga</w:t>
      </w:r>
      <w:bookmarkEnd w:id="667"/>
      <w:bookmarkEnd w:id="668"/>
      <w:r w:rsidRPr="004A0212">
        <w:t xml:space="preserve"> </w:t>
      </w:r>
    </w:p>
    <w:p w14:paraId="7D94958E" w14:textId="2ABC8A7C" w:rsidR="004C3995" w:rsidRPr="004A0212" w:rsidRDefault="1526C45E" w:rsidP="004C3995">
      <w:pPr>
        <w:pStyle w:val="Heading2"/>
      </w:pPr>
      <w:bookmarkStart w:id="670" w:name="_Toc168639100"/>
      <w:r w:rsidRPr="004A0212">
        <w:t>Faith and State worked together</w:t>
      </w:r>
      <w:bookmarkEnd w:id="669"/>
      <w:bookmarkEnd w:id="670"/>
    </w:p>
    <w:p w14:paraId="483A7261" w14:textId="77777777" w:rsidR="004C3995" w:rsidRPr="004A0212" w:rsidRDefault="66EE1105" w:rsidP="004C3995">
      <w:pPr>
        <w:pStyle w:val="Numbparas"/>
      </w:pPr>
      <w:r w:rsidRPr="004A0212">
        <w:t>State and faith-based institutions have a history of working together to provide care, with the State providing financial support to faith-based institutions.</w:t>
      </w:r>
    </w:p>
    <w:p w14:paraId="0542CE94" w14:textId="77777777" w:rsidR="004C3995" w:rsidRPr="004A0212" w:rsidRDefault="66EE1105" w:rsidP="004C3995">
      <w:pPr>
        <w:pStyle w:val="Numbparas"/>
      </w:pPr>
      <w:r w:rsidRPr="004A0212">
        <w:t>Many</w:t>
      </w:r>
      <w:r w:rsidRPr="004A0212" w:rsidDel="008C790F">
        <w:t xml:space="preserve"> </w:t>
      </w:r>
      <w:r w:rsidRPr="004A0212">
        <w:t>public servants were active Christians during the Inquiry period.</w:t>
      </w:r>
      <w:r w:rsidR="004C3995" w:rsidRPr="004A0212">
        <w:rPr>
          <w:rStyle w:val="StyleFootnoteReferenceFagoFunotenzeichenFagoFunotenzeichen"/>
        </w:rPr>
        <w:footnoteReference w:id="716"/>
      </w:r>
      <w:r w:rsidRPr="004A0212">
        <w:t xml:space="preserve"> Sometimes this influenced the development of State laws and practices, including legislation governing marriage, sexuality and approaches to child welfare.</w:t>
      </w:r>
      <w:r w:rsidR="004C3995" w:rsidRPr="004A0212">
        <w:rPr>
          <w:rStyle w:val="StyleFootnoteReferenceFagoFunotenzeichenFagoFunotenzeichen"/>
        </w:rPr>
        <w:footnoteReference w:id="717"/>
      </w:r>
      <w:r w:rsidRPr="004A0212">
        <w:t xml:space="preserve"> </w:t>
      </w:r>
    </w:p>
    <w:p w14:paraId="6EFBC759" w14:textId="77777777" w:rsidR="004C3995" w:rsidRPr="004A0212" w:rsidRDefault="66EE1105" w:rsidP="004C3995">
      <w:pPr>
        <w:pStyle w:val="Numbparas"/>
      </w:pPr>
      <w:r w:rsidRPr="004A0212">
        <w:t>In the early 20</w:t>
      </w:r>
      <w:r w:rsidRPr="004A0212">
        <w:rPr>
          <w:vertAlign w:val="superscript"/>
        </w:rPr>
        <w:t>th</w:t>
      </w:r>
      <w:r w:rsidRPr="004A0212">
        <w:t xml:space="preserve"> century, the desire to build a responsible society resulted in what was known as the ecumenical movement – unity and co-operation across different Christian (mainly Protestant) denominations.</w:t>
      </w:r>
      <w:r w:rsidR="004C3995" w:rsidRPr="004A0212">
        <w:rPr>
          <w:rStyle w:val="StyleFootnoteReferenceFagoFunotenzeichenFagoFunotenzeichen"/>
        </w:rPr>
        <w:footnoteReference w:id="718"/>
      </w:r>
      <w:r w:rsidRPr="004A0212">
        <w:t xml:space="preserve"> This movement also strengthened co-operation between the State and faith-based institutions.</w:t>
      </w:r>
    </w:p>
    <w:p w14:paraId="4C1B9B64" w14:textId="77777777" w:rsidR="004C3995" w:rsidRPr="004A0212" w:rsidRDefault="66EE1105" w:rsidP="004C3995">
      <w:pPr>
        <w:pStyle w:val="Numbparas"/>
        <w:rPr>
          <w:rStyle w:val="normaltextrun"/>
        </w:rPr>
      </w:pPr>
      <w:r w:rsidRPr="004A0212">
        <w:t>The First World War and the Great Depression led to widespread unemployment for many people, and religious and voluntary welfare organisations responded to the rising levels of need this created.</w:t>
      </w:r>
      <w:r w:rsidR="004C3995" w:rsidRPr="004A0212">
        <w:rPr>
          <w:rStyle w:val="StyleFootnoteReferenceFagoFunotenzeichenFagoFunotenzeichen"/>
        </w:rPr>
        <w:footnoteReference w:id="719"/>
      </w:r>
      <w:r w:rsidRPr="004A0212">
        <w:t xml:space="preserve"> As the State expanded its own provision of welfare support in the 1930s, it also expanded its support for the voluntary social service sector, including church-run services.</w:t>
      </w:r>
      <w:r w:rsidR="004C3995" w:rsidRPr="004A0212">
        <w:rPr>
          <w:rStyle w:val="StyleFootnoteReferenceFagoFunotenzeichenFagoFunotenzeichen"/>
        </w:rPr>
        <w:footnoteReference w:id="720"/>
      </w:r>
      <w:r w:rsidRPr="004A0212">
        <w:rPr>
          <w:rStyle w:val="StyleFootnoteReferenceFagoFunotenzeichenFagoFunotenzeichen"/>
        </w:rPr>
        <w:t xml:space="preserve"> </w:t>
      </w:r>
      <w:r w:rsidRPr="004A0212">
        <w:rPr>
          <w:rStyle w:val="normaltextrun"/>
        </w:rPr>
        <w:t xml:space="preserve">While churches had long been active in care provision, this substantial and guaranteed funding stream from the State to church-run services was a change from what had previously been </w:t>
      </w:r>
      <w:r w:rsidR="004C3995" w:rsidRPr="004A0212">
        <w:rPr>
          <w:rStyle w:val="StyleFootnoteReferenceFagoFunotenzeichenFagoFunotenzeichen"/>
        </w:rPr>
        <w:footnoteReference w:id="721"/>
      </w:r>
      <w:r w:rsidRPr="004A0212">
        <w:t>￼</w:t>
      </w:r>
      <w:r w:rsidRPr="004A0212">
        <w:rPr>
          <w:rStyle w:val="normaltextrun"/>
        </w:rPr>
        <w:t xml:space="preserve"> </w:t>
      </w:r>
    </w:p>
    <w:p w14:paraId="5A25211F" w14:textId="3DC61AD5" w:rsidR="004C3995" w:rsidRPr="004A0212" w:rsidRDefault="66EE1105" w:rsidP="004C3995">
      <w:pPr>
        <w:pStyle w:val="Numbparas"/>
        <w:rPr>
          <w:rStyle w:val="normaltextrun"/>
        </w:rPr>
      </w:pPr>
      <w:r w:rsidRPr="004A0212">
        <w:rPr>
          <w:rStyle w:val="normaltextrun"/>
        </w:rPr>
        <w:t xml:space="preserve">Churches, particularly the Catholic, Anglican, Methodist and Presbyterian </w:t>
      </w:r>
      <w:r w:rsidR="5FC163F0" w:rsidRPr="004A0212">
        <w:rPr>
          <w:rStyle w:val="normaltextrun"/>
        </w:rPr>
        <w:t xml:space="preserve">churches </w:t>
      </w:r>
      <w:r w:rsidRPr="004A0212">
        <w:rPr>
          <w:rStyle w:val="normaltextrun"/>
        </w:rPr>
        <w:t xml:space="preserve">and The Salvation Army, were </w:t>
      </w:r>
      <w:r w:rsidRPr="004A0212">
        <w:t>involved in care provision during the Inquiry period. In addition to the pastoral care provided by all churches, some also operated schools and</w:t>
      </w:r>
      <w:r w:rsidR="5FC163F0" w:rsidRPr="004A0212">
        <w:t xml:space="preserve"> </w:t>
      </w:r>
      <w:r w:rsidRPr="004A0212">
        <w:t>/</w:t>
      </w:r>
      <w:r w:rsidR="5FC163F0" w:rsidRPr="004A0212">
        <w:t xml:space="preserve"> </w:t>
      </w:r>
      <w:r w:rsidRPr="004A0212">
        <w:t>or provided other services such as unmarried mothers homes, adoption, foster care services and some residences for disabled people.</w:t>
      </w:r>
    </w:p>
    <w:p w14:paraId="5D747B46" w14:textId="77777777" w:rsidR="004C3995" w:rsidRPr="004A0212" w:rsidRDefault="66EE1105" w:rsidP="004C3995">
      <w:pPr>
        <w:pStyle w:val="AllNumbparas"/>
        <w:rPr>
          <w:rStyle w:val="normaltextrun"/>
        </w:rPr>
      </w:pPr>
      <w:r w:rsidRPr="004A0212">
        <w:t>T</w:t>
      </w:r>
      <w:r w:rsidRPr="004A0212">
        <w:rPr>
          <w:rStyle w:val="normaltextrun"/>
        </w:rPr>
        <w:t>he total number of children’s homes grew rapidly during the early 20</w:t>
      </w:r>
      <w:r w:rsidRPr="004A0212">
        <w:rPr>
          <w:rStyle w:val="normaltextrun"/>
          <w:vertAlign w:val="superscript"/>
        </w:rPr>
        <w:t>th</w:t>
      </w:r>
      <w:r w:rsidRPr="004A0212">
        <w:rPr>
          <w:rStyle w:val="normaltextrun"/>
        </w:rPr>
        <w:t xml:space="preserve"> century.</w:t>
      </w:r>
      <w:r w:rsidRPr="004A0212">
        <w:t xml:space="preserve"> In 1900, five orphanages were registered as charities, but by the mid-1920s, Aotearoa New Zealand had</w:t>
      </w:r>
      <w:r w:rsidRPr="004A0212">
        <w:rPr>
          <w:rStyle w:val="normaltextrun"/>
        </w:rPr>
        <w:t xml:space="preserve"> 85 private faith-based institutions and orphanages, housing approximately </w:t>
      </w:r>
      <w:r w:rsidRPr="004A0212">
        <w:rPr>
          <w:rStyle w:val="findhit"/>
        </w:rPr>
        <w:t>4,000</w:t>
      </w:r>
      <w:r w:rsidRPr="004A0212">
        <w:rPr>
          <w:rStyle w:val="normaltextrun"/>
        </w:rPr>
        <w:t xml:space="preserve"> children.</w:t>
      </w:r>
      <w:r w:rsidR="004C3995" w:rsidRPr="004A0212">
        <w:rPr>
          <w:rStyle w:val="StyleFootnoteReferenceFagoFunotenzeichenFagoFunotenzeichen"/>
        </w:rPr>
        <w:footnoteReference w:id="722"/>
      </w:r>
      <w:r w:rsidRPr="004A0212">
        <w:rPr>
          <w:rStyle w:val="normaltextrun"/>
        </w:rPr>
        <w:t xml:space="preserve"> </w:t>
      </w:r>
    </w:p>
    <w:p w14:paraId="58AA248A" w14:textId="4F529258" w:rsidR="004C3995" w:rsidRPr="004A0212" w:rsidRDefault="66EE1105" w:rsidP="004C3995">
      <w:pPr>
        <w:pStyle w:val="Numbparas"/>
        <w:rPr>
          <w:rStyle w:val="normaltextrun"/>
        </w:rPr>
      </w:pPr>
      <w:r w:rsidRPr="004A0212">
        <w:rPr>
          <w:rStyle w:val="normaltextrun"/>
        </w:rPr>
        <w:t>By 1950 the State was regularly subsidising Christian social services, including church or charity-run homes for the elderly.</w:t>
      </w:r>
      <w:r w:rsidR="004C3995" w:rsidRPr="004A0212">
        <w:rPr>
          <w:rStyle w:val="StyleFootnoteReferenceFagoFunotenzeichenFagoFunotenzeichen"/>
        </w:rPr>
        <w:footnoteReference w:id="723"/>
      </w:r>
      <w:r w:rsidRPr="004A0212">
        <w:rPr>
          <w:rStyle w:val="normaltextrun"/>
        </w:rPr>
        <w:t xml:space="preserve"> Other areas of church social services also received increased financial support.</w:t>
      </w:r>
      <w:r w:rsidR="004C3995" w:rsidRPr="004A0212">
        <w:rPr>
          <w:rStyle w:val="StyleFootnoteReferenceFagoFunotenzeichenFagoFunotenzeichen"/>
        </w:rPr>
        <w:footnoteReference w:id="724"/>
      </w:r>
      <w:r w:rsidRPr="004A0212">
        <w:rPr>
          <w:rStyle w:val="normaltextrun"/>
        </w:rPr>
        <w:t xml:space="preserve"> From 1956 the government subsidised faith-based children’s homes through a ‘capitation subsidy’ of 10 shillings a week per child, the equivalent of around $31 dollars in 2024. A subsidy for up to half the cost of any approved building work was also available.</w:t>
      </w:r>
      <w:r w:rsidR="004C3995" w:rsidRPr="004A0212">
        <w:rPr>
          <w:rStyle w:val="StyleFootnoteReferenceFagoFunotenzeichenFagoFunotenzeichen"/>
        </w:rPr>
        <w:footnoteReference w:id="725"/>
      </w:r>
      <w:r w:rsidRPr="004A0212">
        <w:rPr>
          <w:rStyle w:val="normaltextrun"/>
        </w:rPr>
        <w:t xml:space="preserve"> </w:t>
      </w:r>
    </w:p>
    <w:p w14:paraId="1248A27E" w14:textId="77777777" w:rsidR="004C3995" w:rsidRPr="004A0212" w:rsidRDefault="66EE1105" w:rsidP="004C3995">
      <w:pPr>
        <w:pStyle w:val="Numbparas"/>
      </w:pPr>
      <w:r w:rsidRPr="004A0212">
        <w:t>With growing pressure on accommodation in the State’s institutions over the 1960s and 1970s, private and religious-run homes played an increasingly important role as an ‘overflow’ for overburdened State institutions. In 1977, around a quarter of the children living in church homes were State wards.</w:t>
      </w:r>
      <w:r w:rsidR="004C3995" w:rsidRPr="004A0212">
        <w:rPr>
          <w:rStyle w:val="StyleFootnoteReferenceFagoFunotenzeichenFagoFunotenzeichen"/>
        </w:rPr>
        <w:footnoteReference w:id="726"/>
      </w:r>
      <w:r w:rsidRPr="004A0212">
        <w:t xml:space="preserve"> Of the children and young people living in homes run by voluntary agencies in 1985, 36 percent were State wards.</w:t>
      </w:r>
      <w:r w:rsidR="004C3995" w:rsidRPr="004A0212">
        <w:rPr>
          <w:rStyle w:val="StyleFootnoteReferenceFagoFunotenzeichenFagoFunotenzeichen"/>
        </w:rPr>
        <w:footnoteReference w:id="727"/>
      </w:r>
    </w:p>
    <w:p w14:paraId="078E85E2" w14:textId="77777777" w:rsidR="004C3995" w:rsidRPr="004A0212" w:rsidRDefault="66EE1105" w:rsidP="004C3995">
      <w:pPr>
        <w:pStyle w:val="Numbparas"/>
        <w:rPr>
          <w:rStyle w:val="normaltextrun"/>
        </w:rPr>
      </w:pPr>
      <w:r w:rsidRPr="004A0212">
        <w:rPr>
          <w:rStyle w:val="normaltextrun"/>
        </w:rPr>
        <w:t>By the 1970s a distinct church sector had emerged, which operated as a well-resourced component of the non-government, non-profit sector.</w:t>
      </w:r>
      <w:r w:rsidR="004C3995" w:rsidRPr="004A0212">
        <w:rPr>
          <w:rStyle w:val="StyleFootnoteReferenceFagoFunotenzeichenFagoFunotenzeichen"/>
        </w:rPr>
        <w:footnoteReference w:id="728"/>
      </w:r>
      <w:r w:rsidRPr="004A0212">
        <w:rPr>
          <w:rStyle w:val="normaltextrun"/>
        </w:rPr>
        <w:t xml:space="preserve"> This formalised partnership meant Christian social services developed their own institutional structures beyond traditional church structures.</w:t>
      </w:r>
      <w:r w:rsidR="004C3995" w:rsidRPr="004A0212">
        <w:rPr>
          <w:rStyle w:val="StyleFootnoteReferenceFagoFunotenzeichenFagoFunotenzeichen"/>
        </w:rPr>
        <w:footnoteReference w:id="729"/>
      </w:r>
      <w:r w:rsidRPr="004A0212">
        <w:rPr>
          <w:rStyle w:val="normaltextrun"/>
        </w:rPr>
        <w:t xml:space="preserve"> </w:t>
      </w:r>
    </w:p>
    <w:p w14:paraId="01B2D4DF" w14:textId="77777777" w:rsidR="004C3995" w:rsidRPr="004A0212" w:rsidRDefault="66EE1105" w:rsidP="004C3995">
      <w:pPr>
        <w:pStyle w:val="Numbparas"/>
        <w:rPr>
          <w:rStyle w:val="normaltextrun"/>
        </w:rPr>
      </w:pPr>
      <w:r w:rsidRPr="004A0212">
        <w:rPr>
          <w:rStyle w:val="normaltextrun"/>
        </w:rPr>
        <w:t>There were now Christian lobby groups and national associations, such as the New Zealand Council of Christian Social Services. This council improved the bargaining power of the faith-based care sector, advocating for greater funding and more relaxed State regulations and procedures.</w:t>
      </w:r>
      <w:r w:rsidR="004C3995" w:rsidRPr="004A0212">
        <w:rPr>
          <w:rStyle w:val="StyleFootnoteReferenceFagoFunotenzeichenFagoFunotenzeichen"/>
        </w:rPr>
        <w:footnoteReference w:id="730"/>
      </w:r>
      <w:r w:rsidRPr="004A0212">
        <w:rPr>
          <w:rStyle w:val="normaltextrun"/>
        </w:rPr>
        <w:t xml:space="preserve"> </w:t>
      </w:r>
    </w:p>
    <w:p w14:paraId="449D111B" w14:textId="77777777" w:rsidR="004C3995" w:rsidRPr="004A0212" w:rsidRDefault="66EE1105" w:rsidP="004C3995">
      <w:pPr>
        <w:pStyle w:val="Numbparas"/>
        <w:rPr>
          <w:rStyle w:val="normaltextrun"/>
        </w:rPr>
      </w:pPr>
      <w:r w:rsidRPr="004A0212">
        <w:rPr>
          <w:rStyle w:val="normaltextrun"/>
        </w:rPr>
        <w:t>By 1977 the capitation subsidy for children in faith-based care was $12.67 a week</w:t>
      </w:r>
      <w:r w:rsidR="004C3995" w:rsidRPr="004A0212">
        <w:rPr>
          <w:rStyle w:val="StyleFootnoteReferenceFagoFunotenzeichenFagoFunotenzeichen"/>
        </w:rPr>
        <w:footnoteReference w:id="731"/>
      </w:r>
      <w:r w:rsidRPr="004A0212">
        <w:rPr>
          <w:rStyle w:val="normaltextrun"/>
        </w:rPr>
        <w:t xml:space="preserve"> ($125.55 in 2024)</w:t>
      </w:r>
      <w:r w:rsidR="004C3995" w:rsidRPr="004A0212">
        <w:rPr>
          <w:rStyle w:val="StyleFootnoteReferenceFagoFunotenzeichenFagoFunotenzeichen"/>
        </w:rPr>
        <w:footnoteReference w:id="732"/>
      </w:r>
      <w:r w:rsidRPr="004A0212">
        <w:rPr>
          <w:rStyle w:val="normaltextrun"/>
        </w:rPr>
        <w:t xml:space="preserve">, with an additional payment of $24.35 a week if the child was a </w:t>
      </w:r>
      <w:proofErr w:type="gramStart"/>
      <w:r w:rsidRPr="004A0212">
        <w:rPr>
          <w:rStyle w:val="normaltextrun"/>
        </w:rPr>
        <w:t>State</w:t>
      </w:r>
      <w:proofErr w:type="gramEnd"/>
      <w:r w:rsidRPr="004A0212">
        <w:rPr>
          <w:rStyle w:val="normaltextrun"/>
        </w:rPr>
        <w:t xml:space="preserve"> ward. The subsidy for approved building works rose to 66 percent of the total cost.</w:t>
      </w:r>
      <w:r w:rsidR="004C3995" w:rsidRPr="004A0212">
        <w:rPr>
          <w:rStyle w:val="StyleFootnoteReferenceFagoFunotenzeichenFagoFunotenzeichen"/>
        </w:rPr>
        <w:footnoteReference w:id="733"/>
      </w:r>
      <w:r w:rsidRPr="004A0212">
        <w:rPr>
          <w:rStyle w:val="normaltextrun"/>
        </w:rPr>
        <w:t xml:space="preserve"> </w:t>
      </w:r>
    </w:p>
    <w:p w14:paraId="58A60516" w14:textId="77777777" w:rsidR="004C3995" w:rsidRPr="004A0212" w:rsidRDefault="66EE1105" w:rsidP="004C3995">
      <w:pPr>
        <w:pStyle w:val="Numbparas"/>
        <w:rPr>
          <w:rStyle w:val="normaltextrun"/>
        </w:rPr>
      </w:pPr>
      <w:r w:rsidRPr="004A0212">
        <w:rPr>
          <w:rStyle w:val="normaltextrun"/>
        </w:rPr>
        <w:t xml:space="preserve">A 1977 review by the Department of Social Welfare into Church Social Services identified that an average cost for a child was around $57 a week: </w:t>
      </w:r>
    </w:p>
    <w:p w14:paraId="741E0A62" w14:textId="77777777" w:rsidR="004C3995" w:rsidRPr="004A0212" w:rsidRDefault="004C3995" w:rsidP="004C3995">
      <w:pPr>
        <w:pStyle w:val="AllQuotes"/>
        <w:rPr>
          <w:rStyle w:val="normaltextrun"/>
          <w:rFonts w:eastAsiaTheme="minorEastAsia"/>
        </w:rPr>
      </w:pPr>
      <w:r w:rsidRPr="004A0212">
        <w:rPr>
          <w:rStyle w:val="normaltextrun"/>
          <w:rFonts w:eastAsiaTheme="minorEastAsia"/>
        </w:rPr>
        <w:t xml:space="preserve">“This means that after taking into account the capitation subsidy, family benefit, and any contribution from parents, the Church agencies are required to find the balance of about $36 a week from their own resources for each </w:t>
      </w:r>
      <w:proofErr w:type="gramStart"/>
      <w:r w:rsidRPr="004A0212">
        <w:rPr>
          <w:rStyle w:val="normaltextrun"/>
          <w:rFonts w:eastAsiaTheme="minorEastAsia"/>
        </w:rPr>
        <w:t>child cared</w:t>
      </w:r>
      <w:proofErr w:type="gramEnd"/>
      <w:r w:rsidRPr="004A0212">
        <w:rPr>
          <w:rStyle w:val="normaltextrun"/>
          <w:rFonts w:eastAsiaTheme="minorEastAsia"/>
        </w:rPr>
        <w:t xml:space="preserve"> for.”</w:t>
      </w:r>
      <w:r w:rsidRPr="004A0212">
        <w:rPr>
          <w:rStyle w:val="StyleFootnoteReferenceFagoFunotenzeichenFagoFunotenzeichen"/>
        </w:rPr>
        <w:footnoteReference w:id="734"/>
      </w:r>
      <w:r w:rsidRPr="004A0212">
        <w:rPr>
          <w:rStyle w:val="normaltextrun"/>
          <w:rFonts w:eastAsiaTheme="minorEastAsia"/>
        </w:rPr>
        <w:t xml:space="preserve"> </w:t>
      </w:r>
    </w:p>
    <w:p w14:paraId="3F81594C" w14:textId="77777777" w:rsidR="004C3995" w:rsidRPr="004A0212" w:rsidRDefault="66EE1105" w:rsidP="004C3995">
      <w:pPr>
        <w:pStyle w:val="Numbparas"/>
        <w:rPr>
          <w:rStyle w:val="normaltextrun"/>
        </w:rPr>
      </w:pPr>
      <w:r w:rsidRPr="004A0212">
        <w:rPr>
          <w:rStyle w:val="normaltextrun"/>
        </w:rPr>
        <w:t>Using the consumer price index as a measure, these amounts are the equivalent today of $482.57 for the cost of each child and $304.78 for the funding shortfall.</w:t>
      </w:r>
      <w:r w:rsidR="004C3995" w:rsidRPr="004A0212">
        <w:rPr>
          <w:rStyle w:val="StyleFootnoteReferenceFagoFunotenzeichenFagoFunotenzeichen"/>
        </w:rPr>
        <w:footnoteReference w:id="735"/>
      </w:r>
    </w:p>
    <w:p w14:paraId="604B90A6" w14:textId="4B0F982C" w:rsidR="004C3995" w:rsidRPr="004A0212" w:rsidRDefault="66EE1105" w:rsidP="004C3995">
      <w:pPr>
        <w:pStyle w:val="Numbparas"/>
        <w:rPr>
          <w:rStyle w:val="normaltextrun"/>
        </w:rPr>
      </w:pPr>
      <w:r w:rsidRPr="004A0212">
        <w:rPr>
          <w:rStyle w:val="normaltextrun"/>
        </w:rPr>
        <w:t>Church activities received substantial State funding until the 1980s, with a large increase in State funding from the 1960s to the 1980s. In 1967, about $3.9 million (about $85.8 million in 2024) was transferred from central government departments to the voluntary social service sector, which included non-church bodies such the Society for Intellectually Handicapped Children and the Crippled Childrens Society. By 1986, a conservative estimate placed this figure at $75.6 million,</w:t>
      </w:r>
      <w:r w:rsidR="004C3995" w:rsidRPr="004A0212">
        <w:rPr>
          <w:rStyle w:val="StyleFootnoteReferenceFagoFunotenzeichenFagoFunotenzeichen"/>
        </w:rPr>
        <w:footnoteReference w:id="736"/>
      </w:r>
      <w:r w:rsidRPr="004A0212">
        <w:rPr>
          <w:rStyle w:val="normaltextrun"/>
        </w:rPr>
        <w:t xml:space="preserve"> equivalent to $221.3 million in 2024.</w:t>
      </w:r>
      <w:r w:rsidRPr="004A0212">
        <w:rPr>
          <w:rStyle w:val="StyleFootnoteReferenceFagoFunotenzeichenFagoFunotenzeichen1"/>
        </w:rPr>
        <w:t xml:space="preserve"> </w:t>
      </w:r>
      <w:r w:rsidR="004C3995" w:rsidRPr="004A0212">
        <w:rPr>
          <w:rStyle w:val="StyleFootnoteReferenceFagoFunotenzeichenFagoFunotenzeichen"/>
        </w:rPr>
        <w:footnoteReference w:id="737"/>
      </w:r>
    </w:p>
    <w:p w14:paraId="4DF91A8D" w14:textId="77777777" w:rsidR="004C3995" w:rsidRPr="004A0212" w:rsidRDefault="1526C45E" w:rsidP="004C3995">
      <w:pPr>
        <w:pStyle w:val="Heading2"/>
      </w:pPr>
      <w:bookmarkStart w:id="671" w:name="_Toc165441892"/>
      <w:bookmarkStart w:id="672" w:name="_Toc847298465"/>
      <w:bookmarkStart w:id="673" w:name="_Toc168639101"/>
      <w:proofErr w:type="spellStart"/>
      <w:r w:rsidRPr="004A0212">
        <w:t>Ngā</w:t>
      </w:r>
      <w:proofErr w:type="spellEnd"/>
      <w:r w:rsidRPr="004A0212">
        <w:t xml:space="preserve"> </w:t>
      </w:r>
      <w:proofErr w:type="spellStart"/>
      <w:r w:rsidRPr="004A0212">
        <w:t>whakahaerenga</w:t>
      </w:r>
      <w:proofErr w:type="spellEnd"/>
      <w:r w:rsidRPr="004A0212">
        <w:t xml:space="preserve"> o </w:t>
      </w:r>
      <w:proofErr w:type="spellStart"/>
      <w:r w:rsidRPr="004A0212">
        <w:t>ngā</w:t>
      </w:r>
      <w:proofErr w:type="spellEnd"/>
      <w:r w:rsidRPr="004A0212">
        <w:t xml:space="preserve"> </w:t>
      </w:r>
      <w:proofErr w:type="spellStart"/>
      <w:r w:rsidRPr="004A0212">
        <w:t>hāhi</w:t>
      </w:r>
      <w:proofErr w:type="spellEnd"/>
      <w:r w:rsidRPr="004A0212">
        <w:t xml:space="preserve"> | Governance structures of the faiths</w:t>
      </w:r>
      <w:bookmarkEnd w:id="671"/>
      <w:bookmarkEnd w:id="672"/>
      <w:bookmarkEnd w:id="673"/>
    </w:p>
    <w:p w14:paraId="687C82CA" w14:textId="77777777" w:rsidR="004C3995" w:rsidRPr="004A0212" w:rsidRDefault="66EE1105" w:rsidP="004C3995">
      <w:pPr>
        <w:pStyle w:val="Numbparas"/>
      </w:pPr>
      <w:r w:rsidRPr="004A0212">
        <w:t>The Inquiry investigated reports of abuse and neglect in the care of eight faith-based institutions:</w:t>
      </w:r>
    </w:p>
    <w:p w14:paraId="0BB26AFC" w14:textId="77777777" w:rsidR="004C3995" w:rsidRPr="004A0212" w:rsidRDefault="66EE1105" w:rsidP="00A0770A">
      <w:pPr>
        <w:pStyle w:val="Bulletpoints"/>
      </w:pPr>
      <w:r w:rsidRPr="004A0212">
        <w:t xml:space="preserve">Catholic Church </w:t>
      </w:r>
    </w:p>
    <w:p w14:paraId="56BEF2BA" w14:textId="77777777" w:rsidR="004C3995" w:rsidRPr="004A0212" w:rsidRDefault="66EE1105" w:rsidP="00A0770A">
      <w:pPr>
        <w:pStyle w:val="Bulletpoints"/>
      </w:pPr>
      <w:r w:rsidRPr="004A0212">
        <w:t xml:space="preserve">Anglican Church </w:t>
      </w:r>
    </w:p>
    <w:p w14:paraId="7672B7B6" w14:textId="77777777" w:rsidR="004C3995" w:rsidRPr="004A0212" w:rsidRDefault="66EE1105" w:rsidP="00A0770A">
      <w:pPr>
        <w:pStyle w:val="Bulletpoints"/>
      </w:pPr>
      <w:r w:rsidRPr="004A0212">
        <w:t xml:space="preserve">The Salvation Army in Aotearoa New Zealand </w:t>
      </w:r>
    </w:p>
    <w:p w14:paraId="29FEC1C5" w14:textId="77777777" w:rsidR="004C3995" w:rsidRPr="004A0212" w:rsidRDefault="66EE1105" w:rsidP="00A0770A">
      <w:pPr>
        <w:pStyle w:val="Bulletpoints"/>
      </w:pPr>
      <w:r w:rsidRPr="004A0212">
        <w:t>Methodist Church</w:t>
      </w:r>
    </w:p>
    <w:p w14:paraId="2D5C77C3" w14:textId="77777777" w:rsidR="004C3995" w:rsidRPr="004A0212" w:rsidRDefault="66EE1105" w:rsidP="00A0770A">
      <w:pPr>
        <w:pStyle w:val="Bulletpoints"/>
      </w:pPr>
      <w:r w:rsidRPr="004A0212">
        <w:t>Presbyterian Church</w:t>
      </w:r>
    </w:p>
    <w:p w14:paraId="4F6B3B78" w14:textId="77777777" w:rsidR="004C3995" w:rsidRPr="004A0212" w:rsidRDefault="66EE1105" w:rsidP="00A0770A">
      <w:pPr>
        <w:pStyle w:val="Bulletpoints"/>
      </w:pPr>
      <w:proofErr w:type="spellStart"/>
      <w:r w:rsidRPr="004A0212">
        <w:t>Gloriavale</w:t>
      </w:r>
      <w:proofErr w:type="spellEnd"/>
      <w:r w:rsidRPr="004A0212">
        <w:t xml:space="preserve"> Christian Community</w:t>
      </w:r>
    </w:p>
    <w:p w14:paraId="5FD55D4F" w14:textId="77777777" w:rsidR="004C3995" w:rsidRPr="004A0212" w:rsidRDefault="66EE1105" w:rsidP="00A0770A">
      <w:pPr>
        <w:pStyle w:val="Bulletpoints"/>
      </w:pPr>
      <w:r w:rsidRPr="004A0212">
        <w:t>Plymouth Brethren Christian Church</w:t>
      </w:r>
    </w:p>
    <w:p w14:paraId="17697D10" w14:textId="77777777" w:rsidR="004C3995" w:rsidRPr="000C0692" w:rsidRDefault="66EE1105" w:rsidP="00A0770A">
      <w:pPr>
        <w:pStyle w:val="Bulletpoints"/>
      </w:pPr>
      <w:r w:rsidRPr="000C0692">
        <w:t>Jehovah’s Witnesses</w:t>
      </w:r>
    </w:p>
    <w:p w14:paraId="44EF8EBA" w14:textId="77777777" w:rsidR="004C3995" w:rsidRPr="004A0212" w:rsidRDefault="66EE1105" w:rsidP="004C3995">
      <w:pPr>
        <w:pStyle w:val="Numbparas"/>
      </w:pPr>
      <w:r w:rsidRPr="004A0212">
        <w:t xml:space="preserve">The Inquiry refers to faith-based institutions across </w:t>
      </w:r>
      <w:proofErr w:type="gramStart"/>
      <w:r w:rsidRPr="004A0212">
        <w:t>all of</w:t>
      </w:r>
      <w:proofErr w:type="gramEnd"/>
      <w:r w:rsidRPr="004A0212">
        <w:t xml:space="preserve"> the eight faiths investigated by including the name of the care setting and identifying the religion, such as the Star of the Sea orphanage (Catholic), or St Andrew’s Orphanage (Anglican). Another example is where the Inquiry refers to private schools and State integrated schools with special character, often where the integrated schools was formerly a private school. </w:t>
      </w:r>
    </w:p>
    <w:p w14:paraId="35434D16" w14:textId="77777777" w:rsidR="004C3995" w:rsidRPr="004A0212" w:rsidRDefault="66EE1105" w:rsidP="004C3995">
      <w:pPr>
        <w:pStyle w:val="Numbparas"/>
      </w:pPr>
      <w:r w:rsidRPr="004A0212">
        <w:t>The degree of church involvement in the settings varied. For example, in some cases there was a less direct relationship with the entities in question and the relationship was largely one of theological or spiritual oversight and affiliation. In other settings, the religious denomination owned or operated the institution referred to. Some schools were operated by faiths, other schools merely had an onsite chaplain or yearly visits from faith officials.</w:t>
      </w:r>
    </w:p>
    <w:p w14:paraId="71F124D3" w14:textId="77777777" w:rsidR="004C3995" w:rsidRPr="004A0212" w:rsidRDefault="66EE1105" w:rsidP="004C3995">
      <w:pPr>
        <w:pStyle w:val="Numbparas"/>
      </w:pPr>
      <w:r w:rsidRPr="004A0212">
        <w:t xml:space="preserve">In this report the Inquiry does not always make a distinction about the relationship between the faith and the setting described unless </w:t>
      </w:r>
      <w:proofErr w:type="gramStart"/>
      <w:r w:rsidRPr="004A0212">
        <w:t>particular context</w:t>
      </w:r>
      <w:proofErr w:type="gramEnd"/>
      <w:r w:rsidRPr="004A0212">
        <w:t xml:space="preserve"> and explanation is required for the point being made in the relevant section.</w:t>
      </w:r>
    </w:p>
    <w:p w14:paraId="47DFE075" w14:textId="0B0D541A" w:rsidR="008346A1" w:rsidRDefault="008346A1" w:rsidP="0028546A">
      <w:pPr>
        <w:pStyle w:val="Numbparas"/>
        <w:numPr>
          <w:ilvl w:val="0"/>
          <w:numId w:val="0"/>
        </w:numPr>
      </w:pPr>
      <w:r>
        <w:t>[Survivor quote]</w:t>
      </w:r>
    </w:p>
    <w:p w14:paraId="19601701" w14:textId="6244BAA9" w:rsidR="008346A1" w:rsidRPr="00A85DDA" w:rsidRDefault="008346A1" w:rsidP="00A85DDA">
      <w:pPr>
        <w:pStyle w:val="AllQuotes"/>
        <w:rPr>
          <w:b/>
        </w:rPr>
      </w:pPr>
      <w:r w:rsidRPr="00A85DDA">
        <w:rPr>
          <w:b/>
        </w:rPr>
        <w:t>“No child should be taken off their parents</w:t>
      </w:r>
      <w:r w:rsidR="00D91623" w:rsidRPr="00A85DDA">
        <w:rPr>
          <w:b/>
        </w:rPr>
        <w:t>. Don’t put a child in a concrete box with rusted bars and expect some white guy to have empathy for the little brown boy</w:t>
      </w:r>
      <w:r w:rsidR="00295F32" w:rsidRPr="00A85DDA">
        <w:rPr>
          <w:b/>
        </w:rPr>
        <w:t>. We were taken from our whanau by the State. No one should have to experience what I went through.”</w:t>
      </w:r>
    </w:p>
    <w:p w14:paraId="01B9D5A4" w14:textId="0EF7D728" w:rsidR="00295F32" w:rsidRPr="00A85DDA" w:rsidRDefault="00295F32" w:rsidP="00A85DDA">
      <w:pPr>
        <w:pStyle w:val="AllQuotes"/>
        <w:rPr>
          <w:b/>
        </w:rPr>
      </w:pPr>
      <w:r w:rsidRPr="00A85DDA">
        <w:rPr>
          <w:b/>
        </w:rPr>
        <w:t>Andrew Brown</w:t>
      </w:r>
    </w:p>
    <w:p w14:paraId="700FFB46" w14:textId="5C382B1F" w:rsidR="00295F32" w:rsidRPr="00A85DDA" w:rsidRDefault="00A85DDA" w:rsidP="00A85DDA">
      <w:pPr>
        <w:pStyle w:val="AllQuotes"/>
        <w:rPr>
          <w:b/>
        </w:rPr>
      </w:pPr>
      <w:r w:rsidRPr="00A85DDA">
        <w:rPr>
          <w:b/>
        </w:rPr>
        <w:t xml:space="preserve">Māori, </w:t>
      </w:r>
      <w:proofErr w:type="spellStart"/>
      <w:r w:rsidRPr="00A85DDA">
        <w:rPr>
          <w:b/>
        </w:rPr>
        <w:t>Moriori</w:t>
      </w:r>
      <w:proofErr w:type="spellEnd"/>
      <w:r w:rsidRPr="00A85DDA">
        <w:rPr>
          <w:b/>
        </w:rPr>
        <w:t>, English, Welsh</w:t>
      </w:r>
    </w:p>
    <w:p w14:paraId="673B54E4" w14:textId="77777777" w:rsidR="008225EE" w:rsidRPr="004A0212" w:rsidRDefault="008225EE" w:rsidP="008225EE">
      <w:pPr>
        <w:pStyle w:val="Numbparas"/>
        <w:numPr>
          <w:ilvl w:val="0"/>
          <w:numId w:val="0"/>
        </w:numPr>
        <w:ind w:left="851"/>
      </w:pPr>
    </w:p>
    <w:p w14:paraId="451106E6" w14:textId="77777777" w:rsidR="00F10393" w:rsidRDefault="1526C45E" w:rsidP="00F10393">
      <w:pPr>
        <w:pStyle w:val="Heading3"/>
      </w:pPr>
      <w:bookmarkStart w:id="674" w:name="_Toc168639102"/>
      <w:bookmarkStart w:id="675" w:name="_Toc165441893"/>
      <w:bookmarkStart w:id="676" w:name="_Toc570591022"/>
      <w:proofErr w:type="spellStart"/>
      <w:r w:rsidRPr="004A0212">
        <w:t>Ngā</w:t>
      </w:r>
      <w:proofErr w:type="spellEnd"/>
      <w:r w:rsidRPr="004A0212">
        <w:t xml:space="preserve"> </w:t>
      </w:r>
      <w:proofErr w:type="spellStart"/>
      <w:r w:rsidRPr="004A0212">
        <w:t>Pīhopa</w:t>
      </w:r>
      <w:proofErr w:type="spellEnd"/>
      <w:r w:rsidRPr="004A0212">
        <w:t xml:space="preserve"> me </w:t>
      </w:r>
      <w:proofErr w:type="spellStart"/>
      <w:r w:rsidRPr="004A0212">
        <w:t>ngā</w:t>
      </w:r>
      <w:proofErr w:type="spellEnd"/>
      <w:r w:rsidRPr="004A0212">
        <w:t xml:space="preserve"> </w:t>
      </w:r>
      <w:proofErr w:type="spellStart"/>
      <w:r w:rsidR="5480D5E3" w:rsidRPr="004A0212">
        <w:t>k</w:t>
      </w:r>
      <w:r w:rsidRPr="004A0212">
        <w:t>aiārahi</w:t>
      </w:r>
      <w:proofErr w:type="spellEnd"/>
      <w:r w:rsidRPr="004A0212">
        <w:t xml:space="preserve"> </w:t>
      </w:r>
      <w:proofErr w:type="spellStart"/>
      <w:r w:rsidR="168BB1BF" w:rsidRPr="004A0212">
        <w:t>w</w:t>
      </w:r>
      <w:r w:rsidRPr="004A0212">
        <w:t>hakaminenga</w:t>
      </w:r>
      <w:proofErr w:type="spellEnd"/>
      <w:r w:rsidRPr="004A0212">
        <w:t xml:space="preserve"> o </w:t>
      </w:r>
      <w:proofErr w:type="spellStart"/>
      <w:r w:rsidRPr="004A0212">
        <w:t>te</w:t>
      </w:r>
      <w:proofErr w:type="spellEnd"/>
      <w:r w:rsidRPr="004A0212">
        <w:t xml:space="preserve"> </w:t>
      </w:r>
      <w:proofErr w:type="spellStart"/>
      <w:r w:rsidRPr="004A0212">
        <w:t>Hāhi</w:t>
      </w:r>
      <w:proofErr w:type="spellEnd"/>
      <w:r w:rsidRPr="004A0212">
        <w:t xml:space="preserve"> </w:t>
      </w:r>
      <w:proofErr w:type="spellStart"/>
      <w:r w:rsidRPr="004A0212">
        <w:t>Katorika</w:t>
      </w:r>
      <w:proofErr w:type="spellEnd"/>
      <w:r w:rsidRPr="004A0212">
        <w:t xml:space="preserve"> </w:t>
      </w:r>
      <w:proofErr w:type="spellStart"/>
      <w:r w:rsidRPr="004A0212">
        <w:t>i</w:t>
      </w:r>
      <w:proofErr w:type="spellEnd"/>
      <w:r w:rsidRPr="004A0212">
        <w:t xml:space="preserve"> Aotearoa</w:t>
      </w:r>
      <w:bookmarkEnd w:id="674"/>
      <w:r w:rsidRPr="004A0212">
        <w:t xml:space="preserve"> </w:t>
      </w:r>
      <w:bookmarkStart w:id="677" w:name="_Toc165441894"/>
      <w:bookmarkEnd w:id="675"/>
    </w:p>
    <w:p w14:paraId="4B1E98B4" w14:textId="2D237A21" w:rsidR="004C3995" w:rsidRPr="004A0212" w:rsidRDefault="1526C45E" w:rsidP="00F10393">
      <w:pPr>
        <w:pStyle w:val="Heading3"/>
      </w:pPr>
      <w:bookmarkStart w:id="678" w:name="_Toc168639103"/>
      <w:r w:rsidRPr="004A0212">
        <w:t xml:space="preserve">Bishops and </w:t>
      </w:r>
      <w:r w:rsidR="3F1D6D43" w:rsidRPr="004A0212">
        <w:t xml:space="preserve">congregational leaders </w:t>
      </w:r>
      <w:r w:rsidRPr="004A0212">
        <w:t>of the Catholic Church in Aotearoa New Zealand</w:t>
      </w:r>
      <w:bookmarkEnd w:id="676"/>
      <w:bookmarkEnd w:id="677"/>
      <w:bookmarkEnd w:id="678"/>
      <w:r w:rsidRPr="004A0212">
        <w:t xml:space="preserve"> </w:t>
      </w:r>
    </w:p>
    <w:p w14:paraId="6FD51A83" w14:textId="68BD36F8" w:rsidR="004C3995" w:rsidRPr="004A0212" w:rsidRDefault="66EE1105" w:rsidP="004C3995">
      <w:pPr>
        <w:pStyle w:val="Numbparas"/>
      </w:pPr>
      <w:r w:rsidRPr="004A0212">
        <w:t xml:space="preserve">The worldwide Catholic Church, sometimes called the </w:t>
      </w:r>
      <w:r w:rsidR="1C241E85" w:rsidRPr="004A0212">
        <w:t>‘</w:t>
      </w:r>
      <w:r w:rsidRPr="004A0212">
        <w:t>universal church</w:t>
      </w:r>
      <w:r w:rsidR="1C241E85" w:rsidRPr="004A0212">
        <w:t xml:space="preserve">’, </w:t>
      </w:r>
      <w:r w:rsidRPr="004A0212">
        <w:t>is made up of many particular or local churches, each under the leadership of a diocesan bishop appointed by the Pope. The Pope, who is the Bishop of Rome, is the leader of all these local churches. The Holy See is the name given to the Catholic Church’s central government and is led by the Pope. It operates from the Vatican City State, which is an independent sovereign territory within Italy.</w:t>
      </w:r>
      <w:r w:rsidR="004C3995" w:rsidRPr="004A0212">
        <w:rPr>
          <w:rStyle w:val="StyleFootnoteReferenceFagoFunotenzeichenFagoFunotenzeichen"/>
        </w:rPr>
        <w:footnoteReference w:id="738"/>
      </w:r>
    </w:p>
    <w:p w14:paraId="5D670DB9" w14:textId="77777777" w:rsidR="004C3995" w:rsidRPr="004A0212" w:rsidRDefault="66EE1105" w:rsidP="004C3995">
      <w:pPr>
        <w:pStyle w:val="Numbparas"/>
      </w:pPr>
      <w:r w:rsidRPr="004A0212">
        <w:t>The Congregation for the Evangelisation of Peoples has oversight of Aotearoa New Zealand dioceses.</w:t>
      </w:r>
      <w:r w:rsidR="004C3995" w:rsidRPr="004A0212">
        <w:rPr>
          <w:rStyle w:val="StyleFootnoteReferenceFagoFunotenzeichenFagoFunotenzeichen"/>
        </w:rPr>
        <w:footnoteReference w:id="739"/>
      </w:r>
      <w:r w:rsidRPr="004A0212">
        <w:t xml:space="preserve"> Only the Pope can appoint and remove bishops or intervene in dioceses. Diocesan bishops are required to make a profession of faith and oath of fidelity to the Holy See. Bishops in Aotearoa New Zealand direct their contact with the Vatican through a papal emissary.</w:t>
      </w:r>
    </w:p>
    <w:p w14:paraId="55864F0B" w14:textId="55A520F5" w:rsidR="004C3995" w:rsidRPr="004A0212" w:rsidRDefault="66EE1105" w:rsidP="004C3995">
      <w:pPr>
        <w:pStyle w:val="Numbparas"/>
      </w:pPr>
      <w:r w:rsidRPr="004A0212">
        <w:t xml:space="preserve">The </w:t>
      </w:r>
      <w:r w:rsidR="1C241E85" w:rsidRPr="004A0212">
        <w:rPr>
          <w:color w:val="262626" w:themeColor="text1" w:themeTint="D9"/>
        </w:rPr>
        <w:t xml:space="preserve">bishops </w:t>
      </w:r>
      <w:r w:rsidRPr="004A0212">
        <w:rPr>
          <w:color w:val="262626" w:themeColor="text1" w:themeTint="D9"/>
        </w:rPr>
        <w:t xml:space="preserve">and </w:t>
      </w:r>
      <w:r w:rsidR="1C241E85" w:rsidRPr="004A0212">
        <w:rPr>
          <w:color w:val="262626" w:themeColor="text1" w:themeTint="D9"/>
        </w:rPr>
        <w:t xml:space="preserve">congregational leaders </w:t>
      </w:r>
      <w:r w:rsidRPr="004A0212">
        <w:rPr>
          <w:color w:val="262626" w:themeColor="text1" w:themeTint="D9"/>
        </w:rPr>
        <w:t>of the Catholic Church in Aotearoa New Zealand</w:t>
      </w:r>
      <w:r w:rsidRPr="004A0212">
        <w:t xml:space="preserve"> (which the Inquiry refers to as the Catholic Church in Aotearoa New Zealand) is territorially divided into one metropolitan archdiocese, and five suffragan (regional) dioceses. The Archdiocese of Wellington with the five other dioceses in Aotearoa New Zealand constitutes a province as determined by the Pope. The metropolitan is the senior bishop of the province.</w:t>
      </w:r>
      <w:r w:rsidR="004C3995" w:rsidRPr="004A0212">
        <w:rPr>
          <w:rStyle w:val="StyleFootnoteReferenceFagoFunotenzeichenFagoFunotenzeichen"/>
        </w:rPr>
        <w:footnoteReference w:id="740"/>
      </w:r>
      <w:r w:rsidRPr="004A0212">
        <w:t xml:space="preserve"> Since 2019, the metropolitans around the world, including Paul Martin, as Catholic Archbishop of the archdiocese of Wellington, have had a specific role and responsibility in responding to reports of abuse or failing to respond to a report of abuse by bishops within their province under “Vos Estis Lux Mundi”, the new Vatican protocol for dealing with cases of abuse.</w:t>
      </w:r>
    </w:p>
    <w:p w14:paraId="1C9334DC" w14:textId="77777777" w:rsidR="004C3995" w:rsidRPr="004A0212" w:rsidRDefault="66EE1105" w:rsidP="004C3995">
      <w:pPr>
        <w:pStyle w:val="Numbparas"/>
      </w:pPr>
      <w:r w:rsidRPr="004A0212">
        <w:t>Dioceses are made up of various parishes, churches, schools, and other affiliated entities and institutions. Each bishop appoints priests and assistant priests, and ensures they fulfil their obligations as priests.</w:t>
      </w:r>
    </w:p>
    <w:p w14:paraId="565FA9EC" w14:textId="77777777" w:rsidR="004C3995" w:rsidRPr="004A0212" w:rsidRDefault="66EE1105" w:rsidP="004C3995">
      <w:pPr>
        <w:pStyle w:val="Numbparas"/>
      </w:pPr>
      <w:r w:rsidRPr="004A0212">
        <w:t xml:space="preserve">Some religious institutions (also referred to as religious orders or congregations) have both religious brothers and priest members (like the Society of Mary, known as the Marist Fathers), some only religious brother members (like the Marist Brothers) or only religious sister members (like the </w:t>
      </w:r>
      <w:proofErr w:type="gramStart"/>
      <w:r w:rsidRPr="004A0212">
        <w:t>Sisters</w:t>
      </w:r>
      <w:proofErr w:type="gramEnd"/>
      <w:r w:rsidRPr="004A0212">
        <w:t xml:space="preserve"> of Nazareth).</w:t>
      </w:r>
    </w:p>
    <w:p w14:paraId="2F069FF2" w14:textId="00F588C6" w:rsidR="004C3995" w:rsidRPr="004A0212" w:rsidRDefault="66EE1105" w:rsidP="004C3995">
      <w:pPr>
        <w:pStyle w:val="Numbparas"/>
      </w:pPr>
      <w:r w:rsidRPr="004A0212">
        <w:t>The religious institutes operating in Aotearoa New Zealand are not limited by diocesan boundaries and may be in one or more dioceses, depending on the agreement of local bishops. Bishops are required to exercise pastoral care for all the people of faith (Catholics) within a geographical region (diocese), including members of religious institutes. Alongside the dioceses and religious institutes, there are many, mostly independent and self-governing lay organisations. These are both large and small with a variety of ownership structures and legal standing. Catholic schools were owned and operated by dioceses and religious institutes before 1975. From 1975 they were integrated into the State system. The land and buildings continue to be owned by a church authority, such as a bishop, religious institute or trust</w:t>
      </w:r>
      <w:r w:rsidR="3DC7FC8B" w:rsidRPr="004A0212">
        <w:t xml:space="preserve"> </w:t>
      </w:r>
      <w:r w:rsidRPr="004A0212">
        <w:t>/</w:t>
      </w:r>
      <w:r w:rsidR="3DC7FC8B" w:rsidRPr="004A0212">
        <w:t xml:space="preserve"> </w:t>
      </w:r>
      <w:r w:rsidRPr="004A0212">
        <w:t>company established for this purpose.</w:t>
      </w:r>
      <w:r w:rsidR="004C3995" w:rsidRPr="004A0212">
        <w:rPr>
          <w:rStyle w:val="StyleFootnoteReferenceFagoFunotenzeichenFagoFunotenzeichen"/>
        </w:rPr>
        <w:footnoteReference w:id="741"/>
      </w:r>
      <w:r w:rsidRPr="004A0212">
        <w:t xml:space="preserve"> The bishops, religious superiors</w:t>
      </w:r>
      <w:r w:rsidR="3DC7FC8B" w:rsidRPr="004A0212">
        <w:t xml:space="preserve"> </w:t>
      </w:r>
      <w:r w:rsidRPr="004A0212">
        <w:t>/</w:t>
      </w:r>
      <w:r w:rsidR="3DC7FC8B" w:rsidRPr="004A0212">
        <w:t xml:space="preserve"> </w:t>
      </w:r>
      <w:r w:rsidRPr="004A0212">
        <w:t>leaders or trust</w:t>
      </w:r>
      <w:r w:rsidR="3DC7FC8B" w:rsidRPr="004A0212">
        <w:t xml:space="preserve"> </w:t>
      </w:r>
      <w:r w:rsidRPr="004A0212">
        <w:t>/</w:t>
      </w:r>
      <w:r w:rsidR="3DC7FC8B" w:rsidRPr="004A0212">
        <w:t xml:space="preserve"> </w:t>
      </w:r>
      <w:r w:rsidRPr="004A0212">
        <w:t>company continues to have proprietorship of these Catholic schools but are not involved in their day-to-day operation.</w:t>
      </w:r>
      <w:r w:rsidR="004C3995" w:rsidRPr="004A0212">
        <w:rPr>
          <w:rStyle w:val="StyleFootnoteReferenceFagoFunotenzeichenFagoFunotenzeichen"/>
        </w:rPr>
        <w:footnoteReference w:id="742"/>
      </w:r>
    </w:p>
    <w:p w14:paraId="2C32DF42" w14:textId="65610E97" w:rsidR="004C3995" w:rsidRPr="004A0212" w:rsidRDefault="66EE1105" w:rsidP="004C3995">
      <w:pPr>
        <w:pStyle w:val="Numbparas"/>
      </w:pPr>
      <w:r w:rsidRPr="004A0212">
        <w:t xml:space="preserve">The National Office for Professional Standards was set up in 2004 and currently manages complaints of sexual abuse or sexual misconduct by clergy or members of religious orders under </w:t>
      </w:r>
      <w:proofErr w:type="spellStart"/>
      <w:r w:rsidRPr="004A0212">
        <w:t>Te</w:t>
      </w:r>
      <w:proofErr w:type="spellEnd"/>
      <w:r w:rsidRPr="004A0212">
        <w:t xml:space="preserve"> </w:t>
      </w:r>
      <w:proofErr w:type="spellStart"/>
      <w:r w:rsidRPr="004A0212">
        <w:t>Houhanga</w:t>
      </w:r>
      <w:proofErr w:type="spellEnd"/>
      <w:r w:rsidRPr="004A0212">
        <w:t xml:space="preserve"> Rongo – A Path to Healing protocol. All reports of other forms of abuse are managed by the relevant bishop, religious superior or catholic organisation. Each bishop and religious superior, or leader of a church organisation has the decision-making power in response to all reports of abuse. </w:t>
      </w:r>
      <w:r w:rsidR="00B675EF" w:rsidRPr="004A0212">
        <w:t xml:space="preserve">The image on the following page </w:t>
      </w:r>
      <w:r w:rsidRPr="004A0212">
        <w:t>provides a simple overview structure of the Catholic Church in Aotearoa New Zealand.</w:t>
      </w:r>
    </w:p>
    <w:p w14:paraId="36ABA05F" w14:textId="18DA6773" w:rsidR="004C3995" w:rsidRPr="004A0212" w:rsidRDefault="004C3995" w:rsidP="004C3995">
      <w:pPr>
        <w:pStyle w:val="Numbparas"/>
        <w:keepNext/>
        <w:numPr>
          <w:ilvl w:val="0"/>
          <w:numId w:val="0"/>
        </w:numPr>
        <w:ind w:left="567"/>
        <w:rPr>
          <w:b/>
          <w:bCs w:val="0"/>
        </w:rPr>
      </w:pPr>
      <w:r w:rsidRPr="004A0212">
        <w:rPr>
          <w:b/>
          <w:bCs w:val="0"/>
        </w:rPr>
        <w:t>Overview structure of the Catholic Church in Aotearoa New Zealand</w:t>
      </w:r>
    </w:p>
    <w:p w14:paraId="71343B98" w14:textId="77777777" w:rsidR="004C3995" w:rsidRPr="004A0212" w:rsidRDefault="004C3995" w:rsidP="004C3995">
      <w:pPr>
        <w:pStyle w:val="AllNumbparas"/>
        <w:numPr>
          <w:ilvl w:val="0"/>
          <w:numId w:val="0"/>
        </w:numPr>
        <w:ind w:left="567"/>
      </w:pPr>
      <w:r w:rsidRPr="004A0212">
        <w:rPr>
          <w:noProof/>
        </w:rPr>
        <w:drawing>
          <wp:inline distT="0" distB="0" distL="0" distR="0" wp14:anchorId="4C8568EF" wp14:editId="35176EEB">
            <wp:extent cx="5731510" cy="3632835"/>
            <wp:effectExtent l="0" t="0" r="2540" b="5715"/>
            <wp:docPr id="159145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23511" name=""/>
                    <pic:cNvPicPr/>
                  </pic:nvPicPr>
                  <pic:blipFill>
                    <a:blip r:embed="rId17"/>
                    <a:stretch>
                      <a:fillRect/>
                    </a:stretch>
                  </pic:blipFill>
                  <pic:spPr>
                    <a:xfrm>
                      <a:off x="0" y="0"/>
                      <a:ext cx="5731510" cy="3632835"/>
                    </a:xfrm>
                    <a:prstGeom prst="rect">
                      <a:avLst/>
                    </a:prstGeom>
                  </pic:spPr>
                </pic:pic>
              </a:graphicData>
            </a:graphic>
          </wp:inline>
        </w:drawing>
      </w:r>
    </w:p>
    <w:p w14:paraId="7BDF2350" w14:textId="77777777" w:rsidR="004C3995" w:rsidRPr="004A0212" w:rsidRDefault="1526C45E" w:rsidP="004C3995">
      <w:pPr>
        <w:pStyle w:val="Heading3"/>
      </w:pPr>
      <w:bookmarkStart w:id="679" w:name="_Toc165441895"/>
      <w:bookmarkStart w:id="680" w:name="_Toc48485389"/>
      <w:bookmarkStart w:id="681" w:name="_Toc168639104"/>
      <w:proofErr w:type="spellStart"/>
      <w:r w:rsidRPr="004A0212">
        <w:t>Te</w:t>
      </w:r>
      <w:proofErr w:type="spellEnd"/>
      <w:r w:rsidRPr="004A0212">
        <w:t xml:space="preserve"> </w:t>
      </w:r>
      <w:proofErr w:type="spellStart"/>
      <w:r w:rsidRPr="004A0212">
        <w:t>Hāhi</w:t>
      </w:r>
      <w:proofErr w:type="spellEnd"/>
      <w:r w:rsidRPr="004A0212">
        <w:t xml:space="preserve"> </w:t>
      </w:r>
      <w:proofErr w:type="spellStart"/>
      <w:r w:rsidRPr="004A0212">
        <w:t>Mihingare</w:t>
      </w:r>
      <w:proofErr w:type="spellEnd"/>
      <w:r w:rsidRPr="004A0212">
        <w:t xml:space="preserve"> |</w:t>
      </w:r>
      <w:bookmarkEnd w:id="679"/>
      <w:r w:rsidRPr="004A0212">
        <w:t xml:space="preserve"> </w:t>
      </w:r>
      <w:bookmarkStart w:id="682" w:name="_Toc165441896"/>
      <w:r w:rsidRPr="004A0212">
        <w:t>Anglican Church</w:t>
      </w:r>
      <w:bookmarkEnd w:id="680"/>
      <w:bookmarkEnd w:id="681"/>
      <w:bookmarkEnd w:id="682"/>
    </w:p>
    <w:p w14:paraId="3A5A9FE3" w14:textId="62D3F219" w:rsidR="004C3995" w:rsidRPr="004A0212" w:rsidRDefault="66EE1105" w:rsidP="004C3995">
      <w:pPr>
        <w:pStyle w:val="Numbparas"/>
      </w:pPr>
      <w:r w:rsidRPr="004A0212">
        <w:t>The Anglican Church is an autonomous branch of the worldwide Anglican Communion and is split into the church and its affiliated entities.</w:t>
      </w:r>
      <w:r w:rsidR="004C3995" w:rsidRPr="004A0212">
        <w:rPr>
          <w:rStyle w:val="StyleFootnoteReferenceFagoFunotenzeichenFagoFunotenzeichen"/>
        </w:rPr>
        <w:footnoteReference w:id="743"/>
      </w:r>
      <w:r w:rsidRPr="004A0212">
        <w:t xml:space="preserve"> Since 1992, the Anglican Church in Aotearoa New Zealand and Polynesia (which the Inquiry refers to as the Anglican Church) has been constitutionally divided into three </w:t>
      </w:r>
      <w:r w:rsidR="4FC27AAE" w:rsidRPr="004A0212">
        <w:t>tikanga</w:t>
      </w:r>
      <w:r w:rsidRPr="004A0212">
        <w:t xml:space="preserve">: Tikanga Māori, Tikanga Pasifika and Tikanga Pākehā. Three </w:t>
      </w:r>
      <w:r w:rsidR="16609D30" w:rsidRPr="004A0212">
        <w:t>archbishops</w:t>
      </w:r>
      <w:r w:rsidRPr="004A0212">
        <w:t>, one from each of Tikanga Māori, Tikanga Pasifika</w:t>
      </w:r>
      <w:r w:rsidRPr="004A0212" w:rsidDel="00AD3185">
        <w:t xml:space="preserve"> </w:t>
      </w:r>
      <w:r w:rsidRPr="004A0212">
        <w:t>and Tikanga Pākehā form the Primacy of the Anglican Church, or in other words, lead the church.</w:t>
      </w:r>
    </w:p>
    <w:p w14:paraId="41B489A0" w14:textId="77777777" w:rsidR="004C3995" w:rsidRPr="004A0212" w:rsidRDefault="66EE1105" w:rsidP="004C3995">
      <w:pPr>
        <w:pStyle w:val="Numbparas"/>
      </w:pPr>
      <w:r w:rsidRPr="004A0212">
        <w:t xml:space="preserve">The geographical division of Tikanga Māori </w:t>
      </w:r>
      <w:proofErr w:type="spellStart"/>
      <w:r w:rsidRPr="004A0212">
        <w:t>amorangi</w:t>
      </w:r>
      <w:proofErr w:type="spellEnd"/>
      <w:r w:rsidRPr="004A0212">
        <w:t xml:space="preserve"> and Tikanga Pākehā diocese can be seen in the following maps:</w:t>
      </w:r>
      <w:r w:rsidR="004C3995" w:rsidRPr="004A0212">
        <w:rPr>
          <w:rStyle w:val="StyleFootnoteReferenceFagoFunotenzeichenFagoFunotenzeichen"/>
        </w:rPr>
        <w:footnoteReference w:id="744"/>
      </w:r>
    </w:p>
    <w:p w14:paraId="4610A7E0" w14:textId="0DBF6772" w:rsidR="004C3995" w:rsidRPr="004A0212" w:rsidRDefault="004C3995" w:rsidP="004C3995">
      <w:pPr>
        <w:pStyle w:val="Numbparas"/>
        <w:keepNext/>
        <w:numPr>
          <w:ilvl w:val="0"/>
          <w:numId w:val="0"/>
        </w:numPr>
        <w:ind w:left="567"/>
        <w:rPr>
          <w:b/>
          <w:bCs w:val="0"/>
        </w:rPr>
      </w:pPr>
      <w:r w:rsidRPr="004A0212">
        <w:rPr>
          <w:b/>
          <w:bCs w:val="0"/>
        </w:rPr>
        <w:t>Geographical divisions of the Anglican Church</w:t>
      </w:r>
    </w:p>
    <w:p w14:paraId="080513AC" w14:textId="77777777" w:rsidR="004C3995" w:rsidRPr="004A0212" w:rsidRDefault="004C3995" w:rsidP="004C3995">
      <w:pPr>
        <w:pStyle w:val="AllNumbparas"/>
        <w:numPr>
          <w:ilvl w:val="0"/>
          <w:numId w:val="0"/>
        </w:numPr>
        <w:ind w:left="567" w:hanging="567"/>
        <w:rPr>
          <w:color w:val="262626" w:themeColor="text1" w:themeTint="D9"/>
        </w:rPr>
      </w:pPr>
      <w:r w:rsidRPr="004A0212">
        <w:rPr>
          <w:noProof/>
          <w:color w:val="262626" w:themeColor="text1" w:themeTint="D9"/>
        </w:rPr>
        <w:drawing>
          <wp:inline distT="0" distB="0" distL="0" distR="0" wp14:anchorId="5F06FBE5" wp14:editId="29FA67D2">
            <wp:extent cx="5191125" cy="5279610"/>
            <wp:effectExtent l="0" t="0" r="0" b="0"/>
            <wp:docPr id="446883945" name="Picture 1" descr="A map of new zealand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83945" name="Picture 1" descr="A map of new zealand with text and numbers&#10;&#10;Description automatically generated"/>
                    <pic:cNvPicPr/>
                  </pic:nvPicPr>
                  <pic:blipFill>
                    <a:blip r:embed="rId18"/>
                    <a:stretch>
                      <a:fillRect/>
                    </a:stretch>
                  </pic:blipFill>
                  <pic:spPr>
                    <a:xfrm>
                      <a:off x="0" y="0"/>
                      <a:ext cx="5196280" cy="5284853"/>
                    </a:xfrm>
                    <a:prstGeom prst="rect">
                      <a:avLst/>
                    </a:prstGeom>
                  </pic:spPr>
                </pic:pic>
              </a:graphicData>
            </a:graphic>
          </wp:inline>
        </w:drawing>
      </w:r>
    </w:p>
    <w:p w14:paraId="45D0520D" w14:textId="77777777" w:rsidR="004C3995" w:rsidRPr="004A0212" w:rsidRDefault="004C3995" w:rsidP="004C3995">
      <w:pPr>
        <w:pStyle w:val="AllNumbparas"/>
        <w:numPr>
          <w:ilvl w:val="0"/>
          <w:numId w:val="0"/>
        </w:numPr>
        <w:ind w:left="567" w:hanging="567"/>
        <w:rPr>
          <w:color w:val="262626" w:themeColor="text1" w:themeTint="D9"/>
        </w:rPr>
      </w:pPr>
    </w:p>
    <w:p w14:paraId="63E888C6" w14:textId="77777777" w:rsidR="004C3995" w:rsidRPr="004A0212" w:rsidRDefault="004C3995" w:rsidP="004C3995">
      <w:pPr>
        <w:pStyle w:val="text-justify"/>
        <w:shd w:val="clear" w:color="auto" w:fill="FFFFFF"/>
        <w:spacing w:before="0" w:beforeAutospacing="0"/>
        <w:jc w:val="both"/>
        <w:rPr>
          <w:rFonts w:ascii="Segoe UI" w:hAnsi="Segoe UI" w:cs="Segoe UI"/>
          <w:color w:val="001C2E"/>
          <w:sz w:val="27"/>
          <w:szCs w:val="27"/>
        </w:rPr>
      </w:pPr>
      <w:r w:rsidRPr="004A0212">
        <w:rPr>
          <w:rFonts w:ascii="Segoe UI" w:hAnsi="Segoe UI" w:cs="Segoe UI"/>
          <w:noProof/>
          <w:color w:val="001C2E"/>
          <w:sz w:val="27"/>
          <w:szCs w:val="27"/>
        </w:rPr>
        <w:drawing>
          <wp:inline distT="0" distB="0" distL="0" distR="0" wp14:anchorId="066D9EC9" wp14:editId="3671410A">
            <wp:extent cx="5677692" cy="5487166"/>
            <wp:effectExtent l="0" t="0" r="0" b="0"/>
            <wp:docPr id="898846725" name="Picture 1" descr="A map of new zealand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3943" name="Picture 1" descr="A map of new zealand with different colored squares&#10;&#10;Description automatically generated"/>
                    <pic:cNvPicPr/>
                  </pic:nvPicPr>
                  <pic:blipFill>
                    <a:blip r:embed="rId19"/>
                    <a:stretch>
                      <a:fillRect/>
                    </a:stretch>
                  </pic:blipFill>
                  <pic:spPr>
                    <a:xfrm>
                      <a:off x="0" y="0"/>
                      <a:ext cx="5677692" cy="5487166"/>
                    </a:xfrm>
                    <a:prstGeom prst="rect">
                      <a:avLst/>
                    </a:prstGeom>
                  </pic:spPr>
                </pic:pic>
              </a:graphicData>
            </a:graphic>
          </wp:inline>
        </w:drawing>
      </w:r>
    </w:p>
    <w:p w14:paraId="6AD3FBC7" w14:textId="77FB9F8A" w:rsidR="004C3995" w:rsidRPr="004A0212" w:rsidRDefault="66EE1105" w:rsidP="004C3995">
      <w:pPr>
        <w:pStyle w:val="Numbparas"/>
      </w:pPr>
      <w:r w:rsidRPr="004A0212">
        <w:t xml:space="preserve">Each diocese or </w:t>
      </w:r>
      <w:proofErr w:type="spellStart"/>
      <w:r w:rsidRPr="004A0212">
        <w:t>amorangi</w:t>
      </w:r>
      <w:proofErr w:type="spellEnd"/>
      <w:r w:rsidRPr="004A0212">
        <w:t xml:space="preserve"> then consists of ministry units, parishes, schools, chaplaincies and co-operating ventures. The church is estimated to have at least 300 parishes and more than 30 schools associated with the </w:t>
      </w:r>
      <w:r w:rsidR="7DF0F89F" w:rsidRPr="004A0212">
        <w:t>church</w:t>
      </w:r>
      <w:r w:rsidRPr="004A0212">
        <w:t xml:space="preserve">. The church’s primary governing body is the General Synod </w:t>
      </w:r>
      <w:proofErr w:type="spellStart"/>
      <w:r w:rsidRPr="004A0212">
        <w:t>Te</w:t>
      </w:r>
      <w:proofErr w:type="spellEnd"/>
      <w:r w:rsidRPr="004A0212">
        <w:t xml:space="preserve"> </w:t>
      </w:r>
      <w:proofErr w:type="spellStart"/>
      <w:r w:rsidRPr="004A0212">
        <w:t>Hinota</w:t>
      </w:r>
      <w:proofErr w:type="spellEnd"/>
      <w:r w:rsidRPr="004A0212">
        <w:t xml:space="preserve"> </w:t>
      </w:r>
      <w:proofErr w:type="spellStart"/>
      <w:r w:rsidRPr="004A0212">
        <w:t>Whānui</w:t>
      </w:r>
      <w:proofErr w:type="spellEnd"/>
      <w:r w:rsidRPr="004A0212">
        <w:t>, which is made up of three houses: bishops, clergy and laity (non-ordained).</w:t>
      </w:r>
    </w:p>
    <w:p w14:paraId="616EF80D" w14:textId="77777777" w:rsidR="004C3995" w:rsidRPr="004A0212" w:rsidRDefault="66EE1105" w:rsidP="004C3995">
      <w:pPr>
        <w:pStyle w:val="Numbparas"/>
      </w:pPr>
      <w:r w:rsidRPr="004A0212">
        <w:t xml:space="preserve">Every decision of the General Synod </w:t>
      </w:r>
      <w:proofErr w:type="spellStart"/>
      <w:r w:rsidRPr="004A0212">
        <w:t>Te</w:t>
      </w:r>
      <w:proofErr w:type="spellEnd"/>
      <w:r w:rsidRPr="004A0212">
        <w:t xml:space="preserve"> </w:t>
      </w:r>
      <w:proofErr w:type="spellStart"/>
      <w:r w:rsidRPr="004A0212">
        <w:t>Hinota</w:t>
      </w:r>
      <w:proofErr w:type="spellEnd"/>
      <w:r w:rsidRPr="004A0212">
        <w:t xml:space="preserve"> </w:t>
      </w:r>
      <w:proofErr w:type="spellStart"/>
      <w:r w:rsidRPr="004A0212">
        <w:t>Whānui</w:t>
      </w:r>
      <w:proofErr w:type="spellEnd"/>
      <w:r w:rsidRPr="004A0212">
        <w:t xml:space="preserve"> must be agreed to by each of the three houses and the three tikanga. The General Synod </w:t>
      </w:r>
      <w:proofErr w:type="spellStart"/>
      <w:r w:rsidRPr="004A0212">
        <w:t>Te</w:t>
      </w:r>
      <w:proofErr w:type="spellEnd"/>
      <w:r w:rsidRPr="004A0212">
        <w:t xml:space="preserve"> </w:t>
      </w:r>
      <w:proofErr w:type="spellStart"/>
      <w:r w:rsidRPr="004A0212">
        <w:t>Hinota</w:t>
      </w:r>
      <w:proofErr w:type="spellEnd"/>
      <w:r w:rsidRPr="004A0212">
        <w:t xml:space="preserve"> </w:t>
      </w:r>
      <w:proofErr w:type="spellStart"/>
      <w:r w:rsidRPr="004A0212">
        <w:t>Whānui</w:t>
      </w:r>
      <w:proofErr w:type="spellEnd"/>
      <w:r w:rsidRPr="004A0212">
        <w:t xml:space="preserve"> only meets for a week at a time, every two years. As a result, the process for change to church processes is slow.</w:t>
      </w:r>
      <w:r w:rsidR="004C3995" w:rsidRPr="004A0212">
        <w:rPr>
          <w:rStyle w:val="StyleFootnoteReferenceFagoFunotenzeichenFagoFunotenzeichen"/>
        </w:rPr>
        <w:footnoteReference w:id="745"/>
      </w:r>
      <w:r w:rsidRPr="004A0212">
        <w:t xml:space="preserve"> The Primacy has limited influence to be able to direct change.</w:t>
      </w:r>
    </w:p>
    <w:p w14:paraId="792F072D" w14:textId="77777777" w:rsidR="004C3995" w:rsidRPr="004A0212" w:rsidRDefault="004C3995" w:rsidP="004C3995">
      <w:pPr>
        <w:keepLines w:val="0"/>
        <w:rPr>
          <w:rFonts w:ascii="Arial" w:hAnsi="Arial" w:cs="Arial"/>
          <w:color w:val="3B5D1E" w:themeColor="accent4" w:themeShade="BF"/>
          <w:szCs w:val="26"/>
          <w:lang w:eastAsia="en-NZ"/>
        </w:rPr>
      </w:pPr>
      <w:r w:rsidRPr="004A0212">
        <w:rPr>
          <w:rFonts w:cs="Arial"/>
        </w:rPr>
        <w:br w:type="page"/>
      </w:r>
    </w:p>
    <w:p w14:paraId="6C759685" w14:textId="77777777" w:rsidR="00FE0F20" w:rsidRDefault="1526C45E" w:rsidP="004C3995">
      <w:pPr>
        <w:pStyle w:val="Heading3"/>
      </w:pPr>
      <w:bookmarkStart w:id="683" w:name="_Toc168639105"/>
      <w:bookmarkStart w:id="684" w:name="_Toc165441897"/>
      <w:bookmarkStart w:id="685" w:name="_Toc1381387633"/>
      <w:proofErr w:type="spellStart"/>
      <w:r w:rsidRPr="004A0212">
        <w:t>Te</w:t>
      </w:r>
      <w:proofErr w:type="spellEnd"/>
      <w:r w:rsidRPr="004A0212">
        <w:t xml:space="preserve"> </w:t>
      </w:r>
      <w:proofErr w:type="spellStart"/>
      <w:r w:rsidRPr="004A0212">
        <w:t>Ope</w:t>
      </w:r>
      <w:proofErr w:type="spellEnd"/>
      <w:r w:rsidRPr="004A0212">
        <w:t xml:space="preserve"> </w:t>
      </w:r>
      <w:proofErr w:type="spellStart"/>
      <w:r w:rsidRPr="004A0212">
        <w:t>Whakaora</w:t>
      </w:r>
      <w:proofErr w:type="spellEnd"/>
      <w:r w:rsidRPr="004A0212">
        <w:t xml:space="preserve"> ki Aotearoa, </w:t>
      </w:r>
      <w:proofErr w:type="spellStart"/>
      <w:r w:rsidR="75621A8B" w:rsidRPr="004A0212">
        <w:t>Wh</w:t>
      </w:r>
      <w:r w:rsidR="1BF42B0F" w:rsidRPr="004A0212">
        <w:t>ītī</w:t>
      </w:r>
      <w:proofErr w:type="spellEnd"/>
      <w:r w:rsidRPr="004A0212">
        <w:t xml:space="preserve">, Tonga me </w:t>
      </w:r>
      <w:proofErr w:type="spellStart"/>
      <w:r w:rsidRPr="004A0212">
        <w:t>Hāmoa</w:t>
      </w:r>
      <w:bookmarkEnd w:id="683"/>
      <w:proofErr w:type="spellEnd"/>
      <w:r w:rsidRPr="004A0212">
        <w:t xml:space="preserve"> </w:t>
      </w:r>
      <w:bookmarkStart w:id="686" w:name="_Toc165441898"/>
      <w:bookmarkEnd w:id="684"/>
    </w:p>
    <w:p w14:paraId="1C333E3D" w14:textId="723B6A9A" w:rsidR="004C3995" w:rsidRPr="004A0212" w:rsidRDefault="1526C45E" w:rsidP="004C3995">
      <w:pPr>
        <w:pStyle w:val="Heading3"/>
        <w:rPr>
          <w:rFonts w:eastAsia="Calibri"/>
          <w:color w:val="262626" w:themeColor="text1" w:themeTint="D9"/>
        </w:rPr>
      </w:pPr>
      <w:bookmarkStart w:id="687" w:name="_Toc168639106"/>
      <w:r w:rsidRPr="004A0212">
        <w:t>The Salvation Army New Zealand, Fiji, Tonga and Samoan Territory</w:t>
      </w:r>
      <w:bookmarkEnd w:id="685"/>
      <w:bookmarkEnd w:id="686"/>
      <w:bookmarkEnd w:id="687"/>
    </w:p>
    <w:p w14:paraId="74E76B6B" w14:textId="77777777" w:rsidR="004C3995" w:rsidRPr="004A0212" w:rsidRDefault="66EE1105" w:rsidP="004C3995">
      <w:pPr>
        <w:pStyle w:val="Numbparas"/>
      </w:pPr>
      <w:r w:rsidRPr="004A0212">
        <w:t>The Salvation Army New Zealand, Fiji, Tonga and Samoan (which the Inquiry refers to as The Salvation Army) has been active in Aotearoa New Zealand since 1883. The world-wide Salvation Army is divided into five zones. These zones are further divided into territories, which are sub-divided into commands or regions. The Salvation Army falls into the South Pacific and East Asia zone, and is part of the New Zealand, Fiji, Tonga and Samoa Territory.</w:t>
      </w:r>
      <w:r w:rsidR="004C3995" w:rsidRPr="004A0212">
        <w:rPr>
          <w:rStyle w:val="StyleFootnoteReferenceFagoFunotenzeichenFagoFunotenzeichen"/>
        </w:rPr>
        <w:footnoteReference w:id="746"/>
      </w:r>
      <w:r w:rsidRPr="004A0212">
        <w:t> </w:t>
      </w:r>
    </w:p>
    <w:p w14:paraId="6D10F017" w14:textId="1350F56F" w:rsidR="004C3995" w:rsidRPr="004A0212" w:rsidRDefault="66EE1105" w:rsidP="004C3995">
      <w:pPr>
        <w:pStyle w:val="Numbparas"/>
      </w:pPr>
      <w:r w:rsidRPr="004A0212">
        <w:t xml:space="preserve">The Salvation Army has a quasi-military command structure, headed by an elected </w:t>
      </w:r>
      <w:r w:rsidR="7B51ABE7" w:rsidRPr="004A0212">
        <w:t xml:space="preserve">general </w:t>
      </w:r>
      <w:r w:rsidRPr="004A0212">
        <w:t xml:space="preserve">who directs The Salvation Army operations at International Headquarters located in London. Territorial </w:t>
      </w:r>
      <w:r w:rsidR="7B51ABE7" w:rsidRPr="004A0212">
        <w:t xml:space="preserve">commanders </w:t>
      </w:r>
      <w:r w:rsidRPr="004A0212">
        <w:t xml:space="preserve">and the Territorial Governance Board are responsible for the work of The Salvation Army within their territories, are subject to the control and direction of International Headquarters, and ultimately report to the </w:t>
      </w:r>
      <w:r w:rsidR="7B51ABE7" w:rsidRPr="004A0212">
        <w:t>general</w:t>
      </w:r>
      <w:r w:rsidRPr="004A0212">
        <w:t>.</w:t>
      </w:r>
    </w:p>
    <w:p w14:paraId="3DD784E3" w14:textId="77777777" w:rsidR="004C3995" w:rsidRPr="004A0212" w:rsidRDefault="66EE1105" w:rsidP="004C3995">
      <w:pPr>
        <w:pStyle w:val="Numbparas"/>
      </w:pPr>
      <w:r w:rsidRPr="004A0212">
        <w:t>The Salvation Army in New Zealand can enact policies and procedures if they are consistent with the orders and regulations given by International Headquarters in the United Kingdom.</w:t>
      </w:r>
      <w:r w:rsidR="004C3995" w:rsidRPr="004A0212">
        <w:rPr>
          <w:rStyle w:val="StyleFootnoteReferenceFagoFunotenzeichenFagoFunotenzeichen"/>
        </w:rPr>
        <w:footnoteReference w:id="747"/>
      </w:r>
      <w:r w:rsidRPr="004A0212">
        <w:t xml:space="preserve"> </w:t>
      </w:r>
    </w:p>
    <w:p w14:paraId="1011CCEA" w14:textId="02F02A87" w:rsidR="004C3995" w:rsidRPr="004A0212" w:rsidRDefault="004C3995" w:rsidP="004C3995">
      <w:pPr>
        <w:pStyle w:val="Numbparas"/>
        <w:numPr>
          <w:ilvl w:val="0"/>
          <w:numId w:val="0"/>
        </w:numPr>
        <w:rPr>
          <w:b/>
          <w:bCs w:val="0"/>
        </w:rPr>
      </w:pPr>
      <w:r w:rsidRPr="004A0212">
        <w:rPr>
          <w:b/>
          <w:bCs w:val="0"/>
        </w:rPr>
        <w:t>Overview of structure and functions of The Salvation Army</w:t>
      </w:r>
    </w:p>
    <w:p w14:paraId="15EED552" w14:textId="77777777" w:rsidR="004C3995" w:rsidRPr="004A0212" w:rsidRDefault="004C3995" w:rsidP="004C3995">
      <w:pPr>
        <w:pStyle w:val="Numbparas"/>
        <w:numPr>
          <w:ilvl w:val="0"/>
          <w:numId w:val="0"/>
        </w:numPr>
      </w:pPr>
      <w:r w:rsidRPr="004A0212">
        <w:rPr>
          <w:noProof/>
        </w:rPr>
        <w:drawing>
          <wp:inline distT="0" distB="0" distL="0" distR="0" wp14:anchorId="31D8E311" wp14:editId="688BD31F">
            <wp:extent cx="5791200" cy="3530694"/>
            <wp:effectExtent l="0" t="0" r="0" b="0"/>
            <wp:docPr id="83655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81646" name=""/>
                    <pic:cNvPicPr/>
                  </pic:nvPicPr>
                  <pic:blipFill>
                    <a:blip r:embed="rId20"/>
                    <a:stretch>
                      <a:fillRect/>
                    </a:stretch>
                  </pic:blipFill>
                  <pic:spPr>
                    <a:xfrm>
                      <a:off x="0" y="0"/>
                      <a:ext cx="5797879" cy="3534766"/>
                    </a:xfrm>
                    <a:prstGeom prst="rect">
                      <a:avLst/>
                    </a:prstGeom>
                  </pic:spPr>
                </pic:pic>
              </a:graphicData>
            </a:graphic>
          </wp:inline>
        </w:drawing>
      </w:r>
    </w:p>
    <w:p w14:paraId="067A79FE" w14:textId="23E45EF8" w:rsidR="004C3995" w:rsidRPr="004A0212" w:rsidRDefault="66EE1105" w:rsidP="004C3995">
      <w:pPr>
        <w:pStyle w:val="Numbparas"/>
      </w:pPr>
      <w:r w:rsidRPr="004A0212">
        <w:t xml:space="preserve">Religious congregations in The Salvation Army are known as corps and church members as soldiers. Ordained </w:t>
      </w:r>
      <w:proofErr w:type="gramStart"/>
      <w:r w:rsidRPr="004A0212">
        <w:t>clergy</w:t>
      </w:r>
      <w:proofErr w:type="gramEnd"/>
      <w:r w:rsidRPr="004A0212">
        <w:t xml:space="preserve"> are known as officers and hold various military ranks. The Salvation Army’s structure is top-down and strongly hierarchical, and all official positions, apart from the </w:t>
      </w:r>
      <w:r w:rsidR="7B51ABE7" w:rsidRPr="004A0212">
        <w:t>general</w:t>
      </w:r>
      <w:r w:rsidRPr="004A0212">
        <w:t>, are appointed, not elected.</w:t>
      </w:r>
    </w:p>
    <w:p w14:paraId="23A6B887" w14:textId="77777777" w:rsidR="004C3995" w:rsidRPr="004A0212" w:rsidRDefault="1526C45E" w:rsidP="004C3995">
      <w:pPr>
        <w:pStyle w:val="Heading3"/>
        <w:rPr>
          <w:rFonts w:eastAsia="Calibri"/>
          <w:color w:val="262626" w:themeColor="text1" w:themeTint="D9"/>
        </w:rPr>
      </w:pPr>
      <w:bookmarkStart w:id="688" w:name="_Toc165441899"/>
      <w:bookmarkStart w:id="689" w:name="_Toc481231057"/>
      <w:bookmarkStart w:id="690" w:name="_Toc168639107"/>
      <w:proofErr w:type="spellStart"/>
      <w:r w:rsidRPr="004A0212">
        <w:t>Te</w:t>
      </w:r>
      <w:proofErr w:type="spellEnd"/>
      <w:r w:rsidRPr="004A0212">
        <w:t xml:space="preserve"> </w:t>
      </w:r>
      <w:proofErr w:type="spellStart"/>
      <w:r w:rsidRPr="004A0212">
        <w:t>Hāhi</w:t>
      </w:r>
      <w:proofErr w:type="spellEnd"/>
      <w:r w:rsidRPr="004A0212">
        <w:t xml:space="preserve"> </w:t>
      </w:r>
      <w:proofErr w:type="spellStart"/>
      <w:r w:rsidRPr="004A0212">
        <w:t>Weteriana</w:t>
      </w:r>
      <w:bookmarkEnd w:id="688"/>
      <w:proofErr w:type="spellEnd"/>
      <w:r w:rsidRPr="004A0212">
        <w:t xml:space="preserve"> </w:t>
      </w:r>
      <w:bookmarkStart w:id="691" w:name="_Toc165441900"/>
      <w:r w:rsidRPr="004A0212">
        <w:t>| Methodist Church</w:t>
      </w:r>
      <w:bookmarkEnd w:id="689"/>
      <w:bookmarkEnd w:id="690"/>
      <w:bookmarkEnd w:id="691"/>
      <w:r w:rsidRPr="004A0212">
        <w:t xml:space="preserve">  </w:t>
      </w:r>
    </w:p>
    <w:p w14:paraId="4E01CFCF" w14:textId="77777777" w:rsidR="004C3995" w:rsidRPr="004A0212" w:rsidRDefault="66EE1105" w:rsidP="004C3995">
      <w:pPr>
        <w:pStyle w:val="Numbparas"/>
      </w:pPr>
      <w:r w:rsidRPr="004A0212">
        <w:t xml:space="preserve">The Methodist Church in Aotearoa New Zealand (which the Inquiry refers to as the Methodist Church) has been involved in caring for children in its former children’s homes, in foster care placements arranged by those homes, and in foster care placements arranged by the church. The Methodist Church also has one school, Wesley College. </w:t>
      </w:r>
    </w:p>
    <w:p w14:paraId="368E1DF4" w14:textId="77777777" w:rsidR="004C3995" w:rsidRPr="004A0212" w:rsidRDefault="66EE1105" w:rsidP="004C3995">
      <w:pPr>
        <w:pStyle w:val="Numbparas"/>
        <w:rPr>
          <w:vertAlign w:val="superscript"/>
        </w:rPr>
      </w:pPr>
      <w:r w:rsidRPr="004A0212">
        <w:t>The governing body of the Methodist Church is known as Conference. Conference is the primary decision-making body of the church, the final authority on all matters of the church and exercises oversight over entities affiliated with the church.</w:t>
      </w:r>
      <w:r w:rsidR="004C3995" w:rsidRPr="004A0212">
        <w:rPr>
          <w:rStyle w:val="StyleFootnoteReferenceFagoFunotenzeichenFagoFunotenzeichen"/>
        </w:rPr>
        <w:footnoteReference w:id="748"/>
      </w:r>
      <w:r w:rsidRPr="004A0212">
        <w:rPr>
          <w:vertAlign w:val="superscript"/>
        </w:rPr>
        <w:t xml:space="preserve"> </w:t>
      </w:r>
      <w:r w:rsidRPr="004A0212">
        <w:t>Its decisions are binding on both lay and ordained members of the church in matters pertaining to the operation of the church.</w:t>
      </w:r>
      <w:r w:rsidR="004C3995" w:rsidRPr="004A0212">
        <w:rPr>
          <w:rStyle w:val="StyleFootnoteReferenceFagoFunotenzeichenFagoFunotenzeichen"/>
        </w:rPr>
        <w:footnoteReference w:id="749"/>
      </w:r>
      <w:r w:rsidRPr="004A0212">
        <w:rPr>
          <w:vertAlign w:val="superscript"/>
        </w:rPr>
        <w:t xml:space="preserve"> </w:t>
      </w:r>
      <w:r w:rsidRPr="004A0212">
        <w:t>Conference meets annually. Until 1983, decisions were made by a 50 percent majority.</w:t>
      </w:r>
      <w:r w:rsidR="004C3995" w:rsidRPr="004A0212">
        <w:rPr>
          <w:rStyle w:val="StyleFootnoteReferenceFagoFunotenzeichenFagoFunotenzeichen"/>
        </w:rPr>
        <w:footnoteReference w:id="750"/>
      </w:r>
      <w:r w:rsidRPr="004A0212">
        <w:rPr>
          <w:vertAlign w:val="superscript"/>
        </w:rPr>
        <w:t xml:space="preserve"> </w:t>
      </w:r>
    </w:p>
    <w:p w14:paraId="051FE6BF" w14:textId="77777777" w:rsidR="004C3995" w:rsidRPr="004A0212" w:rsidRDefault="66EE1105" w:rsidP="004C3995">
      <w:pPr>
        <w:pStyle w:val="Numbparas"/>
      </w:pPr>
      <w:r w:rsidRPr="004A0212">
        <w:t>After 1983, the Methodist Church became a bicultural church, with two equal partners Tauiwi and Te Taha Māori. A decision of Conference after 1983 required an agreement of the two partners by consensus.</w:t>
      </w:r>
      <w:r w:rsidR="004C3995" w:rsidRPr="004A0212">
        <w:rPr>
          <w:rStyle w:val="StyleFootnoteReferenceFagoFunotenzeichenFagoFunotenzeichen"/>
        </w:rPr>
        <w:footnoteReference w:id="751"/>
      </w:r>
      <w:r w:rsidRPr="004A0212">
        <w:t xml:space="preserve"> An increase in Pacific Peoples’ presence in the church has seen an increase in their own self-governing synods.  During the Inquiry period, there were eleven regional synods with responsibility for the congregations in their region. Separate Tongan, Samoan and Rotuman synods have been added since then, and the total number of regional synods has been reduced to six.</w:t>
      </w:r>
    </w:p>
    <w:p w14:paraId="33E3DD58" w14:textId="77777777" w:rsidR="004C3995" w:rsidRPr="004A0212" w:rsidRDefault="66EE1105" w:rsidP="004C3995">
      <w:pPr>
        <w:pStyle w:val="Numbparas"/>
      </w:pPr>
      <w:r w:rsidRPr="004A0212">
        <w:t>The Methodist Lawbook lays down in detail the rules that govern the church. The church authorises leadership roles for presbyters and deacons, who are received into the presbyterate or diaconate.</w:t>
      </w:r>
      <w:r w:rsidR="004C3995" w:rsidRPr="004A0212">
        <w:rPr>
          <w:rStyle w:val="StyleFootnoteReferenceFagoFunotenzeichenFagoFunotenzeichen"/>
        </w:rPr>
        <w:footnoteReference w:id="752"/>
      </w:r>
      <w:r w:rsidRPr="004A0212">
        <w:rPr>
          <w:vertAlign w:val="superscript"/>
        </w:rPr>
        <w:t xml:space="preserve"> </w:t>
      </w:r>
      <w:r w:rsidRPr="004A0212">
        <w:t>The church can appoint lay members into specified roles, subject to the church’s authority.</w:t>
      </w:r>
    </w:p>
    <w:p w14:paraId="47AF3609" w14:textId="77777777" w:rsidR="004C3995" w:rsidRPr="004A0212" w:rsidRDefault="66EE1105" w:rsidP="004C3995">
      <w:pPr>
        <w:pStyle w:val="Numbparas"/>
      </w:pPr>
      <w:r w:rsidRPr="004A0212">
        <w:t>The Methodist Church also has formal decision-making bodies (parish councils, synods, and boards) which, along with Conference are known as Courts of the Church.</w:t>
      </w:r>
      <w:r w:rsidR="004C3995" w:rsidRPr="004A0212">
        <w:rPr>
          <w:rStyle w:val="StyleFootnoteReferenceFagoFunotenzeichenFagoFunotenzeichen"/>
        </w:rPr>
        <w:footnoteReference w:id="753"/>
      </w:r>
      <w:r w:rsidRPr="004A0212">
        <w:rPr>
          <w:vertAlign w:val="superscript"/>
        </w:rPr>
        <w:t xml:space="preserve"> </w:t>
      </w:r>
      <w:r w:rsidRPr="004A0212">
        <w:t>The Laws and Regulations of the church sets out the powers and privileges of church members and courts and how these relate to the church’s doctrines.</w:t>
      </w:r>
      <w:r w:rsidR="004C3995" w:rsidRPr="004A0212">
        <w:rPr>
          <w:rStyle w:val="StyleFootnoteReferenceFagoFunotenzeichenFagoFunotenzeichen"/>
        </w:rPr>
        <w:footnoteReference w:id="754"/>
      </w:r>
      <w:r w:rsidRPr="004A0212">
        <w:rPr>
          <w:vertAlign w:val="superscript"/>
        </w:rPr>
        <w:t xml:space="preserve"> </w:t>
      </w:r>
    </w:p>
    <w:p w14:paraId="27B8D289" w14:textId="0FFCE31B" w:rsidR="004C3995" w:rsidRPr="004A0212" w:rsidRDefault="66EE1105" w:rsidP="004C3995">
      <w:pPr>
        <w:pStyle w:val="Numbparas"/>
      </w:pPr>
      <w:r w:rsidRPr="004A0212">
        <w:t xml:space="preserve">The Methodist Conference delegates various functions to its operational boards. The Board of Administration is headed by the </w:t>
      </w:r>
      <w:r w:rsidR="4C57E86D" w:rsidRPr="004A0212">
        <w:t xml:space="preserve">general secretary </w:t>
      </w:r>
      <w:r w:rsidRPr="004A0212">
        <w:t xml:space="preserve">and is the board which manages the disciplinary and complaints processes. The Mission Resourcing Board focuses on resourcing parishes and congregations. This </w:t>
      </w:r>
      <w:r w:rsidR="4C57E86D" w:rsidRPr="004A0212">
        <w:t xml:space="preserve">board </w:t>
      </w:r>
      <w:r w:rsidRPr="004A0212">
        <w:t xml:space="preserve">has a key role in deployment of </w:t>
      </w:r>
      <w:r w:rsidR="4C57E86D" w:rsidRPr="004A0212">
        <w:t xml:space="preserve">ordained ministers </w:t>
      </w:r>
      <w:r w:rsidRPr="004A0212">
        <w:t xml:space="preserve">and has oversight / management of the </w:t>
      </w:r>
      <w:r w:rsidR="46C67260" w:rsidRPr="004A0212">
        <w:t>NZ P</w:t>
      </w:r>
      <w:r w:rsidRPr="004A0212">
        <w:t>olice vetting of all, lay and ordained, who work with children, young people or adults in care.</w:t>
      </w:r>
      <w:r w:rsidR="004C3995" w:rsidRPr="004A0212">
        <w:rPr>
          <w:rStyle w:val="StyleFootnoteReferenceFagoFunotenzeichenFagoFunotenzeichen"/>
        </w:rPr>
        <w:footnoteReference w:id="755"/>
      </w:r>
    </w:p>
    <w:p w14:paraId="78718E62" w14:textId="09B52B51" w:rsidR="004C3995" w:rsidRPr="004A0212" w:rsidRDefault="66EE1105" w:rsidP="004C3995">
      <w:pPr>
        <w:pStyle w:val="Numbparas"/>
      </w:pPr>
      <w:r w:rsidRPr="004A0212">
        <w:t xml:space="preserve">There are regional Methodist Missions in many parts of Aotearoa New Zealand. Each </w:t>
      </w:r>
      <w:r w:rsidR="4C57E86D" w:rsidRPr="004A0212">
        <w:t xml:space="preserve">mission </w:t>
      </w:r>
      <w:r w:rsidRPr="004A0212">
        <w:t xml:space="preserve">is autonomous, although the boards are appointed or approved by the Conference. From the 1970s, </w:t>
      </w:r>
      <w:r w:rsidR="4C57E86D" w:rsidRPr="004A0212">
        <w:t xml:space="preserve">missions </w:t>
      </w:r>
      <w:r w:rsidRPr="004A0212">
        <w:t>took responsibility for the delivery of all social services in their region. A Conference co</w:t>
      </w:r>
      <w:r w:rsidR="4C57E86D" w:rsidRPr="004A0212">
        <w:t>-</w:t>
      </w:r>
      <w:r w:rsidRPr="004A0212">
        <w:t>ordinating body, aiming to focus policies, was reorganised in 1999 as Wesley.com and is now named the Methodist Alliance. Responsibility for local operations remains at the regional level.</w:t>
      </w:r>
      <w:r w:rsidR="004C3995" w:rsidRPr="004A0212">
        <w:rPr>
          <w:rStyle w:val="StyleFootnoteReferenceFagoFunotenzeichenFagoFunotenzeichen"/>
        </w:rPr>
        <w:footnoteReference w:id="756"/>
      </w:r>
    </w:p>
    <w:p w14:paraId="377043C8" w14:textId="13FA5734" w:rsidR="004C3995" w:rsidRPr="004A0212" w:rsidRDefault="004C3995" w:rsidP="004C3995">
      <w:pPr>
        <w:pStyle w:val="Numbparas"/>
        <w:numPr>
          <w:ilvl w:val="0"/>
          <w:numId w:val="0"/>
        </w:numPr>
        <w:ind w:left="851"/>
        <w:rPr>
          <w:b/>
          <w:bCs w:val="0"/>
        </w:rPr>
      </w:pPr>
      <w:r w:rsidRPr="004A0212">
        <w:rPr>
          <w:b/>
          <w:bCs w:val="0"/>
        </w:rPr>
        <w:t>Overview of structure and functions of the Methodist Church</w:t>
      </w:r>
    </w:p>
    <w:p w14:paraId="68E524FF" w14:textId="77777777" w:rsidR="004C3995" w:rsidRPr="004A0212" w:rsidRDefault="004C3995" w:rsidP="004C3995">
      <w:pPr>
        <w:pStyle w:val="Numbparas"/>
        <w:numPr>
          <w:ilvl w:val="0"/>
          <w:numId w:val="0"/>
        </w:numPr>
        <w:ind w:left="851"/>
        <w:rPr>
          <w:b/>
          <w:bCs w:val="0"/>
        </w:rPr>
      </w:pPr>
      <w:r w:rsidRPr="004A0212">
        <w:rPr>
          <w:b/>
          <w:bCs w:val="0"/>
          <w:noProof/>
        </w:rPr>
        <w:drawing>
          <wp:inline distT="0" distB="0" distL="0" distR="0" wp14:anchorId="572F4532" wp14:editId="4B7E6F72">
            <wp:extent cx="5048955" cy="4382112"/>
            <wp:effectExtent l="0" t="0" r="0" b="0"/>
            <wp:docPr id="81609974" name="Picture 1" descr="A diagram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16653" name="Picture 1" descr="A diagram of a church&#10;&#10;Description automatically generated"/>
                    <pic:cNvPicPr/>
                  </pic:nvPicPr>
                  <pic:blipFill>
                    <a:blip r:embed="rId21"/>
                    <a:stretch>
                      <a:fillRect/>
                    </a:stretch>
                  </pic:blipFill>
                  <pic:spPr>
                    <a:xfrm>
                      <a:off x="0" y="0"/>
                      <a:ext cx="5048955" cy="4382112"/>
                    </a:xfrm>
                    <a:prstGeom prst="rect">
                      <a:avLst/>
                    </a:prstGeom>
                  </pic:spPr>
                </pic:pic>
              </a:graphicData>
            </a:graphic>
          </wp:inline>
        </w:drawing>
      </w:r>
    </w:p>
    <w:p w14:paraId="39C94692" w14:textId="77777777" w:rsidR="004C3995" w:rsidRPr="004A0212" w:rsidRDefault="1526C45E" w:rsidP="004C3995">
      <w:pPr>
        <w:pStyle w:val="Heading3"/>
        <w:rPr>
          <w:lang w:val="en-US"/>
        </w:rPr>
      </w:pPr>
      <w:bookmarkStart w:id="692" w:name="_Toc165441901"/>
      <w:bookmarkStart w:id="693" w:name="_Toc419198585"/>
      <w:bookmarkStart w:id="694" w:name="_Toc168639108"/>
      <w:proofErr w:type="spellStart"/>
      <w:r w:rsidRPr="004A0212">
        <w:rPr>
          <w:lang w:val="en-US"/>
        </w:rPr>
        <w:t>Te</w:t>
      </w:r>
      <w:proofErr w:type="spellEnd"/>
      <w:r w:rsidRPr="004A0212">
        <w:rPr>
          <w:lang w:val="en-US"/>
        </w:rPr>
        <w:t xml:space="preserve"> </w:t>
      </w:r>
      <w:proofErr w:type="spellStart"/>
      <w:r w:rsidRPr="004A0212">
        <w:rPr>
          <w:lang w:val="en-US"/>
        </w:rPr>
        <w:t>Hāhi</w:t>
      </w:r>
      <w:proofErr w:type="spellEnd"/>
      <w:r w:rsidRPr="004A0212">
        <w:rPr>
          <w:lang w:val="en-US"/>
        </w:rPr>
        <w:t xml:space="preserve"> </w:t>
      </w:r>
      <w:proofErr w:type="spellStart"/>
      <w:r w:rsidRPr="004A0212">
        <w:rPr>
          <w:color w:val="102B26"/>
          <w:lang w:val="en-US"/>
        </w:rPr>
        <w:t>Perehipitīriana</w:t>
      </w:r>
      <w:proofErr w:type="spellEnd"/>
      <w:r w:rsidRPr="004A0212">
        <w:rPr>
          <w:color w:val="102B26"/>
          <w:lang w:val="en-US"/>
        </w:rPr>
        <w:t xml:space="preserve"> </w:t>
      </w:r>
      <w:r w:rsidRPr="004A0212">
        <w:rPr>
          <w:lang w:val="en-US"/>
        </w:rPr>
        <w:t>o Aotearoa |</w:t>
      </w:r>
      <w:bookmarkEnd w:id="692"/>
      <w:r w:rsidRPr="004A0212">
        <w:rPr>
          <w:lang w:val="en-US"/>
        </w:rPr>
        <w:t xml:space="preserve"> </w:t>
      </w:r>
      <w:bookmarkStart w:id="695" w:name="_Toc165441902"/>
      <w:r w:rsidRPr="004A0212">
        <w:rPr>
          <w:lang w:val="en-US"/>
        </w:rPr>
        <w:t>Presbyterian Church of New Zealand</w:t>
      </w:r>
      <w:bookmarkEnd w:id="693"/>
      <w:bookmarkEnd w:id="694"/>
      <w:bookmarkEnd w:id="695"/>
    </w:p>
    <w:p w14:paraId="79A51325" w14:textId="57F4CFFB" w:rsidR="004C3995" w:rsidRPr="004A0212" w:rsidRDefault="66EE1105" w:rsidP="004C3995">
      <w:pPr>
        <w:pStyle w:val="Numbparas"/>
      </w:pPr>
      <w:r w:rsidRPr="004A0212">
        <w:t xml:space="preserve">The Presbyterian Church of Aotearoa New Zealand is governed by three courts – the General Assembly (national level), the Presbytery (regional level) and </w:t>
      </w:r>
      <w:r w:rsidR="003C4783" w:rsidRPr="004A0212">
        <w:t>Session</w:t>
      </w:r>
      <w:r w:rsidRPr="004A0212">
        <w:t xml:space="preserve"> of Elders (local level).</w:t>
      </w:r>
      <w:r w:rsidR="004C3995" w:rsidRPr="004A0212">
        <w:rPr>
          <w:rStyle w:val="StyleFootnoteReferenceFagoFunotenzeichenFagoFunotenzeichen"/>
        </w:rPr>
        <w:footnoteReference w:id="757"/>
      </w:r>
    </w:p>
    <w:p w14:paraId="4CDC76EA" w14:textId="064B7E99" w:rsidR="004C3995" w:rsidRPr="004A0212" w:rsidRDefault="66EE1105" w:rsidP="004C3995">
      <w:pPr>
        <w:pStyle w:val="Numbparas"/>
      </w:pPr>
      <w:r w:rsidRPr="004A0212">
        <w:t xml:space="preserve">The highest court is the General Assembly. It sets the policy and the direction of the </w:t>
      </w:r>
      <w:proofErr w:type="gramStart"/>
      <w:r w:rsidR="4C57E86D" w:rsidRPr="004A0212">
        <w:t xml:space="preserve">church </w:t>
      </w:r>
      <w:r w:rsidRPr="004A0212">
        <w:t>as a whole, as well as</w:t>
      </w:r>
      <w:proofErr w:type="gramEnd"/>
      <w:r w:rsidRPr="004A0212">
        <w:t xml:space="preserve"> approving the various regulations that help the church to operate as an effective organisation. During the Inquiry period, the General Assembly met every year. At present, the General Assembly normally meets once every two years. The Book of Order is the church’s body of laws that incorporates all standing General Assembly decisions.</w:t>
      </w:r>
    </w:p>
    <w:p w14:paraId="40CACE3E" w14:textId="77777777" w:rsidR="004C3995" w:rsidRPr="004A0212" w:rsidRDefault="66EE1105" w:rsidP="004C3995">
      <w:pPr>
        <w:pStyle w:val="Numbparas"/>
      </w:pPr>
      <w:r w:rsidRPr="004A0212">
        <w:t xml:space="preserve">In 2000, there were 25 presbyteries, including </w:t>
      </w:r>
      <w:proofErr w:type="spellStart"/>
      <w:r w:rsidRPr="004A0212">
        <w:t>Te</w:t>
      </w:r>
      <w:proofErr w:type="spellEnd"/>
      <w:r w:rsidRPr="004A0212">
        <w:t xml:space="preserve"> Aka </w:t>
      </w:r>
      <w:proofErr w:type="spellStart"/>
      <w:r w:rsidRPr="004A0212">
        <w:t>Puaho</w:t>
      </w:r>
      <w:proofErr w:type="spellEnd"/>
      <w:r w:rsidRPr="004A0212">
        <w:t xml:space="preserve"> (founded in 1955), but today this has been reduced to seven presbyteries – five </w:t>
      </w:r>
      <w:proofErr w:type="gramStart"/>
      <w:r w:rsidRPr="004A0212">
        <w:t>regional</w:t>
      </w:r>
      <w:proofErr w:type="gramEnd"/>
      <w:r w:rsidRPr="004A0212">
        <w:t xml:space="preserve">, one for Pacific congregations (since 2002) and </w:t>
      </w:r>
      <w:proofErr w:type="spellStart"/>
      <w:r w:rsidRPr="004A0212">
        <w:t>Te</w:t>
      </w:r>
      <w:proofErr w:type="spellEnd"/>
      <w:r w:rsidRPr="004A0212">
        <w:t xml:space="preserve"> Aka </w:t>
      </w:r>
      <w:proofErr w:type="spellStart"/>
      <w:r w:rsidRPr="004A0212">
        <w:t>Puaho</w:t>
      </w:r>
      <w:proofErr w:type="spellEnd"/>
      <w:r w:rsidRPr="004A0212">
        <w:t xml:space="preserve"> for Māori. Each local parish reports to its presbytery.</w:t>
      </w:r>
      <w:r w:rsidR="004C3995" w:rsidRPr="004A0212">
        <w:rPr>
          <w:rStyle w:val="StyleFootnoteReferenceFagoFunotenzeichenFagoFunotenzeichen"/>
        </w:rPr>
        <w:footnoteReference w:id="758"/>
      </w:r>
      <w:r w:rsidRPr="004A0212">
        <w:t xml:space="preserve"> </w:t>
      </w:r>
      <w:proofErr w:type="spellStart"/>
      <w:r w:rsidRPr="004A0212">
        <w:t>Te</w:t>
      </w:r>
      <w:proofErr w:type="spellEnd"/>
      <w:r w:rsidRPr="004A0212">
        <w:t xml:space="preserve"> Aka </w:t>
      </w:r>
      <w:proofErr w:type="spellStart"/>
      <w:r w:rsidRPr="004A0212">
        <w:t>Puaho</w:t>
      </w:r>
      <w:proofErr w:type="spellEnd"/>
      <w:r w:rsidRPr="004A0212">
        <w:t xml:space="preserve"> can appoint ministers to serve nationally, whereas the other presbyteries can only appoint ministers to specific positions within specific churches.</w:t>
      </w:r>
      <w:r w:rsidR="004C3995" w:rsidRPr="004A0212">
        <w:rPr>
          <w:rStyle w:val="StyleFootnoteReferenceFagoFunotenzeichenFagoFunotenzeichen"/>
        </w:rPr>
        <w:footnoteReference w:id="759"/>
      </w:r>
    </w:p>
    <w:p w14:paraId="3F56F531" w14:textId="77777777" w:rsidR="004C3995" w:rsidRPr="004A0212" w:rsidRDefault="66EE1105" w:rsidP="004C3995">
      <w:pPr>
        <w:pStyle w:val="Numbparas"/>
      </w:pPr>
      <w:r w:rsidRPr="004A0212">
        <w:t>A National Office which supports presbyteries and parishes is based in Te Whanganui-a-Tara Wellington, led by the Assembly Executive Officer.</w:t>
      </w:r>
      <w:r w:rsidR="004C3995" w:rsidRPr="004A0212">
        <w:rPr>
          <w:rStyle w:val="StyleFootnoteReferenceFagoFunotenzeichenFagoFunotenzeichen"/>
        </w:rPr>
        <w:footnoteReference w:id="760"/>
      </w:r>
      <w:r w:rsidRPr="004A0212">
        <w:t xml:space="preserve"> At parish level, the local church council (made up of elders or other elected people from the congregation) make decisions affecting the local church. If there is a minister, the council is usually led by that minister.</w:t>
      </w:r>
      <w:r w:rsidR="004C3995" w:rsidRPr="004A0212">
        <w:rPr>
          <w:rStyle w:val="StyleFootnoteReferenceFagoFunotenzeichenFagoFunotenzeichen"/>
        </w:rPr>
        <w:footnoteReference w:id="761"/>
      </w:r>
    </w:p>
    <w:p w14:paraId="06093C62" w14:textId="19B7E484" w:rsidR="004C3995" w:rsidRPr="004A0212" w:rsidRDefault="1526C45E" w:rsidP="4254EAC9">
      <w:pPr>
        <w:pStyle w:val="Heading3"/>
        <w:rPr>
          <w:rFonts w:eastAsia="Calibri"/>
          <w:b/>
          <w:bCs/>
          <w:color w:val="222222"/>
          <w:sz w:val="22"/>
          <w:szCs w:val="22"/>
          <w:shd w:val="clear" w:color="auto" w:fill="FFFFFF"/>
        </w:rPr>
      </w:pPr>
      <w:bookmarkStart w:id="696" w:name="_Toc165441903"/>
      <w:bookmarkStart w:id="697" w:name="_Toc2107928322"/>
      <w:bookmarkStart w:id="698" w:name="_Toc168639109"/>
      <w:r w:rsidRPr="004A0212">
        <w:rPr>
          <w:rFonts w:eastAsia="Calibri"/>
          <w:color w:val="222222"/>
          <w:sz w:val="22"/>
          <w:szCs w:val="22"/>
          <w:shd w:val="clear" w:color="auto" w:fill="FFFFFF"/>
        </w:rPr>
        <w:t>Overview of structure and functions of the Presbyterian Church</w:t>
      </w:r>
      <w:bookmarkEnd w:id="696"/>
      <w:bookmarkEnd w:id="697"/>
      <w:bookmarkEnd w:id="698"/>
    </w:p>
    <w:p w14:paraId="2B5E3E70" w14:textId="77777777" w:rsidR="004C3995" w:rsidRPr="004A0212" w:rsidRDefault="68EA29C0" w:rsidP="734AC682">
      <w:pPr>
        <w:keepLines w:val="0"/>
        <w:rPr>
          <w:rFonts w:ascii="Arial" w:hAnsi="Arial" w:cstheme="minorBidi"/>
          <w:b/>
          <w:bCs/>
          <w:i/>
          <w:iCs/>
          <w:color w:val="273E14" w:themeColor="accent4" w:themeShade="80"/>
          <w:sz w:val="22"/>
          <w:szCs w:val="22"/>
          <w:lang w:val="en" w:eastAsia="en-NZ"/>
        </w:rPr>
      </w:pPr>
      <w:r w:rsidRPr="004A0212">
        <w:rPr>
          <w:noProof/>
        </w:rPr>
        <w:drawing>
          <wp:inline distT="0" distB="0" distL="0" distR="0" wp14:anchorId="4C8651EA" wp14:editId="7D15ABAB">
            <wp:extent cx="5029904" cy="4829847"/>
            <wp:effectExtent l="0" t="0" r="0" b="8890"/>
            <wp:docPr id="1648546710" name="Picture 1" descr="A diagram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029904" cy="4829847"/>
                    </a:xfrm>
                    <a:prstGeom prst="rect">
                      <a:avLst/>
                    </a:prstGeom>
                  </pic:spPr>
                </pic:pic>
              </a:graphicData>
            </a:graphic>
          </wp:inline>
        </w:drawing>
      </w:r>
      <w:r w:rsidRPr="004A0212">
        <w:br w:type="page"/>
      </w:r>
    </w:p>
    <w:p w14:paraId="598E296D" w14:textId="3DA0859C" w:rsidR="004C3995" w:rsidRPr="004A0212" w:rsidRDefault="1526C45E" w:rsidP="02397200">
      <w:pPr>
        <w:pStyle w:val="Hed4"/>
      </w:pPr>
      <w:bookmarkStart w:id="699" w:name="_Toc165441904"/>
      <w:bookmarkStart w:id="700" w:name="_Toc1423019322"/>
      <w:bookmarkStart w:id="701" w:name="_Toc168639110"/>
      <w:proofErr w:type="spellStart"/>
      <w:r w:rsidRPr="700D4309">
        <w:rPr>
          <w:lang w:val="en-US"/>
        </w:rPr>
        <w:t>Rōpū</w:t>
      </w:r>
      <w:proofErr w:type="spellEnd"/>
      <w:r w:rsidRPr="700D4309">
        <w:rPr>
          <w:lang w:val="en-US"/>
        </w:rPr>
        <w:t xml:space="preserve"> </w:t>
      </w:r>
      <w:proofErr w:type="spellStart"/>
      <w:r w:rsidRPr="700D4309">
        <w:rPr>
          <w:lang w:val="en-US"/>
        </w:rPr>
        <w:t>tautoko</w:t>
      </w:r>
      <w:proofErr w:type="spellEnd"/>
      <w:r w:rsidRPr="700D4309">
        <w:rPr>
          <w:lang w:val="en-US"/>
        </w:rPr>
        <w:t xml:space="preserve"> </w:t>
      </w:r>
      <w:proofErr w:type="spellStart"/>
      <w:r w:rsidRPr="700D4309">
        <w:rPr>
          <w:lang w:val="en-US"/>
        </w:rPr>
        <w:t>Perehipitīriana</w:t>
      </w:r>
      <w:proofErr w:type="spellEnd"/>
      <w:r w:rsidRPr="700D4309">
        <w:rPr>
          <w:lang w:val="en-US"/>
        </w:rPr>
        <w:t xml:space="preserve"> | Presbyterian Support</w:t>
      </w:r>
      <w:bookmarkEnd w:id="699"/>
      <w:bookmarkEnd w:id="700"/>
      <w:bookmarkEnd w:id="701"/>
      <w:r w:rsidRPr="700D4309">
        <w:rPr>
          <w:lang w:val="en-US"/>
        </w:rPr>
        <w:t xml:space="preserve"> </w:t>
      </w:r>
    </w:p>
    <w:p w14:paraId="3DD8132A" w14:textId="77777777" w:rsidR="004C3995" w:rsidRPr="004A0212" w:rsidRDefault="66EE1105" w:rsidP="004C3995">
      <w:pPr>
        <w:pStyle w:val="Numbparas"/>
      </w:pPr>
      <w:r w:rsidRPr="004A0212">
        <w:t>In addition to the General Assembly and seven presbyteries, there are seven regional Presbyterian Support Services organisations. From the late 1800s Presbyterian parishes recognised they were not capable of dealing with the increasing numbers of people living in poverty. With no basic social welfare system, these separate support organisations were established.</w:t>
      </w:r>
      <w:r w:rsidR="004C3995" w:rsidRPr="004A0212">
        <w:rPr>
          <w:rStyle w:val="StyleFootnoteReferenceFagoFunotenzeichenFagoFunotenzeichen"/>
        </w:rPr>
        <w:footnoteReference w:id="762"/>
      </w:r>
      <w:r w:rsidRPr="004A0212">
        <w:t xml:space="preserve"> </w:t>
      </w:r>
    </w:p>
    <w:p w14:paraId="2564008F" w14:textId="77777777" w:rsidR="004C3995" w:rsidRPr="004A0212" w:rsidRDefault="66EE1105" w:rsidP="004C3995">
      <w:pPr>
        <w:pStyle w:val="Numbparas"/>
      </w:pPr>
      <w:r w:rsidRPr="004A0212">
        <w:t>Presbyterian Support Central and Presbyterian Support Otago, two of the seven support organisations, told the Inquiry they were established in the early 1900s, with both organisations initiating projects to care for orphaned and destitute children.</w:t>
      </w:r>
      <w:r w:rsidR="004C3995" w:rsidRPr="004A0212">
        <w:rPr>
          <w:rStyle w:val="StyleFootnoteReferenceFagoFunotenzeichenFagoFunotenzeichen"/>
        </w:rPr>
        <w:footnoteReference w:id="763"/>
      </w:r>
      <w:r w:rsidRPr="004A0212">
        <w:t xml:space="preserve"> </w:t>
      </w:r>
    </w:p>
    <w:p w14:paraId="087640AC" w14:textId="77777777" w:rsidR="004C3995" w:rsidRPr="004A0212" w:rsidRDefault="66EE1105" w:rsidP="004C3995">
      <w:pPr>
        <w:pStyle w:val="Numbparas"/>
      </w:pPr>
      <w:r w:rsidRPr="004A0212">
        <w:t xml:space="preserve">Each Presbyterian Support Services organisation is independently governed. A national council representing the regional Presbyterian Support Services organisations was founded in 1983, and reports to the General Assembly. This reporting is the only formal link between the church and the Presbyterian Support Services organisations. </w:t>
      </w:r>
    </w:p>
    <w:p w14:paraId="3B9BCE57" w14:textId="77777777" w:rsidR="004C3995" w:rsidRPr="004A0212" w:rsidRDefault="1526C45E" w:rsidP="004C3995">
      <w:pPr>
        <w:pStyle w:val="Heading3"/>
      </w:pPr>
      <w:bookmarkStart w:id="702" w:name="_Toc165441905"/>
      <w:bookmarkStart w:id="703" w:name="_Toc136640643"/>
      <w:bookmarkStart w:id="704" w:name="_Toc168639111"/>
      <w:proofErr w:type="spellStart"/>
      <w:r w:rsidRPr="004A0212">
        <w:t>Te</w:t>
      </w:r>
      <w:proofErr w:type="spellEnd"/>
      <w:r w:rsidRPr="004A0212">
        <w:t xml:space="preserve"> </w:t>
      </w:r>
      <w:proofErr w:type="spellStart"/>
      <w:r w:rsidRPr="004A0212">
        <w:t>Hapori</w:t>
      </w:r>
      <w:proofErr w:type="spellEnd"/>
      <w:r w:rsidRPr="004A0212">
        <w:t xml:space="preserve"> Karaitiana o </w:t>
      </w:r>
      <w:proofErr w:type="spellStart"/>
      <w:r w:rsidRPr="004A0212">
        <w:t>Gloriavale</w:t>
      </w:r>
      <w:proofErr w:type="spellEnd"/>
      <w:r w:rsidRPr="004A0212">
        <w:t xml:space="preserve"> | </w:t>
      </w:r>
      <w:proofErr w:type="spellStart"/>
      <w:r w:rsidRPr="004A0212">
        <w:t>Gloriavale</w:t>
      </w:r>
      <w:proofErr w:type="spellEnd"/>
      <w:r w:rsidRPr="004A0212">
        <w:t xml:space="preserve"> Christian Community</w:t>
      </w:r>
      <w:bookmarkEnd w:id="702"/>
      <w:bookmarkEnd w:id="703"/>
      <w:bookmarkEnd w:id="704"/>
    </w:p>
    <w:p w14:paraId="6347C0DC" w14:textId="77777777" w:rsidR="004C3995" w:rsidRPr="004A0212" w:rsidRDefault="66EE1105" w:rsidP="004C3995">
      <w:pPr>
        <w:pStyle w:val="Numbparas"/>
        <w:rPr>
          <w:vertAlign w:val="superscript"/>
        </w:rPr>
      </w:pPr>
      <w:proofErr w:type="spellStart"/>
      <w:r w:rsidRPr="004A0212">
        <w:t>Gloriavale</w:t>
      </w:r>
      <w:proofErr w:type="spellEnd"/>
      <w:r w:rsidRPr="004A0212">
        <w:t xml:space="preserve"> Christian Community (which the Inquiry refers to as </w:t>
      </w:r>
      <w:proofErr w:type="spellStart"/>
      <w:r w:rsidRPr="004A0212">
        <w:t>Gloriavale</w:t>
      </w:r>
      <w:proofErr w:type="spellEnd"/>
      <w:r w:rsidRPr="004A0212">
        <w:t>) was founded in 1969 by Neville Cooper, an Australian-born, evangelical missionary, known within the community as Hopeful Christian.</w:t>
      </w:r>
      <w:r w:rsidR="004C3995" w:rsidRPr="004A0212">
        <w:rPr>
          <w:rStyle w:val="StyleFootnoteReferenceFagoFunotenzeichenFagoFunotenzeichen"/>
        </w:rPr>
        <w:footnoteReference w:id="764"/>
      </w:r>
      <w:r w:rsidRPr="004A0212">
        <w:t xml:space="preserve"> Originally called the </w:t>
      </w:r>
      <w:proofErr w:type="spellStart"/>
      <w:r w:rsidRPr="004A0212">
        <w:t>Springbank</w:t>
      </w:r>
      <w:proofErr w:type="spellEnd"/>
      <w:r w:rsidRPr="004A0212">
        <w:t xml:space="preserve"> Christian Community, it operated a farm in North Canterbury.</w:t>
      </w:r>
      <w:r w:rsidR="004C3995" w:rsidRPr="004A0212">
        <w:rPr>
          <w:rStyle w:val="StyleFootnoteReferenceFagoFunotenzeichenFagoFunotenzeichen"/>
        </w:rPr>
        <w:footnoteReference w:id="765"/>
      </w:r>
      <w:r w:rsidRPr="004A0212">
        <w:t xml:space="preserve"> </w:t>
      </w:r>
    </w:p>
    <w:p w14:paraId="52BEAF48" w14:textId="77777777" w:rsidR="004C3995" w:rsidRPr="004A0212" w:rsidRDefault="66EE1105" w:rsidP="004C3995">
      <w:pPr>
        <w:pStyle w:val="Numbparas"/>
        <w:rPr>
          <w:rStyle w:val="FootnoteReference"/>
          <w:rFonts w:eastAsia="Arial"/>
        </w:rPr>
      </w:pPr>
      <w:r w:rsidRPr="004A0212">
        <w:t xml:space="preserve">In 1991, the community bought 917 hectares of remote farmland on the West Coast. Over the next four years, they built living and dairy farming facilities. The property was named </w:t>
      </w:r>
      <w:proofErr w:type="spellStart"/>
      <w:r w:rsidRPr="004A0212">
        <w:t>Gloriavale</w:t>
      </w:r>
      <w:proofErr w:type="spellEnd"/>
      <w:r w:rsidRPr="004A0212">
        <w:t xml:space="preserve"> after Hopeful Christian’s late wife, Gloria.</w:t>
      </w:r>
      <w:r w:rsidR="004C3995" w:rsidRPr="004A0212">
        <w:rPr>
          <w:rStyle w:val="StyleFootnoteReferenceFagoFunotenzeichenFagoFunotenzeichen"/>
        </w:rPr>
        <w:footnoteReference w:id="766"/>
      </w:r>
      <w:r w:rsidRPr="004A0212">
        <w:t xml:space="preserve"> </w:t>
      </w:r>
    </w:p>
    <w:p w14:paraId="7857448E" w14:textId="77777777" w:rsidR="004C3995" w:rsidRPr="004A0212" w:rsidRDefault="66EE1105" w:rsidP="004C3995">
      <w:pPr>
        <w:pStyle w:val="Numbparas"/>
      </w:pPr>
      <w:proofErr w:type="spellStart"/>
      <w:r w:rsidRPr="004A0212">
        <w:t>Gloriavale</w:t>
      </w:r>
      <w:proofErr w:type="spellEnd"/>
      <w:r w:rsidRPr="004A0212">
        <w:t xml:space="preserve"> Christian Community is run by the Shepherds and the Servants. The Overseeing Shepherd is the principal leader. The Overseeing Shepherd is responsible to Christ and Christ alone. While the Bible is the “source of all guidance regarding Church order, doctrine and practical direction for life”, the Bible is interpreted by the Community’s leaders, ultimately and authoritatively, by the Overseeing Shepherd.</w:t>
      </w:r>
      <w:r w:rsidR="004C3995" w:rsidRPr="004A0212">
        <w:rPr>
          <w:rStyle w:val="StyleFootnoteReferenceFagoFunotenzeichenFagoFunotenzeichen"/>
        </w:rPr>
        <w:footnoteReference w:id="767"/>
      </w:r>
      <w:r w:rsidRPr="004A0212">
        <w:t xml:space="preserve"> </w:t>
      </w:r>
    </w:p>
    <w:p w14:paraId="46EDEEE7" w14:textId="77777777" w:rsidR="004C3995" w:rsidRPr="004A0212" w:rsidRDefault="66EE1105" w:rsidP="004C3995">
      <w:pPr>
        <w:pStyle w:val="Numbparas"/>
      </w:pPr>
      <w:r w:rsidRPr="004A0212">
        <w:t>Leaders are not elected by the members of the community. Hopeful Christian was self-appointed as the Overseeing Shepherd until his death in 2018.</w:t>
      </w:r>
      <w:r w:rsidR="004C3995" w:rsidRPr="004A0212">
        <w:rPr>
          <w:rStyle w:val="StyleFootnoteReferenceFagoFunotenzeichenFagoFunotenzeichen"/>
        </w:rPr>
        <w:footnoteReference w:id="768"/>
      </w:r>
      <w:r w:rsidRPr="004A0212">
        <w:t xml:space="preserve"> </w:t>
      </w:r>
    </w:p>
    <w:p w14:paraId="30F2DC60" w14:textId="77777777" w:rsidR="004C3995" w:rsidRPr="004A0212" w:rsidRDefault="66EE1105" w:rsidP="004C3995">
      <w:pPr>
        <w:pStyle w:val="Numbparas"/>
      </w:pPr>
      <w:r w:rsidRPr="004A0212">
        <w:t xml:space="preserve">The next level of leadership is three Senior Shepherds who hold financial authority, and below the Senior Shepherds are the Shepherds and the Servants who together comprise a leadership council of 16 men. </w:t>
      </w:r>
    </w:p>
    <w:p w14:paraId="6FFD1B26" w14:textId="77777777" w:rsidR="004C3995" w:rsidRPr="004A0212" w:rsidRDefault="66EE1105" w:rsidP="004C3995">
      <w:pPr>
        <w:pStyle w:val="Numbparas"/>
      </w:pPr>
      <w:r w:rsidRPr="004A0212">
        <w:t xml:space="preserve">From 1985 to 1995 the Shepherds were Hopeful Christian, Howard Temple and David Courage (who left in 1995) and Fervent </w:t>
      </w:r>
      <w:proofErr w:type="spellStart"/>
      <w:r w:rsidRPr="004A0212">
        <w:t>Stedfast</w:t>
      </w:r>
      <w:proofErr w:type="spellEnd"/>
      <w:r w:rsidRPr="004A0212">
        <w:t xml:space="preserve"> (who had been appointed shortly prior to David Courage’s departure).</w:t>
      </w:r>
      <w:r w:rsidR="004C3995" w:rsidRPr="004A0212">
        <w:rPr>
          <w:rStyle w:val="StyleFootnoteReferenceFagoFunotenzeichenFagoFunotenzeichen"/>
        </w:rPr>
        <w:footnoteReference w:id="769"/>
      </w:r>
      <w:r w:rsidRPr="004A0212">
        <w:t xml:space="preserve"> Hopeful Christian and Fervent </w:t>
      </w:r>
      <w:proofErr w:type="spellStart"/>
      <w:r w:rsidRPr="004A0212">
        <w:t>Stedfast</w:t>
      </w:r>
      <w:proofErr w:type="spellEnd"/>
      <w:r w:rsidRPr="004A0212">
        <w:t xml:space="preserve"> were the authors of the document titled What We Believe, which was effectively a summary of what the leaders saw as the main principles of New Testament Christianity. The document was prepared from the mid-1980's and first published in 1989.</w:t>
      </w:r>
      <w:r w:rsidR="004C3995" w:rsidRPr="004A0212">
        <w:rPr>
          <w:rStyle w:val="StyleFootnoteReferenceFagoFunotenzeichenFagoFunotenzeichen"/>
        </w:rPr>
        <w:footnoteReference w:id="770"/>
      </w:r>
    </w:p>
    <w:p w14:paraId="5C077D8F" w14:textId="77777777" w:rsidR="004C3995" w:rsidRPr="004A0212" w:rsidRDefault="66EE1105" w:rsidP="004C3995">
      <w:pPr>
        <w:pStyle w:val="Numbparas"/>
      </w:pPr>
      <w:proofErr w:type="spellStart"/>
      <w:r w:rsidRPr="004A0212">
        <w:t>Gloriavale</w:t>
      </w:r>
      <w:proofErr w:type="spellEnd"/>
      <w:r w:rsidRPr="004A0212">
        <w:t xml:space="preserve"> is a strict patriarchal community with a strict hierarchy. The Overseeing Shepherds and each of the Shepherds and Servants must be male. Roles are determined by biblical criteria, emphasising men as decision-makers and breadwinners and women as mothers responsible for running the household.</w:t>
      </w:r>
      <w:r w:rsidR="004C3995" w:rsidRPr="004A0212">
        <w:rPr>
          <w:rStyle w:val="StyleFootnoteReferenceFagoFunotenzeichenFagoFunotenzeichen"/>
        </w:rPr>
        <w:footnoteReference w:id="771"/>
      </w:r>
    </w:p>
    <w:p w14:paraId="2668C16D" w14:textId="3EC65918" w:rsidR="004C3995" w:rsidRPr="004A0212" w:rsidRDefault="1526C45E" w:rsidP="4254EAC9">
      <w:pPr>
        <w:pStyle w:val="Heading3"/>
        <w:rPr>
          <w:rFonts w:eastAsia="Calibri"/>
          <w:b/>
          <w:bCs/>
          <w:color w:val="222222"/>
          <w:sz w:val="22"/>
          <w:szCs w:val="22"/>
          <w:shd w:val="clear" w:color="auto" w:fill="FFFFFF"/>
        </w:rPr>
      </w:pPr>
      <w:bookmarkStart w:id="705" w:name="_Toc165441906"/>
      <w:bookmarkStart w:id="706" w:name="_Toc1532791240"/>
      <w:bookmarkStart w:id="707" w:name="_Toc168639112"/>
      <w:r w:rsidRPr="004A0212">
        <w:rPr>
          <w:rFonts w:eastAsia="Calibri"/>
          <w:color w:val="222222"/>
          <w:sz w:val="22"/>
          <w:szCs w:val="22"/>
          <w:shd w:val="clear" w:color="auto" w:fill="FFFFFF"/>
        </w:rPr>
        <w:t xml:space="preserve">Overview of structure and functions of the </w:t>
      </w:r>
      <w:proofErr w:type="spellStart"/>
      <w:r w:rsidRPr="004A0212">
        <w:rPr>
          <w:rFonts w:eastAsia="Calibri"/>
          <w:color w:val="222222"/>
          <w:sz w:val="22"/>
          <w:szCs w:val="22"/>
          <w:shd w:val="clear" w:color="auto" w:fill="FFFFFF"/>
        </w:rPr>
        <w:t>Gloriavale</w:t>
      </w:r>
      <w:proofErr w:type="spellEnd"/>
      <w:r w:rsidRPr="004A0212">
        <w:rPr>
          <w:rFonts w:eastAsia="Calibri"/>
          <w:color w:val="222222"/>
          <w:sz w:val="22"/>
          <w:szCs w:val="22"/>
          <w:shd w:val="clear" w:color="auto" w:fill="FFFFFF"/>
        </w:rPr>
        <w:t xml:space="preserve"> Christian Community</w:t>
      </w:r>
      <w:bookmarkEnd w:id="705"/>
      <w:bookmarkEnd w:id="706"/>
      <w:bookmarkEnd w:id="707"/>
    </w:p>
    <w:p w14:paraId="1BD12A59" w14:textId="77777777" w:rsidR="004C3995" w:rsidRPr="004A0212" w:rsidRDefault="004C3995" w:rsidP="004C3995">
      <w:pPr>
        <w:keepLines w:val="0"/>
        <w:rPr>
          <w:rFonts w:ascii="Arial" w:hAnsi="Arial" w:cs="Arial"/>
          <w:color w:val="3B5D1E" w:themeColor="accent4" w:themeShade="BF"/>
          <w:szCs w:val="26"/>
          <w:lang w:eastAsia="en-NZ"/>
        </w:rPr>
      </w:pPr>
      <w:r w:rsidRPr="004A0212">
        <w:rPr>
          <w:rFonts w:ascii="Arial" w:hAnsi="Arial" w:cs="Arial"/>
          <w:noProof/>
          <w:color w:val="3B5D1E" w:themeColor="accent4" w:themeShade="BF"/>
          <w:szCs w:val="26"/>
          <w:lang w:eastAsia="en-NZ"/>
        </w:rPr>
        <w:drawing>
          <wp:inline distT="0" distB="0" distL="0" distR="0" wp14:anchorId="4524020F" wp14:editId="116FC940">
            <wp:extent cx="4906060" cy="3153215"/>
            <wp:effectExtent l="0" t="0" r="8890" b="9525"/>
            <wp:docPr id="1254283513" name="Picture 1" descr="A diagram of a famil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94851" name="Picture 1" descr="A diagram of a family tree&#10;&#10;Description automatically generated"/>
                    <pic:cNvPicPr/>
                  </pic:nvPicPr>
                  <pic:blipFill>
                    <a:blip r:embed="rId23"/>
                    <a:stretch>
                      <a:fillRect/>
                    </a:stretch>
                  </pic:blipFill>
                  <pic:spPr>
                    <a:xfrm>
                      <a:off x="0" y="0"/>
                      <a:ext cx="4906060" cy="3153215"/>
                    </a:xfrm>
                    <a:prstGeom prst="rect">
                      <a:avLst/>
                    </a:prstGeom>
                  </pic:spPr>
                </pic:pic>
              </a:graphicData>
            </a:graphic>
          </wp:inline>
        </w:drawing>
      </w:r>
    </w:p>
    <w:p w14:paraId="42525134" w14:textId="77777777" w:rsidR="004C3995" w:rsidRPr="004A0212" w:rsidRDefault="1526C45E" w:rsidP="004C3995">
      <w:pPr>
        <w:pStyle w:val="Heading3"/>
      </w:pPr>
      <w:bookmarkStart w:id="708" w:name="_Toc165441907"/>
      <w:bookmarkStart w:id="709" w:name="_Toc1099693275"/>
      <w:bookmarkStart w:id="710" w:name="_Toc168639113"/>
      <w:proofErr w:type="spellStart"/>
      <w:r w:rsidRPr="004A0212">
        <w:t>Te</w:t>
      </w:r>
      <w:proofErr w:type="spellEnd"/>
      <w:r w:rsidRPr="004A0212">
        <w:t xml:space="preserve"> </w:t>
      </w:r>
      <w:proofErr w:type="spellStart"/>
      <w:r w:rsidRPr="004A0212">
        <w:t>Hāhi</w:t>
      </w:r>
      <w:proofErr w:type="spellEnd"/>
      <w:r w:rsidRPr="004A0212">
        <w:t xml:space="preserve"> Karaitiana o Plymouth Brethren | Plymouth Brethren Christian Church</w:t>
      </w:r>
      <w:bookmarkEnd w:id="708"/>
      <w:bookmarkEnd w:id="709"/>
      <w:bookmarkEnd w:id="710"/>
      <w:r w:rsidRPr="004A0212">
        <w:t xml:space="preserve"> </w:t>
      </w:r>
    </w:p>
    <w:p w14:paraId="6B020C8F" w14:textId="77777777" w:rsidR="004C3995" w:rsidRPr="004A0212" w:rsidRDefault="66EE1105" w:rsidP="004C3995">
      <w:pPr>
        <w:pStyle w:val="Numbparas"/>
      </w:pPr>
      <w:r w:rsidRPr="004A0212">
        <w:t>The Exclusive Brethren, more recently known as the Plymouth Brethren Christian Church, was established in England in the early 19</w:t>
      </w:r>
      <w:r w:rsidRPr="004A0212">
        <w:rPr>
          <w:vertAlign w:val="superscript"/>
        </w:rPr>
        <w:t>th</w:t>
      </w:r>
      <w:r w:rsidRPr="004A0212">
        <w:t xml:space="preserve"> century, and came to Aotearoa New Zealand in the 1850s. The Exclusive Brethren has about 50,000 members globally (across Australasia, Europe, the United Kingdom and the Americas), with around 9,006 members in Aotearoa New Zealand.</w:t>
      </w:r>
      <w:r w:rsidR="004C3995" w:rsidRPr="004A0212">
        <w:rPr>
          <w:rStyle w:val="StyleFootnoteReferenceFagoFunotenzeichenFagoFunotenzeichen"/>
        </w:rPr>
        <w:footnoteReference w:id="772"/>
      </w:r>
      <w:r w:rsidRPr="004A0212">
        <w:t xml:space="preserve"> Members refer to themselves as the </w:t>
      </w:r>
      <w:proofErr w:type="gramStart"/>
      <w:r w:rsidRPr="004A0212">
        <w:t>Brethren</w:t>
      </w:r>
      <w:proofErr w:type="gramEnd"/>
      <w:r w:rsidRPr="004A0212">
        <w:t xml:space="preserve">. </w:t>
      </w:r>
    </w:p>
    <w:p w14:paraId="48A8AD87" w14:textId="77777777" w:rsidR="004C3995" w:rsidRPr="004A0212" w:rsidRDefault="66EE1105" w:rsidP="004C3995">
      <w:pPr>
        <w:pStyle w:val="Numbparas"/>
      </w:pPr>
      <w:r w:rsidRPr="004A0212">
        <w:t>The Plymouth Brethren Christian Church in Aotearoa New Zealand is made up of 41 assemblies (or congregations). Each local assembly functions independently and is responsible for the pastoral care of the members in its district. The Brethren “consider themselves as one large family and matters of discipline decided in one assembly bind every assembly”.</w:t>
      </w:r>
      <w:r w:rsidR="004C3995" w:rsidRPr="004A0212">
        <w:rPr>
          <w:rStyle w:val="StyleFootnoteReferenceFagoFunotenzeichenFagoFunotenzeichen"/>
        </w:rPr>
        <w:footnoteReference w:id="773"/>
      </w:r>
      <w:r w:rsidRPr="004A0212">
        <w:t xml:space="preserve"> </w:t>
      </w:r>
    </w:p>
    <w:p w14:paraId="0A15FD52" w14:textId="77777777" w:rsidR="004C3995" w:rsidRPr="004A0212" w:rsidRDefault="66EE1105" w:rsidP="004C3995">
      <w:pPr>
        <w:pStyle w:val="Numbparas"/>
      </w:pPr>
      <w:r w:rsidRPr="004A0212">
        <w:t>Members meet at weekly prayer meetings, Bible reading meetings, the Lord’s Supper meetings and monthly care meetings.</w:t>
      </w:r>
      <w:r w:rsidR="004C3995" w:rsidRPr="004A0212">
        <w:rPr>
          <w:rStyle w:val="StyleFootnoteReferenceFagoFunotenzeichenFagoFunotenzeichen"/>
        </w:rPr>
        <w:footnoteReference w:id="774"/>
      </w:r>
    </w:p>
    <w:p w14:paraId="08A3EE23" w14:textId="19446197" w:rsidR="004C3995" w:rsidRPr="004A0212" w:rsidRDefault="66EE1105" w:rsidP="004C3995">
      <w:pPr>
        <w:pStyle w:val="Numbparas"/>
      </w:pPr>
      <w:r w:rsidRPr="004A0212">
        <w:t>The Plymouth Brethren Christian Church has no governing constituent documents other than the Bible. It does not have a formal organisational structure.</w:t>
      </w:r>
      <w:r w:rsidR="004C3995" w:rsidRPr="004A0212">
        <w:rPr>
          <w:rStyle w:val="StyleFootnoteReferenceFagoFunotenzeichenFagoFunotenzeichen"/>
        </w:rPr>
        <w:footnoteReference w:id="775"/>
      </w:r>
      <w:r w:rsidRPr="004A0212">
        <w:t xml:space="preserve"> The most senior leader is Bruce Hales, who lives in Sydney, Australia, but there are no official positions, nor is there an established hierarchy.</w:t>
      </w:r>
      <w:r w:rsidR="004C3995" w:rsidRPr="004A0212">
        <w:rPr>
          <w:rStyle w:val="StyleFootnoteReferenceFagoFunotenzeichenFagoFunotenzeichen"/>
        </w:rPr>
        <w:footnoteReference w:id="776"/>
      </w:r>
      <w:r w:rsidRPr="004A0212">
        <w:t xml:space="preserve"> </w:t>
      </w:r>
    </w:p>
    <w:p w14:paraId="13F362CC" w14:textId="77777777" w:rsidR="004C3995" w:rsidRPr="004A0212" w:rsidRDefault="66EE1105" w:rsidP="004C3995">
      <w:pPr>
        <w:pStyle w:val="Numbparas"/>
      </w:pPr>
      <w:r w:rsidRPr="004A0212">
        <w:t>The Plymouth Brethren Christian Church told the Inquiry that elders meet at annual global meetings, where teachings about scripture are shared.</w:t>
      </w:r>
      <w:r w:rsidR="004C3995" w:rsidRPr="004A0212">
        <w:rPr>
          <w:rStyle w:val="StyleFootnoteReferenceFagoFunotenzeichenFagoFunotenzeichen"/>
        </w:rPr>
        <w:footnoteReference w:id="777"/>
      </w:r>
      <w:r w:rsidRPr="004A0212">
        <w:t xml:space="preserve"> </w:t>
      </w:r>
    </w:p>
    <w:p w14:paraId="7B21FAC8" w14:textId="77777777" w:rsidR="004C3995" w:rsidRPr="004A0212" w:rsidRDefault="66EE1105" w:rsidP="004C3995">
      <w:pPr>
        <w:pStyle w:val="Numbparas"/>
      </w:pPr>
      <w:r w:rsidRPr="004A0212">
        <w:t>Elders take a lead in ministering the word of God; they help co-ordinate and lead in Bible reading meetings and seek to provide guidance and pastoral care when required. There is no formal process to select elders and it is not possible to apply to become an elder.</w:t>
      </w:r>
      <w:r w:rsidR="004C3995" w:rsidRPr="004A0212">
        <w:rPr>
          <w:rStyle w:val="StyleFootnoteReferenceFagoFunotenzeichenFagoFunotenzeichen"/>
        </w:rPr>
        <w:footnoteReference w:id="778"/>
      </w:r>
      <w:r w:rsidRPr="004A0212">
        <w:t xml:space="preserve"> </w:t>
      </w:r>
    </w:p>
    <w:p w14:paraId="619EC038" w14:textId="6F60A58F" w:rsidR="004C3995" w:rsidRPr="004A0212" w:rsidRDefault="66EE1105" w:rsidP="004C3995">
      <w:pPr>
        <w:pStyle w:val="Numbparas"/>
      </w:pPr>
      <w:r w:rsidRPr="004A0212">
        <w:t>A person comes to be recognised as an elder by their assembly over time due to their wisdom and experience. They are not ordained.</w:t>
      </w:r>
      <w:r w:rsidR="004C3995" w:rsidRPr="004A0212">
        <w:rPr>
          <w:rStyle w:val="StyleFootnoteReferenceFagoFunotenzeichenFagoFunotenzeichen"/>
        </w:rPr>
        <w:footnoteReference w:id="779"/>
      </w:r>
      <w:r w:rsidRPr="004A0212">
        <w:t> Elders are not employed by the Plymouth Brethren Christian Church and do not receive any remuneration. Elders are not required to undergo any specific training and are not subject to any formal supervision or oversight.</w:t>
      </w:r>
      <w:r w:rsidR="004C3995" w:rsidRPr="004A0212">
        <w:rPr>
          <w:rStyle w:val="StyleFootnoteReferenceFagoFunotenzeichenFagoFunotenzeichen"/>
        </w:rPr>
        <w:footnoteReference w:id="780"/>
      </w:r>
      <w:r w:rsidRPr="004A0212">
        <w:t xml:space="preserve"> The Plymouth Brethren Christian Church states however that “elders would be expected to be familiar with the holy scriptures and the ministries of the current and former senior leaders of the </w:t>
      </w:r>
      <w:r w:rsidR="42B32899" w:rsidRPr="004A0212">
        <w:t xml:space="preserve">Plymouth Brethren Christian Church </w:t>
      </w:r>
      <w:r w:rsidRPr="004A0212">
        <w:t>and are subject to the scrutiny of their fellow elders and their own local assembly”.</w:t>
      </w:r>
      <w:r w:rsidR="004C3995" w:rsidRPr="004A0212">
        <w:rPr>
          <w:rStyle w:val="StyleFootnoteReferenceFagoFunotenzeichenFagoFunotenzeichen"/>
        </w:rPr>
        <w:footnoteReference w:id="781"/>
      </w:r>
    </w:p>
    <w:p w14:paraId="2240FE09" w14:textId="0AA8FCC3" w:rsidR="004C3995" w:rsidRPr="004A0212" w:rsidRDefault="1526C45E" w:rsidP="4254EAC9">
      <w:pPr>
        <w:pStyle w:val="Heading3"/>
        <w:rPr>
          <w:rFonts w:eastAsia="Calibri"/>
          <w:color w:val="222222"/>
          <w:sz w:val="22"/>
          <w:szCs w:val="22"/>
          <w:shd w:val="clear" w:color="auto" w:fill="FFFFFF"/>
        </w:rPr>
      </w:pPr>
      <w:bookmarkStart w:id="711" w:name="_Toc165441908"/>
      <w:bookmarkStart w:id="712" w:name="_Toc1307959541"/>
      <w:bookmarkStart w:id="713" w:name="_Toc168639114"/>
      <w:r w:rsidRPr="000C0692">
        <w:rPr>
          <w:rFonts w:eastAsia="Calibri"/>
          <w:color w:val="222222"/>
          <w:sz w:val="22"/>
          <w:szCs w:val="22"/>
          <w:shd w:val="clear" w:color="auto" w:fill="FFFFFF"/>
        </w:rPr>
        <w:t>Overview of structure and functions of the Plymouth Brethren Christian Church</w:t>
      </w:r>
      <w:bookmarkEnd w:id="711"/>
      <w:bookmarkEnd w:id="712"/>
      <w:bookmarkEnd w:id="713"/>
    </w:p>
    <w:p w14:paraId="325E6302" w14:textId="77777777" w:rsidR="004C3995" w:rsidRPr="004A0212" w:rsidRDefault="004C3995" w:rsidP="004C3995">
      <w:pPr>
        <w:rPr>
          <w:lang w:eastAsia="en-NZ"/>
        </w:rPr>
      </w:pPr>
      <w:r w:rsidRPr="004A0212">
        <w:rPr>
          <w:noProof/>
          <w:lang w:eastAsia="en-NZ"/>
        </w:rPr>
        <w:drawing>
          <wp:inline distT="0" distB="0" distL="0" distR="0" wp14:anchorId="088860E3" wp14:editId="72F9A6A0">
            <wp:extent cx="3276768" cy="3245017"/>
            <wp:effectExtent l="0" t="0" r="0" b="0"/>
            <wp:docPr id="1766102418"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65319" name="Picture 1" descr="A screenshot of a website&#10;&#10;Description automatically generated"/>
                    <pic:cNvPicPr/>
                  </pic:nvPicPr>
                  <pic:blipFill>
                    <a:blip r:embed="rId24"/>
                    <a:stretch>
                      <a:fillRect/>
                    </a:stretch>
                  </pic:blipFill>
                  <pic:spPr>
                    <a:xfrm>
                      <a:off x="0" y="0"/>
                      <a:ext cx="3276768" cy="3245017"/>
                    </a:xfrm>
                    <a:prstGeom prst="rect">
                      <a:avLst/>
                    </a:prstGeom>
                  </pic:spPr>
                </pic:pic>
              </a:graphicData>
            </a:graphic>
          </wp:inline>
        </w:drawing>
      </w:r>
    </w:p>
    <w:p w14:paraId="6A08FEFE" w14:textId="1C8902AE" w:rsidR="004C3995" w:rsidRPr="004A0212" w:rsidRDefault="1526C45E" w:rsidP="004C3995">
      <w:pPr>
        <w:pStyle w:val="Heading3"/>
      </w:pPr>
      <w:bookmarkStart w:id="714" w:name="_Toc165441909"/>
      <w:bookmarkStart w:id="715" w:name="_Toc448265593"/>
      <w:bookmarkStart w:id="716" w:name="_Toc168639115"/>
      <w:proofErr w:type="spellStart"/>
      <w:r w:rsidRPr="004A0212">
        <w:t>Ngā</w:t>
      </w:r>
      <w:proofErr w:type="spellEnd"/>
      <w:r w:rsidRPr="004A0212">
        <w:t xml:space="preserve"> </w:t>
      </w:r>
      <w:proofErr w:type="spellStart"/>
      <w:r w:rsidRPr="004A0212">
        <w:t>Kaiwhakapae</w:t>
      </w:r>
      <w:proofErr w:type="spellEnd"/>
      <w:r w:rsidRPr="004A0212">
        <w:t xml:space="preserve"> o Ihowa | Jehovah’s Witnesses</w:t>
      </w:r>
      <w:bookmarkEnd w:id="714"/>
      <w:bookmarkEnd w:id="715"/>
      <w:bookmarkEnd w:id="716"/>
      <w:r w:rsidRPr="004A0212">
        <w:t xml:space="preserve"> </w:t>
      </w:r>
    </w:p>
    <w:p w14:paraId="4A7227C7" w14:textId="77777777" w:rsidR="00D21348" w:rsidRPr="004A0212" w:rsidRDefault="66EE1105" w:rsidP="00DC5252">
      <w:pPr>
        <w:pStyle w:val="Numbparas"/>
      </w:pPr>
      <w:r w:rsidRPr="004A0212">
        <w:t xml:space="preserve">The Jehovah’s Witnesses organisation was founded in </w:t>
      </w:r>
      <w:r w:rsidR="00806DE6" w:rsidRPr="004A0212">
        <w:t xml:space="preserve">Pennsylvania </w:t>
      </w:r>
      <w:r w:rsidRPr="004A0212">
        <w:t xml:space="preserve">in the United States in the late 19th century. </w:t>
      </w:r>
      <w:r w:rsidR="00D21348" w:rsidRPr="004A0212">
        <w:t>Today the religion has 8.8 million active members in 239 countries.</w:t>
      </w:r>
      <w:r w:rsidR="00D21348" w:rsidRPr="004A0212">
        <w:rPr>
          <w:rStyle w:val="StyleFootnoteReferenceFagoFunotenzeichenFagoFunotenzeichen"/>
        </w:rPr>
        <w:footnoteReference w:id="782"/>
      </w:r>
    </w:p>
    <w:p w14:paraId="762B4A1C" w14:textId="186CDDF4" w:rsidR="004C3995" w:rsidRPr="004A0212" w:rsidRDefault="66EE1105" w:rsidP="004C3995">
      <w:pPr>
        <w:pStyle w:val="Numbparas"/>
      </w:pPr>
      <w:r w:rsidRPr="004A0212">
        <w:t>The Jehovah’s Witnesses organisation has been active in New Zealand since 1898, and according to the 2018 census, now has over 20,000 members in this country.</w:t>
      </w:r>
      <w:r w:rsidR="004C3995" w:rsidRPr="004A0212">
        <w:rPr>
          <w:rStyle w:val="StyleFootnoteReferenceFagoFunotenzeichenFagoFunotenzeichen"/>
        </w:rPr>
        <w:footnoteReference w:id="783"/>
      </w:r>
    </w:p>
    <w:p w14:paraId="4233EB1E" w14:textId="2F949AFA" w:rsidR="00A061A7" w:rsidRPr="004A0212" w:rsidRDefault="00A061A7" w:rsidP="006235F6">
      <w:pPr>
        <w:pStyle w:val="Numbparas"/>
        <w:rPr>
          <w:rStyle w:val="StyleFootnoteReferenceFagoFunotenzeichenFagoFunotenzeichen"/>
        </w:rPr>
      </w:pPr>
      <w:r w:rsidRPr="004A0212">
        <w:t>The faith in Aotearoa New Zealand is divided into congregations. A congregation comprises publishers (also referred to as members).  Some publishers serve as ministerial servants and Elders. In Aotearoa New Zealand around 228 individual Jehovah’s Witness congregations are or have been registered on the Charities Register.</w:t>
      </w:r>
      <w:r w:rsidRPr="004A0212">
        <w:rPr>
          <w:rStyle w:val="StyleFootnoteReferenceFagoFunotenzeichenFagoFunotenzeichen"/>
        </w:rPr>
        <w:footnoteReference w:id="784"/>
      </w:r>
      <w:r w:rsidRPr="004A0212">
        <w:rPr>
          <w:rStyle w:val="StyleFootnoteReferenceFagoFunotenzeichenFagoFunotenzeichen"/>
        </w:rPr>
        <w:t xml:space="preserve"> </w:t>
      </w:r>
      <w:r w:rsidRPr="004A0212">
        <w:t xml:space="preserve"> In addition, there are charities that support the activities of the Jehovah’s Witnesses at a national level, for example, New Zealand Association of Jehovah’s Witnesses, which is also a registered charity</w:t>
      </w:r>
      <w:r w:rsidR="00433505" w:rsidRPr="004A0212">
        <w:t>.</w:t>
      </w:r>
      <w:r w:rsidRPr="004A0212">
        <w:rPr>
          <w:rStyle w:val="StyleFootnoteReferenceFagoFunotenzeichenFagoFunotenzeichen"/>
        </w:rPr>
        <w:footnoteReference w:id="785"/>
      </w:r>
    </w:p>
    <w:p w14:paraId="47653698" w14:textId="7B6F65D8" w:rsidR="009B38BA" w:rsidRPr="004A0212" w:rsidRDefault="009B38BA" w:rsidP="009B38BA">
      <w:pPr>
        <w:pStyle w:val="Numbparas"/>
        <w:rPr>
          <w:rStyle w:val="StyleFootnoteReferenceFagoFunotenzeichenFagoFunotenzeichen"/>
        </w:rPr>
      </w:pPr>
      <w:r w:rsidRPr="004A0212">
        <w:t>Directions and guidance on the faith’s worldwide activities are overseen by the Governing Body based in New York.  The Governing Body is a council of Jehovah’s Witness Elders, or self-described “mature Christians” who look to Jehovah (God) and to Jesus Christ for direction in all matters and provide “unified theocratic direction to Branch and Country committee members worldwide”.</w:t>
      </w:r>
      <w:r w:rsidRPr="004A0212">
        <w:rPr>
          <w:rStyle w:val="StyleFootnoteReferenceFagoFunotenzeichenFagoFunotenzeichen"/>
        </w:rPr>
        <w:footnoteReference w:id="786"/>
      </w:r>
      <w:r w:rsidRPr="004A0212">
        <w:rPr>
          <w:rStyle w:val="StyleFootnoteReferenceFagoFunotenzeichenFagoFunotenzeichen"/>
        </w:rPr>
        <w:t xml:space="preserve"> </w:t>
      </w:r>
      <w:r w:rsidRPr="004A0212">
        <w:t xml:space="preserve"> The size of the Governing Body has varied, from seven to 18 men, with all based in New York and voted in by existing Governing Body members.  There are currently nine members.  The faith considers that all baptised congregants, men and women, are “ministers” in the faith</w:t>
      </w:r>
      <w:r w:rsidR="00433505" w:rsidRPr="004A0212">
        <w:t>.</w:t>
      </w:r>
      <w:r w:rsidRPr="004A0212">
        <w:rPr>
          <w:rStyle w:val="StyleFootnoteReferenceFagoFunotenzeichenFagoFunotenzeichen"/>
        </w:rPr>
        <w:footnoteReference w:id="787"/>
      </w:r>
      <w:r w:rsidRPr="004A0212">
        <w:rPr>
          <w:rStyle w:val="StyleFootnoteReferenceFagoFunotenzeichenFagoFunotenzeichen"/>
        </w:rPr>
        <w:t xml:space="preserve"> </w:t>
      </w:r>
    </w:p>
    <w:p w14:paraId="2DCC007D" w14:textId="51DAB5C7" w:rsidR="00340905" w:rsidRPr="004A0212" w:rsidRDefault="00B95EED" w:rsidP="00DC5252">
      <w:pPr>
        <w:pStyle w:val="Numbparas"/>
      </w:pPr>
      <w:r w:rsidRPr="004A0212">
        <w:t>The Governing Body supervises more than 90 branches worldwide</w:t>
      </w:r>
      <w:r w:rsidR="00B2257B" w:rsidRPr="004A0212">
        <w:t>.</w:t>
      </w:r>
      <w:r w:rsidRPr="004A0212">
        <w:t xml:space="preserve"> </w:t>
      </w:r>
      <w:r w:rsidR="00340905" w:rsidRPr="004A0212">
        <w:t>In each country or region, there is a Branch Office. The Branch Office is overseen by a Branch Committee. The Branch Office coordinates the religious activity of Jehovah’s Witnesses in its country or geographical area.  Although religious direction and guidance comes from its headquarters in New York, the Jehovah’s Witnesses in Aotearoa New Zealand are coordinated by the Australasia Branch Office of Jehovah’s Witnesses, from its head office in Sydney.</w:t>
      </w:r>
    </w:p>
    <w:p w14:paraId="32AC3A08" w14:textId="02321C12" w:rsidR="00340905" w:rsidRPr="004A0212" w:rsidRDefault="00340905" w:rsidP="00DC5252">
      <w:pPr>
        <w:pStyle w:val="Numbparas"/>
      </w:pPr>
      <w:r w:rsidRPr="004A0212">
        <w:t>Each Branch Office has a Service Department and a Legal Department.</w:t>
      </w:r>
      <w:r w:rsidRPr="004A0212">
        <w:rPr>
          <w:rStyle w:val="StyleFootnoteReferenceFagoFunotenzeichenFagoFunotenzeichen"/>
        </w:rPr>
        <w:footnoteReference w:id="788"/>
      </w:r>
      <w:r w:rsidRPr="004A0212">
        <w:rPr>
          <w:rStyle w:val="StyleFootnoteReferenceFagoFunotenzeichenFagoFunotenzeichen"/>
        </w:rPr>
        <w:t xml:space="preserve"> </w:t>
      </w:r>
      <w:r w:rsidRPr="004A0212">
        <w:t xml:space="preserve"> The Service Department provides guidance to congregation Elders on implementing the child safeguarding policies of the faith, amongst other matters, and the Legal Department provides legal advice to the Branch Office and to congregation Elders.</w:t>
      </w:r>
      <w:r w:rsidRPr="004A0212">
        <w:rPr>
          <w:rStyle w:val="StyleFootnoteReferenceFagoFunotenzeichenFagoFunotenzeichen"/>
        </w:rPr>
        <w:footnoteReference w:id="789"/>
      </w:r>
      <w:r w:rsidRPr="004A0212">
        <w:rPr>
          <w:rStyle w:val="StyleFootnoteReferenceFagoFunotenzeichenFagoFunotenzeichen"/>
        </w:rPr>
        <w:t xml:space="preserve"> </w:t>
      </w:r>
    </w:p>
    <w:p w14:paraId="3ACC9A6C" w14:textId="227CB77E" w:rsidR="00340905" w:rsidRPr="004A0212" w:rsidRDefault="00340905" w:rsidP="00DC5252">
      <w:pPr>
        <w:pStyle w:val="Numbparas"/>
      </w:pPr>
      <w:r w:rsidRPr="004A0212">
        <w:t>Approximately 20 congregations of Jehovah’s Witnesses are grouped together into a “circuit”. The spiritual needs of those groups of congregations are addressed by an experienced Elder known as a “circuit overseer “(also called a “travelling overseer”). Circuit overseers appoint congregation Elders. These appointments are based on a recommendation from the congregation’s body of Elders, who look to passages in scripture to determine the “good qualities” of a man (as with the Governing Body, all Elders are male).</w:t>
      </w:r>
      <w:r w:rsidRPr="004A0212">
        <w:rPr>
          <w:rStyle w:val="StyleFootnoteReferenceFagoFunotenzeichenFagoFunotenzeichen"/>
        </w:rPr>
        <w:footnoteReference w:id="790"/>
      </w:r>
      <w:r w:rsidRPr="004A0212">
        <w:t xml:space="preserve"> Circuit overseers also decide, based on the recommendation of the body of Elders, whether an Elder should be “deleted” because he no longer meets the spiritual qualifications.</w:t>
      </w:r>
      <w:r w:rsidRPr="004A0212">
        <w:rPr>
          <w:rStyle w:val="StyleFootnoteReferenceFagoFunotenzeichenFagoFunotenzeichen"/>
        </w:rPr>
        <w:footnoteReference w:id="791"/>
      </w:r>
    </w:p>
    <w:p w14:paraId="564CF2AE" w14:textId="46C70799" w:rsidR="00340905" w:rsidRPr="004A0212" w:rsidRDefault="00340905" w:rsidP="00DC5252">
      <w:pPr>
        <w:pStyle w:val="Numbparas"/>
        <w:rPr>
          <w:rStyle w:val="StyleFootnoteReferenceFagoFunotenzeichenFagoFunotenzeichen"/>
        </w:rPr>
      </w:pPr>
      <w:r w:rsidRPr="004A0212">
        <w:t xml:space="preserve">Congregational responsibilities sit with Elders and ministerial servants. Only men are eligible for these roles. </w:t>
      </w:r>
      <w:r w:rsidR="00B44F08" w:rsidRPr="004A0212">
        <w:t>I</w:t>
      </w:r>
      <w:r w:rsidRPr="004A0212">
        <w:t>n 2023 there were around 1,576 Elders within Aotearoa New Zealand.</w:t>
      </w:r>
      <w:r w:rsidRPr="004A0212">
        <w:rPr>
          <w:rStyle w:val="StyleFootnoteReferenceFagoFunotenzeichenFagoFunotenzeichen"/>
        </w:rPr>
        <w:footnoteReference w:id="792"/>
      </w:r>
    </w:p>
    <w:p w14:paraId="6106E80F" w14:textId="77777777" w:rsidR="00340905" w:rsidRPr="004A0212" w:rsidRDefault="00340905" w:rsidP="00340905"/>
    <w:p w14:paraId="43A981E7" w14:textId="1B772BEB" w:rsidR="00BA7831" w:rsidRPr="00BA7831" w:rsidRDefault="00BA7831" w:rsidP="00340905">
      <w:pPr>
        <w:rPr>
          <w:rFonts w:ascii="Arial" w:hAnsi="Arial" w:cs="Arial"/>
          <w:sz w:val="22"/>
        </w:rPr>
      </w:pPr>
      <w:r w:rsidRPr="00BA7831">
        <w:rPr>
          <w:rFonts w:ascii="Arial" w:hAnsi="Arial" w:cs="Arial"/>
          <w:sz w:val="22"/>
        </w:rPr>
        <w:t>[survivor quote]</w:t>
      </w:r>
    </w:p>
    <w:p w14:paraId="38A3FB60" w14:textId="6146E9FE" w:rsidR="00BA7831" w:rsidRPr="00ED3265" w:rsidRDefault="004713F5" w:rsidP="00ED3265">
      <w:pPr>
        <w:pStyle w:val="AllQuotes"/>
        <w:rPr>
          <w:b/>
        </w:rPr>
      </w:pPr>
      <w:r w:rsidRPr="00ED3265">
        <w:rPr>
          <w:b/>
        </w:rPr>
        <w:t xml:space="preserve">“I had no voice at </w:t>
      </w:r>
      <w:proofErr w:type="spellStart"/>
      <w:r w:rsidRPr="00ED3265">
        <w:rPr>
          <w:b/>
        </w:rPr>
        <w:t>Ōwairaka</w:t>
      </w:r>
      <w:proofErr w:type="spellEnd"/>
      <w:r w:rsidRPr="00ED3265">
        <w:rPr>
          <w:b/>
        </w:rPr>
        <w:t xml:space="preserve">, but when I got </w:t>
      </w:r>
      <w:proofErr w:type="gramStart"/>
      <w:r w:rsidRPr="00ED3265">
        <w:rPr>
          <w:b/>
        </w:rPr>
        <w:t>out</w:t>
      </w:r>
      <w:proofErr w:type="gramEnd"/>
      <w:r w:rsidRPr="00ED3265">
        <w:rPr>
          <w:b/>
        </w:rPr>
        <w:t xml:space="preserve"> I told my parents about what had happened there. They went to the police, which is what you are supposed to do, but the police refused to believe them. We felt helpless, like we had no voice. I turned to drugs and alcohol to numb the pain I felt.”</w:t>
      </w:r>
    </w:p>
    <w:p w14:paraId="788BA942" w14:textId="5505DFB3" w:rsidR="00ED3265" w:rsidRPr="00ED3265" w:rsidRDefault="00ED3265" w:rsidP="00ED3265">
      <w:pPr>
        <w:pStyle w:val="AllQuotes"/>
        <w:rPr>
          <w:b/>
        </w:rPr>
      </w:pPr>
      <w:r w:rsidRPr="00ED3265">
        <w:rPr>
          <w:b/>
        </w:rPr>
        <w:t>Andrew Brown</w:t>
      </w:r>
    </w:p>
    <w:p w14:paraId="2D3AB6C3" w14:textId="451D7069" w:rsidR="00ED3265" w:rsidRPr="00ED3265" w:rsidRDefault="00ED3265" w:rsidP="00ED3265">
      <w:pPr>
        <w:pStyle w:val="AllQuotes"/>
        <w:rPr>
          <w:b/>
        </w:rPr>
      </w:pPr>
      <w:r w:rsidRPr="00ED3265">
        <w:rPr>
          <w:b/>
        </w:rPr>
        <w:t xml:space="preserve">Māori, </w:t>
      </w:r>
      <w:proofErr w:type="spellStart"/>
      <w:r w:rsidRPr="00ED3265">
        <w:rPr>
          <w:b/>
        </w:rPr>
        <w:t>Moriori</w:t>
      </w:r>
      <w:proofErr w:type="spellEnd"/>
      <w:r w:rsidRPr="00ED3265">
        <w:rPr>
          <w:b/>
        </w:rPr>
        <w:t>, English, Welsh</w:t>
      </w:r>
    </w:p>
    <w:p w14:paraId="4B3DE3C9" w14:textId="153C8254" w:rsidR="004C3995" w:rsidRPr="004A0212" w:rsidRDefault="004C3995" w:rsidP="004C3995">
      <w:pPr>
        <w:keepLines w:val="0"/>
        <w:rPr>
          <w:rFonts w:ascii="Arial" w:hAnsi="Arial" w:cs="Arial"/>
          <w:b/>
          <w:bCs/>
          <w:color w:val="3B5D1E" w:themeColor="accent4" w:themeShade="BF"/>
          <w:szCs w:val="28"/>
          <w:lang w:eastAsia="en-NZ"/>
        </w:rPr>
      </w:pPr>
    </w:p>
    <w:p w14:paraId="6361A370" w14:textId="1714D2F9" w:rsidR="004C3995" w:rsidRPr="004A0212" w:rsidRDefault="5C187C39" w:rsidP="004C3995">
      <w:pPr>
        <w:pStyle w:val="Heading2"/>
      </w:pPr>
      <w:bookmarkStart w:id="717" w:name="_Toc168639116"/>
      <w:proofErr w:type="spellStart"/>
      <w:r w:rsidRPr="004A0212">
        <w:t>Ngā</w:t>
      </w:r>
      <w:proofErr w:type="spellEnd"/>
      <w:r w:rsidRPr="004A0212">
        <w:t xml:space="preserve"> </w:t>
      </w:r>
      <w:proofErr w:type="spellStart"/>
      <w:r w:rsidRPr="004A0212">
        <w:t>whakaritenga</w:t>
      </w:r>
      <w:proofErr w:type="spellEnd"/>
      <w:r w:rsidRPr="004A0212">
        <w:t xml:space="preserve"> </w:t>
      </w:r>
      <w:proofErr w:type="spellStart"/>
      <w:r w:rsidRPr="004A0212">
        <w:t>tuāpapa‑whakapono</w:t>
      </w:r>
      <w:proofErr w:type="spellEnd"/>
      <w:r w:rsidRPr="004A0212">
        <w:t xml:space="preserve"> </w:t>
      </w:r>
      <w:proofErr w:type="spellStart"/>
      <w:r w:rsidRPr="004A0212">
        <w:t>i</w:t>
      </w:r>
      <w:proofErr w:type="spellEnd"/>
      <w:r w:rsidRPr="004A0212">
        <w:t xml:space="preserve"> </w:t>
      </w:r>
      <w:proofErr w:type="spellStart"/>
      <w:r w:rsidRPr="004A0212">
        <w:t>te</w:t>
      </w:r>
      <w:proofErr w:type="spellEnd"/>
      <w:r w:rsidRPr="004A0212">
        <w:t xml:space="preserve"> </w:t>
      </w:r>
      <w:proofErr w:type="spellStart"/>
      <w:r w:rsidRPr="004A0212">
        <w:t>wā</w:t>
      </w:r>
      <w:proofErr w:type="spellEnd"/>
      <w:r w:rsidRPr="004A0212">
        <w:t xml:space="preserve"> o </w:t>
      </w:r>
      <w:proofErr w:type="spellStart"/>
      <w:r w:rsidRPr="004A0212">
        <w:t>te</w:t>
      </w:r>
      <w:proofErr w:type="spellEnd"/>
      <w:r w:rsidRPr="004A0212">
        <w:t xml:space="preserve"> </w:t>
      </w:r>
      <w:proofErr w:type="spellStart"/>
      <w:r w:rsidRPr="004A0212">
        <w:t>Pakirehua</w:t>
      </w:r>
      <w:bookmarkEnd w:id="717"/>
      <w:proofErr w:type="spellEnd"/>
      <w:r w:rsidRPr="004A0212">
        <w:t xml:space="preserve"> </w:t>
      </w:r>
    </w:p>
    <w:p w14:paraId="205885BD" w14:textId="754FCD2E" w:rsidR="004C3995" w:rsidRPr="004A0212" w:rsidRDefault="1526C45E" w:rsidP="004C3995">
      <w:pPr>
        <w:pStyle w:val="Heading2"/>
      </w:pPr>
      <w:bookmarkStart w:id="718" w:name="_Toc165441956"/>
      <w:bookmarkStart w:id="719" w:name="_Toc1892054360"/>
      <w:bookmarkStart w:id="720" w:name="_Toc168639117"/>
      <w:r w:rsidRPr="004A0212">
        <w:t>Faith-based care settings during the Inquiry period</w:t>
      </w:r>
      <w:bookmarkEnd w:id="718"/>
      <w:bookmarkEnd w:id="719"/>
      <w:bookmarkEnd w:id="720"/>
    </w:p>
    <w:p w14:paraId="7F0F76D4" w14:textId="2173797F" w:rsidR="004C3995" w:rsidRPr="004A0212" w:rsidRDefault="66EE1105" w:rsidP="004C3995">
      <w:pPr>
        <w:pStyle w:val="AllNumbparas"/>
      </w:pPr>
      <w:r w:rsidRPr="004A0212">
        <w:t xml:space="preserve">The Inquiry’s Terms of Reference cover a broad variety of settings. As discussed in </w:t>
      </w:r>
      <w:r w:rsidRPr="000C0692">
        <w:t>Part 1,</w:t>
      </w:r>
      <w:r w:rsidRPr="004A0212">
        <w:t xml:space="preserve"> they include both direct </w:t>
      </w:r>
      <w:proofErr w:type="gramStart"/>
      <w:r w:rsidRPr="004A0212">
        <w:t>care</w:t>
      </w:r>
      <w:proofErr w:type="gramEnd"/>
      <w:r w:rsidRPr="004A0212">
        <w:t>, where the State or a faith-based institution is</w:t>
      </w:r>
      <w:r w:rsidR="6E3D4117" w:rsidRPr="004A0212">
        <w:t xml:space="preserve"> </w:t>
      </w:r>
      <w:r w:rsidRPr="004A0212">
        <w:t>directly providing care for an individual, or indirect care, where the State or a faith-based institution had people or entities providing care on their behalf.</w:t>
      </w:r>
    </w:p>
    <w:p w14:paraId="015B9748" w14:textId="77777777" w:rsidR="00EE444A" w:rsidRDefault="30329727" w:rsidP="004C3995">
      <w:pPr>
        <w:pStyle w:val="Heading3"/>
      </w:pPr>
      <w:bookmarkStart w:id="721" w:name="_Toc168639118"/>
      <w:bookmarkStart w:id="722" w:name="_Toc165441957"/>
      <w:bookmarkStart w:id="723" w:name="_Toc1104134896"/>
      <w:proofErr w:type="spellStart"/>
      <w:r w:rsidRPr="004A0212">
        <w:t>Kāinga</w:t>
      </w:r>
      <w:proofErr w:type="spellEnd"/>
      <w:r w:rsidRPr="004A0212">
        <w:t xml:space="preserve"> </w:t>
      </w:r>
      <w:proofErr w:type="spellStart"/>
      <w:r w:rsidRPr="004A0212">
        <w:t>taurima</w:t>
      </w:r>
      <w:proofErr w:type="spellEnd"/>
      <w:r w:rsidRPr="004A0212">
        <w:t xml:space="preserve"> </w:t>
      </w:r>
      <w:proofErr w:type="spellStart"/>
      <w:r w:rsidR="5068A635" w:rsidRPr="004A0212">
        <w:t>tamariki</w:t>
      </w:r>
      <w:proofErr w:type="spellEnd"/>
      <w:r w:rsidRPr="004A0212">
        <w:t xml:space="preserve"> me </w:t>
      </w:r>
      <w:proofErr w:type="spellStart"/>
      <w:r w:rsidRPr="004A0212">
        <w:t>ngā</w:t>
      </w:r>
      <w:proofErr w:type="spellEnd"/>
      <w:r w:rsidRPr="004A0212">
        <w:t xml:space="preserve"> </w:t>
      </w:r>
      <w:proofErr w:type="spellStart"/>
      <w:r w:rsidRPr="004A0212">
        <w:t>whare</w:t>
      </w:r>
      <w:proofErr w:type="spellEnd"/>
      <w:r w:rsidRPr="004A0212">
        <w:t xml:space="preserve"> </w:t>
      </w:r>
      <w:proofErr w:type="spellStart"/>
      <w:r w:rsidRPr="004A0212">
        <w:t>taurima</w:t>
      </w:r>
      <w:proofErr w:type="spellEnd"/>
      <w:r w:rsidRPr="004A0212">
        <w:t xml:space="preserve"> </w:t>
      </w:r>
      <w:proofErr w:type="spellStart"/>
      <w:r w:rsidRPr="004A0212">
        <w:t>tamariki</w:t>
      </w:r>
      <w:proofErr w:type="spellEnd"/>
      <w:r w:rsidRPr="004A0212">
        <w:t xml:space="preserve"> </w:t>
      </w:r>
      <w:proofErr w:type="spellStart"/>
      <w:r w:rsidRPr="004A0212">
        <w:t>pani</w:t>
      </w:r>
      <w:bookmarkEnd w:id="721"/>
      <w:proofErr w:type="spellEnd"/>
      <w:r w:rsidRPr="004A0212">
        <w:t xml:space="preserve"> </w:t>
      </w:r>
    </w:p>
    <w:p w14:paraId="0F4E94AF" w14:textId="050A90A4" w:rsidR="004C3995" w:rsidRPr="004A0212" w:rsidRDefault="30329727" w:rsidP="004C3995">
      <w:pPr>
        <w:pStyle w:val="Heading3"/>
      </w:pPr>
      <w:bookmarkStart w:id="724" w:name="_Toc168639119"/>
      <w:r w:rsidRPr="004A0212">
        <w:t>Faith-based children’s homes and orphanages</w:t>
      </w:r>
      <w:bookmarkEnd w:id="722"/>
      <w:bookmarkEnd w:id="723"/>
      <w:bookmarkEnd w:id="724"/>
    </w:p>
    <w:p w14:paraId="54AAC62E" w14:textId="77777777" w:rsidR="004C3995" w:rsidRPr="004A0212" w:rsidRDefault="66EE1105" w:rsidP="004C3995">
      <w:pPr>
        <w:pStyle w:val="AllNumbparas"/>
      </w:pPr>
      <w:r w:rsidRPr="004A0212">
        <w:t xml:space="preserve">At the beginning of the Inquiry period, faith-based institutions were among the largest providers of residential care for children in Aotearoa New Zealand. Many of the faiths ran children’s homes including the Catholic, Anglican and Methodist churches, the Presbyterian Support Organisations and The Salvation Army. </w:t>
      </w:r>
      <w:r w:rsidRPr="004A0212">
        <w:rPr>
          <w:rStyle w:val="normaltextrun"/>
        </w:rPr>
        <w:t>By 1960, 53 out of the 68 registered children’s homes were run by faith-based institutions.</w:t>
      </w:r>
      <w:r w:rsidR="004C3995" w:rsidRPr="004A0212">
        <w:rPr>
          <w:rStyle w:val="StyleFootnoteReferenceFagoFunotenzeichenFagoFunotenzeichen"/>
        </w:rPr>
        <w:footnoteReference w:id="793"/>
      </w:r>
    </w:p>
    <w:p w14:paraId="3681ACED" w14:textId="77777777" w:rsidR="004C3995" w:rsidRPr="004A0212" w:rsidRDefault="66EE1105" w:rsidP="004C3995">
      <w:pPr>
        <w:pStyle w:val="AllNumbparas"/>
      </w:pPr>
      <w:r w:rsidRPr="004A0212">
        <w:t>There were also receiving homes (or reception centres) which were short-term residences for babies and very young children, such as The Nest, run by The Salvation Army, or Catholic-run orphanages such as the Star of the Sea, or the Home of Compassion.</w:t>
      </w:r>
      <w:r w:rsidR="004C3995" w:rsidRPr="004A0212">
        <w:rPr>
          <w:rStyle w:val="StyleFootnoteReferenceFagoFunotenzeichenFagoFunotenzeichen"/>
        </w:rPr>
        <w:footnoteReference w:id="794"/>
      </w:r>
      <w:r w:rsidRPr="004A0212">
        <w:t xml:space="preserve"> </w:t>
      </w:r>
    </w:p>
    <w:p w14:paraId="27D3CE40" w14:textId="77777777" w:rsidR="004C3995" w:rsidRPr="004A0212" w:rsidRDefault="66EE1105" w:rsidP="004C3995">
      <w:pPr>
        <w:pStyle w:val="AllNumbparas"/>
      </w:pPr>
      <w:r w:rsidRPr="004A0212">
        <w:t>Across the Inquiry period, the Anglican, Presbyterian and Catholic Churches and The Salvation Army were affiliated with children’s homes. Research conducted by the Inquiry showed:</w:t>
      </w:r>
    </w:p>
    <w:p w14:paraId="039C320A" w14:textId="77777777" w:rsidR="004C3995" w:rsidRPr="004A0212" w:rsidRDefault="555847EE" w:rsidP="00EE444A">
      <w:pPr>
        <w:pStyle w:val="Bulletpoints"/>
      </w:pPr>
      <w:r w:rsidRPr="004A0212">
        <w:t xml:space="preserve">at least 15 homes affiliated with the Anglican church, in </w:t>
      </w:r>
      <w:proofErr w:type="spellStart"/>
      <w:r w:rsidRPr="004A0212">
        <w:t>Ōtepoti</w:t>
      </w:r>
      <w:proofErr w:type="spellEnd"/>
      <w:r w:rsidRPr="004A0212">
        <w:t xml:space="preserve"> Dunedin, </w:t>
      </w:r>
      <w:proofErr w:type="spellStart"/>
      <w:r w:rsidRPr="004A0212">
        <w:t>Ōtautahi</w:t>
      </w:r>
      <w:proofErr w:type="spellEnd"/>
      <w:r w:rsidRPr="004A0212">
        <w:t xml:space="preserve"> Christchurch, Timaru, </w:t>
      </w:r>
      <w:proofErr w:type="spellStart"/>
      <w:r w:rsidRPr="004A0212">
        <w:t>Whakatū</w:t>
      </w:r>
      <w:proofErr w:type="spellEnd"/>
      <w:r w:rsidRPr="004A0212">
        <w:t xml:space="preserve"> Nelson, </w:t>
      </w:r>
      <w:proofErr w:type="spellStart"/>
      <w:r w:rsidRPr="004A0212">
        <w:t>Te</w:t>
      </w:r>
      <w:proofErr w:type="spellEnd"/>
      <w:r w:rsidRPr="004A0212">
        <w:t> </w:t>
      </w:r>
      <w:proofErr w:type="spellStart"/>
      <w:r w:rsidRPr="004A0212">
        <w:t>Papaioea</w:t>
      </w:r>
      <w:proofErr w:type="spellEnd"/>
      <w:r w:rsidRPr="004A0212">
        <w:t xml:space="preserve"> Palmerston North, Te Matau-a-Māui Hawke’s Bay and Tāmaki Makaurau Auckland</w:t>
      </w:r>
      <w:r w:rsidR="004C3995" w:rsidRPr="004A0212">
        <w:rPr>
          <w:rStyle w:val="StyleFootnoteReferenceFagoFunotenzeichenFagoFunotenzeichen"/>
        </w:rPr>
        <w:footnoteReference w:id="795"/>
      </w:r>
    </w:p>
    <w:p w14:paraId="1A38535F" w14:textId="7C213CC8" w:rsidR="004C3995" w:rsidRPr="004A0212" w:rsidRDefault="25C3C3FA" w:rsidP="00EE444A">
      <w:pPr>
        <w:pStyle w:val="Bulletpoints"/>
      </w:pPr>
      <w:r w:rsidRPr="004A0212">
        <w:t>at least</w:t>
      </w:r>
      <w:r w:rsidRPr="004A0212" w:rsidDel="00152825">
        <w:t xml:space="preserve"> </w:t>
      </w:r>
      <w:r w:rsidRPr="004A0212">
        <w:t xml:space="preserve">18 homes affiliated with the Presbyterian Church, in </w:t>
      </w:r>
      <w:proofErr w:type="spellStart"/>
      <w:r w:rsidRPr="004A0212">
        <w:t>Waih</w:t>
      </w:r>
      <w:r w:rsidR="3E1EF1DC" w:rsidRPr="004A0212">
        <w:t>ō</w:t>
      </w:r>
      <w:r w:rsidRPr="004A0212">
        <w:t>pai</w:t>
      </w:r>
      <w:proofErr w:type="spellEnd"/>
      <w:r w:rsidRPr="004A0212">
        <w:t xml:space="preserve"> Invercargill, </w:t>
      </w:r>
      <w:proofErr w:type="spellStart"/>
      <w:r w:rsidRPr="004A0212">
        <w:t>Ōtepoti</w:t>
      </w:r>
      <w:proofErr w:type="spellEnd"/>
      <w:r w:rsidRPr="004A0212">
        <w:t xml:space="preserve"> Dunedin, Lawrence (in Otago), </w:t>
      </w:r>
      <w:proofErr w:type="spellStart"/>
      <w:r w:rsidRPr="004A0212">
        <w:t>Ōtautahi</w:t>
      </w:r>
      <w:proofErr w:type="spellEnd"/>
      <w:r w:rsidRPr="004A0212">
        <w:t xml:space="preserve"> Christchurch, Timaru, Whanganui, Te Matau-a-Māui Hawke’s Bay and Tāmaki Makaurau Auckland</w:t>
      </w:r>
      <w:r w:rsidR="004C3995" w:rsidRPr="004A0212">
        <w:rPr>
          <w:rStyle w:val="StyleFootnoteReferenceFagoFunotenzeichenFagoFunotenzeichen"/>
        </w:rPr>
        <w:footnoteReference w:id="796"/>
      </w:r>
    </w:p>
    <w:p w14:paraId="7DE31DA7" w14:textId="77777777" w:rsidR="004C3995" w:rsidRPr="004A0212" w:rsidRDefault="555847EE" w:rsidP="00EE444A">
      <w:pPr>
        <w:pStyle w:val="Bulletpoints"/>
      </w:pPr>
      <w:r w:rsidRPr="004A0212">
        <w:t>at least</w:t>
      </w:r>
      <w:r w:rsidRPr="004A0212" w:rsidDel="00FF17A3">
        <w:t xml:space="preserve"> </w:t>
      </w:r>
      <w:r w:rsidRPr="004A0212">
        <w:t xml:space="preserve">10 homes affiliated with The Salvation Army, in </w:t>
      </w:r>
      <w:proofErr w:type="spellStart"/>
      <w:r w:rsidRPr="004A0212">
        <w:t>Ōtepoti</w:t>
      </w:r>
      <w:proofErr w:type="spellEnd"/>
      <w:r w:rsidRPr="004A0212">
        <w:t xml:space="preserve"> Dunedin, </w:t>
      </w:r>
      <w:proofErr w:type="spellStart"/>
      <w:r w:rsidRPr="004A0212">
        <w:t>Temuka</w:t>
      </w:r>
      <w:proofErr w:type="spellEnd"/>
      <w:r w:rsidRPr="004A0212">
        <w:t xml:space="preserve">, </w:t>
      </w:r>
      <w:proofErr w:type="spellStart"/>
      <w:r w:rsidRPr="004A0212">
        <w:t>Te</w:t>
      </w:r>
      <w:proofErr w:type="spellEnd"/>
      <w:r w:rsidRPr="004A0212">
        <w:t xml:space="preserve"> Whanganui-a-Tara Wellington, Wairarapa, Taranaki, Te Matau-a-Māui Hawke’s Bay, Kirikiriroa Hamilton and Tāmaki Makaurau Auckland</w:t>
      </w:r>
      <w:r w:rsidR="004C3995" w:rsidRPr="004A0212">
        <w:rPr>
          <w:rStyle w:val="StyleFootnoteReferenceFagoFunotenzeichenFagoFunotenzeichen"/>
        </w:rPr>
        <w:footnoteReference w:id="797"/>
      </w:r>
    </w:p>
    <w:p w14:paraId="0CF58E13" w14:textId="3472AC19" w:rsidR="004C3995" w:rsidRPr="004A0212" w:rsidRDefault="25C3C3FA" w:rsidP="00EE444A">
      <w:pPr>
        <w:pStyle w:val="Bulletpoints"/>
      </w:pPr>
      <w:r w:rsidRPr="004A0212">
        <w:t>at least</w:t>
      </w:r>
      <w:r w:rsidRPr="004A0212" w:rsidDel="00FF17A3">
        <w:t xml:space="preserve"> </w:t>
      </w:r>
      <w:r w:rsidRPr="004A0212">
        <w:t xml:space="preserve">33 homes affiliated with the Catholic Church, including homes in </w:t>
      </w:r>
      <w:proofErr w:type="spellStart"/>
      <w:r w:rsidRPr="004A0212">
        <w:t>Ōtepoti</w:t>
      </w:r>
      <w:proofErr w:type="spellEnd"/>
      <w:r w:rsidRPr="004A0212">
        <w:t xml:space="preserve"> Dunedin, </w:t>
      </w:r>
      <w:proofErr w:type="spellStart"/>
      <w:r w:rsidRPr="004A0212">
        <w:t>Ōtautahi</w:t>
      </w:r>
      <w:proofErr w:type="spellEnd"/>
      <w:r w:rsidRPr="004A0212">
        <w:t xml:space="preserve"> Christchurch, </w:t>
      </w:r>
      <w:proofErr w:type="spellStart"/>
      <w:r w:rsidRPr="004A0212">
        <w:t>Whakatū</w:t>
      </w:r>
      <w:proofErr w:type="spellEnd"/>
      <w:r w:rsidRPr="004A0212">
        <w:t xml:space="preserve"> Nelson, </w:t>
      </w:r>
      <w:proofErr w:type="spellStart"/>
      <w:r w:rsidR="006D0777" w:rsidRPr="004A0212">
        <w:t>Te</w:t>
      </w:r>
      <w:proofErr w:type="spellEnd"/>
      <w:r w:rsidR="006D0777" w:rsidRPr="004A0212">
        <w:t xml:space="preserve"> </w:t>
      </w:r>
      <w:proofErr w:type="spellStart"/>
      <w:r w:rsidRPr="004A0212">
        <w:t>Waiharakeke</w:t>
      </w:r>
      <w:proofErr w:type="spellEnd"/>
      <w:r w:rsidRPr="004A0212">
        <w:t xml:space="preserve"> Blenheim, Te Whanganui-a-Tara Wellington, Taitoko Levin and Tāmaki Makaurau Auckland</w:t>
      </w:r>
      <w:r w:rsidR="004C3995" w:rsidRPr="004A0212">
        <w:rPr>
          <w:rStyle w:val="StyleFootnoteReferenceFagoFunotenzeichenFagoFunotenzeichen"/>
        </w:rPr>
        <w:footnoteReference w:id="798"/>
      </w:r>
    </w:p>
    <w:p w14:paraId="435832DD" w14:textId="2225C709" w:rsidR="004C3995" w:rsidRPr="004A0212" w:rsidRDefault="25C3C3FA" w:rsidP="00EE444A">
      <w:pPr>
        <w:pStyle w:val="Bulletpoints"/>
      </w:pPr>
      <w:r w:rsidRPr="004A0212">
        <w:t xml:space="preserve">at least six homes affiliated with the Methodist Church, in </w:t>
      </w:r>
      <w:proofErr w:type="spellStart"/>
      <w:r w:rsidRPr="004A0212">
        <w:t>Ōtautahi</w:t>
      </w:r>
      <w:proofErr w:type="spellEnd"/>
      <w:r w:rsidRPr="004A0212">
        <w:t xml:space="preserve"> Christchurch, </w:t>
      </w:r>
      <w:proofErr w:type="spellStart"/>
      <w:r w:rsidR="392979E6" w:rsidRPr="004A0212">
        <w:t>Whakaoriori</w:t>
      </w:r>
      <w:proofErr w:type="spellEnd"/>
      <w:r w:rsidR="392979E6" w:rsidRPr="004A0212">
        <w:t xml:space="preserve"> </w:t>
      </w:r>
      <w:r w:rsidRPr="004A0212">
        <w:t>Masterton and Tāmaki Makaurau Auckland.</w:t>
      </w:r>
      <w:r w:rsidR="004C3995" w:rsidRPr="004A0212">
        <w:rPr>
          <w:rStyle w:val="StyleFootnoteReferenceFagoFunotenzeichenFagoFunotenzeichen"/>
        </w:rPr>
        <w:footnoteReference w:id="799"/>
      </w:r>
    </w:p>
    <w:p w14:paraId="29A41876" w14:textId="77777777" w:rsidR="004C3995" w:rsidRPr="004A0212" w:rsidRDefault="1526C45E" w:rsidP="004C3995">
      <w:pPr>
        <w:pStyle w:val="Heading3"/>
      </w:pPr>
      <w:bookmarkStart w:id="725" w:name="_Toc165441958"/>
      <w:bookmarkStart w:id="726" w:name="_Toc971149783"/>
      <w:bookmarkStart w:id="727" w:name="_Toc168639120"/>
      <w:proofErr w:type="spellStart"/>
      <w:r w:rsidRPr="004A0212">
        <w:t>Kāinga</w:t>
      </w:r>
      <w:proofErr w:type="spellEnd"/>
      <w:r w:rsidRPr="004A0212">
        <w:t xml:space="preserve"> </w:t>
      </w:r>
      <w:proofErr w:type="spellStart"/>
      <w:r w:rsidRPr="004A0212">
        <w:t>atawhai</w:t>
      </w:r>
      <w:proofErr w:type="spellEnd"/>
      <w:r w:rsidRPr="004A0212">
        <w:t xml:space="preserve"> </w:t>
      </w:r>
      <w:proofErr w:type="spellStart"/>
      <w:r w:rsidRPr="004A0212">
        <w:t>tamariki</w:t>
      </w:r>
      <w:proofErr w:type="spellEnd"/>
      <w:r w:rsidRPr="004A0212">
        <w:t xml:space="preserve"> | Foster homes</w:t>
      </w:r>
      <w:bookmarkEnd w:id="725"/>
      <w:bookmarkEnd w:id="726"/>
      <w:bookmarkEnd w:id="727"/>
    </w:p>
    <w:p w14:paraId="174B27FC" w14:textId="77777777" w:rsidR="004C3995" w:rsidRPr="004A0212" w:rsidRDefault="66EE1105" w:rsidP="004C3995">
      <w:pPr>
        <w:pStyle w:val="AllNumbparas"/>
      </w:pPr>
      <w:r w:rsidRPr="004A0212">
        <w:t xml:space="preserve">As well as operating children’s homes, the faiths also facilitated children entering private foster homes during the Inquiry period, co-ordinated within their religious communities. It is difficult to understand from the records how many there were or their locations. </w:t>
      </w:r>
    </w:p>
    <w:p w14:paraId="39499C1B" w14:textId="77777777" w:rsidR="004C3995" w:rsidRPr="004A0212" w:rsidRDefault="66EE1105" w:rsidP="004C3995">
      <w:pPr>
        <w:pStyle w:val="AllNumbparas"/>
      </w:pPr>
      <w:r w:rsidRPr="004A0212">
        <w:t>Reasons for going into foster care included coming from single-parent families, health concerns, economic crises or their parents being unable to care for them.</w:t>
      </w:r>
      <w:r w:rsidR="004C3995" w:rsidRPr="004A0212">
        <w:rPr>
          <w:rStyle w:val="StyleFootnoteReferenceFagoFunotenzeichenFagoFunotenzeichen"/>
        </w:rPr>
        <w:footnoteReference w:id="800"/>
      </w:r>
      <w:r w:rsidRPr="004A0212">
        <w:t xml:space="preserve"> </w:t>
      </w:r>
    </w:p>
    <w:p w14:paraId="57F67C11" w14:textId="77777777" w:rsidR="004C3995" w:rsidRPr="004A0212" w:rsidRDefault="66EE1105" w:rsidP="004C3995">
      <w:pPr>
        <w:pStyle w:val="AllNumbparas"/>
      </w:pPr>
      <w:r w:rsidRPr="004A0212">
        <w:t xml:space="preserve">In some circumstances, foster care was a form of respite for the family or was used by children’s homes during the school holidays. In other cases, it was to provide a permanent living arrangement for a child. </w:t>
      </w:r>
    </w:p>
    <w:p w14:paraId="26028439" w14:textId="77777777" w:rsidR="004C3995" w:rsidRPr="004A0212" w:rsidRDefault="66EE1105" w:rsidP="004C3995">
      <w:pPr>
        <w:pStyle w:val="AllNumbparas"/>
      </w:pPr>
      <w:r w:rsidRPr="004A0212">
        <w:t>Some survivors who experienced abuse in Catholic orphanages told the Inquiry that they were sent away to foster placements with Catholic families during the school holidays, when the orphanages would close for several weeks.</w:t>
      </w:r>
      <w:r w:rsidR="004C3995" w:rsidRPr="004A0212">
        <w:rPr>
          <w:rStyle w:val="StyleFootnoteReferenceFagoFunotenzeichenFagoFunotenzeichen"/>
        </w:rPr>
        <w:footnoteReference w:id="801"/>
      </w:r>
      <w:r w:rsidRPr="004A0212">
        <w:t xml:space="preserve"> </w:t>
      </w:r>
    </w:p>
    <w:p w14:paraId="499755B3" w14:textId="77777777" w:rsidR="004C3995" w:rsidRPr="004A0212" w:rsidRDefault="66EE1105" w:rsidP="004C3995">
      <w:pPr>
        <w:pStyle w:val="AllNumbparas"/>
      </w:pPr>
      <w:r w:rsidRPr="004A0212">
        <w:t>Other foster care arrangements were more informal. For example, a Catholic priest suggested to a struggling mother that a childless couple who lived on church property could look after her son for a while.</w:t>
      </w:r>
      <w:r w:rsidR="004C3995" w:rsidRPr="004A0212">
        <w:rPr>
          <w:rStyle w:val="StyleFootnoteReferenceFagoFunotenzeichenFagoFunotenzeichen"/>
        </w:rPr>
        <w:footnoteReference w:id="802"/>
      </w:r>
    </w:p>
    <w:p w14:paraId="4DBF8972" w14:textId="77777777" w:rsidR="004C3995" w:rsidRPr="004A0212" w:rsidRDefault="1526C45E" w:rsidP="004C3995">
      <w:pPr>
        <w:pStyle w:val="Heading3"/>
      </w:pPr>
      <w:bookmarkStart w:id="728" w:name="_Toc165441959"/>
      <w:bookmarkStart w:id="729" w:name="_Toc1143531004"/>
      <w:bookmarkStart w:id="730" w:name="_Toc168639121"/>
      <w:proofErr w:type="spellStart"/>
      <w:r w:rsidRPr="004A0212">
        <w:t>Kāinga</w:t>
      </w:r>
      <w:proofErr w:type="spellEnd"/>
      <w:r w:rsidRPr="004A0212">
        <w:t xml:space="preserve"> </w:t>
      </w:r>
      <w:proofErr w:type="spellStart"/>
      <w:r w:rsidRPr="004A0212">
        <w:t>taurima</w:t>
      </w:r>
      <w:proofErr w:type="spellEnd"/>
      <w:r w:rsidRPr="004A0212">
        <w:t xml:space="preserve"> </w:t>
      </w:r>
      <w:proofErr w:type="spellStart"/>
      <w:r w:rsidRPr="004A0212">
        <w:t>māmā</w:t>
      </w:r>
      <w:proofErr w:type="spellEnd"/>
      <w:r w:rsidRPr="004A0212">
        <w:t xml:space="preserve"> </w:t>
      </w:r>
      <w:proofErr w:type="spellStart"/>
      <w:r w:rsidRPr="004A0212">
        <w:t>takakau</w:t>
      </w:r>
      <w:proofErr w:type="spellEnd"/>
      <w:r w:rsidRPr="004A0212">
        <w:t xml:space="preserve"> | Unmarried mothers’ homes</w:t>
      </w:r>
      <w:bookmarkEnd w:id="728"/>
      <w:bookmarkEnd w:id="729"/>
      <w:bookmarkEnd w:id="730"/>
    </w:p>
    <w:p w14:paraId="4808B6F3" w14:textId="77777777" w:rsidR="004C3995" w:rsidRPr="004A0212" w:rsidRDefault="66EE1105" w:rsidP="004C3995">
      <w:pPr>
        <w:pStyle w:val="AllNumbparas"/>
      </w:pPr>
      <w:r w:rsidRPr="004A0212">
        <w:t xml:space="preserve">The Inquiry acknowledges that during the inquiry period some facilities referred to as “unmarried mothers’ homes” in the report offered a range of services and were not exclusively providing care for unmarried mothers. For example, Bethany Homes (operated by The Salvation Army) also functioned as maternity hospitals. </w:t>
      </w:r>
    </w:p>
    <w:p w14:paraId="115F6EA2" w14:textId="6C396DC1" w:rsidR="004C3995" w:rsidRPr="004A0212" w:rsidRDefault="1526C45E" w:rsidP="02397200">
      <w:pPr>
        <w:pStyle w:val="Hed4"/>
      </w:pPr>
      <w:bookmarkStart w:id="731" w:name="_Toc165441960"/>
      <w:bookmarkStart w:id="732" w:name="_Toc1866807144"/>
      <w:bookmarkStart w:id="733" w:name="_Toc168639122"/>
      <w:proofErr w:type="spellStart"/>
      <w:r w:rsidRPr="700D4309">
        <w:rPr>
          <w:lang w:val="en-US"/>
        </w:rPr>
        <w:t>Kāinga</w:t>
      </w:r>
      <w:proofErr w:type="spellEnd"/>
      <w:r w:rsidRPr="700D4309">
        <w:rPr>
          <w:lang w:val="en-US"/>
        </w:rPr>
        <w:t xml:space="preserve"> </w:t>
      </w:r>
      <w:proofErr w:type="spellStart"/>
      <w:r w:rsidRPr="700D4309">
        <w:rPr>
          <w:lang w:val="en-US"/>
        </w:rPr>
        <w:t>taurima</w:t>
      </w:r>
      <w:proofErr w:type="spellEnd"/>
      <w:r w:rsidRPr="700D4309">
        <w:rPr>
          <w:lang w:val="en-US"/>
        </w:rPr>
        <w:t xml:space="preserve"> </w:t>
      </w:r>
      <w:proofErr w:type="spellStart"/>
      <w:r w:rsidRPr="700D4309">
        <w:rPr>
          <w:lang w:val="en-US"/>
        </w:rPr>
        <w:t>māmā</w:t>
      </w:r>
      <w:proofErr w:type="spellEnd"/>
      <w:r w:rsidRPr="700D4309">
        <w:rPr>
          <w:lang w:val="en-US"/>
        </w:rPr>
        <w:t xml:space="preserve"> </w:t>
      </w:r>
      <w:proofErr w:type="spellStart"/>
      <w:r w:rsidRPr="700D4309">
        <w:rPr>
          <w:lang w:val="en-US"/>
        </w:rPr>
        <w:t>takakau</w:t>
      </w:r>
      <w:proofErr w:type="spellEnd"/>
      <w:r w:rsidRPr="700D4309">
        <w:rPr>
          <w:lang w:val="en-US"/>
        </w:rPr>
        <w:t xml:space="preserve"> </w:t>
      </w:r>
      <w:proofErr w:type="spellStart"/>
      <w:r w:rsidRPr="700D4309">
        <w:rPr>
          <w:lang w:val="en-US"/>
        </w:rPr>
        <w:t>Katorika</w:t>
      </w:r>
      <w:proofErr w:type="spellEnd"/>
      <w:r w:rsidRPr="700D4309">
        <w:rPr>
          <w:lang w:val="en-US"/>
        </w:rPr>
        <w:t xml:space="preserve"> | Catholic unmarried mothers’ homes</w:t>
      </w:r>
      <w:bookmarkEnd w:id="731"/>
      <w:bookmarkEnd w:id="732"/>
      <w:bookmarkEnd w:id="733"/>
    </w:p>
    <w:p w14:paraId="1523F4FA" w14:textId="77777777" w:rsidR="004C3995" w:rsidRPr="004A0212" w:rsidRDefault="66EE1105" w:rsidP="004C3995">
      <w:pPr>
        <w:pStyle w:val="AllNumbparas"/>
      </w:pPr>
      <w:r w:rsidRPr="004A0212">
        <w:t xml:space="preserve">Several Catholic entities operated homes for unmarried mothers including Mount Magdala reformatory home and St Vincent’s Home of Compassion in Herne Bay, Tāmaki Makaurau Auckland, which was run by the Compassion sisters. </w:t>
      </w:r>
    </w:p>
    <w:p w14:paraId="1F79D02C" w14:textId="77777777" w:rsidR="004C3995" w:rsidRPr="004A0212" w:rsidRDefault="66EE1105" w:rsidP="004C3995">
      <w:pPr>
        <w:pStyle w:val="AllNumbparas"/>
      </w:pPr>
      <w:r w:rsidRPr="004A0212">
        <w:t xml:space="preserve">St Vincent’s Home of Compassion included a home for unmarried pregnant women, a private maternity hospital and a children’s home for babies and toddlers. It operated from 1939 to 1986. </w:t>
      </w:r>
    </w:p>
    <w:p w14:paraId="1F33E80D" w14:textId="161FC1A2" w:rsidR="004C3995" w:rsidRPr="004A0212" w:rsidRDefault="1526C45E" w:rsidP="02397200">
      <w:pPr>
        <w:pStyle w:val="Hed4"/>
      </w:pPr>
      <w:bookmarkStart w:id="734" w:name="_Toc165441961"/>
      <w:bookmarkStart w:id="735" w:name="_Toc235764063"/>
      <w:bookmarkStart w:id="736" w:name="_Toc168639123"/>
      <w:proofErr w:type="spellStart"/>
      <w:r w:rsidRPr="700D4309">
        <w:rPr>
          <w:lang w:val="en-US"/>
        </w:rPr>
        <w:t>Kāinga</w:t>
      </w:r>
      <w:proofErr w:type="spellEnd"/>
      <w:r w:rsidRPr="700D4309">
        <w:rPr>
          <w:lang w:val="en-US"/>
        </w:rPr>
        <w:t xml:space="preserve"> </w:t>
      </w:r>
      <w:proofErr w:type="spellStart"/>
      <w:r w:rsidRPr="700D4309">
        <w:rPr>
          <w:lang w:val="en-US"/>
        </w:rPr>
        <w:t>taurima</w:t>
      </w:r>
      <w:proofErr w:type="spellEnd"/>
      <w:r w:rsidRPr="700D4309">
        <w:rPr>
          <w:lang w:val="en-US"/>
        </w:rPr>
        <w:t xml:space="preserve"> </w:t>
      </w:r>
      <w:proofErr w:type="spellStart"/>
      <w:r w:rsidRPr="700D4309">
        <w:rPr>
          <w:lang w:val="en-US"/>
        </w:rPr>
        <w:t>māmā</w:t>
      </w:r>
      <w:proofErr w:type="spellEnd"/>
      <w:r w:rsidRPr="700D4309">
        <w:rPr>
          <w:lang w:val="en-US"/>
        </w:rPr>
        <w:t xml:space="preserve"> </w:t>
      </w:r>
      <w:proofErr w:type="spellStart"/>
      <w:r w:rsidRPr="700D4309">
        <w:rPr>
          <w:lang w:val="en-US"/>
        </w:rPr>
        <w:t>takakau</w:t>
      </w:r>
      <w:proofErr w:type="spellEnd"/>
      <w:r w:rsidRPr="700D4309">
        <w:rPr>
          <w:lang w:val="en-US"/>
        </w:rPr>
        <w:t xml:space="preserve"> </w:t>
      </w:r>
      <w:proofErr w:type="spellStart"/>
      <w:r w:rsidRPr="700D4309">
        <w:rPr>
          <w:lang w:val="en-US"/>
        </w:rPr>
        <w:t>Mihingare</w:t>
      </w:r>
      <w:proofErr w:type="spellEnd"/>
      <w:r w:rsidRPr="700D4309">
        <w:rPr>
          <w:lang w:val="en-US"/>
        </w:rPr>
        <w:t xml:space="preserve"> | Anglican unmarried mothers’ homes</w:t>
      </w:r>
      <w:bookmarkEnd w:id="734"/>
      <w:bookmarkEnd w:id="735"/>
      <w:bookmarkEnd w:id="736"/>
    </w:p>
    <w:p w14:paraId="2559F9D0" w14:textId="77777777" w:rsidR="004C3995" w:rsidRPr="004A0212" w:rsidRDefault="66EE1105" w:rsidP="004C3995">
      <w:pPr>
        <w:pStyle w:val="AllNumbparas"/>
      </w:pPr>
      <w:r w:rsidRPr="004A0212">
        <w:t xml:space="preserve">The Anglican Trust for Women and Children operated St Mary’s Home in Ōtāhuhu, Tāmaki Makaurau Auckland. The home took in unmarried pregnant women and their babies </w:t>
      </w:r>
      <w:proofErr w:type="gramStart"/>
      <w:r w:rsidRPr="004A0212">
        <w:t>and also</w:t>
      </w:r>
      <w:proofErr w:type="gramEnd"/>
      <w:r w:rsidRPr="004A0212">
        <w:t xml:space="preserve"> ran a children’s home. In 1950 there were 29 births in the unmarried mothers’ wing of the home. This number peaked at 53 in 1957. </w:t>
      </w:r>
    </w:p>
    <w:p w14:paraId="07D17828" w14:textId="047EBC97" w:rsidR="004C3995" w:rsidRPr="004A0212" w:rsidRDefault="1526C45E" w:rsidP="02397200">
      <w:pPr>
        <w:pStyle w:val="Hed4"/>
        <w:rPr>
          <w:lang w:val="en-US"/>
        </w:rPr>
      </w:pPr>
      <w:bookmarkStart w:id="737" w:name="_Toc165441962"/>
      <w:bookmarkStart w:id="738" w:name="_Toc443826693"/>
      <w:bookmarkStart w:id="739" w:name="_Toc168639124"/>
      <w:proofErr w:type="spellStart"/>
      <w:r w:rsidRPr="700D4309">
        <w:rPr>
          <w:lang w:val="en-US"/>
        </w:rPr>
        <w:t>Kāinga</w:t>
      </w:r>
      <w:proofErr w:type="spellEnd"/>
      <w:r w:rsidRPr="700D4309">
        <w:rPr>
          <w:lang w:val="en-US"/>
        </w:rPr>
        <w:t xml:space="preserve"> </w:t>
      </w:r>
      <w:proofErr w:type="spellStart"/>
      <w:r w:rsidRPr="700D4309">
        <w:rPr>
          <w:lang w:val="en-US"/>
        </w:rPr>
        <w:t>taurima</w:t>
      </w:r>
      <w:proofErr w:type="spellEnd"/>
      <w:r w:rsidRPr="700D4309">
        <w:rPr>
          <w:lang w:val="en-US"/>
        </w:rPr>
        <w:t xml:space="preserve"> </w:t>
      </w:r>
      <w:proofErr w:type="spellStart"/>
      <w:r w:rsidRPr="700D4309">
        <w:rPr>
          <w:lang w:val="en-US"/>
        </w:rPr>
        <w:t>māmā</w:t>
      </w:r>
      <w:proofErr w:type="spellEnd"/>
      <w:r w:rsidRPr="700D4309">
        <w:rPr>
          <w:lang w:val="en-US"/>
        </w:rPr>
        <w:t xml:space="preserve"> </w:t>
      </w:r>
      <w:proofErr w:type="spellStart"/>
      <w:r w:rsidRPr="700D4309">
        <w:rPr>
          <w:lang w:val="en-US"/>
        </w:rPr>
        <w:t>takakau</w:t>
      </w:r>
      <w:proofErr w:type="spellEnd"/>
      <w:r w:rsidRPr="700D4309">
        <w:rPr>
          <w:lang w:val="en-US"/>
        </w:rPr>
        <w:t xml:space="preserve"> o </w:t>
      </w:r>
      <w:proofErr w:type="spellStart"/>
      <w:r w:rsidRPr="700D4309">
        <w:rPr>
          <w:lang w:val="en-US"/>
        </w:rPr>
        <w:t>Te</w:t>
      </w:r>
      <w:proofErr w:type="spellEnd"/>
      <w:r w:rsidRPr="700D4309">
        <w:rPr>
          <w:lang w:val="en-US"/>
        </w:rPr>
        <w:t xml:space="preserve"> </w:t>
      </w:r>
      <w:proofErr w:type="spellStart"/>
      <w:r w:rsidRPr="700D4309">
        <w:rPr>
          <w:lang w:val="en-US"/>
        </w:rPr>
        <w:t>Ope</w:t>
      </w:r>
      <w:proofErr w:type="spellEnd"/>
      <w:r w:rsidRPr="700D4309">
        <w:rPr>
          <w:lang w:val="en-US"/>
        </w:rPr>
        <w:t xml:space="preserve"> </w:t>
      </w:r>
      <w:proofErr w:type="spellStart"/>
      <w:r w:rsidRPr="700D4309">
        <w:rPr>
          <w:lang w:val="en-US"/>
        </w:rPr>
        <w:t>Whakaora</w:t>
      </w:r>
      <w:proofErr w:type="spellEnd"/>
      <w:r w:rsidRPr="700D4309">
        <w:rPr>
          <w:lang w:val="en-US"/>
        </w:rPr>
        <w:t xml:space="preserve"> | The Salvation Army unmarried mothers’ homes</w:t>
      </w:r>
      <w:bookmarkEnd w:id="737"/>
      <w:bookmarkEnd w:id="738"/>
      <w:bookmarkEnd w:id="739"/>
    </w:p>
    <w:p w14:paraId="09FB56F9" w14:textId="77777777" w:rsidR="004C3995" w:rsidRPr="004A0212" w:rsidRDefault="66EE1105" w:rsidP="004C3995">
      <w:pPr>
        <w:pStyle w:val="AllNumbparas"/>
      </w:pPr>
      <w:r w:rsidRPr="004A0212">
        <w:t xml:space="preserve">The Salvation Army ran seven unmarried mothers’ homes, called Bethany Homes, from 1887 to 1982. Women and girls spent their pregnancies in these homes and then after birth, their babies were adopted out. </w:t>
      </w:r>
    </w:p>
    <w:p w14:paraId="0A444A07" w14:textId="1ABF66E7" w:rsidR="004C3995" w:rsidRPr="004A0212" w:rsidRDefault="1526C45E" w:rsidP="02397200">
      <w:pPr>
        <w:pStyle w:val="Hed4"/>
      </w:pPr>
      <w:bookmarkStart w:id="740" w:name="_Toc165441963"/>
      <w:bookmarkStart w:id="741" w:name="_Toc1574973051"/>
      <w:bookmarkStart w:id="742" w:name="_Toc168639125"/>
      <w:proofErr w:type="spellStart"/>
      <w:r w:rsidRPr="700D4309">
        <w:rPr>
          <w:lang w:val="en-US"/>
        </w:rPr>
        <w:t>Kāinga</w:t>
      </w:r>
      <w:proofErr w:type="spellEnd"/>
      <w:r w:rsidRPr="700D4309">
        <w:rPr>
          <w:lang w:val="en-US"/>
        </w:rPr>
        <w:t xml:space="preserve"> </w:t>
      </w:r>
      <w:proofErr w:type="spellStart"/>
      <w:r w:rsidRPr="700D4309">
        <w:rPr>
          <w:lang w:val="en-US"/>
        </w:rPr>
        <w:t>taurima</w:t>
      </w:r>
      <w:proofErr w:type="spellEnd"/>
      <w:r w:rsidRPr="700D4309">
        <w:rPr>
          <w:lang w:val="en-US"/>
        </w:rPr>
        <w:t xml:space="preserve"> </w:t>
      </w:r>
      <w:proofErr w:type="spellStart"/>
      <w:r w:rsidRPr="700D4309">
        <w:rPr>
          <w:lang w:val="en-US"/>
        </w:rPr>
        <w:t>māmā</w:t>
      </w:r>
      <w:proofErr w:type="spellEnd"/>
      <w:r w:rsidRPr="700D4309">
        <w:rPr>
          <w:lang w:val="en-US"/>
        </w:rPr>
        <w:t xml:space="preserve"> </w:t>
      </w:r>
      <w:proofErr w:type="spellStart"/>
      <w:r w:rsidRPr="700D4309">
        <w:rPr>
          <w:lang w:val="en-US"/>
        </w:rPr>
        <w:t>takakau</w:t>
      </w:r>
      <w:proofErr w:type="spellEnd"/>
      <w:r w:rsidRPr="700D4309">
        <w:rPr>
          <w:lang w:val="en-US"/>
        </w:rPr>
        <w:t xml:space="preserve"> </w:t>
      </w:r>
      <w:proofErr w:type="spellStart"/>
      <w:r w:rsidRPr="700D4309">
        <w:rPr>
          <w:lang w:val="en-US"/>
        </w:rPr>
        <w:t>Perehipitīriana</w:t>
      </w:r>
      <w:proofErr w:type="spellEnd"/>
      <w:r w:rsidRPr="700D4309">
        <w:rPr>
          <w:lang w:val="en-US"/>
        </w:rPr>
        <w:t xml:space="preserve"> | Presbyterian unmarried mothers’ homes</w:t>
      </w:r>
      <w:bookmarkEnd w:id="740"/>
      <w:bookmarkEnd w:id="741"/>
      <w:bookmarkEnd w:id="742"/>
    </w:p>
    <w:p w14:paraId="78D8B187" w14:textId="77777777" w:rsidR="004C3995" w:rsidRPr="004A0212" w:rsidRDefault="66EE1105" w:rsidP="004C3995">
      <w:pPr>
        <w:pStyle w:val="AllNumbparas"/>
      </w:pPr>
      <w:r w:rsidRPr="004A0212">
        <w:t xml:space="preserve">The Presbyterian Church operated one home called Holly House in </w:t>
      </w:r>
      <w:proofErr w:type="spellStart"/>
      <w:r w:rsidRPr="004A0212">
        <w:t>Ōtautahi</w:t>
      </w:r>
      <w:proofErr w:type="spellEnd"/>
      <w:r w:rsidRPr="004A0212">
        <w:t xml:space="preserve"> Christchurch from 1991 to 2018. The home housed teenage mothers and their babies. </w:t>
      </w:r>
    </w:p>
    <w:p w14:paraId="2C1F70B8" w14:textId="77777777" w:rsidR="004C3995" w:rsidRPr="004A0212" w:rsidRDefault="1526C45E" w:rsidP="004C3995">
      <w:pPr>
        <w:pStyle w:val="Heading3"/>
      </w:pPr>
      <w:bookmarkStart w:id="743" w:name="_Toc165441964"/>
      <w:bookmarkStart w:id="744" w:name="_Toc1019015638"/>
      <w:bookmarkStart w:id="745" w:name="_Toc168639126"/>
      <w:proofErr w:type="spellStart"/>
      <w:r w:rsidRPr="004A0212">
        <w:t>Te</w:t>
      </w:r>
      <w:proofErr w:type="spellEnd"/>
      <w:r w:rsidRPr="004A0212">
        <w:t xml:space="preserve"> </w:t>
      </w:r>
      <w:proofErr w:type="spellStart"/>
      <w:r w:rsidRPr="004A0212">
        <w:t>whakapono</w:t>
      </w:r>
      <w:proofErr w:type="spellEnd"/>
      <w:r w:rsidRPr="004A0212">
        <w:t xml:space="preserve"> me </w:t>
      </w:r>
      <w:proofErr w:type="spellStart"/>
      <w:r w:rsidRPr="004A0212">
        <w:t>te</w:t>
      </w:r>
      <w:proofErr w:type="spellEnd"/>
      <w:r w:rsidRPr="004A0212">
        <w:t xml:space="preserve"> </w:t>
      </w:r>
      <w:proofErr w:type="spellStart"/>
      <w:r w:rsidRPr="004A0212">
        <w:t>whāngai</w:t>
      </w:r>
      <w:proofErr w:type="spellEnd"/>
      <w:r w:rsidRPr="004A0212">
        <w:t xml:space="preserve"> | Faith and adoption</w:t>
      </w:r>
      <w:bookmarkEnd w:id="743"/>
      <w:bookmarkEnd w:id="744"/>
      <w:bookmarkEnd w:id="745"/>
    </w:p>
    <w:p w14:paraId="4D34133E" w14:textId="77777777" w:rsidR="004C3995" w:rsidRPr="004A0212" w:rsidRDefault="66EE1105" w:rsidP="004C3995">
      <w:pPr>
        <w:pStyle w:val="AllNumbparas"/>
      </w:pPr>
      <w:r w:rsidRPr="004A0212">
        <w:t>Faith-based adoptions were facilitated by the Catholic, Anglican, Presbyterian churches and The Salvation Army.</w:t>
      </w:r>
      <w:r w:rsidR="004C3995" w:rsidRPr="004A0212">
        <w:rPr>
          <w:rStyle w:val="StyleFootnoteReferenceFagoFunotenzeichenFagoFunotenzeichen"/>
        </w:rPr>
        <w:footnoteReference w:id="803"/>
      </w:r>
    </w:p>
    <w:p w14:paraId="61D3078A" w14:textId="77777777" w:rsidR="004C3995" w:rsidRPr="004A0212" w:rsidRDefault="66EE1105" w:rsidP="004C3995">
      <w:pPr>
        <w:pStyle w:val="AllNumbparas"/>
        <w:rPr>
          <w:rStyle w:val="normaltextrun"/>
        </w:rPr>
      </w:pPr>
      <w:r w:rsidRPr="004A0212">
        <w:rPr>
          <w:rStyle w:val="normaltextrun"/>
        </w:rPr>
        <w:t>From the 1940s to 1955, although social worker approval was required, most legal adoptions were arranged privately, often through the various homes housing unmarried mothers.</w:t>
      </w:r>
      <w:r w:rsidR="004C3995" w:rsidRPr="004A0212">
        <w:rPr>
          <w:rStyle w:val="StyleFootnoteReferenceFagoFunotenzeichenFagoFunotenzeichen"/>
        </w:rPr>
        <w:footnoteReference w:id="804"/>
      </w:r>
      <w:r w:rsidRPr="004A0212">
        <w:rPr>
          <w:rStyle w:val="normaltextrun"/>
        </w:rPr>
        <w:t xml:space="preserve"> The Adoption Act 1955 introduced more comprehensive State involvement in adoptions. </w:t>
      </w:r>
    </w:p>
    <w:p w14:paraId="77D5270D" w14:textId="77777777" w:rsidR="004C3995" w:rsidRPr="004A0212" w:rsidRDefault="66EE1105" w:rsidP="004C3995">
      <w:pPr>
        <w:pStyle w:val="AllNumbparas"/>
        <w:rPr>
          <w:rStyle w:val="normaltextrun"/>
        </w:rPr>
      </w:pPr>
      <w:r w:rsidRPr="004A0212">
        <w:t>Catholic agencies remained significantly involved in the decades that followed, facilitating adoptions that were then processed through the State.</w:t>
      </w:r>
      <w:r w:rsidR="004C3995" w:rsidRPr="004A0212">
        <w:rPr>
          <w:rStyle w:val="StyleFootnoteReferenceFagoFunotenzeichenFagoFunotenzeichen"/>
        </w:rPr>
        <w:footnoteReference w:id="805"/>
      </w:r>
      <w:r w:rsidRPr="004A0212">
        <w:t xml:space="preserve"> Catholic social services agencies also worked with the Māori Mission in finding homes for Māori and Pacific babies.</w:t>
      </w:r>
      <w:r w:rsidR="004C3995" w:rsidRPr="004A0212">
        <w:rPr>
          <w:rStyle w:val="StyleFootnoteReferenceFagoFunotenzeichenFagoFunotenzeichen"/>
        </w:rPr>
        <w:footnoteReference w:id="806"/>
      </w:r>
      <w:r w:rsidRPr="004A0212">
        <w:t xml:space="preserve"> Catholic entities arranged and facilitated hundreds of adoptions in Aotearoa New Zealand </w:t>
      </w:r>
      <w:r w:rsidRPr="004A0212">
        <w:rPr>
          <w:rStyle w:val="normaltextrun"/>
        </w:rPr>
        <w:t>with Wellington Catholic Social Services recording 130 adoptions March 1961 and March 1962 alone</w:t>
      </w:r>
      <w:r w:rsidRPr="004A0212">
        <w:t>.</w:t>
      </w:r>
      <w:r w:rsidR="004C3995" w:rsidRPr="004A0212">
        <w:rPr>
          <w:rStyle w:val="StyleFootnoteReferenceFagoFunotenzeichenFagoFunotenzeichen"/>
        </w:rPr>
        <w:footnoteReference w:id="807"/>
      </w:r>
    </w:p>
    <w:p w14:paraId="47480978" w14:textId="77777777" w:rsidR="004C3995" w:rsidRPr="004A0212" w:rsidRDefault="66EE1105" w:rsidP="004C3995">
      <w:pPr>
        <w:pStyle w:val="AllNumbparas"/>
      </w:pPr>
      <w:r w:rsidRPr="004A0212">
        <w:t>Adoption through The Salvation Army was primarily facilitated through its unmarried mothers’ Bethany Homes. Some children were also adopted out from The Salvation Army’s children’s homes. Missing records mean it is not possible to accurately estimate the number of adoptions facilitated through The Salvation Army, however it is likely to be in the high tens of thousands.</w:t>
      </w:r>
      <w:r w:rsidR="004C3995" w:rsidRPr="004A0212">
        <w:rPr>
          <w:rStyle w:val="StyleFootnoteReferenceFagoFunotenzeichenFagoFunotenzeichen"/>
        </w:rPr>
        <w:footnoteReference w:id="808"/>
      </w:r>
      <w:r w:rsidRPr="004A0212">
        <w:t xml:space="preserve"> </w:t>
      </w:r>
    </w:p>
    <w:p w14:paraId="31A0223A" w14:textId="77777777" w:rsidR="004C3995" w:rsidRPr="004A0212" w:rsidRDefault="66EE1105" w:rsidP="004C3995">
      <w:pPr>
        <w:pStyle w:val="AllNumbparas"/>
      </w:pPr>
      <w:r w:rsidRPr="004A0212">
        <w:t>Although private adoption agencies were not legally permitted following the Adoption Act 1955, The Salvation Army’s records show it considered itself to be running an adoption agency or programme. In a submission on the Adult Adoption Information Bill in 1981, The Salvation Army stated it was “justly proud” of the adoption programme, which is “a very important part of our overall service”.</w:t>
      </w:r>
      <w:r w:rsidR="004C3995" w:rsidRPr="004A0212">
        <w:rPr>
          <w:rStyle w:val="StyleFootnoteReferenceFagoFunotenzeichenFagoFunotenzeichen"/>
        </w:rPr>
        <w:footnoteReference w:id="809"/>
      </w:r>
      <w:r w:rsidRPr="004A0212">
        <w:t xml:space="preserve"> </w:t>
      </w:r>
    </w:p>
    <w:p w14:paraId="674DD88B" w14:textId="77777777" w:rsidR="004C3995" w:rsidRPr="004A0212" w:rsidRDefault="66EE1105" w:rsidP="004C3995">
      <w:pPr>
        <w:pStyle w:val="AllNumbparas"/>
        <w:rPr>
          <w:rStyle w:val="StyleFootnoteReferenceFagoFunotenzeichenFagoFunotenzeichen1"/>
        </w:rPr>
      </w:pPr>
      <w:r w:rsidRPr="004A0212">
        <w:t xml:space="preserve">The Anglican Church similarly facilitated adoptions through its unmarried mothers’ homes. </w:t>
      </w:r>
    </w:p>
    <w:p w14:paraId="307945A8" w14:textId="77777777" w:rsidR="004C3995" w:rsidRPr="004A0212" w:rsidRDefault="66EE1105" w:rsidP="004C3995">
      <w:pPr>
        <w:pStyle w:val="AllNumbparas"/>
      </w:pPr>
      <w:r w:rsidRPr="004A0212">
        <w:t>The Inquiry has received limited information about adoption facilitated through Presbyterian Support organisations and children’s homes. However, evidence provided by these organisations indicates they had a role in adoption.</w:t>
      </w:r>
      <w:r w:rsidR="004C3995" w:rsidRPr="004A0212">
        <w:rPr>
          <w:rStyle w:val="StyleFootnoteReferenceFagoFunotenzeichenFagoFunotenzeichen"/>
        </w:rPr>
        <w:footnoteReference w:id="810"/>
      </w:r>
      <w:r w:rsidRPr="004A0212">
        <w:t xml:space="preserve"> </w:t>
      </w:r>
    </w:p>
    <w:p w14:paraId="37720CDB" w14:textId="77777777" w:rsidR="004C3995" w:rsidRPr="004A0212" w:rsidRDefault="66EE1105" w:rsidP="004C3995">
      <w:pPr>
        <w:pStyle w:val="AllNumbparas"/>
      </w:pPr>
      <w:r w:rsidRPr="004A0212">
        <w:t>In addition, Presbyterian Support Upper South Island provided the Inquiry with its 1997 Holly House Guidelines on Adoption. This set out how it could support “young women contemplating adoption two months before the expected birth delivery date and for a limited time after the birth of the baby”.</w:t>
      </w:r>
      <w:r w:rsidR="004C3995" w:rsidRPr="004A0212">
        <w:rPr>
          <w:rStyle w:val="StyleFootnoteReferenceFagoFunotenzeichenFagoFunotenzeichen"/>
        </w:rPr>
        <w:footnoteReference w:id="811"/>
      </w:r>
      <w:r w:rsidRPr="004A0212">
        <w:t xml:space="preserve"> The Presbyterian Church also provided evidence that adoption was considered one of the options for care of “deprived children”.</w:t>
      </w:r>
      <w:r w:rsidR="004C3995" w:rsidRPr="004A0212">
        <w:rPr>
          <w:rStyle w:val="StyleFootnoteReferenceFagoFunotenzeichenFagoFunotenzeichen"/>
        </w:rPr>
        <w:footnoteReference w:id="812"/>
      </w:r>
    </w:p>
    <w:p w14:paraId="278DA8E0" w14:textId="77777777" w:rsidR="00610D21" w:rsidRDefault="00610D21" w:rsidP="00610D21">
      <w:pPr>
        <w:pStyle w:val="Heading3"/>
        <w:rPr>
          <w:rStyle w:val="normaltextrun"/>
        </w:rPr>
      </w:pPr>
      <w:bookmarkStart w:id="746" w:name="_Toc168639127"/>
      <w:bookmarkStart w:id="747" w:name="_Toc165441891"/>
      <w:bookmarkStart w:id="748" w:name="_Toc541180680"/>
      <w:bookmarkStart w:id="749" w:name="_Toc168639128"/>
      <w:bookmarkStart w:id="750" w:name="_Toc165441965"/>
      <w:r w:rsidRPr="004A0212">
        <w:rPr>
          <w:rStyle w:val="normaltextrun"/>
        </w:rPr>
        <w:t xml:space="preserve">Kura </w:t>
      </w:r>
      <w:proofErr w:type="spellStart"/>
      <w:r w:rsidRPr="004A0212">
        <w:rPr>
          <w:rStyle w:val="normaltextrun"/>
        </w:rPr>
        <w:t>tūāpapa-whakapono</w:t>
      </w:r>
      <w:proofErr w:type="spellEnd"/>
      <w:r w:rsidRPr="004A0212">
        <w:rPr>
          <w:rStyle w:val="normaltextrun"/>
        </w:rPr>
        <w:t xml:space="preserve"> me </w:t>
      </w:r>
      <w:proofErr w:type="spellStart"/>
      <w:r w:rsidRPr="004A0212">
        <w:rPr>
          <w:rStyle w:val="normaltextrun"/>
        </w:rPr>
        <w:t>ngā</w:t>
      </w:r>
      <w:proofErr w:type="spellEnd"/>
      <w:r w:rsidRPr="004A0212">
        <w:rPr>
          <w:rStyle w:val="normaltextrun"/>
        </w:rPr>
        <w:t xml:space="preserve"> </w:t>
      </w:r>
      <w:proofErr w:type="spellStart"/>
      <w:r w:rsidRPr="004A0212">
        <w:rPr>
          <w:rStyle w:val="normaltextrun"/>
        </w:rPr>
        <w:t>whare</w:t>
      </w:r>
      <w:proofErr w:type="spellEnd"/>
      <w:r w:rsidRPr="004A0212">
        <w:rPr>
          <w:rStyle w:val="normaltextrun"/>
        </w:rPr>
        <w:t xml:space="preserve"> mātauranga</w:t>
      </w:r>
      <w:bookmarkEnd w:id="746"/>
      <w:r w:rsidRPr="004A0212">
        <w:rPr>
          <w:rStyle w:val="normaltextrun"/>
        </w:rPr>
        <w:t xml:space="preserve"> </w:t>
      </w:r>
    </w:p>
    <w:p w14:paraId="2D640AB2" w14:textId="6AACC495" w:rsidR="004C3995" w:rsidRPr="004A0212" w:rsidRDefault="1526C45E" w:rsidP="004C3995">
      <w:pPr>
        <w:pStyle w:val="Heading3"/>
        <w:rPr>
          <w:rStyle w:val="normaltextrun"/>
        </w:rPr>
      </w:pPr>
      <w:r w:rsidRPr="004A0212">
        <w:rPr>
          <w:rStyle w:val="normaltextrun"/>
        </w:rPr>
        <w:t>Faith-based schools and education facilities</w:t>
      </w:r>
      <w:bookmarkEnd w:id="747"/>
      <w:bookmarkEnd w:id="748"/>
      <w:bookmarkEnd w:id="749"/>
    </w:p>
    <w:p w14:paraId="71FB2009" w14:textId="77777777" w:rsidR="004C3995" w:rsidRPr="004A0212" w:rsidRDefault="66EE1105" w:rsidP="004C3995">
      <w:pPr>
        <w:pStyle w:val="Numbparas"/>
      </w:pPr>
      <w:r w:rsidRPr="004A0212">
        <w:t xml:space="preserve">For much of the Inquiry period, faith-based institutions have been providers of education in Aotearoa New Zealand. Catholic, Anglican, Methodist and Presbyterian churches, and the </w:t>
      </w:r>
      <w:proofErr w:type="spellStart"/>
      <w:r w:rsidRPr="004A0212">
        <w:t>Gloriavale</w:t>
      </w:r>
      <w:proofErr w:type="spellEnd"/>
      <w:r w:rsidRPr="004A0212">
        <w:t xml:space="preserve"> Christian Community, have all run or have affiliation with schools in Aotearoa New Zealand. These schools offer a range of education including primary and secondary education and boarding facilities. </w:t>
      </w:r>
    </w:p>
    <w:p w14:paraId="4A08DD26" w14:textId="77777777" w:rsidR="004C3995" w:rsidRPr="004A0212" w:rsidRDefault="66EE1105" w:rsidP="004C3995">
      <w:pPr>
        <w:pStyle w:val="Numbparas"/>
        <w:rPr>
          <w:rStyle w:val="normaltextrun"/>
        </w:rPr>
      </w:pPr>
      <w:r w:rsidRPr="004A0212">
        <w:t xml:space="preserve">During the early part of the Inquiry period, faith-based schools were generally private schools. The Private Schools Conditional Integration Act 1975 provided the option for private schools to integrate into the State education system. Many faith-based private schools became State-integrated with a special character. This means that the schools could become a </w:t>
      </w:r>
      <w:proofErr w:type="gramStart"/>
      <w:r w:rsidRPr="004A0212">
        <w:t>State</w:t>
      </w:r>
      <w:proofErr w:type="gramEnd"/>
      <w:r w:rsidRPr="004A0212">
        <w:t xml:space="preserve"> school, subject to the same set of standards and funding arrangements as other State schools but retaining a special character that informed how the school operated.</w:t>
      </w:r>
    </w:p>
    <w:p w14:paraId="5118D997" w14:textId="10B0E306" w:rsidR="004C3995" w:rsidRPr="004A0212" w:rsidRDefault="66EE1105" w:rsidP="004C3995">
      <w:pPr>
        <w:pStyle w:val="Numbparas"/>
        <w:rPr>
          <w:rStyle w:val="normaltextrun"/>
        </w:rPr>
      </w:pPr>
      <w:r w:rsidRPr="004A0212">
        <w:rPr>
          <w:rStyle w:val="normaltextrun"/>
        </w:rPr>
        <w:t>In practice, faith-based institutions tend to own the land and buildings where the State integrated school is located. Owners of the school land and</w:t>
      </w:r>
      <w:r w:rsidR="07CC1405" w:rsidRPr="004A0212">
        <w:rPr>
          <w:rStyle w:val="normaltextrun"/>
        </w:rPr>
        <w:t xml:space="preserve"> </w:t>
      </w:r>
      <w:r w:rsidRPr="004A0212">
        <w:rPr>
          <w:rStyle w:val="normaltextrun"/>
        </w:rPr>
        <w:t>/</w:t>
      </w:r>
      <w:r w:rsidR="07CC1405" w:rsidRPr="004A0212">
        <w:rPr>
          <w:rStyle w:val="normaltextrun"/>
        </w:rPr>
        <w:t xml:space="preserve"> </w:t>
      </w:r>
      <w:r w:rsidRPr="004A0212">
        <w:rPr>
          <w:rStyle w:val="normaltextrun"/>
        </w:rPr>
        <w:t xml:space="preserve">or buildings are called ‘proprietors.’ The proprietor </w:t>
      </w:r>
      <w:r w:rsidRPr="004A0212">
        <w:t>is responsible for ensuring the facilities meet Ministry of Education standards and for maintaining the school’s special character.</w:t>
      </w:r>
      <w:r w:rsidR="004C3995" w:rsidRPr="004A0212">
        <w:rPr>
          <w:rStyle w:val="StyleFootnoteReferenceFagoFunotenzeichenFagoFunotenzeichen"/>
        </w:rPr>
        <w:footnoteReference w:id="813"/>
      </w:r>
      <w:r w:rsidRPr="004A0212">
        <w:t xml:space="preserve"> </w:t>
      </w:r>
      <w:r w:rsidRPr="004A0212">
        <w:rPr>
          <w:rStyle w:val="normaltextrun"/>
        </w:rPr>
        <w:t>Under the Act, certain teaching appointments, including the principal, deputy principal and director of religious studies, can be made in line with the school’s special character.</w:t>
      </w:r>
      <w:r w:rsidR="004C3995" w:rsidRPr="004A0212">
        <w:rPr>
          <w:rStyle w:val="StyleFootnoteReferenceFagoFunotenzeichenFagoFunotenzeichen"/>
        </w:rPr>
        <w:footnoteReference w:id="814"/>
      </w:r>
      <w:r w:rsidRPr="004A0212">
        <w:rPr>
          <w:rStyle w:val="normaltextrun"/>
        </w:rPr>
        <w:t xml:space="preserve"> However, the school itself is administered by the State (via what was known as a Board of Trustees from 1989 and which was changed to the School Board in 2020 through the Education and Training Act 2020), including the teaching curriculum, teaching staff appointments and other legislative and regulatory requirements.</w:t>
      </w:r>
    </w:p>
    <w:p w14:paraId="41604714" w14:textId="315BCD4C" w:rsidR="004C3995" w:rsidRPr="004A0212" w:rsidRDefault="66EE1105" w:rsidP="004C3995">
      <w:pPr>
        <w:pStyle w:val="Numbparas"/>
        <w:rPr>
          <w:rStyle w:val="normaltextrun"/>
        </w:rPr>
      </w:pPr>
      <w:r w:rsidRPr="004A0212">
        <w:t>The Private Schools Conditional Integration Act</w:t>
      </w:r>
      <w:r w:rsidR="3CACC873" w:rsidRPr="004A0212">
        <w:t xml:space="preserve"> 1975</w:t>
      </w:r>
      <w:r w:rsidRPr="004A0212">
        <w:t xml:space="preserve"> significantly reduced the number of private faith-based schools in Aotearoa New Zealand. </w:t>
      </w:r>
      <w:r w:rsidRPr="004A0212">
        <w:rPr>
          <w:rStyle w:val="normaltextrun"/>
        </w:rPr>
        <w:t>For example, by 1983, 249 Catholic and nine non-Catholic private schools had integrated into the State education system.</w:t>
      </w:r>
      <w:r w:rsidR="004C3995" w:rsidRPr="004A0212">
        <w:rPr>
          <w:rStyle w:val="StyleFootnoteReferenceFagoFunotenzeichenFagoFunotenzeichen"/>
        </w:rPr>
        <w:footnoteReference w:id="815"/>
      </w:r>
      <w:r w:rsidRPr="004A0212">
        <w:rPr>
          <w:rStyle w:val="normaltextrun"/>
        </w:rPr>
        <w:t xml:space="preserve"> </w:t>
      </w:r>
    </w:p>
    <w:p w14:paraId="2593A036" w14:textId="77777777" w:rsidR="004C3995" w:rsidRPr="004A0212" w:rsidRDefault="66EE1105" w:rsidP="004C3995">
      <w:pPr>
        <w:pStyle w:val="Numbparas"/>
      </w:pPr>
      <w:r w:rsidRPr="004A0212">
        <w:t>There were also faith-based residential special schools. Two examples are Glenburn Centre in Tāmaki Makaurau Auckland, run by Presbyterian Social Services (with funding from the Department of Child, Youth and Family)</w:t>
      </w:r>
      <w:r w:rsidR="004C3995" w:rsidRPr="004A0212">
        <w:rPr>
          <w:rStyle w:val="StyleFootnoteReferenceFagoFunotenzeichenFagoFunotenzeichen"/>
        </w:rPr>
        <w:footnoteReference w:id="816"/>
      </w:r>
      <w:r w:rsidRPr="004A0212">
        <w:t xml:space="preserve"> and </w:t>
      </w:r>
      <w:proofErr w:type="spellStart"/>
      <w:r w:rsidRPr="004A0212">
        <w:t>Marylands</w:t>
      </w:r>
      <w:proofErr w:type="spellEnd"/>
      <w:r w:rsidRPr="004A0212">
        <w:t xml:space="preserve"> School in </w:t>
      </w:r>
      <w:proofErr w:type="spellStart"/>
      <w:r w:rsidRPr="004A0212">
        <w:rPr>
          <w:rStyle w:val="normaltextrun"/>
        </w:rPr>
        <w:t>Ōtautahi</w:t>
      </w:r>
      <w:proofErr w:type="spellEnd"/>
      <w:r w:rsidRPr="004A0212">
        <w:t xml:space="preserve"> Christchurch, run by the Catholic Order of St John of God. </w:t>
      </w:r>
    </w:p>
    <w:p w14:paraId="2B75F835" w14:textId="77777777" w:rsidR="004C3995" w:rsidRPr="004A0212" w:rsidRDefault="66EE1105" w:rsidP="004C3995">
      <w:pPr>
        <w:pStyle w:val="Numbparas"/>
      </w:pPr>
      <w:r w:rsidRPr="004A0212">
        <w:t>Marylands School was the subject of a separate report by the Inquiry. The findings were published in the Inquiry’s report Stolen lives, Marked Souls.</w:t>
      </w:r>
    </w:p>
    <w:p w14:paraId="21AB6642" w14:textId="77777777" w:rsidR="00122633" w:rsidRDefault="43FC1D76" w:rsidP="004C3995">
      <w:pPr>
        <w:pStyle w:val="Heading3"/>
      </w:pPr>
      <w:bookmarkStart w:id="751" w:name="_Toc168639129"/>
      <w:bookmarkStart w:id="752" w:name="_Toc1247272638"/>
      <w:proofErr w:type="spellStart"/>
      <w:r w:rsidRPr="004A0212">
        <w:t>Te</w:t>
      </w:r>
      <w:proofErr w:type="spellEnd"/>
      <w:r w:rsidRPr="004A0212">
        <w:t xml:space="preserve"> </w:t>
      </w:r>
      <w:proofErr w:type="spellStart"/>
      <w:r w:rsidRPr="004A0212">
        <w:t>kuhunga</w:t>
      </w:r>
      <w:proofErr w:type="spellEnd"/>
      <w:r w:rsidRPr="004A0212">
        <w:t xml:space="preserve"> o </w:t>
      </w:r>
      <w:proofErr w:type="spellStart"/>
      <w:r w:rsidRPr="004A0212">
        <w:t>te</w:t>
      </w:r>
      <w:proofErr w:type="spellEnd"/>
      <w:r w:rsidRPr="004A0212">
        <w:t xml:space="preserve"> </w:t>
      </w:r>
      <w:proofErr w:type="spellStart"/>
      <w:r w:rsidRPr="004A0212">
        <w:t>tangata</w:t>
      </w:r>
      <w:proofErr w:type="spellEnd"/>
      <w:r w:rsidRPr="004A0212">
        <w:t xml:space="preserve"> ki </w:t>
      </w:r>
      <w:proofErr w:type="spellStart"/>
      <w:r w:rsidRPr="004A0212">
        <w:t>ngā</w:t>
      </w:r>
      <w:proofErr w:type="spellEnd"/>
      <w:r w:rsidR="6E93EBDB" w:rsidRPr="004A0212">
        <w:t xml:space="preserve"> </w:t>
      </w:r>
      <w:proofErr w:type="spellStart"/>
      <w:r w:rsidR="6E93EBDB" w:rsidRPr="004A0212">
        <w:t>k</w:t>
      </w:r>
      <w:r w:rsidR="1526C45E" w:rsidRPr="004A0212">
        <w:t>ura</w:t>
      </w:r>
      <w:proofErr w:type="spellEnd"/>
      <w:r w:rsidR="1526C45E" w:rsidRPr="004A0212">
        <w:t xml:space="preserve"> </w:t>
      </w:r>
      <w:proofErr w:type="spellStart"/>
      <w:r w:rsidR="1526C45E" w:rsidRPr="004A0212">
        <w:t>t</w:t>
      </w:r>
      <w:r w:rsidR="4D4BF7D3" w:rsidRPr="004A0212">
        <w:t>ū</w:t>
      </w:r>
      <w:r w:rsidR="1526C45E" w:rsidRPr="004A0212">
        <w:t>āpapa-whakapono</w:t>
      </w:r>
      <w:bookmarkEnd w:id="751"/>
      <w:proofErr w:type="spellEnd"/>
      <w:r w:rsidR="1526C45E" w:rsidRPr="004A0212">
        <w:t xml:space="preserve"> </w:t>
      </w:r>
    </w:p>
    <w:p w14:paraId="67BFD2C2" w14:textId="64120089" w:rsidR="004C3995" w:rsidRPr="004A0212" w:rsidRDefault="1526C45E" w:rsidP="004C3995">
      <w:pPr>
        <w:pStyle w:val="Heading3"/>
      </w:pPr>
      <w:bookmarkStart w:id="753" w:name="_Toc168639130"/>
      <w:r w:rsidRPr="004A0212">
        <w:t>How people entered faith-based schools</w:t>
      </w:r>
      <w:bookmarkEnd w:id="750"/>
      <w:bookmarkEnd w:id="752"/>
      <w:bookmarkEnd w:id="753"/>
    </w:p>
    <w:p w14:paraId="45053D95" w14:textId="77777777" w:rsidR="004C3995" w:rsidRPr="004A0212" w:rsidRDefault="66EE1105" w:rsidP="004C3995">
      <w:pPr>
        <w:pStyle w:val="AllNumbparas"/>
      </w:pPr>
      <w:r w:rsidRPr="004A0212">
        <w:t>Children and young people were often sent to faith-based schools because of their families’ religion or because their parents believed these schools provided a higher standard of education than State schools. In some cases, the schools were considered an attempt to recreate the English class system.</w:t>
      </w:r>
      <w:r w:rsidR="004C3995" w:rsidRPr="004A0212">
        <w:rPr>
          <w:rStyle w:val="StyleFootnoteReferenceFagoFunotenzeichenFagoFunotenzeichen"/>
        </w:rPr>
        <w:footnoteReference w:id="817"/>
      </w:r>
      <w:r w:rsidRPr="004A0212">
        <w:t xml:space="preserve"> </w:t>
      </w:r>
    </w:p>
    <w:p w14:paraId="7518668D" w14:textId="77777777" w:rsidR="004C3995" w:rsidRPr="004A0212" w:rsidRDefault="66EE1105" w:rsidP="004C3995">
      <w:pPr>
        <w:pStyle w:val="AllNumbparas"/>
      </w:pPr>
      <w:r w:rsidRPr="004A0212">
        <w:t>Children and young people also attended some faith-based schools because they offered boarding facilities. As with faith-based children’s homes and orphanages, faith-based boarding schools were sometimes used as overflow or a last resort by the State when no other suitable placements for State wards were available.</w:t>
      </w:r>
      <w:r w:rsidR="004C3995" w:rsidRPr="004A0212">
        <w:rPr>
          <w:rStyle w:val="StyleFootnoteReferenceFagoFunotenzeichenFagoFunotenzeichen"/>
        </w:rPr>
        <w:footnoteReference w:id="818"/>
      </w:r>
    </w:p>
    <w:p w14:paraId="44231EDE" w14:textId="6D2F5133" w:rsidR="004C3995" w:rsidRPr="004A0212" w:rsidRDefault="1526C45E" w:rsidP="02397200">
      <w:pPr>
        <w:pStyle w:val="Hed4"/>
        <w:rPr>
          <w:shd w:val="clear" w:color="auto" w:fill="FFFFFF"/>
          <w:lang w:val="en-US"/>
        </w:rPr>
      </w:pPr>
      <w:bookmarkStart w:id="754" w:name="_Toc165441966"/>
      <w:bookmarkStart w:id="755" w:name="_Toc1898933869"/>
      <w:bookmarkStart w:id="756" w:name="_Toc168639131"/>
      <w:r w:rsidRPr="700D4309">
        <w:rPr>
          <w:lang w:val="en-US"/>
        </w:rPr>
        <w:t xml:space="preserve">Kura </w:t>
      </w:r>
      <w:proofErr w:type="spellStart"/>
      <w:r w:rsidRPr="700D4309">
        <w:rPr>
          <w:lang w:val="en-US"/>
        </w:rPr>
        <w:t>Katorika</w:t>
      </w:r>
      <w:proofErr w:type="spellEnd"/>
      <w:r w:rsidRPr="700D4309">
        <w:rPr>
          <w:lang w:val="en-US"/>
        </w:rPr>
        <w:t xml:space="preserve"> | Catholic schools</w:t>
      </w:r>
      <w:bookmarkEnd w:id="754"/>
      <w:bookmarkEnd w:id="755"/>
      <w:bookmarkEnd w:id="756"/>
    </w:p>
    <w:p w14:paraId="1263F701" w14:textId="77777777" w:rsidR="004C3995" w:rsidRPr="004A0212" w:rsidRDefault="66EE1105" w:rsidP="004C3995">
      <w:pPr>
        <w:pStyle w:val="AllNumbparas"/>
      </w:pPr>
      <w:r w:rsidRPr="004A0212">
        <w:t xml:space="preserve">Catholic entities ran 371 schools during the Inquiry period covering primary and secondary education. Some offered boarding facilities or were special schools for disabled and Deaf children. Marylands (1955–1983) was a private special school for disabled boys in </w:t>
      </w:r>
      <w:proofErr w:type="spellStart"/>
      <w:r w:rsidRPr="004A0212">
        <w:t>Ōtautahi</w:t>
      </w:r>
      <w:proofErr w:type="spellEnd"/>
      <w:r w:rsidRPr="004A0212">
        <w:t xml:space="preserve"> Christchurch, and St Dominics School for the Deaf (1944–1989) for Deaf children in the Te Whanganui-a-Tara Wellington and Manawatu regions.</w:t>
      </w:r>
    </w:p>
    <w:p w14:paraId="2007985D" w14:textId="77777777" w:rsidR="004C3995" w:rsidRPr="004A0212" w:rsidRDefault="66EE1105" w:rsidP="004C3995">
      <w:pPr>
        <w:pStyle w:val="AllNumbparas"/>
      </w:pPr>
      <w:r w:rsidRPr="004A0212">
        <w:t xml:space="preserve">There were also four Catholic institutions that were focused on behaviour reform.  These were Mount Magdala (in </w:t>
      </w:r>
      <w:proofErr w:type="spellStart"/>
      <w:r w:rsidRPr="004A0212">
        <w:t>Ōtautahi</w:t>
      </w:r>
      <w:proofErr w:type="spellEnd"/>
      <w:r w:rsidRPr="004A0212">
        <w:t xml:space="preserve"> Christchurch), </w:t>
      </w:r>
      <w:proofErr w:type="spellStart"/>
      <w:r w:rsidRPr="004A0212">
        <w:t>Marycrest</w:t>
      </w:r>
      <w:proofErr w:type="spellEnd"/>
      <w:r w:rsidRPr="004A0212">
        <w:t xml:space="preserve"> (in Te Horo), Rosemount (in Tāmaki Makaurau Auckland) and </w:t>
      </w:r>
      <w:proofErr w:type="spellStart"/>
      <w:r w:rsidRPr="004A0212">
        <w:t>Garindale</w:t>
      </w:r>
      <w:proofErr w:type="spellEnd"/>
      <w:r w:rsidRPr="004A0212">
        <w:t xml:space="preserve"> (in </w:t>
      </w:r>
      <w:proofErr w:type="spellStart"/>
      <w:r w:rsidRPr="004A0212">
        <w:t>Whakatū</w:t>
      </w:r>
      <w:proofErr w:type="spellEnd"/>
      <w:r w:rsidRPr="004A0212">
        <w:t xml:space="preserve"> Nelson).</w:t>
      </w:r>
    </w:p>
    <w:p w14:paraId="5E6CE7B3" w14:textId="3D491F36" w:rsidR="004C3995" w:rsidRPr="004A0212" w:rsidRDefault="1526C45E" w:rsidP="02397200">
      <w:pPr>
        <w:pStyle w:val="Hed4"/>
        <w:rPr>
          <w:shd w:val="clear" w:color="auto" w:fill="FFFFFF"/>
          <w:lang w:val="en-US"/>
        </w:rPr>
      </w:pPr>
      <w:bookmarkStart w:id="757" w:name="_Toc165441967"/>
      <w:bookmarkStart w:id="758" w:name="_Toc930872197"/>
      <w:bookmarkStart w:id="759" w:name="_Toc168639132"/>
      <w:r w:rsidRPr="700D4309">
        <w:rPr>
          <w:lang w:val="en-US"/>
        </w:rPr>
        <w:t xml:space="preserve">Kura </w:t>
      </w:r>
      <w:proofErr w:type="spellStart"/>
      <w:r w:rsidRPr="700D4309">
        <w:rPr>
          <w:lang w:val="en-US"/>
        </w:rPr>
        <w:t>Weteriana</w:t>
      </w:r>
      <w:proofErr w:type="spellEnd"/>
      <w:r w:rsidRPr="700D4309">
        <w:rPr>
          <w:lang w:val="en-US"/>
        </w:rPr>
        <w:t xml:space="preserve"> | Methodist school</w:t>
      </w:r>
      <w:bookmarkEnd w:id="757"/>
      <w:bookmarkEnd w:id="758"/>
      <w:bookmarkEnd w:id="759"/>
    </w:p>
    <w:p w14:paraId="1301958C" w14:textId="77777777" w:rsidR="004C3995" w:rsidRPr="004A0212" w:rsidRDefault="66EE1105" w:rsidP="004C3995">
      <w:pPr>
        <w:pStyle w:val="AllNumbparas"/>
      </w:pPr>
      <w:r w:rsidRPr="004A0212">
        <w:t>The Methodist Church has one school in Aotearoa New Zealand, Wesley College in Tāmaki Makaurau Auckland. The College was first set up as the Wesleyan Native Institute in 1844. In 1911, the Methodist Charitable and Educational Trusts Act 1911 was passed, establishing the Wesley Training College Trust Board to take over the functions of the Native Education Trust and the Wesley College Executive Committee. The trust board also administered the affairs of the trust under the general control and supervision of the Methodist Conference. The Wesley College Trust Board is affiliated with the Methodist Church as representatives from the Methodist Conference are appointed to sit on the Wesley College Trust Board, which reports to the Methodist Conference.</w:t>
      </w:r>
      <w:r w:rsidR="004C3995" w:rsidRPr="004A0212">
        <w:rPr>
          <w:rStyle w:val="StyleFootnoteReferenceFagoFunotenzeichenFagoFunotenzeichen"/>
        </w:rPr>
        <w:footnoteReference w:id="819"/>
      </w:r>
    </w:p>
    <w:p w14:paraId="3ED2D554" w14:textId="1BADD217" w:rsidR="004C3995" w:rsidRPr="004A0212" w:rsidRDefault="1526C45E" w:rsidP="02397200">
      <w:pPr>
        <w:pStyle w:val="Hed4"/>
      </w:pPr>
      <w:bookmarkStart w:id="760" w:name="_Toc165441968"/>
      <w:bookmarkStart w:id="761" w:name="_Toc254000284"/>
      <w:bookmarkStart w:id="762" w:name="_Toc168639133"/>
      <w:r w:rsidRPr="700D4309">
        <w:rPr>
          <w:lang w:val="en-US"/>
        </w:rPr>
        <w:t xml:space="preserve">Kura </w:t>
      </w:r>
      <w:proofErr w:type="spellStart"/>
      <w:r w:rsidRPr="700D4309">
        <w:rPr>
          <w:lang w:val="en-US"/>
        </w:rPr>
        <w:t>Mihingare</w:t>
      </w:r>
      <w:proofErr w:type="spellEnd"/>
      <w:r w:rsidRPr="700D4309">
        <w:rPr>
          <w:lang w:val="en-US"/>
        </w:rPr>
        <w:t xml:space="preserve"> | Anglican schools</w:t>
      </w:r>
      <w:bookmarkEnd w:id="760"/>
      <w:bookmarkEnd w:id="761"/>
      <w:bookmarkEnd w:id="762"/>
    </w:p>
    <w:p w14:paraId="394EDD92" w14:textId="77777777" w:rsidR="004C3995" w:rsidRPr="004A0212" w:rsidRDefault="66EE1105" w:rsidP="004C3995">
      <w:pPr>
        <w:pStyle w:val="AllNumbparas"/>
      </w:pPr>
      <w:r w:rsidRPr="004A0212">
        <w:t>There are currently 37 schools throughout Aotearoa New Zealand affiliated to the Anglican Church. These schools provide primary and secondary education, some of them with boarding facilities. The Anglican Schools’ Office provides support and resources to schools.</w:t>
      </w:r>
    </w:p>
    <w:p w14:paraId="2196ECA7" w14:textId="3C3C14C2" w:rsidR="004C3995" w:rsidRPr="004A0212" w:rsidRDefault="1526C45E" w:rsidP="02397200">
      <w:pPr>
        <w:pStyle w:val="Hed4"/>
      </w:pPr>
      <w:bookmarkStart w:id="763" w:name="_Toc165441969"/>
      <w:bookmarkStart w:id="764" w:name="_Toc180485521"/>
      <w:bookmarkStart w:id="765" w:name="_Toc168639134"/>
      <w:r w:rsidRPr="700D4309">
        <w:rPr>
          <w:lang w:val="en-US"/>
        </w:rPr>
        <w:t xml:space="preserve">Kura </w:t>
      </w:r>
      <w:proofErr w:type="spellStart"/>
      <w:r w:rsidRPr="700D4309">
        <w:rPr>
          <w:lang w:val="en-US"/>
        </w:rPr>
        <w:t>Perehipitīriana</w:t>
      </w:r>
      <w:proofErr w:type="spellEnd"/>
      <w:r w:rsidRPr="700D4309">
        <w:rPr>
          <w:lang w:val="en-US"/>
        </w:rPr>
        <w:t xml:space="preserve"> | Presbyterian schools</w:t>
      </w:r>
      <w:bookmarkEnd w:id="763"/>
      <w:bookmarkEnd w:id="764"/>
      <w:bookmarkEnd w:id="765"/>
    </w:p>
    <w:p w14:paraId="36018881" w14:textId="77777777" w:rsidR="004C3995" w:rsidRPr="004A0212" w:rsidRDefault="66EE1105" w:rsidP="004C3995">
      <w:pPr>
        <w:pStyle w:val="AllNumbparas"/>
        <w:rPr>
          <w:rStyle w:val="ui-provider"/>
        </w:rPr>
      </w:pPr>
      <w:r w:rsidRPr="004A0212">
        <w:rPr>
          <w:rStyle w:val="ui-provider"/>
        </w:rPr>
        <w:t>The Presbyterian Church has 20 affiliated schools. All Presbyterian schools are distinct and independent entities. The schools are governed by a board of trustees. Each school operates differently. For example, some individual board of trustees may also be members of Presbyterian Church Aotearoa, but they act independently in their school governance function. Some schools are on property owned by the Presbyterian Church Aotearoa, but this does not also mean the church has a governance role in that school.</w:t>
      </w:r>
      <w:r w:rsidR="004C3995" w:rsidRPr="004A0212">
        <w:rPr>
          <w:rStyle w:val="StyleFootnoteReferenceFagoFunotenzeichenFagoFunotenzeichen"/>
        </w:rPr>
        <w:footnoteReference w:id="820"/>
      </w:r>
    </w:p>
    <w:p w14:paraId="73DE7B6D" w14:textId="6CDEF766" w:rsidR="004C3995" w:rsidRPr="004A0212" w:rsidRDefault="1526C45E" w:rsidP="02397200">
      <w:pPr>
        <w:pStyle w:val="Hed4"/>
        <w:rPr>
          <w:lang w:val="en-US"/>
        </w:rPr>
      </w:pPr>
      <w:bookmarkStart w:id="766" w:name="_Toc165441970"/>
      <w:bookmarkStart w:id="767" w:name="_Toc1468270561"/>
      <w:bookmarkStart w:id="768" w:name="_Toc168639135"/>
      <w:r w:rsidRPr="700D4309">
        <w:rPr>
          <w:lang w:val="en-US"/>
        </w:rPr>
        <w:t xml:space="preserve">Kura </w:t>
      </w:r>
      <w:proofErr w:type="spellStart"/>
      <w:r w:rsidRPr="700D4309">
        <w:rPr>
          <w:lang w:val="en-US"/>
        </w:rPr>
        <w:t>noho</w:t>
      </w:r>
      <w:proofErr w:type="spellEnd"/>
      <w:r w:rsidRPr="700D4309">
        <w:rPr>
          <w:lang w:val="en-US"/>
        </w:rPr>
        <w:t xml:space="preserve"> Māori | Māori boarding schools</w:t>
      </w:r>
      <w:bookmarkEnd w:id="766"/>
      <w:bookmarkEnd w:id="767"/>
      <w:bookmarkEnd w:id="768"/>
    </w:p>
    <w:p w14:paraId="3931F823" w14:textId="77777777" w:rsidR="004C3995" w:rsidRPr="004A0212" w:rsidRDefault="66EE1105" w:rsidP="004C3995">
      <w:pPr>
        <w:pStyle w:val="AllNumbparas"/>
        <w:rPr>
          <w:rStyle w:val="normaltextrun"/>
        </w:rPr>
      </w:pPr>
      <w:r w:rsidRPr="004A0212">
        <w:t>As discussed in Chapter 2, in the 19</w:t>
      </w:r>
      <w:r w:rsidRPr="004A0212">
        <w:rPr>
          <w:vertAlign w:val="superscript"/>
        </w:rPr>
        <w:t>th</w:t>
      </w:r>
      <w:r w:rsidRPr="004A0212">
        <w:t xml:space="preserve"> century, missionaries from the various faiths played a role in establishing schools in Aotearoa New Zealand. Starting in 1844 with the opening of the Anglican St Stephen’s School in Tāmaki Makaurau Auckland, different faiths began establishing Māori boarding schools throughout the country.</w:t>
      </w:r>
    </w:p>
    <w:p w14:paraId="4D093426" w14:textId="77777777" w:rsidR="004C3995" w:rsidRPr="004A0212" w:rsidRDefault="66EE1105" w:rsidP="004C3995">
      <w:pPr>
        <w:pStyle w:val="AllNumbparas"/>
        <w:rPr>
          <w:rStyle w:val="normaltextrun"/>
        </w:rPr>
      </w:pPr>
      <w:r w:rsidRPr="004A0212">
        <w:t>T</w:t>
      </w:r>
      <w:r w:rsidRPr="004A0212">
        <w:rPr>
          <w:rStyle w:val="normaltextrun"/>
        </w:rPr>
        <w:t xml:space="preserve">hese schools were established specifically for Māori, with the aim of providing them with the best education and to create future Māori leaders, as well as evangelise Māori. However, the leadership of these schools was predominantly non-Māori. </w:t>
      </w:r>
    </w:p>
    <w:p w14:paraId="7522830C" w14:textId="77777777" w:rsidR="004C3995" w:rsidRPr="004A0212" w:rsidRDefault="66EE1105" w:rsidP="004C3995">
      <w:pPr>
        <w:pStyle w:val="AllNumbparas"/>
      </w:pPr>
      <w:r w:rsidRPr="004A0212">
        <w:rPr>
          <w:rStyle w:val="normaltextrun"/>
        </w:rPr>
        <w:t xml:space="preserve">From the mid-1840s to the 1980s, these schools were the main (if not only) Māori-specific secondary school option. It was not until about the 1980s that other Māori-specific schools such as </w:t>
      </w:r>
      <w:proofErr w:type="spellStart"/>
      <w:r w:rsidRPr="004A0212">
        <w:rPr>
          <w:rStyle w:val="normaltextrun"/>
        </w:rPr>
        <w:t>kura</w:t>
      </w:r>
      <w:proofErr w:type="spellEnd"/>
      <w:r w:rsidRPr="004A0212">
        <w:rPr>
          <w:rStyle w:val="normaltextrun"/>
        </w:rPr>
        <w:t xml:space="preserve"> </w:t>
      </w:r>
      <w:proofErr w:type="spellStart"/>
      <w:r w:rsidRPr="004A0212">
        <w:rPr>
          <w:rStyle w:val="normaltextrun"/>
        </w:rPr>
        <w:t>kaupapa</w:t>
      </w:r>
      <w:proofErr w:type="spellEnd"/>
      <w:r w:rsidRPr="004A0212">
        <w:rPr>
          <w:rStyle w:val="normaltextrun"/>
        </w:rPr>
        <w:t xml:space="preserve"> were established. </w:t>
      </w:r>
    </w:p>
    <w:p w14:paraId="480A5D1E" w14:textId="77777777" w:rsidR="004C3995" w:rsidRPr="004A0212" w:rsidRDefault="66EE1105" w:rsidP="004C3995">
      <w:pPr>
        <w:pStyle w:val="AllNumbparas"/>
        <w:rPr>
          <w:rStyle w:val="normaltextrun"/>
        </w:rPr>
      </w:pPr>
      <w:r w:rsidRPr="004A0212">
        <w:t>By 1910 there were ten Māori boarding schools throughout Aotearoa New Zealand.</w:t>
      </w:r>
      <w:r w:rsidR="004C3995" w:rsidRPr="004A0212">
        <w:rPr>
          <w:rStyle w:val="StyleFootnoteReferenceFagoFunotenzeichenFagoFunotenzeichen"/>
        </w:rPr>
        <w:footnoteReference w:id="821"/>
      </w:r>
    </w:p>
    <w:p w14:paraId="50A3282E" w14:textId="423E0653" w:rsidR="004C3995" w:rsidRPr="004A0212" w:rsidRDefault="66EE1105" w:rsidP="004C3995">
      <w:pPr>
        <w:pStyle w:val="AllNumbparas"/>
      </w:pPr>
      <w:r w:rsidRPr="004A0212">
        <w:rPr>
          <w:rStyle w:val="normaltextrun"/>
        </w:rPr>
        <w:t>By 1969 five of the schools had closed, and H</w:t>
      </w:r>
      <w:r w:rsidR="7A740659" w:rsidRPr="004A0212">
        <w:rPr>
          <w:rStyle w:val="normaltextrun"/>
        </w:rPr>
        <w:t>a</w:t>
      </w:r>
      <w:r w:rsidRPr="004A0212">
        <w:rPr>
          <w:rStyle w:val="normaltextrun"/>
        </w:rPr>
        <w:t xml:space="preserve">to </w:t>
      </w:r>
      <w:proofErr w:type="spellStart"/>
      <w:r w:rsidRPr="004A0212">
        <w:rPr>
          <w:rStyle w:val="normaltextrun"/>
        </w:rPr>
        <w:t>Pāora</w:t>
      </w:r>
      <w:proofErr w:type="spellEnd"/>
      <w:r w:rsidRPr="004A0212">
        <w:rPr>
          <w:rStyle w:val="normaltextrun"/>
        </w:rPr>
        <w:t xml:space="preserve"> (a school for boys) in Feilding was opened by the Society of Mary in 1948.</w:t>
      </w:r>
      <w:r w:rsidR="004C3995" w:rsidRPr="004A0212">
        <w:rPr>
          <w:rStyle w:val="StyleFootnoteReferenceFagoFunotenzeichenFagoFunotenzeichen"/>
        </w:rPr>
        <w:footnoteReference w:id="822"/>
      </w:r>
      <w:r w:rsidRPr="004A0212">
        <w:rPr>
          <w:rStyle w:val="normaltextrun"/>
        </w:rPr>
        <w:t xml:space="preserve"> By the end of the Inquiry period there were eight Māori boarding schools still in operation.</w:t>
      </w:r>
      <w:r w:rsidR="004C3995" w:rsidRPr="004A0212">
        <w:rPr>
          <w:rStyle w:val="StyleFootnoteReferenceFagoFunotenzeichenFagoFunotenzeichen"/>
        </w:rPr>
        <w:footnoteReference w:id="823"/>
      </w:r>
    </w:p>
    <w:p w14:paraId="1E495636" w14:textId="77777777" w:rsidR="004C3995" w:rsidRPr="004A0212" w:rsidRDefault="1526C45E" w:rsidP="02397200">
      <w:pPr>
        <w:pStyle w:val="Hed4"/>
        <w:rPr>
          <w:rStyle w:val="FootnoteReference"/>
          <w:vertAlign w:val="baseline"/>
          <w:lang w:val="en-US"/>
        </w:rPr>
      </w:pPr>
      <w:bookmarkStart w:id="769" w:name="_Toc165441971"/>
      <w:bookmarkStart w:id="770" w:name="_Toc696814946"/>
      <w:bookmarkStart w:id="771" w:name="_Toc168639136"/>
      <w:proofErr w:type="spellStart"/>
      <w:r w:rsidRPr="004A0212">
        <w:t>Te</w:t>
      </w:r>
      <w:proofErr w:type="spellEnd"/>
      <w:r w:rsidRPr="004A0212">
        <w:t xml:space="preserve"> Kura </w:t>
      </w:r>
      <w:proofErr w:type="spellStart"/>
      <w:r w:rsidRPr="004A0212">
        <w:t>Hapori</w:t>
      </w:r>
      <w:proofErr w:type="spellEnd"/>
      <w:r w:rsidRPr="004A0212">
        <w:t xml:space="preserve"> Karaitiana o </w:t>
      </w:r>
      <w:proofErr w:type="spellStart"/>
      <w:r w:rsidRPr="004A0212">
        <w:t>Gloriavale</w:t>
      </w:r>
      <w:proofErr w:type="spellEnd"/>
      <w:r w:rsidRPr="004A0212">
        <w:t xml:space="preserve"> | </w:t>
      </w:r>
      <w:proofErr w:type="spellStart"/>
      <w:r w:rsidRPr="004A0212">
        <w:t>Gloriavale</w:t>
      </w:r>
      <w:proofErr w:type="spellEnd"/>
      <w:r w:rsidRPr="004A0212">
        <w:t xml:space="preserve"> Christian Community school</w:t>
      </w:r>
      <w:bookmarkEnd w:id="769"/>
      <w:bookmarkEnd w:id="770"/>
      <w:bookmarkEnd w:id="771"/>
    </w:p>
    <w:p w14:paraId="7E7D25DD" w14:textId="77777777" w:rsidR="004C3995" w:rsidRPr="004A0212" w:rsidRDefault="66EE1105" w:rsidP="004C3995">
      <w:pPr>
        <w:pStyle w:val="AllNumbparas"/>
      </w:pPr>
      <w:proofErr w:type="spellStart"/>
      <w:r w:rsidRPr="004A0212">
        <w:t>Gloriavale</w:t>
      </w:r>
      <w:proofErr w:type="spellEnd"/>
      <w:r w:rsidRPr="004A0212">
        <w:t xml:space="preserve"> has an on-site school, the </w:t>
      </w:r>
      <w:proofErr w:type="spellStart"/>
      <w:r w:rsidRPr="004A0212">
        <w:t>Gloriavale</w:t>
      </w:r>
      <w:proofErr w:type="spellEnd"/>
      <w:r w:rsidRPr="004A0212">
        <w:t xml:space="preserve"> Christian School, which is governed by the </w:t>
      </w:r>
      <w:proofErr w:type="spellStart"/>
      <w:r w:rsidRPr="004A0212">
        <w:t>Gloriavale</w:t>
      </w:r>
      <w:proofErr w:type="spellEnd"/>
      <w:r w:rsidRPr="004A0212">
        <w:t xml:space="preserve"> Trust Board and the community management board. It has a roll of approximately 190 children aged from 5 to 16 years old, and 18 teaching staff. Teachers are self-employed and do not receive a salary as their work is unpaid and their “needs are met through membership of the community”.</w:t>
      </w:r>
      <w:r w:rsidR="004C3995" w:rsidRPr="004A0212">
        <w:rPr>
          <w:rStyle w:val="StyleFootnoteReferenceFagoFunotenzeichenFagoFunotenzeichen"/>
        </w:rPr>
        <w:footnoteReference w:id="824"/>
      </w:r>
      <w:r w:rsidRPr="004A0212">
        <w:t xml:space="preserve"> </w:t>
      </w:r>
    </w:p>
    <w:p w14:paraId="22227DBB" w14:textId="77777777" w:rsidR="004C3995" w:rsidRPr="004A0212" w:rsidRDefault="66EE1105" w:rsidP="004C3995">
      <w:pPr>
        <w:pStyle w:val="AllNumbparas"/>
      </w:pPr>
      <w:proofErr w:type="spellStart"/>
      <w:r w:rsidRPr="004A0212">
        <w:t>Gloriavale</w:t>
      </w:r>
      <w:proofErr w:type="spellEnd"/>
      <w:r w:rsidRPr="004A0212">
        <w:t xml:space="preserve"> Christian School is a registered private school. It receives some subsidy funding from the State and is reviewed by the Education Review Office on its compliance with the registration criteria.</w:t>
      </w:r>
      <w:r w:rsidR="004C3995" w:rsidRPr="004A0212">
        <w:rPr>
          <w:rStyle w:val="StyleFootnoteReferenceFagoFunotenzeichenFagoFunotenzeichen"/>
        </w:rPr>
        <w:footnoteReference w:id="825"/>
      </w:r>
      <w:r w:rsidRPr="004A0212">
        <w:t xml:space="preserve"> </w:t>
      </w:r>
    </w:p>
    <w:p w14:paraId="203E3EE2" w14:textId="22C6E07B" w:rsidR="004C3995" w:rsidRPr="004A0212" w:rsidRDefault="73CEC735" w:rsidP="2EE94807">
      <w:pPr>
        <w:pStyle w:val="Hed4"/>
      </w:pPr>
      <w:bookmarkStart w:id="772" w:name="_Toc165441972"/>
      <w:bookmarkStart w:id="773" w:name="_Toc1331500275"/>
      <w:bookmarkStart w:id="774" w:name="_Toc168639137"/>
      <w:r w:rsidRPr="2EE94807">
        <w:rPr>
          <w:lang w:val="en-US"/>
        </w:rPr>
        <w:t>Te Kura Karaitiana o Plymouth Brethren |</w:t>
      </w:r>
      <w:bookmarkStart w:id="775" w:name="_Toc165441973"/>
      <w:bookmarkEnd w:id="772"/>
      <w:r w:rsidR="69A07C99" w:rsidRPr="2EE94807">
        <w:rPr>
          <w:lang w:val="en-US"/>
        </w:rPr>
        <w:t xml:space="preserve"> </w:t>
      </w:r>
      <w:r w:rsidRPr="2EE94807">
        <w:rPr>
          <w:lang w:val="en-US"/>
        </w:rPr>
        <w:t>Plymouth Brethren Christian Church school</w:t>
      </w:r>
      <w:bookmarkEnd w:id="773"/>
      <w:bookmarkEnd w:id="774"/>
      <w:bookmarkEnd w:id="775"/>
    </w:p>
    <w:p w14:paraId="0EFF36AD" w14:textId="77777777" w:rsidR="004C3995" w:rsidRPr="004A0212" w:rsidRDefault="66EE1105" w:rsidP="004C3995">
      <w:pPr>
        <w:pStyle w:val="AllNumbparas"/>
      </w:pPr>
      <w:r w:rsidRPr="004A0212">
        <w:t xml:space="preserve">Plymouth Brethren Christian Church told the Inquiry that children of Plymouth Brethren members customarily attend </w:t>
      </w:r>
      <w:proofErr w:type="spellStart"/>
      <w:r w:rsidRPr="004A0212">
        <w:t>OneSchool</w:t>
      </w:r>
      <w:proofErr w:type="spellEnd"/>
      <w:r w:rsidRPr="004A0212">
        <w:t xml:space="preserve"> Global schools, and that these schools are not operated or controlled by the Exclusive Brethren. </w:t>
      </w:r>
    </w:p>
    <w:p w14:paraId="6FE144C4" w14:textId="77777777" w:rsidR="004C3995" w:rsidRPr="004A0212" w:rsidRDefault="66EE1105" w:rsidP="004C3995">
      <w:pPr>
        <w:pStyle w:val="AllNumbparas"/>
      </w:pPr>
      <w:r w:rsidRPr="004A0212">
        <w:t>However, these private schools (although staffed and run by independent professionals who are not church members) are attended only by children of Plymouth Brethren. Church members are often involved in supporting the schools through volunteer work and by board membership.</w:t>
      </w:r>
      <w:r w:rsidR="004C3995" w:rsidRPr="004A0212">
        <w:rPr>
          <w:rStyle w:val="StyleFootnoteReferenceFagoFunotenzeichenFagoFunotenzeichen"/>
        </w:rPr>
        <w:footnoteReference w:id="826"/>
      </w:r>
      <w:r w:rsidRPr="004A0212">
        <w:t xml:space="preserve"> </w:t>
      </w:r>
    </w:p>
    <w:p w14:paraId="677E3A24" w14:textId="5FF40B7B" w:rsidR="00064170" w:rsidRDefault="1526C45E" w:rsidP="00461DA4">
      <w:pPr>
        <w:pStyle w:val="Hed4"/>
      </w:pPr>
      <w:bookmarkStart w:id="776" w:name="_Toc168639138"/>
      <w:bookmarkStart w:id="777" w:name="_Toc165441974"/>
      <w:bookmarkStart w:id="778" w:name="_Toc272372328"/>
      <w:proofErr w:type="spellStart"/>
      <w:r w:rsidRPr="44ADDF6E">
        <w:rPr>
          <w:lang w:val="en-US"/>
        </w:rPr>
        <w:t>Ngā</w:t>
      </w:r>
      <w:proofErr w:type="spellEnd"/>
      <w:r w:rsidRPr="44ADDF6E">
        <w:rPr>
          <w:lang w:val="en-US"/>
        </w:rPr>
        <w:t xml:space="preserve"> </w:t>
      </w:r>
      <w:proofErr w:type="spellStart"/>
      <w:r w:rsidRPr="44ADDF6E">
        <w:rPr>
          <w:lang w:val="en-US"/>
        </w:rPr>
        <w:t>kura</w:t>
      </w:r>
      <w:proofErr w:type="spellEnd"/>
      <w:r w:rsidRPr="44ADDF6E">
        <w:rPr>
          <w:lang w:val="en-US"/>
        </w:rPr>
        <w:t xml:space="preserve"> </w:t>
      </w:r>
      <w:proofErr w:type="spellStart"/>
      <w:r w:rsidRPr="44ADDF6E">
        <w:rPr>
          <w:lang w:val="en-US"/>
        </w:rPr>
        <w:t>hāhi</w:t>
      </w:r>
      <w:proofErr w:type="spellEnd"/>
      <w:r w:rsidRPr="44ADDF6E">
        <w:rPr>
          <w:lang w:val="en-US"/>
        </w:rPr>
        <w:t xml:space="preserve"> me </w:t>
      </w:r>
      <w:proofErr w:type="spellStart"/>
      <w:r w:rsidRPr="44ADDF6E">
        <w:rPr>
          <w:lang w:val="en-US"/>
        </w:rPr>
        <w:t>ētahi</w:t>
      </w:r>
      <w:proofErr w:type="spellEnd"/>
      <w:r w:rsidRPr="44ADDF6E">
        <w:rPr>
          <w:lang w:val="en-US"/>
        </w:rPr>
        <w:t xml:space="preserve"> </w:t>
      </w:r>
      <w:proofErr w:type="spellStart"/>
      <w:r w:rsidRPr="44ADDF6E">
        <w:rPr>
          <w:lang w:val="en-US"/>
        </w:rPr>
        <w:t>atu</w:t>
      </w:r>
      <w:proofErr w:type="spellEnd"/>
      <w:r w:rsidRPr="44ADDF6E">
        <w:rPr>
          <w:lang w:val="en-US"/>
        </w:rPr>
        <w:t xml:space="preserve"> </w:t>
      </w:r>
      <w:proofErr w:type="spellStart"/>
      <w:r w:rsidRPr="44ADDF6E">
        <w:rPr>
          <w:lang w:val="en-US"/>
        </w:rPr>
        <w:t>whare</w:t>
      </w:r>
      <w:proofErr w:type="spellEnd"/>
      <w:r w:rsidRPr="44ADDF6E">
        <w:rPr>
          <w:lang w:val="en-US"/>
        </w:rPr>
        <w:t xml:space="preserve"> </w:t>
      </w:r>
      <w:proofErr w:type="spellStart"/>
      <w:r w:rsidRPr="44ADDF6E">
        <w:rPr>
          <w:lang w:val="en-US"/>
        </w:rPr>
        <w:t>mātauranga</w:t>
      </w:r>
      <w:proofErr w:type="spellEnd"/>
      <w:r w:rsidRPr="44ADDF6E">
        <w:rPr>
          <w:lang w:val="en-US"/>
        </w:rPr>
        <w:t xml:space="preserve"> </w:t>
      </w:r>
      <w:proofErr w:type="spellStart"/>
      <w:r w:rsidRPr="44ADDF6E">
        <w:rPr>
          <w:lang w:val="en-US"/>
        </w:rPr>
        <w:t>whakapono</w:t>
      </w:r>
      <w:bookmarkEnd w:id="776"/>
      <w:proofErr w:type="spellEnd"/>
      <w:r w:rsidRPr="44ADDF6E">
        <w:rPr>
          <w:lang w:val="en-US"/>
        </w:rPr>
        <w:t xml:space="preserve"> </w:t>
      </w:r>
      <w:bookmarkStart w:id="779" w:name="_Toc165441975"/>
      <w:bookmarkEnd w:id="777"/>
    </w:p>
    <w:p w14:paraId="3017FCB4" w14:textId="0831545D" w:rsidR="004C3995" w:rsidRPr="004A0212" w:rsidRDefault="1526C45E" w:rsidP="02397200">
      <w:pPr>
        <w:pStyle w:val="Hed4"/>
      </w:pPr>
      <w:bookmarkStart w:id="780" w:name="_Toc168639139"/>
      <w:r w:rsidRPr="004A0212">
        <w:t>Seminaries and other religious education institutions</w:t>
      </w:r>
      <w:bookmarkEnd w:id="778"/>
      <w:bookmarkEnd w:id="779"/>
      <w:bookmarkEnd w:id="780"/>
      <w:r w:rsidRPr="004A0212">
        <w:t xml:space="preserve"> </w:t>
      </w:r>
    </w:p>
    <w:p w14:paraId="234655A4" w14:textId="77777777" w:rsidR="004C3995" w:rsidRPr="004A0212" w:rsidRDefault="66EE1105" w:rsidP="004C3995">
      <w:pPr>
        <w:pStyle w:val="AllNumbparas"/>
      </w:pPr>
      <w:r w:rsidRPr="004A0212">
        <w:t xml:space="preserve">The Catholic, Anglican, Presbyterian and Methodist churches ran institutions for men and women preparing for religious life. These are also known as seminaries or theological colleges. </w:t>
      </w:r>
    </w:p>
    <w:p w14:paraId="5C503CA8" w14:textId="77777777" w:rsidR="004C3995" w:rsidRPr="004A0212" w:rsidRDefault="004C3995" w:rsidP="004C3995">
      <w:pPr>
        <w:pStyle w:val="Bulletpoints"/>
      </w:pPr>
      <w:r w:rsidRPr="004A0212">
        <w:t xml:space="preserve">the Catholic Dioceses’ main seminary was Holy Cross College in </w:t>
      </w:r>
      <w:proofErr w:type="spellStart"/>
      <w:r w:rsidRPr="004A0212">
        <w:t>Ōtepoti</w:t>
      </w:r>
      <w:proofErr w:type="spellEnd"/>
      <w:r w:rsidRPr="004A0212">
        <w:t xml:space="preserve"> Dunedin before it was relocated to Tāmaki Makaurau Auckland, and religious congregations also had seminaries and houses of formation throughout the country. The Marist Seminary at Mount St Mary’s (originally in Napier) combined with the Holy Cross College to form the Good Shepherd College in Tāmaki Makaurau Auckland in the 1990s. In 2020, the Good Shepherd College and the Catholic Institute merged to form Te Kupenga Catholic Theological College, which offers theological courses to seminarians and other people</w:t>
      </w:r>
    </w:p>
    <w:p w14:paraId="0D33EF32" w14:textId="77777777" w:rsidR="004C3995" w:rsidRPr="004A0212" w:rsidRDefault="004C3995" w:rsidP="004C3995">
      <w:pPr>
        <w:pStyle w:val="Bulletpoints"/>
      </w:pPr>
      <w:r w:rsidRPr="004A0212">
        <w:t xml:space="preserve">the Anglican Church had St John’s Theological College in Tāmaki Makaurau Auckland (still in operation today), and College House (later Christchurch College) in </w:t>
      </w:r>
      <w:proofErr w:type="spellStart"/>
      <w:r w:rsidRPr="004A0212">
        <w:t>Ōtautahi</w:t>
      </w:r>
      <w:proofErr w:type="spellEnd"/>
      <w:r w:rsidRPr="004A0212">
        <w:t xml:space="preserve"> Christchurch</w:t>
      </w:r>
    </w:p>
    <w:p w14:paraId="1C6C15CD" w14:textId="77777777" w:rsidR="004C3995" w:rsidRPr="004A0212" w:rsidRDefault="004C3995" w:rsidP="004C3995">
      <w:pPr>
        <w:pStyle w:val="Bulletpoints"/>
      </w:pPr>
      <w:r w:rsidRPr="004A0212">
        <w:t xml:space="preserve">the Presbyterian Church has the Knox Centre for Ministry and Leadership in </w:t>
      </w:r>
      <w:proofErr w:type="spellStart"/>
      <w:r w:rsidRPr="004A0212">
        <w:t>Ōtepoti</w:t>
      </w:r>
      <w:proofErr w:type="spellEnd"/>
      <w:r w:rsidRPr="004A0212">
        <w:t xml:space="preserve"> Dunedin</w:t>
      </w:r>
    </w:p>
    <w:p w14:paraId="798D1BA2" w14:textId="77777777" w:rsidR="004C3995" w:rsidRPr="004A0212" w:rsidRDefault="004C3995" w:rsidP="004C3995">
      <w:pPr>
        <w:pStyle w:val="Bulletpoints"/>
      </w:pPr>
      <w:r w:rsidRPr="004A0212">
        <w:t>the Methodist Church has one seminary in Tāmaki Makaurau Auckland, Trinity Methodist Theological College, which has been co-located with the Anglican St John’s Theological College since the 1970s.</w:t>
      </w:r>
    </w:p>
    <w:p w14:paraId="3569FE9A" w14:textId="608570F2" w:rsidR="004C3995" w:rsidRPr="004A0212" w:rsidRDefault="1526C45E" w:rsidP="4254EAC9">
      <w:pPr>
        <w:pStyle w:val="Heading2"/>
      </w:pPr>
      <w:bookmarkStart w:id="781" w:name="_Toc165441976"/>
      <w:bookmarkStart w:id="782" w:name="_Toc1060117771"/>
      <w:bookmarkStart w:id="783" w:name="_Toc168639140"/>
      <w:proofErr w:type="spellStart"/>
      <w:r w:rsidRPr="004A0212">
        <w:t>Te</w:t>
      </w:r>
      <w:proofErr w:type="spellEnd"/>
      <w:r w:rsidRPr="004A0212">
        <w:t xml:space="preserve"> </w:t>
      </w:r>
      <w:proofErr w:type="spellStart"/>
      <w:r w:rsidRPr="004A0212">
        <w:t>taurimatanga</w:t>
      </w:r>
      <w:proofErr w:type="spellEnd"/>
      <w:r w:rsidRPr="004A0212">
        <w:t xml:space="preserve"> o </w:t>
      </w:r>
      <w:proofErr w:type="spellStart"/>
      <w:r w:rsidRPr="004A0212">
        <w:t>te</w:t>
      </w:r>
      <w:proofErr w:type="spellEnd"/>
      <w:r w:rsidRPr="004A0212">
        <w:t xml:space="preserve"> </w:t>
      </w:r>
      <w:proofErr w:type="spellStart"/>
      <w:r w:rsidRPr="004A0212">
        <w:t>hunga</w:t>
      </w:r>
      <w:proofErr w:type="spellEnd"/>
      <w:r w:rsidRPr="004A0212">
        <w:t xml:space="preserve"> Turi me </w:t>
      </w:r>
      <w:proofErr w:type="spellStart"/>
      <w:r w:rsidRPr="004A0212">
        <w:t>te</w:t>
      </w:r>
      <w:proofErr w:type="spellEnd"/>
      <w:r w:rsidRPr="004A0212">
        <w:t xml:space="preserve"> </w:t>
      </w:r>
      <w:proofErr w:type="spellStart"/>
      <w:r w:rsidRPr="004A0212">
        <w:t>hunga</w:t>
      </w:r>
      <w:proofErr w:type="spellEnd"/>
      <w:r w:rsidRPr="004A0212">
        <w:t xml:space="preserve"> </w:t>
      </w:r>
      <w:proofErr w:type="spellStart"/>
      <w:r w:rsidRPr="004A0212">
        <w:t>whaikaha</w:t>
      </w:r>
      <w:proofErr w:type="spellEnd"/>
      <w:r w:rsidRPr="004A0212">
        <w:t xml:space="preserve"> </w:t>
      </w:r>
      <w:proofErr w:type="spellStart"/>
      <w:r w:rsidRPr="004A0212">
        <w:t>i</w:t>
      </w:r>
      <w:proofErr w:type="spellEnd"/>
      <w:r w:rsidRPr="004A0212">
        <w:t xml:space="preserve"> </w:t>
      </w:r>
      <w:proofErr w:type="spellStart"/>
      <w:r w:rsidRPr="004A0212">
        <w:t>ngā</w:t>
      </w:r>
      <w:proofErr w:type="spellEnd"/>
      <w:r w:rsidRPr="004A0212">
        <w:t xml:space="preserve"> </w:t>
      </w:r>
      <w:proofErr w:type="spellStart"/>
      <w:r w:rsidRPr="004A0212">
        <w:t>whakaritenga</w:t>
      </w:r>
      <w:proofErr w:type="spellEnd"/>
      <w:r w:rsidRPr="004A0212">
        <w:t xml:space="preserve"> </w:t>
      </w:r>
      <w:proofErr w:type="spellStart"/>
      <w:r w:rsidRPr="004A0212">
        <w:t>t</w:t>
      </w:r>
      <w:r w:rsidR="79A6C9CB" w:rsidRPr="004A0212">
        <w:t>ū</w:t>
      </w:r>
      <w:r w:rsidRPr="004A0212">
        <w:t>āpapa-whakapono</w:t>
      </w:r>
      <w:bookmarkEnd w:id="781"/>
      <w:bookmarkEnd w:id="782"/>
      <w:bookmarkEnd w:id="783"/>
      <w:proofErr w:type="spellEnd"/>
    </w:p>
    <w:p w14:paraId="3E593163" w14:textId="77777777" w:rsidR="004C3995" w:rsidRPr="004A0212" w:rsidRDefault="1526C45E" w:rsidP="004C3995">
      <w:pPr>
        <w:pStyle w:val="Heading2"/>
        <w:rPr>
          <w:rStyle w:val="AlldraftingnotesChar"/>
        </w:rPr>
      </w:pPr>
      <w:bookmarkStart w:id="784" w:name="_Toc165441977"/>
      <w:bookmarkStart w:id="785" w:name="_Toc242896256"/>
      <w:bookmarkStart w:id="786" w:name="_Toc168639141"/>
      <w:r w:rsidRPr="004A0212">
        <w:t>Care of Deaf people and disabled people in faith-based care settings</w:t>
      </w:r>
      <w:bookmarkEnd w:id="784"/>
      <w:bookmarkEnd w:id="785"/>
      <w:bookmarkEnd w:id="786"/>
    </w:p>
    <w:p w14:paraId="7EC87BD4" w14:textId="77777777" w:rsidR="004C3995" w:rsidRPr="004A0212" w:rsidRDefault="66EE1105" w:rsidP="004C3995">
      <w:pPr>
        <w:pStyle w:val="AllNumbparas"/>
      </w:pPr>
      <w:r w:rsidRPr="004A0212">
        <w:t xml:space="preserve">While few faith-based institutions catered for Deaf adults and disabled adults, some private and church-based organisations did open residential homes for Deaf people and disabled people. Private institutions such as </w:t>
      </w:r>
      <w:proofErr w:type="spellStart"/>
      <w:r w:rsidRPr="004A0212">
        <w:t>Hōhepa</w:t>
      </w:r>
      <w:proofErr w:type="spellEnd"/>
      <w:r w:rsidRPr="004A0212">
        <w:t xml:space="preserve"> Homes, in </w:t>
      </w:r>
      <w:proofErr w:type="spellStart"/>
      <w:r w:rsidRPr="004A0212">
        <w:t>Te</w:t>
      </w:r>
      <w:proofErr w:type="spellEnd"/>
      <w:r w:rsidRPr="004A0212">
        <w:t xml:space="preserve"> Matau-a-Māui Hawke’s Bay, opened its first residential services in 1956.</w:t>
      </w:r>
      <w:r w:rsidR="004C3995" w:rsidRPr="004A0212">
        <w:rPr>
          <w:rStyle w:val="StyleFootnoteReferenceFagoFunotenzeichenFagoFunotenzeichen"/>
        </w:rPr>
        <w:footnoteReference w:id="827"/>
      </w:r>
      <w:r w:rsidRPr="004A0212">
        <w:rPr>
          <w:rStyle w:val="StyleFootnoteReferenceFagoFunotenzeichenFagoFunotenzeichen1"/>
        </w:rPr>
        <w:t xml:space="preserve"> </w:t>
      </w:r>
    </w:p>
    <w:p w14:paraId="6C435E30" w14:textId="77777777" w:rsidR="004C3995" w:rsidRPr="004A0212" w:rsidRDefault="66EE1105" w:rsidP="004C3995">
      <w:pPr>
        <w:pStyle w:val="Numbparas"/>
      </w:pPr>
      <w:r w:rsidRPr="004A0212">
        <w:t>The Catholic Home of Compassion in Island Bay, founded by Daughters of Our Lady of Compassion, a religious congregation which began in Aotearoa, operated from 1907 to 1988. It provided care for children and families in need, such as children who may have been living in insecure homes or parents needing respite.</w:t>
      </w:r>
    </w:p>
    <w:p w14:paraId="494637EC" w14:textId="4916D474" w:rsidR="008C3073" w:rsidRPr="004A0212" w:rsidRDefault="66EE1105" w:rsidP="008C2F76">
      <w:pPr>
        <w:pStyle w:val="AllNumbparas"/>
      </w:pPr>
      <w:r w:rsidRPr="004A0212">
        <w:rPr>
          <w:rStyle w:val="NumbparasChar"/>
        </w:rPr>
        <w:t xml:space="preserve">As noted, Catholic Church entities operated two special schools for Deaf children and disabled children. In addition, Presbyterian Support Upper South Island financially supported Little Acre </w:t>
      </w:r>
      <w:proofErr w:type="spellStart"/>
      <w:r w:rsidRPr="004A0212">
        <w:rPr>
          <w:rStyle w:val="NumbparasChar"/>
        </w:rPr>
        <w:t>Huntsbury</w:t>
      </w:r>
      <w:proofErr w:type="spellEnd"/>
      <w:r w:rsidRPr="004A0212">
        <w:rPr>
          <w:rStyle w:val="NumbparasChar"/>
        </w:rPr>
        <w:t xml:space="preserve"> Home in </w:t>
      </w:r>
      <w:proofErr w:type="spellStart"/>
      <w:r w:rsidRPr="004A0212">
        <w:t>Ōtautahi</w:t>
      </w:r>
      <w:proofErr w:type="spellEnd"/>
      <w:r w:rsidRPr="004A0212">
        <w:rPr>
          <w:rStyle w:val="NumbparasChar"/>
        </w:rPr>
        <w:t xml:space="preserve"> Christchurch caring mostly for disabled children.</w:t>
      </w:r>
      <w:r w:rsidR="004C3995" w:rsidRPr="004A0212">
        <w:rPr>
          <w:rStyle w:val="StyleFootnoteReferenceFagoFunotenzeichenFagoFunotenzeichen"/>
        </w:rPr>
        <w:footnoteReference w:id="828"/>
      </w:r>
      <w:r w:rsidRPr="004A0212">
        <w:t xml:space="preserve"> </w:t>
      </w:r>
      <w:bookmarkStart w:id="787" w:name="_Toc147935430"/>
      <w:bookmarkStart w:id="788" w:name="_Toc148443620"/>
      <w:bookmarkStart w:id="789" w:name="_Toc150933183"/>
      <w:bookmarkStart w:id="790" w:name="_Toc150953501"/>
    </w:p>
    <w:p w14:paraId="2895A43E" w14:textId="34BA9E64" w:rsidR="00E73C8A" w:rsidRDefault="00E73C8A">
      <w:pPr>
        <w:keepLines w:val="0"/>
        <w:rPr>
          <w:rFonts w:ascii="Arial" w:eastAsia="Calibri" w:hAnsi="Arial" w:cs="Arial"/>
          <w:color w:val="222222"/>
          <w:sz w:val="22"/>
          <w:szCs w:val="22"/>
          <w:shd w:val="clear" w:color="auto" w:fill="FFFFFF"/>
          <w:lang w:eastAsia="en-NZ"/>
        </w:rPr>
      </w:pPr>
      <w:bookmarkStart w:id="791" w:name="_Toc147935466"/>
      <w:bookmarkStart w:id="792" w:name="_Toc148443660"/>
      <w:bookmarkStart w:id="793" w:name="_Toc150933228"/>
      <w:bookmarkStart w:id="794" w:name="_Toc150953546"/>
      <w:bookmarkEnd w:id="787"/>
      <w:bookmarkEnd w:id="788"/>
      <w:bookmarkEnd w:id="789"/>
      <w:bookmarkEnd w:id="790"/>
      <w:bookmarkEnd w:id="791"/>
      <w:bookmarkEnd w:id="792"/>
      <w:bookmarkEnd w:id="793"/>
      <w:bookmarkEnd w:id="794"/>
      <w:r>
        <w:rPr>
          <w:bCs/>
        </w:rPr>
        <w:br w:type="page"/>
      </w:r>
    </w:p>
    <w:p w14:paraId="765B4202" w14:textId="5795A019" w:rsidR="009D48F1" w:rsidRDefault="00E71B07" w:rsidP="008C2F76">
      <w:pPr>
        <w:pStyle w:val="AllNumbparas"/>
        <w:numPr>
          <w:ilvl w:val="0"/>
          <w:numId w:val="0"/>
        </w:numPr>
        <w:rPr>
          <w:bCs w:val="0"/>
        </w:rPr>
      </w:pPr>
      <w:r w:rsidRPr="009E449E">
        <w:rPr>
          <w:bCs w:val="0"/>
          <w:highlight w:val="yellow"/>
        </w:rPr>
        <w:t>Missing content</w:t>
      </w:r>
    </w:p>
    <w:p w14:paraId="1B3C58A5" w14:textId="60297DDF" w:rsidR="00A43955" w:rsidRDefault="7F6D205B" w:rsidP="44ADDF6E">
      <w:pPr>
        <w:pStyle w:val="AllQuotes"/>
        <w:ind w:left="0"/>
        <w:rPr>
          <w:rFonts w:eastAsia="Arial" w:cs="Arial"/>
          <w:b/>
          <w:bCs/>
          <w:szCs w:val="22"/>
        </w:rPr>
      </w:pPr>
      <w:r w:rsidRPr="44ADDF6E">
        <w:rPr>
          <w:rFonts w:eastAsia="Arial" w:cs="Arial"/>
          <w:szCs w:val="22"/>
        </w:rPr>
        <w:t>[Quote]</w:t>
      </w:r>
    </w:p>
    <w:p w14:paraId="61B7E27B" w14:textId="3AC60FD5" w:rsidR="00A43955" w:rsidRDefault="00A43955" w:rsidP="700D4309">
      <w:pPr>
        <w:pStyle w:val="AllQuotes"/>
        <w:rPr>
          <w:rFonts w:eastAsia="Arial" w:cs="Arial"/>
          <w:b/>
          <w:bCs/>
          <w:szCs w:val="22"/>
          <w:lang w:bidi="th-TH"/>
        </w:rPr>
      </w:pPr>
      <w:r w:rsidRPr="700D4309">
        <w:rPr>
          <w:rFonts w:eastAsia="Arial" w:cs="Arial"/>
          <w:b/>
          <w:bCs/>
          <w:szCs w:val="22"/>
        </w:rPr>
        <w:t>“</w:t>
      </w:r>
      <w:r w:rsidRPr="44ADDF6E">
        <w:rPr>
          <w:rFonts w:eastAsia="Arial" w:cs="Arial"/>
          <w:b/>
          <w:bCs/>
          <w:szCs w:val="22"/>
        </w:rPr>
        <w:t>Children and young people were</w:t>
      </w:r>
      <w:r w:rsidR="4B656E7A" w:rsidRPr="44ADDF6E">
        <w:rPr>
          <w:rFonts w:eastAsia="Arial" w:cs="Arial"/>
          <w:b/>
          <w:bCs/>
          <w:szCs w:val="22"/>
        </w:rPr>
        <w:t xml:space="preserve"> </w:t>
      </w:r>
      <w:r w:rsidRPr="700D4309">
        <w:rPr>
          <w:rFonts w:eastAsia="Arial" w:cs="Arial"/>
          <w:b/>
          <w:bCs/>
          <w:szCs w:val="22"/>
        </w:rPr>
        <w:t>sometimes held in adult prisons</w:t>
      </w:r>
      <w:r w:rsidR="2C8DB7A9" w:rsidRPr="44ADDF6E">
        <w:rPr>
          <w:rFonts w:eastAsia="Arial" w:cs="Arial"/>
          <w:b/>
          <w:bCs/>
          <w:szCs w:val="22"/>
        </w:rPr>
        <w:t xml:space="preserve"> </w:t>
      </w:r>
      <w:r w:rsidRPr="700D4309">
        <w:rPr>
          <w:rFonts w:eastAsia="Arial" w:cs="Arial"/>
          <w:b/>
          <w:bCs/>
          <w:szCs w:val="22"/>
        </w:rPr>
        <w:t>on remand or awaiting court when</w:t>
      </w:r>
      <w:r w:rsidR="57518260" w:rsidRPr="44ADDF6E">
        <w:rPr>
          <w:rFonts w:eastAsia="Arial" w:cs="Arial"/>
          <w:b/>
          <w:bCs/>
          <w:szCs w:val="22"/>
        </w:rPr>
        <w:t xml:space="preserve"> </w:t>
      </w:r>
      <w:r w:rsidRPr="700D4309">
        <w:rPr>
          <w:rFonts w:eastAsia="Arial" w:cs="Arial"/>
          <w:b/>
          <w:bCs/>
          <w:szCs w:val="22"/>
        </w:rPr>
        <w:t>other facilities were full.</w:t>
      </w:r>
      <w:r w:rsidRPr="44ADDF6E">
        <w:rPr>
          <w:rFonts w:eastAsia="Arial" w:cs="Arial"/>
          <w:b/>
          <w:bCs/>
          <w:szCs w:val="22"/>
        </w:rPr>
        <w:t>”</w:t>
      </w:r>
    </w:p>
    <w:p w14:paraId="667864D8" w14:textId="4CDF384B" w:rsidR="00A43955" w:rsidRDefault="00A43955" w:rsidP="700D4309">
      <w:pPr>
        <w:pStyle w:val="AllQuotes"/>
        <w:rPr>
          <w:rFonts w:eastAsia="Arial" w:cs="Arial"/>
          <w:b/>
          <w:bCs/>
          <w:szCs w:val="22"/>
          <w:lang w:bidi="th-TH"/>
        </w:rPr>
      </w:pPr>
      <w:r w:rsidRPr="700D4309">
        <w:rPr>
          <w:rFonts w:eastAsia="Arial" w:cs="Arial"/>
          <w:b/>
          <w:bCs/>
          <w:szCs w:val="22"/>
        </w:rPr>
        <w:t>A</w:t>
      </w:r>
      <w:r w:rsidR="1B4F0159" w:rsidRPr="700D4309">
        <w:rPr>
          <w:rFonts w:eastAsia="Arial" w:cs="Arial"/>
          <w:b/>
          <w:bCs/>
          <w:szCs w:val="22"/>
        </w:rPr>
        <w:t>ndrew Coster</w:t>
      </w:r>
    </w:p>
    <w:p w14:paraId="1EEBB825" w14:textId="16587207" w:rsidR="00A43955" w:rsidRDefault="00A43955" w:rsidP="700D4309">
      <w:pPr>
        <w:pStyle w:val="AllQuotes"/>
        <w:rPr>
          <w:rFonts w:eastAsia="Arial" w:cs="Arial"/>
          <w:b/>
          <w:bCs/>
          <w:szCs w:val="22"/>
        </w:rPr>
      </w:pPr>
      <w:r w:rsidRPr="700D4309">
        <w:rPr>
          <w:rFonts w:eastAsia="Arial" w:cs="Arial"/>
          <w:b/>
          <w:bCs/>
          <w:szCs w:val="22"/>
        </w:rPr>
        <w:t>NZ Police</w:t>
      </w:r>
    </w:p>
    <w:p w14:paraId="5A1B376E" w14:textId="612A5C56" w:rsidR="00A82212" w:rsidRDefault="00A82212">
      <w:pPr>
        <w:keepLines w:val="0"/>
        <w:rPr>
          <w:rFonts w:ascii="Arial" w:eastAsia="Arial" w:hAnsi="Arial" w:cs="Arial"/>
          <w:b/>
          <w:bCs/>
          <w:color w:val="auto"/>
          <w:sz w:val="22"/>
          <w:szCs w:val="22"/>
          <w:lang w:eastAsia="en-NZ"/>
        </w:rPr>
      </w:pPr>
      <w:r>
        <w:rPr>
          <w:rFonts w:eastAsia="Arial" w:cs="Arial"/>
          <w:b/>
          <w:bCs/>
          <w:szCs w:val="22"/>
        </w:rPr>
        <w:br w:type="page"/>
      </w:r>
    </w:p>
    <w:p w14:paraId="7E0409FD" w14:textId="77777777" w:rsidR="00A82212" w:rsidRPr="00A82212" w:rsidRDefault="00A82212" w:rsidP="00A82212">
      <w:pPr>
        <w:pStyle w:val="Heading1"/>
      </w:pPr>
      <w:bookmarkStart w:id="795" w:name="_Toc168659311"/>
      <w:r w:rsidRPr="00A82212">
        <w:t xml:space="preserve">He </w:t>
      </w:r>
      <w:proofErr w:type="spellStart"/>
      <w:r w:rsidRPr="00A82212">
        <w:t>waiata</w:t>
      </w:r>
      <w:proofErr w:type="spellEnd"/>
      <w:r w:rsidRPr="00A82212">
        <w:t xml:space="preserve"> aroha </w:t>
      </w:r>
      <w:proofErr w:type="spellStart"/>
      <w:r w:rsidRPr="00A82212">
        <w:t>mō</w:t>
      </w:r>
      <w:proofErr w:type="spellEnd"/>
      <w:r w:rsidRPr="00A82212">
        <w:t xml:space="preserve"> </w:t>
      </w:r>
      <w:proofErr w:type="spellStart"/>
      <w:r w:rsidRPr="00A82212">
        <w:t>ngā</w:t>
      </w:r>
      <w:proofErr w:type="spellEnd"/>
      <w:r w:rsidRPr="00A82212">
        <w:t xml:space="preserve"> </w:t>
      </w:r>
      <w:proofErr w:type="spellStart"/>
      <w:r w:rsidRPr="00A82212">
        <w:t>purapura</w:t>
      </w:r>
      <w:proofErr w:type="spellEnd"/>
      <w:r w:rsidRPr="00A82212">
        <w:t xml:space="preserve"> </w:t>
      </w:r>
      <w:proofErr w:type="spellStart"/>
      <w:r w:rsidRPr="00A82212">
        <w:t>ora</w:t>
      </w:r>
      <w:bookmarkEnd w:id="795"/>
      <w:proofErr w:type="spellEnd"/>
    </w:p>
    <w:p w14:paraId="7C0036D4" w14:textId="77777777" w:rsidR="00A82212" w:rsidRPr="00190F35" w:rsidRDefault="00A82212" w:rsidP="00A82212">
      <w:pPr>
        <w:spacing w:before="0" w:after="120"/>
        <w:rPr>
          <w:rFonts w:ascii="Arial" w:eastAsia="Arial" w:hAnsi="Arial" w:cs="Arial"/>
          <w:sz w:val="22"/>
          <w:szCs w:val="22"/>
          <w:lang w:val="en" w:eastAsia="en-NZ"/>
        </w:rPr>
      </w:pPr>
    </w:p>
    <w:p w14:paraId="2F44500A" w14:textId="77777777" w:rsidR="00A82212" w:rsidRPr="00190F35" w:rsidRDefault="00A82212" w:rsidP="00A82212">
      <w:pPr>
        <w:spacing w:before="0" w:after="120"/>
        <w:rPr>
          <w:rFonts w:ascii="Arial" w:eastAsia="Arial" w:hAnsi="Arial" w:cs="Arial"/>
          <w:sz w:val="22"/>
          <w:szCs w:val="22"/>
          <w:lang w:val="en-US" w:eastAsia="en-NZ"/>
        </w:rPr>
      </w:pPr>
      <w:proofErr w:type="spellStart"/>
      <w:r w:rsidRPr="00190F35">
        <w:rPr>
          <w:rFonts w:ascii="Arial" w:eastAsia="Arial" w:hAnsi="Arial" w:cs="Arial"/>
          <w:sz w:val="22"/>
          <w:szCs w:val="22"/>
          <w:lang w:val="en" w:eastAsia="en-NZ"/>
        </w:rPr>
        <w:t>Kāore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aroha </w:t>
      </w:r>
      <w:proofErr w:type="spellStart"/>
      <w:r w:rsidRPr="00190F35">
        <w:rPr>
          <w:rFonts w:ascii="Arial" w:eastAsia="Arial" w:hAnsi="Arial" w:cs="Arial"/>
          <w:sz w:val="22"/>
          <w:szCs w:val="22"/>
          <w:lang w:val="en" w:eastAsia="en-NZ"/>
        </w:rPr>
        <w:t>i</w:t>
      </w:r>
      <w:proofErr w:type="spellEnd"/>
      <w:r w:rsidRPr="00190F35">
        <w:rPr>
          <w:rFonts w:ascii="Arial" w:eastAsia="Arial" w:hAnsi="Arial" w:cs="Arial"/>
          <w:sz w:val="22"/>
          <w:szCs w:val="22"/>
          <w:lang w:val="en" w:eastAsia="en-NZ"/>
        </w:rPr>
        <w:t xml:space="preserve"> ahau </w:t>
      </w:r>
      <w:proofErr w:type="spellStart"/>
      <w:r w:rsidRPr="00190F35">
        <w:rPr>
          <w:rFonts w:ascii="Arial" w:eastAsia="Arial" w:hAnsi="Arial" w:cs="Arial"/>
          <w:sz w:val="22"/>
          <w:szCs w:val="22"/>
          <w:lang w:val="en" w:eastAsia="en-NZ"/>
        </w:rPr>
        <w:t>mō</w:t>
      </w:r>
      <w:proofErr w:type="spellEnd"/>
      <w:r w:rsidRPr="00190F35">
        <w:rPr>
          <w:rFonts w:ascii="Arial" w:eastAsia="Arial" w:hAnsi="Arial" w:cs="Arial"/>
          <w:sz w:val="22"/>
          <w:szCs w:val="22"/>
          <w:lang w:val="en" w:eastAsia="en-NZ"/>
        </w:rPr>
        <w:t xml:space="preserve"> koutou 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iwi I </w:t>
      </w:r>
      <w:proofErr w:type="spellStart"/>
      <w:r w:rsidRPr="00190F35">
        <w:rPr>
          <w:rFonts w:ascii="Arial" w:eastAsia="Arial" w:hAnsi="Arial" w:cs="Arial"/>
          <w:sz w:val="22"/>
          <w:szCs w:val="22"/>
          <w:lang w:val="en" w:eastAsia="en-NZ"/>
        </w:rPr>
        <w:t>mahue</w:t>
      </w:r>
      <w:proofErr w:type="spellEnd"/>
      <w:r w:rsidRPr="00190F35">
        <w:rPr>
          <w:rFonts w:ascii="Arial" w:eastAsia="Arial" w:hAnsi="Arial" w:cs="Arial"/>
          <w:sz w:val="22"/>
          <w:szCs w:val="22"/>
          <w:lang w:val="en" w:eastAsia="en-NZ"/>
        </w:rPr>
        <w:t xml:space="preserve"> kau </w:t>
      </w:r>
      <w:proofErr w:type="spellStart"/>
      <w:r w:rsidRPr="00190F35">
        <w:rPr>
          <w:rFonts w:ascii="Arial" w:eastAsia="Arial" w:hAnsi="Arial" w:cs="Arial"/>
          <w:sz w:val="22"/>
          <w:szCs w:val="22"/>
          <w:lang w:val="en" w:eastAsia="en-NZ"/>
        </w:rPr>
        <w:t>noa</w:t>
      </w:r>
      <w:proofErr w:type="spellEnd"/>
      <w:r w:rsidRPr="00190F35">
        <w:rPr>
          <w:rFonts w:ascii="Arial" w:eastAsia="Arial" w:hAnsi="Arial" w:cs="Arial"/>
          <w:sz w:val="22"/>
          <w:szCs w:val="22"/>
          <w:lang w:val="en" w:eastAsia="en-NZ"/>
        </w:rPr>
        <w:t xml:space="preserve"> </w:t>
      </w:r>
    </w:p>
    <w:p w14:paraId="6ABF4E32" w14:textId="77777777" w:rsidR="00A82212" w:rsidRPr="00190F35" w:rsidRDefault="00A82212" w:rsidP="00A82212">
      <w:pPr>
        <w:spacing w:before="0" w:after="120"/>
        <w:rPr>
          <w:rFonts w:ascii="Arial" w:eastAsia="Arial" w:hAnsi="Arial" w:cs="Arial"/>
          <w:sz w:val="22"/>
          <w:szCs w:val="22"/>
          <w:lang w:val="en-US" w:eastAsia="en-NZ"/>
        </w:rPr>
      </w:pPr>
      <w:proofErr w:type="spellStart"/>
      <w:r w:rsidRPr="00190F35">
        <w:rPr>
          <w:rFonts w:ascii="Arial" w:eastAsia="Arial" w:hAnsi="Arial" w:cs="Arial"/>
          <w:sz w:val="22"/>
          <w:szCs w:val="22"/>
          <w:lang w:val="en" w:eastAsia="en-NZ"/>
        </w:rPr>
        <w:t>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tika</w:t>
      </w:r>
    </w:p>
    <w:p w14:paraId="4827C7B4"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I </w:t>
      </w:r>
      <w:proofErr w:type="spellStart"/>
      <w:r w:rsidRPr="00190F35">
        <w:rPr>
          <w:rFonts w:ascii="Arial" w:eastAsia="Arial" w:hAnsi="Arial" w:cs="Arial"/>
          <w:sz w:val="22"/>
          <w:szCs w:val="22"/>
          <w:lang w:val="en" w:eastAsia="en-NZ"/>
        </w:rPr>
        <w:t>whakarerea</w:t>
      </w:r>
      <w:proofErr w:type="spellEnd"/>
      <w:r w:rsidRPr="00190F35">
        <w:rPr>
          <w:rFonts w:ascii="Arial" w:eastAsia="Arial" w:hAnsi="Arial" w:cs="Arial"/>
          <w:sz w:val="22"/>
          <w:szCs w:val="22"/>
          <w:lang w:val="en" w:eastAsia="en-NZ"/>
        </w:rPr>
        <w:t xml:space="preserve"> 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ture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raurangi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rā</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Tāmia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rawatia</w:t>
      </w:r>
      <w:proofErr w:type="spellEnd"/>
      <w:r w:rsidRPr="00190F35">
        <w:rPr>
          <w:rFonts w:ascii="Arial" w:eastAsia="Arial" w:hAnsi="Arial" w:cs="Arial"/>
          <w:sz w:val="22"/>
          <w:szCs w:val="22"/>
          <w:lang w:val="en" w:eastAsia="en-NZ"/>
        </w:rPr>
        <w:t xml:space="preserve"> ana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
    <w:p w14:paraId="392521AD" w14:textId="77777777" w:rsidR="00A82212" w:rsidRPr="00190F35" w:rsidRDefault="00A82212" w:rsidP="00A82212">
      <w:pPr>
        <w:spacing w:before="0" w:after="120"/>
        <w:rPr>
          <w:rFonts w:ascii="Arial" w:eastAsia="Arial" w:hAnsi="Arial" w:cs="Arial"/>
          <w:sz w:val="22"/>
          <w:szCs w:val="22"/>
          <w:lang w:val="en-US" w:eastAsia="en-NZ"/>
        </w:rPr>
      </w:pPr>
      <w:proofErr w:type="spellStart"/>
      <w:r w:rsidRPr="00190F35">
        <w:rPr>
          <w:rFonts w:ascii="Arial" w:eastAsia="Arial" w:hAnsi="Arial" w:cs="Arial"/>
          <w:sz w:val="22"/>
          <w:szCs w:val="22"/>
          <w:lang w:val="en-US" w:eastAsia="en-NZ"/>
        </w:rPr>
        <w:t>whakamanioro</w:t>
      </w:r>
      <w:proofErr w:type="spellEnd"/>
    </w:p>
    <w:p w14:paraId="6089C928"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he </w:t>
      </w:r>
      <w:proofErr w:type="spellStart"/>
      <w:r w:rsidRPr="00190F35">
        <w:rPr>
          <w:rFonts w:ascii="Arial" w:eastAsia="Arial" w:hAnsi="Arial" w:cs="Arial"/>
          <w:sz w:val="22"/>
          <w:szCs w:val="22"/>
          <w:lang w:val="en" w:eastAsia="en-NZ"/>
        </w:rPr>
        <w:t>huna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whakamamae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nō</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tūkino</w:t>
      </w:r>
      <w:proofErr w:type="spellEnd"/>
    </w:p>
    <w:p w14:paraId="20F6DF2C"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he </w:t>
      </w:r>
      <w:proofErr w:type="spellStart"/>
      <w:r w:rsidRPr="00190F35">
        <w:rPr>
          <w:rFonts w:ascii="Arial" w:eastAsia="Arial" w:hAnsi="Arial" w:cs="Arial"/>
          <w:sz w:val="22"/>
          <w:szCs w:val="22"/>
          <w:lang w:val="en" w:eastAsia="en-NZ"/>
        </w:rPr>
        <w:t>auhi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nō</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puku</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pēhia</w:t>
      </w:r>
      <w:proofErr w:type="spellEnd"/>
      <w:r w:rsidRPr="00190F35">
        <w:rPr>
          <w:rFonts w:ascii="Arial" w:eastAsia="Arial" w:hAnsi="Arial" w:cs="Arial"/>
          <w:sz w:val="22"/>
          <w:szCs w:val="22"/>
          <w:lang w:val="en" w:eastAsia="en-NZ"/>
        </w:rPr>
        <w:t xml:space="preserve"> kia </w:t>
      </w:r>
      <w:proofErr w:type="spellStart"/>
      <w:r w:rsidRPr="00190F35">
        <w:rPr>
          <w:rFonts w:ascii="Arial" w:eastAsia="Arial" w:hAnsi="Arial" w:cs="Arial"/>
          <w:sz w:val="22"/>
          <w:szCs w:val="22"/>
          <w:lang w:val="en" w:eastAsia="en-NZ"/>
        </w:rPr>
        <w:t>ngū</w:t>
      </w:r>
      <w:proofErr w:type="spellEnd"/>
    </w:p>
    <w:p w14:paraId="39DC5415"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Ko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kaikinikini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tau o </w:t>
      </w:r>
      <w:proofErr w:type="spellStart"/>
      <w:r w:rsidRPr="00190F35">
        <w:rPr>
          <w:rFonts w:ascii="Arial" w:eastAsia="Arial" w:hAnsi="Arial" w:cs="Arial"/>
          <w:sz w:val="22"/>
          <w:szCs w:val="22"/>
          <w:lang w:val="en" w:eastAsia="en-NZ"/>
        </w:rPr>
        <w:t>taku</w:t>
      </w:r>
      <w:proofErr w:type="spellEnd"/>
      <w:r w:rsidRPr="00190F35">
        <w:rPr>
          <w:rFonts w:ascii="Arial" w:eastAsia="Arial" w:hAnsi="Arial" w:cs="Arial"/>
          <w:sz w:val="22"/>
          <w:szCs w:val="22"/>
          <w:lang w:val="en" w:eastAsia="en-NZ"/>
        </w:rPr>
        <w:t xml:space="preserve"> ate </w:t>
      </w:r>
      <w:proofErr w:type="spellStart"/>
      <w:r w:rsidRPr="00190F35">
        <w:rPr>
          <w:rFonts w:ascii="Arial" w:eastAsia="Arial" w:hAnsi="Arial" w:cs="Arial"/>
          <w:sz w:val="22"/>
          <w:szCs w:val="22"/>
          <w:lang w:val="en" w:eastAsia="en-NZ"/>
        </w:rPr>
        <w:t>tē</w:t>
      </w:r>
      <w:proofErr w:type="spellEnd"/>
      <w:r w:rsidRPr="00190F35">
        <w:rPr>
          <w:rFonts w:ascii="Arial" w:eastAsia="Arial" w:hAnsi="Arial" w:cs="Arial"/>
          <w:sz w:val="22"/>
          <w:szCs w:val="22"/>
          <w:lang w:val="en" w:eastAsia="en-NZ"/>
        </w:rPr>
        <w:t xml:space="preserve"> rite ai ki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kōharihari</w:t>
      </w:r>
      <w:proofErr w:type="spellEnd"/>
      <w:r w:rsidRPr="00190F35">
        <w:rPr>
          <w:rFonts w:ascii="Arial" w:eastAsia="Arial" w:hAnsi="Arial" w:cs="Arial"/>
          <w:sz w:val="22"/>
          <w:szCs w:val="22"/>
          <w:lang w:val="en" w:eastAsia="en-NZ"/>
        </w:rPr>
        <w:t xml:space="preserve"> o </w:t>
      </w:r>
      <w:proofErr w:type="spellStart"/>
      <w:r w:rsidRPr="00190F35">
        <w:rPr>
          <w:rFonts w:ascii="Arial" w:eastAsia="Arial" w:hAnsi="Arial" w:cs="Arial"/>
          <w:sz w:val="22"/>
          <w:szCs w:val="22"/>
          <w:lang w:val="en" w:eastAsia="en-NZ"/>
        </w:rPr>
        <w:t>tōu</w:t>
      </w:r>
      <w:proofErr w:type="spellEnd"/>
    </w:p>
    <w:p w14:paraId="54926CD7" w14:textId="77777777" w:rsidR="00A82212" w:rsidRPr="00190F35" w:rsidRDefault="00A82212" w:rsidP="00A82212">
      <w:pPr>
        <w:spacing w:before="0" w:after="120"/>
        <w:rPr>
          <w:rFonts w:ascii="Arial" w:eastAsia="Arial" w:hAnsi="Arial" w:cs="Arial"/>
          <w:sz w:val="22"/>
          <w:szCs w:val="22"/>
          <w:lang w:val="en-US" w:eastAsia="en-NZ"/>
        </w:rPr>
      </w:pPr>
      <w:proofErr w:type="spellStart"/>
      <w:r w:rsidRPr="00190F35">
        <w:rPr>
          <w:rFonts w:ascii="Arial" w:eastAsia="Arial" w:hAnsi="Arial" w:cs="Arial"/>
          <w:sz w:val="22"/>
          <w:szCs w:val="22"/>
          <w:lang w:val="en" w:eastAsia="en-NZ"/>
        </w:rPr>
        <w:t>Arā</w:t>
      </w:r>
      <w:proofErr w:type="spellEnd"/>
      <w:r w:rsidRPr="00190F35">
        <w:rPr>
          <w:rFonts w:ascii="Arial" w:eastAsia="Arial" w:hAnsi="Arial" w:cs="Arial"/>
          <w:sz w:val="22"/>
          <w:szCs w:val="22"/>
          <w:lang w:val="en" w:eastAsia="en-NZ"/>
        </w:rPr>
        <w:t xml:space="preserve"> pea </w:t>
      </w:r>
      <w:proofErr w:type="spellStart"/>
      <w:r w:rsidRPr="00190F35">
        <w:rPr>
          <w:rFonts w:ascii="Arial" w:eastAsia="Arial" w:hAnsi="Arial" w:cs="Arial"/>
          <w:sz w:val="22"/>
          <w:szCs w:val="22"/>
          <w:lang w:val="en" w:eastAsia="en-NZ"/>
        </w:rPr>
        <w:t>koe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rā</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kei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kopa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Mirumiru-te-pō</w:t>
      </w:r>
      <w:proofErr w:type="spellEnd"/>
    </w:p>
    <w:p w14:paraId="10664B53" w14:textId="77777777" w:rsidR="00A82212" w:rsidRPr="00190F35" w:rsidRDefault="00A82212" w:rsidP="00A82212">
      <w:pPr>
        <w:spacing w:before="0" w:after="120"/>
        <w:rPr>
          <w:rFonts w:ascii="Arial" w:eastAsia="Arial" w:hAnsi="Arial" w:cs="Arial"/>
          <w:sz w:val="22"/>
          <w:szCs w:val="22"/>
          <w:lang w:val="en-US" w:eastAsia="en-NZ"/>
        </w:rPr>
      </w:pPr>
      <w:proofErr w:type="spellStart"/>
      <w:r w:rsidRPr="00190F35">
        <w:rPr>
          <w:rFonts w:ascii="Arial" w:eastAsia="Arial" w:hAnsi="Arial" w:cs="Arial"/>
          <w:sz w:val="22"/>
          <w:szCs w:val="22"/>
          <w:lang w:val="en-US" w:eastAsia="en-NZ"/>
        </w:rPr>
        <w:t>Pō</w:t>
      </w:r>
      <w:proofErr w:type="spellEnd"/>
      <w:r w:rsidRPr="00190F35">
        <w:rPr>
          <w:rFonts w:ascii="Arial" w:eastAsia="Arial" w:hAnsi="Arial" w:cs="Arial"/>
          <w:sz w:val="22"/>
          <w:szCs w:val="22"/>
          <w:lang w:val="en-US" w:eastAsia="en-NZ"/>
        </w:rPr>
        <w:t xml:space="preserve"> </w:t>
      </w:r>
      <w:proofErr w:type="spellStart"/>
      <w:r w:rsidRPr="00190F35">
        <w:rPr>
          <w:rFonts w:ascii="Arial" w:eastAsia="Arial" w:hAnsi="Arial" w:cs="Arial"/>
          <w:sz w:val="22"/>
          <w:szCs w:val="22"/>
          <w:lang w:val="en-US" w:eastAsia="en-NZ"/>
        </w:rPr>
        <w:t>tiwhatiwha</w:t>
      </w:r>
      <w:proofErr w:type="spellEnd"/>
      <w:r w:rsidRPr="00190F35">
        <w:rPr>
          <w:rFonts w:ascii="Arial" w:eastAsia="Arial" w:hAnsi="Arial" w:cs="Arial"/>
          <w:sz w:val="22"/>
          <w:szCs w:val="22"/>
          <w:lang w:val="en-US" w:eastAsia="en-NZ"/>
        </w:rPr>
        <w:t xml:space="preserve"> </w:t>
      </w:r>
      <w:proofErr w:type="spellStart"/>
      <w:r w:rsidRPr="00190F35">
        <w:rPr>
          <w:rFonts w:ascii="Arial" w:eastAsia="Arial" w:hAnsi="Arial" w:cs="Arial"/>
          <w:sz w:val="22"/>
          <w:szCs w:val="22"/>
          <w:lang w:val="en-US" w:eastAsia="en-NZ"/>
        </w:rPr>
        <w:t>pōuri</w:t>
      </w:r>
      <w:proofErr w:type="spellEnd"/>
      <w:r w:rsidRPr="00190F35">
        <w:rPr>
          <w:rFonts w:ascii="Arial" w:eastAsia="Arial" w:hAnsi="Arial" w:cs="Arial"/>
          <w:sz w:val="22"/>
          <w:szCs w:val="22"/>
          <w:lang w:val="en-US" w:eastAsia="en-NZ"/>
        </w:rPr>
        <w:t xml:space="preserve"> </w:t>
      </w:r>
      <w:proofErr w:type="spellStart"/>
      <w:r w:rsidRPr="00190F35">
        <w:rPr>
          <w:rFonts w:ascii="Arial" w:eastAsia="Arial" w:hAnsi="Arial" w:cs="Arial"/>
          <w:sz w:val="22"/>
          <w:szCs w:val="22"/>
          <w:lang w:val="en-US" w:eastAsia="en-NZ"/>
        </w:rPr>
        <w:t>kenekene</w:t>
      </w:r>
      <w:proofErr w:type="spellEnd"/>
    </w:p>
    <w:p w14:paraId="3F64731D" w14:textId="77777777" w:rsidR="00A82212" w:rsidRPr="00190F35" w:rsidRDefault="00A82212" w:rsidP="00A82212">
      <w:pPr>
        <w:spacing w:before="0" w:after="120"/>
        <w:rPr>
          <w:rFonts w:ascii="Arial" w:eastAsia="Arial" w:hAnsi="Arial" w:cs="Arial"/>
          <w:sz w:val="22"/>
          <w:szCs w:val="22"/>
          <w:lang w:val="en-US" w:eastAsia="en-NZ"/>
        </w:rPr>
      </w:pPr>
      <w:proofErr w:type="spellStart"/>
      <w:r w:rsidRPr="00190F35">
        <w:rPr>
          <w:rFonts w:ascii="Arial" w:eastAsia="Arial" w:hAnsi="Arial" w:cs="Arial"/>
          <w:sz w:val="22"/>
          <w:szCs w:val="22"/>
          <w:lang w:val="en" w:eastAsia="en-NZ"/>
        </w:rPr>
        <w:t>Tē</w:t>
      </w:r>
      <w:proofErr w:type="spellEnd"/>
      <w:r w:rsidRPr="00190F35">
        <w:rPr>
          <w:rFonts w:ascii="Arial" w:eastAsia="Arial" w:hAnsi="Arial" w:cs="Arial"/>
          <w:sz w:val="22"/>
          <w:szCs w:val="22"/>
          <w:lang w:val="en" w:eastAsia="en-NZ"/>
        </w:rPr>
        <w:t xml:space="preserve"> ai he </w:t>
      </w:r>
      <w:proofErr w:type="spellStart"/>
      <w:r w:rsidRPr="00190F35">
        <w:rPr>
          <w:rFonts w:ascii="Arial" w:eastAsia="Arial" w:hAnsi="Arial" w:cs="Arial"/>
          <w:sz w:val="22"/>
          <w:szCs w:val="22"/>
          <w:lang w:val="en" w:eastAsia="en-NZ"/>
        </w:rPr>
        <w:t>huringa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ake</w:t>
      </w:r>
      <w:proofErr w:type="spellEnd"/>
      <w:r w:rsidRPr="00190F35">
        <w:rPr>
          <w:rFonts w:ascii="Arial" w:eastAsia="Arial" w:hAnsi="Arial" w:cs="Arial"/>
          <w:sz w:val="22"/>
          <w:szCs w:val="22"/>
          <w:lang w:val="en" w:eastAsia="en-NZ"/>
        </w:rPr>
        <w:t xml:space="preserve"> i ō </w:t>
      </w:r>
      <w:proofErr w:type="spellStart"/>
      <w:r w:rsidRPr="00190F35">
        <w:rPr>
          <w:rFonts w:ascii="Arial" w:eastAsia="Arial" w:hAnsi="Arial" w:cs="Arial"/>
          <w:sz w:val="22"/>
          <w:szCs w:val="22"/>
          <w:lang w:val="en" w:eastAsia="en-NZ"/>
        </w:rPr>
        <w:t>mahara</w:t>
      </w:r>
      <w:proofErr w:type="spellEnd"/>
    </w:p>
    <w:p w14:paraId="0BA0EFB6"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Nei </w:t>
      </w:r>
      <w:proofErr w:type="spellStart"/>
      <w:r w:rsidRPr="00190F35">
        <w:rPr>
          <w:rFonts w:ascii="Arial" w:eastAsia="Arial" w:hAnsi="Arial" w:cs="Arial"/>
          <w:sz w:val="22"/>
          <w:szCs w:val="22"/>
          <w:lang w:val="en" w:eastAsia="en-NZ"/>
        </w:rPr>
        <w:t>tāku</w:t>
      </w:r>
      <w:proofErr w:type="spellEnd"/>
      <w:r w:rsidRPr="00190F35">
        <w:rPr>
          <w:rFonts w:ascii="Arial" w:eastAsia="Arial" w:hAnsi="Arial" w:cs="Arial"/>
          <w:sz w:val="22"/>
          <w:szCs w:val="22"/>
          <w:lang w:val="en" w:eastAsia="en-NZ"/>
        </w:rPr>
        <w:t>, ‘</w:t>
      </w:r>
      <w:proofErr w:type="spellStart"/>
      <w:r w:rsidRPr="00190F35">
        <w:rPr>
          <w:rFonts w:ascii="Arial" w:eastAsia="Arial" w:hAnsi="Arial" w:cs="Arial"/>
          <w:sz w:val="22"/>
          <w:szCs w:val="22"/>
          <w:lang w:val="en" w:eastAsia="en-NZ"/>
        </w:rPr>
        <w:t>kei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tōia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atu</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tatau</w:t>
      </w:r>
      <w:proofErr w:type="spellEnd"/>
      <w:r w:rsidRPr="00190F35">
        <w:rPr>
          <w:rFonts w:ascii="Arial" w:eastAsia="Arial" w:hAnsi="Arial" w:cs="Arial"/>
          <w:sz w:val="22"/>
          <w:szCs w:val="22"/>
          <w:lang w:val="en" w:eastAsia="en-NZ"/>
        </w:rPr>
        <w:t xml:space="preserve"> ka </w:t>
      </w:r>
      <w:proofErr w:type="spellStart"/>
      <w:r w:rsidRPr="00190F35">
        <w:rPr>
          <w:rFonts w:ascii="Arial" w:eastAsia="Arial" w:hAnsi="Arial" w:cs="Arial"/>
          <w:sz w:val="22"/>
          <w:szCs w:val="22"/>
          <w:lang w:val="en" w:eastAsia="en-NZ"/>
        </w:rPr>
        <w:t>tomokia</w:t>
      </w:r>
      <w:proofErr w:type="spellEnd"/>
      <w:r w:rsidRPr="00190F35">
        <w:rPr>
          <w:rFonts w:ascii="Arial" w:eastAsia="Arial" w:hAnsi="Arial" w:cs="Arial"/>
          <w:sz w:val="22"/>
          <w:szCs w:val="22"/>
          <w:lang w:val="en" w:eastAsia="en-NZ"/>
        </w:rPr>
        <w:t xml:space="preserve"> ai’</w:t>
      </w:r>
    </w:p>
    <w:p w14:paraId="3818DA3B" w14:textId="77777777" w:rsidR="00A82212" w:rsidRPr="00190F35" w:rsidRDefault="00A82212" w:rsidP="00A82212">
      <w:pPr>
        <w:spacing w:before="0" w:after="120"/>
        <w:rPr>
          <w:rFonts w:ascii="Arial" w:eastAsia="Arial" w:hAnsi="Arial" w:cs="Arial"/>
          <w:sz w:val="22"/>
          <w:szCs w:val="22"/>
          <w:lang w:val="en-US" w:eastAsia="en-NZ"/>
        </w:rPr>
      </w:pPr>
      <w:proofErr w:type="spellStart"/>
      <w:r w:rsidRPr="00190F35">
        <w:rPr>
          <w:rFonts w:ascii="Arial" w:eastAsia="Arial" w:hAnsi="Arial" w:cs="Arial"/>
          <w:sz w:val="22"/>
          <w:szCs w:val="22"/>
          <w:lang w:val="en" w:eastAsia="en-NZ"/>
        </w:rPr>
        <w:t>Tēnā</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kē</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ia</w:t>
      </w:r>
      <w:proofErr w:type="spellEnd"/>
      <w:r w:rsidRPr="00190F35">
        <w:rPr>
          <w:rFonts w:ascii="Arial" w:eastAsia="Arial" w:hAnsi="Arial" w:cs="Arial"/>
          <w:sz w:val="22"/>
          <w:szCs w:val="22"/>
          <w:lang w:val="en" w:eastAsia="en-NZ"/>
        </w:rPr>
        <w:t xml:space="preserve"> kia </w:t>
      </w:r>
      <w:proofErr w:type="spellStart"/>
      <w:r w:rsidRPr="00190F35">
        <w:rPr>
          <w:rFonts w:ascii="Arial" w:eastAsia="Arial" w:hAnsi="Arial" w:cs="Arial"/>
          <w:sz w:val="22"/>
          <w:szCs w:val="22"/>
          <w:lang w:val="en" w:eastAsia="en-NZ"/>
        </w:rPr>
        <w:t>huri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ake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tāua</w:t>
      </w:r>
      <w:proofErr w:type="spellEnd"/>
      <w:r w:rsidRPr="00190F35">
        <w:rPr>
          <w:rFonts w:ascii="Arial" w:eastAsia="Arial" w:hAnsi="Arial" w:cs="Arial"/>
          <w:sz w:val="22"/>
          <w:szCs w:val="22"/>
          <w:lang w:val="en" w:eastAsia="en-NZ"/>
        </w:rPr>
        <w:t xml:space="preserve"> ki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kimi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oranga</w:t>
      </w:r>
      <w:proofErr w:type="spellEnd"/>
    </w:p>
    <w:p w14:paraId="2C78DD5B"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E mate </w:t>
      </w:r>
      <w:proofErr w:type="spellStart"/>
      <w:r w:rsidRPr="00190F35">
        <w:rPr>
          <w:rFonts w:ascii="Arial" w:eastAsia="Arial" w:hAnsi="Arial" w:cs="Arial"/>
          <w:sz w:val="22"/>
          <w:szCs w:val="22"/>
          <w:lang w:val="en" w:eastAsia="en-NZ"/>
        </w:rPr>
        <w:t>Pūmahara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Kāhorehore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Kāhorehore</w:t>
      </w:r>
      <w:proofErr w:type="spellEnd"/>
      <w:r w:rsidRPr="00190F35">
        <w:rPr>
          <w:rFonts w:ascii="Arial" w:eastAsia="Arial" w:hAnsi="Arial" w:cs="Arial"/>
          <w:sz w:val="22"/>
          <w:szCs w:val="22"/>
          <w:lang w:val="en" w:eastAsia="en-NZ"/>
        </w:rPr>
        <w:t>!</w:t>
      </w:r>
    </w:p>
    <w:p w14:paraId="33D0B052"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E </w:t>
      </w:r>
      <w:proofErr w:type="spellStart"/>
      <w:r w:rsidRPr="00190F35">
        <w:rPr>
          <w:rFonts w:ascii="Arial" w:eastAsia="Arial" w:hAnsi="Arial" w:cs="Arial"/>
          <w:sz w:val="22"/>
          <w:szCs w:val="22"/>
          <w:lang w:val="en" w:eastAsia="en-NZ"/>
        </w:rPr>
        <w:t>ara</w:t>
      </w:r>
      <w:proofErr w:type="spellEnd"/>
      <w:r w:rsidRPr="00190F35">
        <w:rPr>
          <w:rFonts w:ascii="Arial" w:eastAsia="Arial" w:hAnsi="Arial" w:cs="Arial"/>
          <w:sz w:val="22"/>
          <w:szCs w:val="22"/>
          <w:lang w:val="en" w:eastAsia="en-NZ"/>
        </w:rPr>
        <w:t xml:space="preserve"> e </w:t>
      </w:r>
      <w:proofErr w:type="spellStart"/>
      <w:r w:rsidRPr="00190F35">
        <w:rPr>
          <w:rFonts w:ascii="Arial" w:eastAsia="Arial" w:hAnsi="Arial" w:cs="Arial"/>
          <w:sz w:val="22"/>
          <w:szCs w:val="22"/>
          <w:lang w:val="en" w:eastAsia="en-NZ"/>
        </w:rPr>
        <w:t>hoa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mā</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māngai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nuitia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kupu</w:t>
      </w:r>
      <w:proofErr w:type="spellEnd"/>
      <w:r w:rsidRPr="00190F35">
        <w:rPr>
          <w:rFonts w:ascii="Arial" w:eastAsia="Arial" w:hAnsi="Arial" w:cs="Arial"/>
          <w:sz w:val="22"/>
          <w:szCs w:val="22"/>
          <w:lang w:val="en" w:eastAsia="en-NZ"/>
        </w:rPr>
        <w:t xml:space="preserve"> pono </w:t>
      </w:r>
      <w:proofErr w:type="spellStart"/>
      <w:r w:rsidRPr="00190F35">
        <w:rPr>
          <w:rFonts w:ascii="Arial" w:eastAsia="Arial" w:hAnsi="Arial" w:cs="Arial"/>
          <w:sz w:val="22"/>
          <w:szCs w:val="22"/>
          <w:lang w:val="en" w:eastAsia="en-NZ"/>
        </w:rPr>
        <w:t>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puku</w:t>
      </w:r>
      <w:proofErr w:type="spellEnd"/>
      <w:r w:rsidRPr="00190F35">
        <w:rPr>
          <w:rFonts w:ascii="Arial" w:eastAsia="Arial" w:hAnsi="Arial" w:cs="Arial"/>
          <w:sz w:val="22"/>
          <w:szCs w:val="22"/>
          <w:lang w:val="en" w:eastAsia="en-NZ"/>
        </w:rPr>
        <w:t xml:space="preserve"> o </w:t>
      </w:r>
      <w:proofErr w:type="spellStart"/>
      <w:r w:rsidRPr="00190F35">
        <w:rPr>
          <w:rFonts w:ascii="Arial" w:eastAsia="Arial" w:hAnsi="Arial" w:cs="Arial"/>
          <w:sz w:val="22"/>
          <w:szCs w:val="22"/>
          <w:lang w:val="en" w:eastAsia="en-NZ"/>
        </w:rPr>
        <w:t>Kareāroto</w:t>
      </w:r>
      <w:proofErr w:type="spellEnd"/>
    </w:p>
    <w:p w14:paraId="6808FF78"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Kia </w:t>
      </w:r>
      <w:proofErr w:type="spellStart"/>
      <w:r w:rsidRPr="00190F35">
        <w:rPr>
          <w:rFonts w:ascii="Arial" w:eastAsia="Arial" w:hAnsi="Arial" w:cs="Arial"/>
          <w:sz w:val="22"/>
          <w:szCs w:val="22"/>
          <w:lang w:val="en" w:eastAsia="en-NZ"/>
        </w:rPr>
        <w:t>iri</w:t>
      </w:r>
      <w:proofErr w:type="spellEnd"/>
      <w:r w:rsidRPr="00190F35">
        <w:rPr>
          <w:rFonts w:ascii="Arial" w:eastAsia="Arial" w:hAnsi="Arial" w:cs="Arial"/>
          <w:sz w:val="22"/>
          <w:szCs w:val="22"/>
          <w:lang w:val="en" w:eastAsia="en-NZ"/>
        </w:rPr>
        <w:t xml:space="preserve"> ki </w:t>
      </w:r>
      <w:proofErr w:type="spellStart"/>
      <w:r w:rsidRPr="00190F35">
        <w:rPr>
          <w:rFonts w:ascii="Arial" w:eastAsia="Arial" w:hAnsi="Arial" w:cs="Arial"/>
          <w:sz w:val="22"/>
          <w:szCs w:val="22"/>
          <w:lang w:val="en" w:eastAsia="en-NZ"/>
        </w:rPr>
        <w:t>runga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rawa</w:t>
      </w:r>
      <w:proofErr w:type="spellEnd"/>
      <w:r w:rsidRPr="00190F35">
        <w:rPr>
          <w:rFonts w:ascii="Arial" w:eastAsia="Arial" w:hAnsi="Arial" w:cs="Arial"/>
          <w:sz w:val="22"/>
          <w:szCs w:val="22"/>
          <w:lang w:val="en" w:eastAsia="en-NZ"/>
        </w:rPr>
        <w:t xml:space="preserve"> ki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rangi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tīhore</w:t>
      </w:r>
      <w:proofErr w:type="spellEnd"/>
      <w:r w:rsidRPr="00190F35">
        <w:rPr>
          <w:rFonts w:ascii="Arial" w:eastAsia="Arial" w:hAnsi="Arial" w:cs="Arial"/>
          <w:sz w:val="22"/>
          <w:szCs w:val="22"/>
          <w:lang w:val="en" w:eastAsia="en-NZ"/>
        </w:rPr>
        <w:t xml:space="preserve"> he </w:t>
      </w:r>
      <w:proofErr w:type="spellStart"/>
      <w:r w:rsidRPr="00190F35">
        <w:rPr>
          <w:rFonts w:ascii="Arial" w:eastAsia="Arial" w:hAnsi="Arial" w:cs="Arial"/>
          <w:sz w:val="22"/>
          <w:szCs w:val="22"/>
          <w:lang w:val="en" w:eastAsia="en-NZ"/>
        </w:rPr>
        <w:t>rangi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waruhia</w:t>
      </w:r>
      <w:proofErr w:type="spellEnd"/>
      <w:r w:rsidRPr="00190F35">
        <w:rPr>
          <w:rFonts w:ascii="Arial" w:eastAsia="Arial" w:hAnsi="Arial" w:cs="Arial"/>
          <w:sz w:val="22"/>
          <w:szCs w:val="22"/>
          <w:lang w:val="en" w:eastAsia="en-NZ"/>
        </w:rPr>
        <w:t xml:space="preserve"> ka </w:t>
      </w:r>
      <w:proofErr w:type="spellStart"/>
      <w:r w:rsidRPr="00190F35">
        <w:rPr>
          <w:rFonts w:ascii="Arial" w:eastAsia="Arial" w:hAnsi="Arial" w:cs="Arial"/>
          <w:sz w:val="22"/>
          <w:szCs w:val="22"/>
          <w:lang w:val="en" w:eastAsia="en-NZ"/>
        </w:rPr>
        <w:t>awatea</w:t>
      </w:r>
      <w:proofErr w:type="spellEnd"/>
    </w:p>
    <w:p w14:paraId="3C3D9BF3"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E puta ai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ihu</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ao</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pakarea</w:t>
      </w:r>
      <w:proofErr w:type="spellEnd"/>
      <w:r w:rsidRPr="00190F35">
        <w:rPr>
          <w:rFonts w:ascii="Arial" w:eastAsia="Arial" w:hAnsi="Arial" w:cs="Arial"/>
          <w:sz w:val="22"/>
          <w:szCs w:val="22"/>
          <w:lang w:val="en" w:eastAsia="en-NZ"/>
        </w:rPr>
        <w:t xml:space="preserve"> ki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ao</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pakakina</w:t>
      </w:r>
      <w:proofErr w:type="spellEnd"/>
    </w:p>
    <w:p w14:paraId="22948EB3"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Hei </w:t>
      </w:r>
      <w:proofErr w:type="spellStart"/>
      <w:r w:rsidRPr="00190F35">
        <w:rPr>
          <w:rFonts w:ascii="Arial" w:eastAsia="Arial" w:hAnsi="Arial" w:cs="Arial"/>
          <w:sz w:val="22"/>
          <w:szCs w:val="22"/>
          <w:lang w:val="en" w:eastAsia="en-NZ"/>
        </w:rPr>
        <w:t>ara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mōu</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kei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taku</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pōkai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kōtuku</w:t>
      </w:r>
      <w:proofErr w:type="spellEnd"/>
      <w:r w:rsidRPr="00190F35">
        <w:rPr>
          <w:rFonts w:ascii="Arial" w:eastAsia="Arial" w:hAnsi="Arial" w:cs="Arial"/>
          <w:sz w:val="22"/>
          <w:szCs w:val="22"/>
          <w:lang w:val="en" w:eastAsia="en-NZ"/>
        </w:rPr>
        <w:t xml:space="preserve"> ki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oranga</w:t>
      </w:r>
      <w:proofErr w:type="spellEnd"/>
    </w:p>
    <w:p w14:paraId="38331F34"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E </w:t>
      </w:r>
      <w:proofErr w:type="spellStart"/>
      <w:r w:rsidRPr="00190F35">
        <w:rPr>
          <w:rFonts w:ascii="Arial" w:eastAsia="Arial" w:hAnsi="Arial" w:cs="Arial"/>
          <w:sz w:val="22"/>
          <w:szCs w:val="22"/>
          <w:lang w:val="en" w:eastAsia="en-NZ"/>
        </w:rPr>
        <w:t>hua</w:t>
      </w:r>
      <w:proofErr w:type="spellEnd"/>
      <w:r w:rsidRPr="00190F35">
        <w:rPr>
          <w:rFonts w:ascii="Arial" w:eastAsia="Arial" w:hAnsi="Arial" w:cs="Arial"/>
          <w:sz w:val="22"/>
          <w:szCs w:val="22"/>
          <w:lang w:val="en" w:eastAsia="en-NZ"/>
        </w:rPr>
        <w:t xml:space="preserve"> ai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pito</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mata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i</w:t>
      </w:r>
      <w:proofErr w:type="spellEnd"/>
      <w:r w:rsidRPr="00190F35">
        <w:rPr>
          <w:rFonts w:ascii="Arial" w:eastAsia="Arial" w:hAnsi="Arial" w:cs="Arial"/>
          <w:sz w:val="22"/>
          <w:szCs w:val="22"/>
          <w:lang w:val="en" w:eastAsia="en-NZ"/>
        </w:rPr>
        <w:t xml:space="preserve"> roto </w:t>
      </w:r>
      <w:proofErr w:type="spellStart"/>
      <w:r w:rsidRPr="00190F35">
        <w:rPr>
          <w:rFonts w:ascii="Arial" w:eastAsia="Arial" w:hAnsi="Arial" w:cs="Arial"/>
          <w:sz w:val="22"/>
          <w:szCs w:val="22"/>
          <w:lang w:val="en" w:eastAsia="en-NZ"/>
        </w:rPr>
        <w:t>rā</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kei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aku</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purapura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ora</w:t>
      </w:r>
      <w:proofErr w:type="spellEnd"/>
    </w:p>
    <w:p w14:paraId="1C40CDE2" w14:textId="77777777" w:rsidR="00A82212" w:rsidRPr="00190F35" w:rsidRDefault="00A82212" w:rsidP="00A82212">
      <w:pPr>
        <w:spacing w:before="0" w:after="120"/>
        <w:rPr>
          <w:rFonts w:ascii="Arial" w:eastAsia="Arial" w:hAnsi="Arial" w:cs="Arial"/>
          <w:sz w:val="22"/>
          <w:szCs w:val="22"/>
          <w:lang w:val="en-US" w:eastAsia="en-NZ"/>
        </w:rPr>
      </w:pPr>
      <w:proofErr w:type="spellStart"/>
      <w:r w:rsidRPr="00190F35">
        <w:rPr>
          <w:rFonts w:ascii="Arial" w:eastAsia="Arial" w:hAnsi="Arial" w:cs="Arial"/>
          <w:sz w:val="22"/>
          <w:szCs w:val="22"/>
          <w:lang w:val="en-US" w:eastAsia="en-NZ"/>
        </w:rPr>
        <w:t>Tiritiria</w:t>
      </w:r>
      <w:proofErr w:type="spellEnd"/>
      <w:r w:rsidRPr="00190F35">
        <w:rPr>
          <w:rFonts w:ascii="Arial" w:eastAsia="Arial" w:hAnsi="Arial" w:cs="Arial"/>
          <w:sz w:val="22"/>
          <w:szCs w:val="22"/>
          <w:lang w:val="en-US" w:eastAsia="en-NZ"/>
        </w:rPr>
        <w:t xml:space="preserve"> ki </w:t>
      </w:r>
      <w:proofErr w:type="spellStart"/>
      <w:r w:rsidRPr="00190F35">
        <w:rPr>
          <w:rFonts w:ascii="Arial" w:eastAsia="Arial" w:hAnsi="Arial" w:cs="Arial"/>
          <w:sz w:val="22"/>
          <w:szCs w:val="22"/>
          <w:lang w:val="en-US" w:eastAsia="en-NZ"/>
        </w:rPr>
        <w:t>toi</w:t>
      </w:r>
      <w:proofErr w:type="spellEnd"/>
      <w:r w:rsidRPr="00190F35">
        <w:rPr>
          <w:rFonts w:ascii="Arial" w:eastAsia="Arial" w:hAnsi="Arial" w:cs="Arial"/>
          <w:sz w:val="22"/>
          <w:szCs w:val="22"/>
          <w:lang w:val="en-US" w:eastAsia="en-NZ"/>
        </w:rPr>
        <w:t xml:space="preserve"> whenua, </w:t>
      </w:r>
      <w:proofErr w:type="spellStart"/>
      <w:r w:rsidRPr="00190F35">
        <w:rPr>
          <w:rFonts w:ascii="Arial" w:eastAsia="Arial" w:hAnsi="Arial" w:cs="Arial"/>
          <w:sz w:val="22"/>
          <w:szCs w:val="22"/>
          <w:lang w:val="en-US" w:eastAsia="en-NZ"/>
        </w:rPr>
        <w:t>onokia</w:t>
      </w:r>
      <w:proofErr w:type="spellEnd"/>
      <w:r w:rsidRPr="00190F35">
        <w:rPr>
          <w:rFonts w:ascii="Arial" w:eastAsia="Arial" w:hAnsi="Arial" w:cs="Arial"/>
          <w:sz w:val="22"/>
          <w:szCs w:val="22"/>
          <w:lang w:val="en-US" w:eastAsia="en-NZ"/>
        </w:rPr>
        <w:t xml:space="preserve"> ka </w:t>
      </w:r>
      <w:proofErr w:type="spellStart"/>
      <w:r w:rsidRPr="00190F35">
        <w:rPr>
          <w:rFonts w:ascii="Arial" w:eastAsia="Arial" w:hAnsi="Arial" w:cs="Arial"/>
          <w:sz w:val="22"/>
          <w:szCs w:val="22"/>
          <w:lang w:val="en-US" w:eastAsia="en-NZ"/>
        </w:rPr>
        <w:t>morimoria</w:t>
      </w:r>
      <w:proofErr w:type="spellEnd"/>
      <w:r w:rsidRPr="00190F35">
        <w:rPr>
          <w:rFonts w:ascii="Arial" w:eastAsia="Arial" w:hAnsi="Arial" w:cs="Arial"/>
          <w:sz w:val="22"/>
          <w:szCs w:val="22"/>
          <w:lang w:val="en-US" w:eastAsia="en-NZ"/>
        </w:rPr>
        <w:t xml:space="preserve"> ai</w:t>
      </w:r>
    </w:p>
    <w:p w14:paraId="7D270F38"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US" w:eastAsia="en-NZ"/>
        </w:rPr>
        <w:t xml:space="preserve">Ka </w:t>
      </w:r>
      <w:proofErr w:type="spellStart"/>
      <w:r w:rsidRPr="00190F35">
        <w:rPr>
          <w:rFonts w:ascii="Arial" w:eastAsia="Arial" w:hAnsi="Arial" w:cs="Arial"/>
          <w:sz w:val="22"/>
          <w:szCs w:val="22"/>
          <w:lang w:val="en-US" w:eastAsia="en-NZ"/>
        </w:rPr>
        <w:t>pihi</w:t>
      </w:r>
      <w:proofErr w:type="spellEnd"/>
      <w:r w:rsidRPr="00190F35">
        <w:rPr>
          <w:rFonts w:ascii="Arial" w:eastAsia="Arial" w:hAnsi="Arial" w:cs="Arial"/>
          <w:sz w:val="22"/>
          <w:szCs w:val="22"/>
          <w:lang w:val="en-US" w:eastAsia="en-NZ"/>
        </w:rPr>
        <w:t xml:space="preserve"> ki One-</w:t>
      </w:r>
      <w:proofErr w:type="spellStart"/>
      <w:r w:rsidRPr="00190F35">
        <w:rPr>
          <w:rFonts w:ascii="Arial" w:eastAsia="Arial" w:hAnsi="Arial" w:cs="Arial"/>
          <w:sz w:val="22"/>
          <w:szCs w:val="22"/>
          <w:lang w:val="en-US" w:eastAsia="en-NZ"/>
        </w:rPr>
        <w:t>haumako</w:t>
      </w:r>
      <w:proofErr w:type="spellEnd"/>
      <w:r w:rsidRPr="00190F35">
        <w:rPr>
          <w:rFonts w:ascii="Arial" w:eastAsia="Arial" w:hAnsi="Arial" w:cs="Arial"/>
          <w:sz w:val="22"/>
          <w:szCs w:val="22"/>
          <w:lang w:val="en-US" w:eastAsia="en-NZ"/>
        </w:rPr>
        <w:t>, ki One-</w:t>
      </w:r>
      <w:proofErr w:type="spellStart"/>
      <w:r w:rsidRPr="00190F35">
        <w:rPr>
          <w:rFonts w:ascii="Arial" w:eastAsia="Arial" w:hAnsi="Arial" w:cs="Arial"/>
          <w:sz w:val="22"/>
          <w:szCs w:val="22"/>
          <w:lang w:val="en-US" w:eastAsia="en-NZ"/>
        </w:rPr>
        <w:t>whakatupu</w:t>
      </w:r>
      <w:proofErr w:type="spellEnd"/>
    </w:p>
    <w:p w14:paraId="5E7FD96B"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Kei </w:t>
      </w:r>
      <w:proofErr w:type="spellStart"/>
      <w:r w:rsidRPr="00190F35">
        <w:rPr>
          <w:rFonts w:ascii="Arial" w:eastAsia="Arial" w:hAnsi="Arial" w:cs="Arial"/>
          <w:sz w:val="22"/>
          <w:szCs w:val="22"/>
          <w:lang w:val="en" w:eastAsia="en-NZ"/>
        </w:rPr>
        <w:t>reira</w:t>
      </w:r>
      <w:proofErr w:type="spellEnd"/>
      <w:r w:rsidRPr="00190F35">
        <w:rPr>
          <w:rFonts w:ascii="Arial" w:eastAsia="Arial" w:hAnsi="Arial" w:cs="Arial"/>
          <w:sz w:val="22"/>
          <w:szCs w:val="22"/>
          <w:lang w:val="en" w:eastAsia="en-NZ"/>
        </w:rPr>
        <w:t xml:space="preserve"> e </w:t>
      </w:r>
      <w:proofErr w:type="spellStart"/>
      <w:r w:rsidRPr="00190F35">
        <w:rPr>
          <w:rFonts w:ascii="Arial" w:eastAsia="Arial" w:hAnsi="Arial" w:cs="Arial"/>
          <w:sz w:val="22"/>
          <w:szCs w:val="22"/>
          <w:lang w:val="en" w:eastAsia="en-NZ"/>
        </w:rPr>
        <w:t>hika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mā</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manako</w:t>
      </w:r>
      <w:proofErr w:type="spellEnd"/>
      <w:r w:rsidRPr="00190F35">
        <w:rPr>
          <w:rFonts w:ascii="Arial" w:eastAsia="Arial" w:hAnsi="Arial" w:cs="Arial"/>
          <w:sz w:val="22"/>
          <w:szCs w:val="22"/>
          <w:lang w:val="en" w:eastAsia="en-NZ"/>
        </w:rPr>
        <w:t xml:space="preserve"> kia </w:t>
      </w:r>
      <w:proofErr w:type="spellStart"/>
      <w:r w:rsidRPr="00190F35">
        <w:rPr>
          <w:rFonts w:ascii="Arial" w:eastAsia="Arial" w:hAnsi="Arial" w:cs="Arial"/>
          <w:sz w:val="22"/>
          <w:szCs w:val="22"/>
          <w:lang w:val="en" w:eastAsia="en-NZ"/>
        </w:rPr>
        <w:t>ea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utu</w:t>
      </w:r>
    </w:p>
    <w:p w14:paraId="69C4C44C"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Kia </w:t>
      </w:r>
      <w:proofErr w:type="spellStart"/>
      <w:r w:rsidRPr="00190F35">
        <w:rPr>
          <w:rFonts w:ascii="Arial" w:eastAsia="Arial" w:hAnsi="Arial" w:cs="Arial"/>
          <w:sz w:val="22"/>
          <w:szCs w:val="22"/>
          <w:lang w:val="en" w:eastAsia="en-NZ"/>
        </w:rPr>
        <w:t>whakaahuritia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tō</w:t>
      </w:r>
      <w:proofErr w:type="spellEnd"/>
      <w:r w:rsidRPr="00190F35">
        <w:rPr>
          <w:rFonts w:ascii="Arial" w:eastAsia="Arial" w:hAnsi="Arial" w:cs="Arial"/>
          <w:sz w:val="22"/>
          <w:szCs w:val="22"/>
          <w:lang w:val="en" w:eastAsia="en-NZ"/>
        </w:rPr>
        <w:t xml:space="preserve"> mana </w:t>
      </w:r>
      <w:proofErr w:type="spellStart"/>
      <w:r w:rsidRPr="00190F35">
        <w:rPr>
          <w:rFonts w:ascii="Arial" w:eastAsia="Arial" w:hAnsi="Arial" w:cs="Arial"/>
          <w:sz w:val="22"/>
          <w:szCs w:val="22"/>
          <w:lang w:val="en" w:eastAsia="en-NZ"/>
        </w:rPr>
        <w:t>tangata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tō</w:t>
      </w:r>
      <w:proofErr w:type="spellEnd"/>
      <w:r w:rsidRPr="00190F35">
        <w:rPr>
          <w:rFonts w:ascii="Arial" w:eastAsia="Arial" w:hAnsi="Arial" w:cs="Arial"/>
          <w:sz w:val="22"/>
          <w:szCs w:val="22"/>
          <w:lang w:val="en" w:eastAsia="en-NZ"/>
        </w:rPr>
        <w:t xml:space="preserve"> mana </w:t>
      </w:r>
      <w:proofErr w:type="spellStart"/>
      <w:r w:rsidRPr="00190F35">
        <w:rPr>
          <w:rFonts w:ascii="Arial" w:eastAsia="Arial" w:hAnsi="Arial" w:cs="Arial"/>
          <w:sz w:val="22"/>
          <w:szCs w:val="22"/>
          <w:lang w:val="en" w:eastAsia="en-NZ"/>
        </w:rPr>
        <w:t>tuku</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iho</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nā</w:t>
      </w:r>
      <w:proofErr w:type="spellEnd"/>
      <w:r w:rsidRPr="00190F35">
        <w:rPr>
          <w:rFonts w:ascii="Arial" w:eastAsia="Arial" w:hAnsi="Arial" w:cs="Arial"/>
          <w:sz w:val="22"/>
          <w:szCs w:val="22"/>
          <w:lang w:val="en" w:eastAsia="en-NZ"/>
        </w:rPr>
        <w:t xml:space="preserve"> ō </w:t>
      </w:r>
      <w:proofErr w:type="spellStart"/>
      <w:r w:rsidRPr="00190F35">
        <w:rPr>
          <w:rFonts w:ascii="Arial" w:eastAsia="Arial" w:hAnsi="Arial" w:cs="Arial"/>
          <w:sz w:val="22"/>
          <w:szCs w:val="22"/>
          <w:lang w:val="en" w:eastAsia="en-NZ"/>
        </w:rPr>
        <w:t>rau</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kahika</w:t>
      </w:r>
      <w:proofErr w:type="spellEnd"/>
      <w:r w:rsidRPr="00190F35">
        <w:rPr>
          <w:rFonts w:ascii="Arial" w:eastAsia="Arial" w:hAnsi="Arial" w:cs="Arial"/>
          <w:sz w:val="22"/>
          <w:szCs w:val="22"/>
          <w:lang w:val="en" w:eastAsia="en-NZ"/>
        </w:rPr>
        <w:t xml:space="preserve"> </w:t>
      </w:r>
    </w:p>
    <w:p w14:paraId="3CAB7D10"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Koia ka </w:t>
      </w:r>
      <w:proofErr w:type="spellStart"/>
      <w:r w:rsidRPr="00190F35">
        <w:rPr>
          <w:rFonts w:ascii="Arial" w:eastAsia="Arial" w:hAnsi="Arial" w:cs="Arial"/>
          <w:sz w:val="22"/>
          <w:szCs w:val="22"/>
          <w:lang w:val="en" w:eastAsia="en-NZ"/>
        </w:rPr>
        <w:t>whanake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koia</w:t>
      </w:r>
      <w:proofErr w:type="spellEnd"/>
      <w:r w:rsidRPr="00190F35">
        <w:rPr>
          <w:rFonts w:ascii="Arial" w:eastAsia="Arial" w:hAnsi="Arial" w:cs="Arial"/>
          <w:sz w:val="22"/>
          <w:szCs w:val="22"/>
          <w:lang w:val="en" w:eastAsia="en-NZ"/>
        </w:rPr>
        <w:t xml:space="preserve"> ka </w:t>
      </w:r>
      <w:proofErr w:type="spellStart"/>
      <w:r w:rsidRPr="00190F35">
        <w:rPr>
          <w:rFonts w:ascii="Arial" w:eastAsia="Arial" w:hAnsi="Arial" w:cs="Arial"/>
          <w:sz w:val="22"/>
          <w:szCs w:val="22"/>
          <w:lang w:val="en" w:eastAsia="en-NZ"/>
        </w:rPr>
        <w:t>manahua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koia</w:t>
      </w:r>
      <w:proofErr w:type="spellEnd"/>
      <w:r w:rsidRPr="00190F35">
        <w:rPr>
          <w:rFonts w:ascii="Arial" w:eastAsia="Arial" w:hAnsi="Arial" w:cs="Arial"/>
          <w:sz w:val="22"/>
          <w:szCs w:val="22"/>
          <w:lang w:val="en" w:eastAsia="en-NZ"/>
        </w:rPr>
        <w:t xml:space="preserve"> ka </w:t>
      </w:r>
      <w:proofErr w:type="spellStart"/>
      <w:r w:rsidRPr="00190F35">
        <w:rPr>
          <w:rFonts w:ascii="Arial" w:eastAsia="Arial" w:hAnsi="Arial" w:cs="Arial"/>
          <w:sz w:val="22"/>
          <w:szCs w:val="22"/>
          <w:lang w:val="en" w:eastAsia="en-NZ"/>
        </w:rPr>
        <w:t>ngawhā</w:t>
      </w:r>
      <w:proofErr w:type="spellEnd"/>
    </w:p>
    <w:p w14:paraId="19E9A668"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He </w:t>
      </w:r>
      <w:proofErr w:type="spellStart"/>
      <w:r w:rsidRPr="00190F35">
        <w:rPr>
          <w:rFonts w:ascii="Arial" w:eastAsia="Arial" w:hAnsi="Arial" w:cs="Arial"/>
          <w:sz w:val="22"/>
          <w:szCs w:val="22"/>
          <w:lang w:val="en" w:eastAsia="en-NZ"/>
        </w:rPr>
        <w:t>houkura</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mārie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mōwai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rokiroki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āio</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nā</w:t>
      </w:r>
      <w:proofErr w:type="spellEnd"/>
      <w:r w:rsidRPr="00190F35">
        <w:rPr>
          <w:rFonts w:ascii="Arial" w:eastAsia="Arial" w:hAnsi="Arial" w:cs="Arial"/>
          <w:sz w:val="22"/>
          <w:szCs w:val="22"/>
          <w:lang w:val="en" w:eastAsia="en-NZ"/>
        </w:rPr>
        <w:t xml:space="preserve"> koutou ko Rongo</w:t>
      </w:r>
    </w:p>
    <w:p w14:paraId="33A1A438" w14:textId="77777777" w:rsidR="00A82212" w:rsidRPr="00190F35" w:rsidRDefault="00A82212" w:rsidP="00A82212">
      <w:pPr>
        <w:spacing w:before="0" w:after="120"/>
        <w:rPr>
          <w:rFonts w:ascii="Arial" w:eastAsia="Arial" w:hAnsi="Arial" w:cs="Arial"/>
          <w:sz w:val="22"/>
          <w:szCs w:val="22"/>
          <w:lang w:val="en-US" w:eastAsia="en-NZ"/>
        </w:rPr>
      </w:pPr>
      <w:r w:rsidRPr="00190F35">
        <w:rPr>
          <w:rFonts w:ascii="Arial" w:eastAsia="Arial" w:hAnsi="Arial" w:cs="Arial"/>
          <w:sz w:val="22"/>
          <w:szCs w:val="22"/>
          <w:lang w:val="en" w:eastAsia="en-NZ"/>
        </w:rPr>
        <w:t xml:space="preserve">Koia ka puta ki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whaiao</w:t>
      </w:r>
      <w:proofErr w:type="spellEnd"/>
      <w:r w:rsidRPr="00190F35">
        <w:rPr>
          <w:rFonts w:ascii="Arial" w:eastAsia="Arial" w:hAnsi="Arial" w:cs="Arial"/>
          <w:sz w:val="22"/>
          <w:szCs w:val="22"/>
          <w:lang w:val="en" w:eastAsia="en-NZ"/>
        </w:rPr>
        <w:t xml:space="preserve"> ki </w:t>
      </w:r>
      <w:proofErr w:type="spellStart"/>
      <w:r w:rsidRPr="00190F35">
        <w:rPr>
          <w:rFonts w:ascii="Arial" w:eastAsia="Arial" w:hAnsi="Arial" w:cs="Arial"/>
          <w:sz w:val="22"/>
          <w:szCs w:val="22"/>
          <w:lang w:val="en" w:eastAsia="en-NZ"/>
        </w:rPr>
        <w:t>te</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ao</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mārama</w:t>
      </w:r>
      <w:proofErr w:type="spellEnd"/>
    </w:p>
    <w:p w14:paraId="5B25DA46" w14:textId="77777777" w:rsidR="00A82212" w:rsidRPr="00190F35" w:rsidRDefault="00A82212" w:rsidP="00A82212">
      <w:pPr>
        <w:spacing w:before="0" w:after="120"/>
        <w:rPr>
          <w:rFonts w:ascii="Arial" w:eastAsia="Arial" w:hAnsi="Arial" w:cs="Arial"/>
          <w:sz w:val="22"/>
          <w:szCs w:val="22"/>
          <w:lang w:val="en-US" w:eastAsia="en-NZ"/>
        </w:rPr>
      </w:pPr>
      <w:proofErr w:type="spellStart"/>
      <w:r w:rsidRPr="00190F35">
        <w:rPr>
          <w:rFonts w:ascii="Arial" w:eastAsia="Arial" w:hAnsi="Arial" w:cs="Arial"/>
          <w:sz w:val="22"/>
          <w:szCs w:val="22"/>
          <w:lang w:val="en" w:eastAsia="en-NZ"/>
        </w:rPr>
        <w:t>Whitiwhiti</w:t>
      </w:r>
      <w:proofErr w:type="spellEnd"/>
      <w:r w:rsidRPr="00190F35">
        <w:rPr>
          <w:rFonts w:ascii="Arial" w:eastAsia="Arial" w:hAnsi="Arial" w:cs="Arial"/>
          <w:sz w:val="22"/>
          <w:szCs w:val="22"/>
          <w:lang w:val="en" w:eastAsia="en-NZ"/>
        </w:rPr>
        <w:t xml:space="preserve"> </w:t>
      </w:r>
      <w:proofErr w:type="spellStart"/>
      <w:r w:rsidRPr="00190F35">
        <w:rPr>
          <w:rFonts w:ascii="Arial" w:eastAsia="Arial" w:hAnsi="Arial" w:cs="Arial"/>
          <w:sz w:val="22"/>
          <w:szCs w:val="22"/>
          <w:lang w:val="en" w:eastAsia="en-NZ"/>
        </w:rPr>
        <w:t>ora</w:t>
      </w:r>
      <w:proofErr w:type="spellEnd"/>
      <w:r w:rsidRPr="00190F35">
        <w:rPr>
          <w:rFonts w:ascii="Arial" w:eastAsia="Arial" w:hAnsi="Arial" w:cs="Arial"/>
          <w:sz w:val="22"/>
          <w:szCs w:val="22"/>
          <w:lang w:val="en" w:eastAsia="en-NZ"/>
        </w:rPr>
        <w:t xml:space="preserve"> e!</w:t>
      </w:r>
    </w:p>
    <w:p w14:paraId="563398C7" w14:textId="77777777" w:rsidR="00A82212" w:rsidRPr="00190F35" w:rsidRDefault="00A82212" w:rsidP="00A82212">
      <w:pPr>
        <w:rPr>
          <w:rFonts w:ascii="Arial" w:hAnsi="Arial" w:cs="Arial"/>
          <w:sz w:val="22"/>
          <w:szCs w:val="22"/>
          <w:lang w:val="en" w:eastAsia="en-NZ"/>
        </w:rPr>
      </w:pPr>
    </w:p>
    <w:p w14:paraId="1478F2F9"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A Love Song for the Living Seeds</w:t>
      </w:r>
    </w:p>
    <w:p w14:paraId="7F0DE46A" w14:textId="77777777" w:rsidR="00A82212" w:rsidRPr="00190F35" w:rsidRDefault="00A82212" w:rsidP="2B6C25A4">
      <w:pPr>
        <w:spacing w:before="0" w:after="120"/>
        <w:rPr>
          <w:rFonts w:ascii="Arial" w:eastAsia="Arial" w:hAnsi="Arial" w:cs="Arial"/>
          <w:sz w:val="22"/>
          <w:szCs w:val="22"/>
          <w:lang w:val="en-US" w:eastAsia="en-NZ"/>
        </w:rPr>
      </w:pPr>
      <w:r w:rsidRPr="2B6C25A4">
        <w:rPr>
          <w:rFonts w:ascii="Arial" w:eastAsia="Arial" w:hAnsi="Arial" w:cs="Arial"/>
          <w:sz w:val="22"/>
          <w:szCs w:val="22"/>
          <w:lang w:val="en-US" w:eastAsia="en-NZ"/>
        </w:rPr>
        <w:t>The love within me for you, the people, remains unchanged</w:t>
      </w:r>
    </w:p>
    <w:p w14:paraId="5300ABEB"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Left alone, abandoned by justice and order</w:t>
      </w:r>
    </w:p>
    <w:p w14:paraId="5BD0487C"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Subjected to the silent suffering of mistreatment</w:t>
      </w:r>
    </w:p>
    <w:p w14:paraId="6079AF63"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A heaviness in the core, silenced into stillness</w:t>
      </w:r>
    </w:p>
    <w:p w14:paraId="374A49D9"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The gnawing of my heart cannot compare to the anguish of yours</w:t>
      </w:r>
    </w:p>
    <w:p w14:paraId="37FFDE5A" w14:textId="77777777" w:rsidR="00A82212" w:rsidRPr="00190F35" w:rsidRDefault="00A82212" w:rsidP="2B6C25A4">
      <w:pPr>
        <w:spacing w:before="0" w:after="120"/>
        <w:rPr>
          <w:rFonts w:ascii="Arial" w:eastAsia="Arial" w:hAnsi="Arial" w:cs="Arial"/>
          <w:sz w:val="22"/>
          <w:szCs w:val="22"/>
          <w:lang w:val="en-US" w:eastAsia="en-NZ"/>
        </w:rPr>
      </w:pPr>
      <w:r w:rsidRPr="2B6C25A4">
        <w:rPr>
          <w:rFonts w:ascii="Arial" w:eastAsia="Arial" w:hAnsi="Arial" w:cs="Arial"/>
          <w:sz w:val="22"/>
          <w:szCs w:val="22"/>
          <w:lang w:val="en-US" w:eastAsia="en-NZ"/>
        </w:rPr>
        <w:t xml:space="preserve">Perhaps you are hidden in the depths of the night, </w:t>
      </w:r>
      <w:proofErr w:type="spellStart"/>
      <w:r w:rsidRPr="2B6C25A4">
        <w:rPr>
          <w:rFonts w:ascii="Arial" w:eastAsia="Arial" w:hAnsi="Arial" w:cs="Arial"/>
          <w:sz w:val="22"/>
          <w:szCs w:val="22"/>
          <w:lang w:val="en-US" w:eastAsia="en-NZ"/>
        </w:rPr>
        <w:t>Mirumiru-te-pō</w:t>
      </w:r>
      <w:proofErr w:type="spellEnd"/>
    </w:p>
    <w:p w14:paraId="6E01F856"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A night dark and dense</w:t>
      </w:r>
    </w:p>
    <w:p w14:paraId="5CA0ECAF"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Where there may be no turning in your memories</w:t>
      </w:r>
    </w:p>
    <w:p w14:paraId="24A4CFB7" w14:textId="77777777" w:rsidR="00A82212" w:rsidRPr="00190F35" w:rsidRDefault="00A82212" w:rsidP="2B6C25A4">
      <w:pPr>
        <w:spacing w:before="0" w:after="120"/>
        <w:rPr>
          <w:rFonts w:ascii="Arial" w:eastAsia="Arial" w:hAnsi="Arial" w:cs="Arial"/>
          <w:sz w:val="22"/>
          <w:szCs w:val="22"/>
          <w:lang w:val="en-US" w:eastAsia="en-NZ"/>
        </w:rPr>
      </w:pPr>
      <w:r w:rsidRPr="2B6C25A4">
        <w:rPr>
          <w:rFonts w:ascii="Arial" w:eastAsia="Arial" w:hAnsi="Arial" w:cs="Arial"/>
          <w:sz w:val="22"/>
          <w:szCs w:val="22"/>
          <w:lang w:val="en-US" w:eastAsia="en-NZ"/>
        </w:rPr>
        <w:t>But here’s my thought: ‘Do not push open the door to enter’</w:t>
      </w:r>
    </w:p>
    <w:p w14:paraId="61C166A9"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Instead, let us turn to seek life and well-being</w:t>
      </w:r>
    </w:p>
    <w:p w14:paraId="538C50AA"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Is memory dead? No, certainly not!</w:t>
      </w:r>
    </w:p>
    <w:p w14:paraId="48FF597B" w14:textId="77777777" w:rsidR="00A82212" w:rsidRPr="00190F35" w:rsidRDefault="00A82212" w:rsidP="2B6C25A4">
      <w:pPr>
        <w:spacing w:before="0" w:after="120"/>
        <w:rPr>
          <w:rFonts w:ascii="Arial" w:eastAsia="Arial" w:hAnsi="Arial" w:cs="Arial"/>
          <w:sz w:val="22"/>
          <w:szCs w:val="22"/>
          <w:lang w:val="en-US" w:eastAsia="en-NZ"/>
        </w:rPr>
      </w:pPr>
      <w:r w:rsidRPr="2B6C25A4">
        <w:rPr>
          <w:rFonts w:ascii="Arial" w:eastAsia="Arial" w:hAnsi="Arial" w:cs="Arial"/>
          <w:sz w:val="22"/>
          <w:szCs w:val="22"/>
          <w:lang w:val="en-US" w:eastAsia="en-NZ"/>
        </w:rPr>
        <w:t xml:space="preserve">Arise, friends, let the truth resound loudly from the heart of </w:t>
      </w:r>
      <w:proofErr w:type="spellStart"/>
      <w:r w:rsidRPr="2B6C25A4">
        <w:rPr>
          <w:rFonts w:ascii="Arial" w:eastAsia="Arial" w:hAnsi="Arial" w:cs="Arial"/>
          <w:sz w:val="22"/>
          <w:szCs w:val="22"/>
          <w:lang w:val="en-US" w:eastAsia="en-NZ"/>
        </w:rPr>
        <w:t>Kareāroto</w:t>
      </w:r>
      <w:proofErr w:type="spellEnd"/>
    </w:p>
    <w:p w14:paraId="0718A7B7"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To ascend to the clear skies, a sky washed clean at dawn</w:t>
      </w:r>
    </w:p>
    <w:p w14:paraId="57E6DDC3" w14:textId="77777777" w:rsidR="00A82212" w:rsidRPr="00190F35" w:rsidRDefault="00A82212" w:rsidP="2B6C25A4">
      <w:pPr>
        <w:spacing w:before="0" w:after="120"/>
        <w:rPr>
          <w:rFonts w:ascii="Arial" w:eastAsia="Arial" w:hAnsi="Arial" w:cs="Arial"/>
          <w:sz w:val="22"/>
          <w:szCs w:val="22"/>
          <w:lang w:val="en-US" w:eastAsia="en-NZ"/>
        </w:rPr>
      </w:pPr>
      <w:r w:rsidRPr="2B6C25A4">
        <w:rPr>
          <w:rFonts w:ascii="Arial" w:eastAsia="Arial" w:hAnsi="Arial" w:cs="Arial"/>
          <w:sz w:val="22"/>
          <w:szCs w:val="22"/>
          <w:lang w:val="en-US" w:eastAsia="en-NZ"/>
        </w:rPr>
        <w:t>Emerging from the troubled world to a world of promise</w:t>
      </w:r>
    </w:p>
    <w:p w14:paraId="4ED66A37"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A path for you, my flock of herons, to life</w:t>
      </w:r>
    </w:p>
    <w:p w14:paraId="12B59ACC"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So, the precious core may blossom within you, my living seeds</w:t>
      </w:r>
    </w:p>
    <w:p w14:paraId="5C003D47" w14:textId="77777777" w:rsidR="00A82212" w:rsidRPr="00190F35" w:rsidRDefault="00A82212" w:rsidP="2B6C25A4">
      <w:pPr>
        <w:spacing w:before="0" w:after="120"/>
        <w:rPr>
          <w:rFonts w:ascii="Arial" w:eastAsia="Arial" w:hAnsi="Arial" w:cs="Arial"/>
          <w:sz w:val="22"/>
          <w:szCs w:val="22"/>
          <w:lang w:val="en-US" w:eastAsia="en-NZ"/>
        </w:rPr>
      </w:pPr>
      <w:r w:rsidRPr="2B6C25A4">
        <w:rPr>
          <w:rFonts w:ascii="Arial" w:eastAsia="Arial" w:hAnsi="Arial" w:cs="Arial"/>
          <w:sz w:val="22"/>
          <w:szCs w:val="22"/>
          <w:lang w:val="en-US" w:eastAsia="en-NZ"/>
        </w:rPr>
        <w:t>Scattered across the land, cherished and growing in abundance</w:t>
      </w:r>
    </w:p>
    <w:p w14:paraId="103BBD57" w14:textId="77777777" w:rsidR="00A82212" w:rsidRPr="00190F35" w:rsidRDefault="00A82212" w:rsidP="2B6C25A4">
      <w:pPr>
        <w:spacing w:before="0" w:after="120"/>
        <w:rPr>
          <w:rFonts w:ascii="Arial" w:eastAsia="Arial" w:hAnsi="Arial" w:cs="Arial"/>
          <w:sz w:val="22"/>
          <w:szCs w:val="22"/>
          <w:lang w:val="en-US" w:eastAsia="en-NZ"/>
        </w:rPr>
      </w:pPr>
      <w:r w:rsidRPr="2B6C25A4">
        <w:rPr>
          <w:rFonts w:ascii="Arial" w:eastAsia="Arial" w:hAnsi="Arial" w:cs="Arial"/>
          <w:sz w:val="22"/>
          <w:szCs w:val="22"/>
          <w:lang w:val="en-US" w:eastAsia="en-NZ"/>
        </w:rPr>
        <w:t>Rising in One-</w:t>
      </w:r>
      <w:proofErr w:type="spellStart"/>
      <w:r w:rsidRPr="2B6C25A4">
        <w:rPr>
          <w:rFonts w:ascii="Arial" w:eastAsia="Arial" w:hAnsi="Arial" w:cs="Arial"/>
          <w:sz w:val="22"/>
          <w:szCs w:val="22"/>
          <w:lang w:val="en-US" w:eastAsia="en-NZ"/>
        </w:rPr>
        <w:t>haumako</w:t>
      </w:r>
      <w:proofErr w:type="spellEnd"/>
      <w:r w:rsidRPr="2B6C25A4">
        <w:rPr>
          <w:rFonts w:ascii="Arial" w:eastAsia="Arial" w:hAnsi="Arial" w:cs="Arial"/>
          <w:sz w:val="22"/>
          <w:szCs w:val="22"/>
          <w:lang w:val="en-US" w:eastAsia="en-NZ"/>
        </w:rPr>
        <w:t>, in One-</w:t>
      </w:r>
      <w:proofErr w:type="spellStart"/>
      <w:r w:rsidRPr="2B6C25A4">
        <w:rPr>
          <w:rFonts w:ascii="Arial" w:eastAsia="Arial" w:hAnsi="Arial" w:cs="Arial"/>
          <w:sz w:val="22"/>
          <w:szCs w:val="22"/>
          <w:lang w:val="en-US" w:eastAsia="en-NZ"/>
        </w:rPr>
        <w:t>whakatupu</w:t>
      </w:r>
      <w:proofErr w:type="spellEnd"/>
    </w:p>
    <w:p w14:paraId="5EDB5F56"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There, my friends, lies the hope to fulfil the cost</w:t>
      </w:r>
    </w:p>
    <w:p w14:paraId="20E550F1"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To restore your human dignity, your inherited mana from your ancestors</w:t>
      </w:r>
    </w:p>
    <w:p w14:paraId="185EFA35"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Thus, it will thrive, flourish, and burst forth</w:t>
      </w:r>
    </w:p>
    <w:p w14:paraId="0EB16FC4"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A peaceful feather, a treasured calm, a serene peace from Rongo</w:t>
      </w:r>
    </w:p>
    <w:p w14:paraId="481961A2" w14:textId="77777777" w:rsidR="00A82212" w:rsidRPr="00190F35" w:rsidRDefault="00A82212" w:rsidP="2B6C25A4">
      <w:pPr>
        <w:spacing w:before="0" w:after="120"/>
        <w:rPr>
          <w:rFonts w:ascii="Arial" w:eastAsia="Arial" w:hAnsi="Arial" w:cs="Arial"/>
          <w:sz w:val="22"/>
          <w:szCs w:val="22"/>
          <w:lang w:val="en-US" w:eastAsia="en-NZ"/>
        </w:rPr>
      </w:pPr>
      <w:r w:rsidRPr="2B6C25A4">
        <w:rPr>
          <w:rFonts w:ascii="Arial" w:eastAsia="Arial" w:hAnsi="Arial" w:cs="Arial"/>
          <w:sz w:val="22"/>
          <w:szCs w:val="22"/>
          <w:lang w:val="en-US" w:eastAsia="en-NZ"/>
        </w:rPr>
        <w:t>Emerging into the world of light, into the world of understanding</w:t>
      </w:r>
    </w:p>
    <w:p w14:paraId="10C35CDF" w14:textId="77777777" w:rsidR="00A82212" w:rsidRPr="00190F35" w:rsidRDefault="00A82212" w:rsidP="00A82212">
      <w:pPr>
        <w:spacing w:before="0" w:after="120"/>
        <w:rPr>
          <w:rFonts w:ascii="Arial" w:eastAsia="Arial" w:hAnsi="Arial" w:cs="Arial"/>
          <w:sz w:val="22"/>
          <w:szCs w:val="22"/>
          <w:lang w:val="en" w:eastAsia="en-NZ"/>
        </w:rPr>
      </w:pPr>
      <w:r w:rsidRPr="00190F35">
        <w:rPr>
          <w:rFonts w:ascii="Arial" w:eastAsia="Arial" w:hAnsi="Arial" w:cs="Arial"/>
          <w:sz w:val="22"/>
          <w:szCs w:val="22"/>
          <w:lang w:val="en" w:eastAsia="en-NZ"/>
        </w:rPr>
        <w:t>A crossing of life indeed!</w:t>
      </w:r>
    </w:p>
    <w:p w14:paraId="3125463B" w14:textId="77777777" w:rsidR="00A43955" w:rsidRPr="008C2F76" w:rsidRDefault="00A43955" w:rsidP="700D4309">
      <w:pPr>
        <w:pStyle w:val="AllQuotes"/>
        <w:rPr>
          <w:rFonts w:eastAsia="Arial" w:cs="Arial"/>
          <w:b/>
          <w:bCs/>
          <w:szCs w:val="22"/>
        </w:rPr>
      </w:pPr>
    </w:p>
    <w:sectPr w:rsidR="00A43955" w:rsidRPr="008C2F76" w:rsidSect="000A2C7E">
      <w:headerReference w:type="even" r:id="rId25"/>
      <w:headerReference w:type="default" r:id="rId26"/>
      <w:footerReference w:type="default" r:id="rId27"/>
      <w:headerReference w:type="first" r:id="rId28"/>
      <w:pgSz w:w="11906" w:h="16838" w:code="9"/>
      <w:pgMar w:top="1440" w:right="1440" w:bottom="1440" w:left="1440" w:header="425" w:footer="2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D6FED" w14:textId="77777777" w:rsidR="005134C5" w:rsidRPr="00662210" w:rsidRDefault="005134C5">
      <w:r w:rsidRPr="00662210">
        <w:separator/>
      </w:r>
    </w:p>
    <w:p w14:paraId="519BA300" w14:textId="77777777" w:rsidR="005134C5" w:rsidRPr="00662210" w:rsidRDefault="005134C5"/>
    <w:p w14:paraId="5AC910EA" w14:textId="77777777" w:rsidR="005134C5" w:rsidRPr="00662210" w:rsidRDefault="005134C5"/>
    <w:p w14:paraId="6E9AB9A5" w14:textId="77777777" w:rsidR="005134C5" w:rsidRPr="00662210" w:rsidRDefault="005134C5"/>
    <w:p w14:paraId="40D0EA93" w14:textId="77777777" w:rsidR="005134C5" w:rsidRPr="00662210" w:rsidRDefault="005134C5" w:rsidP="008642E7"/>
    <w:p w14:paraId="29C3D827" w14:textId="77777777" w:rsidR="005134C5" w:rsidRPr="00662210" w:rsidRDefault="005134C5" w:rsidP="008642E7"/>
    <w:p w14:paraId="59482656" w14:textId="77777777" w:rsidR="005134C5" w:rsidRPr="00662210" w:rsidRDefault="005134C5"/>
  </w:endnote>
  <w:endnote w:type="continuationSeparator" w:id="0">
    <w:p w14:paraId="7C84BDCC" w14:textId="77777777" w:rsidR="005134C5" w:rsidRPr="00662210" w:rsidRDefault="005134C5">
      <w:r w:rsidRPr="00662210">
        <w:continuationSeparator/>
      </w:r>
    </w:p>
    <w:p w14:paraId="0B7243B5" w14:textId="77777777" w:rsidR="005134C5" w:rsidRPr="00662210" w:rsidRDefault="005134C5"/>
  </w:endnote>
  <w:endnote w:type="continuationNotice" w:id="1">
    <w:p w14:paraId="37D06250" w14:textId="77777777" w:rsidR="005134C5" w:rsidRPr="00662210" w:rsidRDefault="005134C5">
      <w:pPr>
        <w:spacing w:before="0" w:after="0"/>
      </w:pPr>
    </w:p>
    <w:p w14:paraId="505864C3" w14:textId="77777777" w:rsidR="005134C5" w:rsidRPr="00662210" w:rsidRDefault="005134C5"/>
    <w:p w14:paraId="6A1E748A" w14:textId="77777777" w:rsidR="005134C5" w:rsidRPr="00662210" w:rsidRDefault="005134C5" w:rsidP="008642E7"/>
    <w:p w14:paraId="2D69BAF5" w14:textId="77777777" w:rsidR="005134C5" w:rsidRPr="00662210" w:rsidRDefault="005134C5" w:rsidP="008642E7"/>
    <w:p w14:paraId="4C362743" w14:textId="77777777" w:rsidR="005134C5" w:rsidRPr="00662210" w:rsidRDefault="00513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era Pro">
    <w:altName w:val="Calibri"/>
    <w:panose1 w:val="00000000000000000000"/>
    <w:charset w:val="00"/>
    <w:family w:val="modern"/>
    <w:notTrueType/>
    <w:pitch w:val="variable"/>
    <w:sig w:usb0="00000287" w:usb1="00000001"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Georgia Pro">
    <w:charset w:val="00"/>
    <w:family w:val="roman"/>
    <w:pitch w:val="variable"/>
    <w:sig w:usb0="800002AF" w:usb1="00000003" w:usb2="00000000" w:usb3="00000000" w:csb0="0000009F" w:csb1="00000000"/>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EB61E" w14:textId="47894B36" w:rsidR="000E429D" w:rsidRPr="00662210" w:rsidRDefault="000E429D" w:rsidP="00D103DE">
    <w:pPr>
      <w:pStyle w:val="Footer"/>
      <w:tabs>
        <w:tab w:val="right" w:pos="9071"/>
      </w:tabs>
      <w:ind w:right="-1"/>
    </w:pPr>
    <w:r w:rsidRPr="00662210">
      <w:tab/>
      <w:t xml:space="preserve">Page </w:t>
    </w:r>
    <w:r w:rsidRPr="00662210">
      <w:rPr>
        <w:color w:val="2B579A"/>
        <w:shd w:val="clear" w:color="auto" w:fill="E6E6E6"/>
      </w:rPr>
      <w:fldChar w:fldCharType="begin"/>
    </w:r>
    <w:r w:rsidRPr="00662210">
      <w:instrText xml:space="preserve"> PAGE  \* Arabic  \* MERGEFORMAT </w:instrText>
    </w:r>
    <w:r w:rsidRPr="00662210">
      <w:rPr>
        <w:color w:val="2B579A"/>
        <w:shd w:val="clear" w:color="auto" w:fill="E6E6E6"/>
      </w:rPr>
      <w:fldChar w:fldCharType="separate"/>
    </w:r>
    <w:r w:rsidRPr="00662210">
      <w:t>1</w:t>
    </w:r>
    <w:r w:rsidRPr="00662210">
      <w:rPr>
        <w:color w:val="2B579A"/>
        <w:shd w:val="clear" w:color="auto" w:fill="E6E6E6"/>
      </w:rPr>
      <w:fldChar w:fldCharType="end"/>
    </w:r>
    <w:r w:rsidRPr="00662210">
      <w:t xml:space="preserve"> of </w:t>
    </w:r>
    <w:r w:rsidR="00912091">
      <w:fldChar w:fldCharType="begin"/>
    </w:r>
    <w:r w:rsidR="00912091">
      <w:instrText>NUMPAGES   \* MERGEFORMAT</w:instrText>
    </w:r>
    <w:r w:rsidR="00912091">
      <w:fldChar w:fldCharType="separate"/>
    </w:r>
    <w:r w:rsidRPr="00662210">
      <w:t>1</w:t>
    </w:r>
    <w:r w:rsidR="0091209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8AD63" w14:textId="77777777" w:rsidR="005134C5" w:rsidRPr="00E37F0A" w:rsidRDefault="005134C5" w:rsidP="00E37F0A">
      <w:pPr>
        <w:pStyle w:val="Footer"/>
      </w:pPr>
    </w:p>
  </w:footnote>
  <w:footnote w:type="continuationSeparator" w:id="0">
    <w:p w14:paraId="44703471" w14:textId="77777777" w:rsidR="005134C5" w:rsidRPr="00662210" w:rsidRDefault="005134C5">
      <w:r w:rsidRPr="00662210">
        <w:continuationSeparator/>
      </w:r>
    </w:p>
  </w:footnote>
  <w:footnote w:type="continuationNotice" w:id="1">
    <w:p w14:paraId="40472BD4" w14:textId="77777777" w:rsidR="005134C5" w:rsidRPr="00662210" w:rsidRDefault="005134C5" w:rsidP="001E2DCC">
      <w:pPr>
        <w:pStyle w:val="Footer"/>
        <w:spacing w:before="0" w:after="0"/>
        <w:contextualSpacing w:val="0"/>
        <w:rPr>
          <w:rFonts w:asciiTheme="minorHAnsi" w:hAnsiTheme="minorHAnsi" w:cstheme="minorHAnsi"/>
          <w:i w:val="0"/>
          <w:sz w:val="2"/>
        </w:rPr>
      </w:pPr>
    </w:p>
  </w:footnote>
  <w:footnote w:id="2">
    <w:p w14:paraId="36DEB0F0" w14:textId="71ACA4FD" w:rsidR="000E429D" w:rsidRPr="00CB4F47" w:rsidRDefault="000E429D" w:rsidP="00C57877">
      <w:pPr>
        <w:pStyle w:val="FootnoteText"/>
        <w:spacing w:before="0" w:after="0" w:line="20" w:lineRule="atLeast"/>
        <w:jc w:val="left"/>
        <w:rPr>
          <w:rFonts w:cs="Arial"/>
          <w:color w:val="auto"/>
          <w:sz w:val="16"/>
          <w:szCs w:val="16"/>
        </w:rPr>
      </w:pPr>
      <w:r w:rsidRPr="001142DD">
        <w:rPr>
          <w:rStyle w:val="StyleFootnoteReferenceFagoFunotenzeichenFagoFunotenzeichen"/>
          <w:sz w:val="16"/>
          <w:szCs w:val="16"/>
        </w:rPr>
        <w:footnoteRef/>
      </w:r>
      <w:r w:rsidRPr="00CB4F47">
        <w:rPr>
          <w:rFonts w:cs="Arial"/>
          <w:color w:val="auto"/>
          <w:sz w:val="16"/>
          <w:szCs w:val="16"/>
        </w:rPr>
        <w:t xml:space="preserve"> Jenkins, K &amp; Mountain Harte, H, Traditional Māori parenting </w:t>
      </w:r>
      <w:r w:rsidR="00D30D39" w:rsidRPr="00CB4F47">
        <w:rPr>
          <w:rFonts w:cs="Arial"/>
          <w:color w:val="auto"/>
          <w:sz w:val="16"/>
          <w:szCs w:val="16"/>
        </w:rPr>
        <w:t>(</w:t>
      </w:r>
      <w:r w:rsidRPr="00CB4F47">
        <w:rPr>
          <w:rFonts w:cs="Arial"/>
          <w:color w:val="auto"/>
          <w:sz w:val="16"/>
          <w:szCs w:val="16"/>
        </w:rPr>
        <w:t>Te Kahui Mana Ririki, 2011</w:t>
      </w:r>
      <w:r w:rsidR="00A671DF" w:rsidRPr="00CB4F47">
        <w:rPr>
          <w:rFonts w:cs="Arial"/>
          <w:color w:val="auto"/>
          <w:sz w:val="16"/>
          <w:szCs w:val="16"/>
        </w:rPr>
        <w:t>,</w:t>
      </w:r>
      <w:r w:rsidRPr="00CB4F47">
        <w:rPr>
          <w:rFonts w:cs="Arial"/>
          <w:color w:val="auto"/>
          <w:sz w:val="16"/>
          <w:szCs w:val="16"/>
        </w:rPr>
        <w:t xml:space="preserve"> page 27</w:t>
      </w:r>
      <w:r w:rsidR="0008017D">
        <w:rPr>
          <w:rFonts w:cs="Arial"/>
          <w:color w:val="auto"/>
          <w:sz w:val="16"/>
          <w:szCs w:val="16"/>
        </w:rPr>
        <w:t>)</w:t>
      </w:r>
      <w:r w:rsidRPr="00CB4F47">
        <w:rPr>
          <w:rFonts w:cs="Arial"/>
          <w:color w:val="auto"/>
          <w:sz w:val="16"/>
          <w:szCs w:val="16"/>
        </w:rPr>
        <w:t>.</w:t>
      </w:r>
    </w:p>
  </w:footnote>
  <w:footnote w:id="3">
    <w:p w14:paraId="1836C8AC" w14:textId="1D03EF4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Jenkins, K &amp; Mountain Harte, H, Traditional Māori parenting (Te Kahui Mana Ririki, 2011</w:t>
      </w:r>
      <w:r w:rsidR="00A671DF" w:rsidRPr="00CB4F47">
        <w:rPr>
          <w:rFonts w:cs="Arial"/>
          <w:color w:val="auto"/>
          <w:sz w:val="16"/>
          <w:szCs w:val="16"/>
        </w:rPr>
        <w:t>,</w:t>
      </w:r>
      <w:r w:rsidRPr="00CB4F47">
        <w:rPr>
          <w:rFonts w:cs="Arial"/>
          <w:color w:val="auto"/>
          <w:sz w:val="16"/>
          <w:szCs w:val="16"/>
        </w:rPr>
        <w:t xml:space="preserve"> page 27</w:t>
      </w:r>
      <w:r w:rsidR="0008017D">
        <w:rPr>
          <w:rFonts w:cs="Arial"/>
          <w:color w:val="auto"/>
          <w:sz w:val="16"/>
          <w:szCs w:val="16"/>
        </w:rPr>
        <w:t>)</w:t>
      </w:r>
      <w:r w:rsidRPr="00CB4F47">
        <w:rPr>
          <w:rFonts w:cs="Arial"/>
          <w:color w:val="auto"/>
          <w:sz w:val="16"/>
          <w:szCs w:val="16"/>
        </w:rPr>
        <w:t>.</w:t>
      </w:r>
    </w:p>
  </w:footnote>
  <w:footnote w:id="4">
    <w:p w14:paraId="08BD2E07" w14:textId="6AE78CA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Taonui, R, Whakapapa – genealogy: What is whakapapa</w:t>
      </w:r>
      <w:r w:rsidR="00A671DF" w:rsidRPr="00CB4F47">
        <w:rPr>
          <w:rFonts w:cs="Arial"/>
          <w:color w:val="auto"/>
          <w:sz w:val="16"/>
          <w:szCs w:val="16"/>
        </w:rPr>
        <w:t>?</w:t>
      </w:r>
      <w:r w:rsidRPr="00CB4F47">
        <w:rPr>
          <w:rFonts w:cs="Arial"/>
          <w:color w:val="auto"/>
          <w:sz w:val="16"/>
          <w:szCs w:val="16"/>
        </w:rPr>
        <w:t xml:space="preserve"> (Te Ara – </w:t>
      </w:r>
      <w:r w:rsidR="00A671DF">
        <w:rPr>
          <w:rFonts w:cs="Arial"/>
          <w:color w:val="auto"/>
          <w:sz w:val="16"/>
          <w:szCs w:val="16"/>
        </w:rPr>
        <w:t>T</w:t>
      </w:r>
      <w:r w:rsidR="00A671DF" w:rsidRPr="00CB4F47">
        <w:rPr>
          <w:rFonts w:cs="Arial"/>
          <w:color w:val="auto"/>
          <w:sz w:val="16"/>
          <w:szCs w:val="16"/>
        </w:rPr>
        <w:t>he Encyclopedia</w:t>
      </w:r>
      <w:r w:rsidRPr="00CB4F47">
        <w:rPr>
          <w:rFonts w:cs="Arial"/>
          <w:color w:val="auto"/>
          <w:sz w:val="16"/>
          <w:szCs w:val="16"/>
        </w:rPr>
        <w:t xml:space="preserve"> of New Zealand, 2015</w:t>
      </w:r>
      <w:r w:rsidR="00A671DF">
        <w:rPr>
          <w:rFonts w:cs="Arial"/>
          <w:color w:val="auto"/>
          <w:sz w:val="16"/>
          <w:szCs w:val="16"/>
        </w:rPr>
        <w:t>,</w:t>
      </w:r>
      <w:r w:rsidR="00E801F4">
        <w:rPr>
          <w:rFonts w:cs="Arial"/>
          <w:color w:val="auto"/>
          <w:sz w:val="16"/>
          <w:szCs w:val="16"/>
        </w:rPr>
        <w:t xml:space="preserve"> page 1</w:t>
      </w:r>
      <w:r w:rsidR="0008017D">
        <w:rPr>
          <w:rFonts w:cs="Arial"/>
          <w:color w:val="auto"/>
          <w:sz w:val="16"/>
          <w:szCs w:val="16"/>
        </w:rPr>
        <w:t>)</w:t>
      </w:r>
      <w:r w:rsidR="007271E5">
        <w:rPr>
          <w:rFonts w:cs="Arial"/>
          <w:color w:val="auto"/>
          <w:sz w:val="16"/>
          <w:szCs w:val="16"/>
        </w:rPr>
        <w:t xml:space="preserve">, </w:t>
      </w:r>
      <w:hyperlink r:id="rId1" w:history="1">
        <w:r w:rsidR="00D103A5" w:rsidRPr="00D103A5">
          <w:rPr>
            <w:rStyle w:val="Hyperlink"/>
            <w:rFonts w:cs="Arial"/>
            <w:sz w:val="16"/>
            <w:szCs w:val="16"/>
          </w:rPr>
          <w:t>h</w:t>
        </w:r>
        <w:r w:rsidR="00D103A5" w:rsidRPr="00DD5764">
          <w:rPr>
            <w:rStyle w:val="Hyperlink"/>
            <w:rFonts w:cs="Arial"/>
            <w:sz w:val="16"/>
            <w:szCs w:val="16"/>
          </w:rPr>
          <w:t>ttp://www.TeAra.govt.nz/en/whakapapa-genealogy/page-1</w:t>
        </w:r>
      </w:hyperlink>
      <w:r w:rsidR="00551417">
        <w:rPr>
          <w:rFonts w:cs="Arial"/>
          <w:color w:val="auto"/>
          <w:sz w:val="16"/>
          <w:szCs w:val="16"/>
        </w:rPr>
        <w:t xml:space="preserve">; </w:t>
      </w:r>
      <w:r w:rsidR="00CC6E2F">
        <w:rPr>
          <w:rFonts w:cs="Arial"/>
          <w:color w:val="auto"/>
          <w:sz w:val="16"/>
          <w:szCs w:val="16"/>
        </w:rPr>
        <w:t xml:space="preserve">Rawiri Taonui, </w:t>
      </w:r>
      <w:r w:rsidR="00E06146">
        <w:rPr>
          <w:rFonts w:cs="Arial"/>
          <w:color w:val="auto"/>
          <w:sz w:val="16"/>
          <w:szCs w:val="16"/>
        </w:rPr>
        <w:t xml:space="preserve">Mana </w:t>
      </w:r>
      <w:r w:rsidR="0061602B">
        <w:rPr>
          <w:rFonts w:cs="Arial"/>
          <w:color w:val="auto"/>
          <w:sz w:val="16"/>
          <w:szCs w:val="16"/>
        </w:rPr>
        <w:t>t</w:t>
      </w:r>
      <w:r w:rsidR="00E06146">
        <w:rPr>
          <w:rFonts w:cs="Arial"/>
          <w:color w:val="auto"/>
          <w:sz w:val="16"/>
          <w:szCs w:val="16"/>
        </w:rPr>
        <w:t>amariki; cultural alienation</w:t>
      </w:r>
      <w:r w:rsidR="00826850">
        <w:rPr>
          <w:rFonts w:cs="Arial"/>
          <w:color w:val="auto"/>
          <w:sz w:val="16"/>
          <w:szCs w:val="16"/>
        </w:rPr>
        <w:t xml:space="preserve"> Maori child homicide and chi</w:t>
      </w:r>
      <w:r w:rsidR="00EF1130">
        <w:rPr>
          <w:rFonts w:cs="Arial"/>
          <w:color w:val="auto"/>
          <w:sz w:val="16"/>
          <w:szCs w:val="16"/>
        </w:rPr>
        <w:t>ld abuse</w:t>
      </w:r>
      <w:r w:rsidR="00366725">
        <w:rPr>
          <w:rFonts w:cs="Arial"/>
          <w:color w:val="auto"/>
          <w:sz w:val="16"/>
          <w:szCs w:val="16"/>
        </w:rPr>
        <w:t xml:space="preserve"> (</w:t>
      </w:r>
      <w:r w:rsidR="00A9365E">
        <w:rPr>
          <w:rFonts w:cs="Arial"/>
          <w:color w:val="auto"/>
          <w:sz w:val="16"/>
          <w:szCs w:val="16"/>
        </w:rPr>
        <w:t>An international journalof indigenous peoples</w:t>
      </w:r>
      <w:r w:rsidR="00CB5B97">
        <w:rPr>
          <w:rFonts w:cs="Arial"/>
          <w:color w:val="auto"/>
          <w:sz w:val="16"/>
          <w:szCs w:val="16"/>
        </w:rPr>
        <w:t>, 2010</w:t>
      </w:r>
      <w:r w:rsidR="00001966">
        <w:rPr>
          <w:rFonts w:cs="Arial"/>
          <w:color w:val="auto"/>
          <w:sz w:val="16"/>
          <w:szCs w:val="16"/>
        </w:rPr>
        <w:t xml:space="preserve">, page </w:t>
      </w:r>
      <w:r w:rsidR="008772DA">
        <w:rPr>
          <w:rFonts w:cs="Arial"/>
          <w:color w:val="auto"/>
          <w:sz w:val="16"/>
          <w:szCs w:val="16"/>
        </w:rPr>
        <w:t>192).</w:t>
      </w:r>
    </w:p>
  </w:footnote>
  <w:footnote w:id="5">
    <w:p w14:paraId="7855A947" w14:textId="025067F9" w:rsidR="000E429D" w:rsidRPr="00CB4F47" w:rsidRDefault="000E429D" w:rsidP="002F3A8B">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color w:val="auto"/>
          <w:sz w:val="16"/>
          <w:szCs w:val="16"/>
        </w:rPr>
        <w:t xml:space="preserve"> </w:t>
      </w:r>
      <w:r w:rsidRPr="00CB4F47">
        <w:rPr>
          <w:rFonts w:cs="Arial"/>
          <w:color w:val="auto"/>
          <w:sz w:val="16"/>
          <w:szCs w:val="16"/>
        </w:rPr>
        <w:t>Wilson, D, “Transforming the normalisation and intergenerational whānau (family) violence</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Journal of Indigenous Wellbeing, 1(2), (December 2016</w:t>
      </w:r>
      <w:r w:rsidR="00A671DF" w:rsidRPr="00CB4F47">
        <w:rPr>
          <w:rFonts w:cs="Arial"/>
          <w:color w:val="auto"/>
          <w:sz w:val="16"/>
          <w:szCs w:val="16"/>
        </w:rPr>
        <w:t>,</w:t>
      </w:r>
      <w:r w:rsidRPr="00CB4F47">
        <w:rPr>
          <w:rFonts w:cs="Arial"/>
          <w:color w:val="auto"/>
          <w:sz w:val="16"/>
          <w:szCs w:val="16"/>
        </w:rPr>
        <w:t xml:space="preserve"> pages 32</w:t>
      </w:r>
      <w:r w:rsidRPr="00CB4F47">
        <w:rPr>
          <w:rFonts w:eastAsia="BatangChe" w:cs="Arial"/>
          <w:sz w:val="16"/>
          <w:szCs w:val="16"/>
        </w:rPr>
        <w:t xml:space="preserve">–43, </w:t>
      </w:r>
      <w:r w:rsidRPr="00CB4F47">
        <w:rPr>
          <w:rFonts w:cs="Arial"/>
          <w:color w:val="auto"/>
          <w:sz w:val="16"/>
          <w:szCs w:val="16"/>
        </w:rPr>
        <w:t>page 33</w:t>
      </w:r>
      <w:r w:rsidR="00EA1B39">
        <w:rPr>
          <w:rFonts w:cs="Arial"/>
          <w:color w:val="auto"/>
          <w:sz w:val="16"/>
          <w:szCs w:val="16"/>
        </w:rPr>
        <w:t>)</w:t>
      </w:r>
      <w:r w:rsidRPr="00CB4F47">
        <w:rPr>
          <w:rFonts w:cs="Arial"/>
          <w:color w:val="auto"/>
          <w:sz w:val="16"/>
          <w:szCs w:val="16"/>
        </w:rPr>
        <w:t>.</w:t>
      </w:r>
      <w:r w:rsidRPr="00CB4F47">
        <w:rPr>
          <w:color w:val="auto"/>
          <w:sz w:val="16"/>
          <w:szCs w:val="16"/>
        </w:rPr>
        <w:t xml:space="preserve"> </w:t>
      </w:r>
    </w:p>
  </w:footnote>
  <w:footnote w:id="6">
    <w:p w14:paraId="185E214D" w14:textId="1FDB5F17"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eastAsia="BatangChe" w:cs="Arial"/>
          <w:sz w:val="16"/>
          <w:szCs w:val="16"/>
        </w:rPr>
        <w:t xml:space="preserve">Savage, C, Moyle, P, Kus-Harbord, L, Ahuriri-Driscoll, A, Hynds, A, Paipa, K, Leonard, G, Maraki, J &amp; Leonard, J, Hāhā-uri, hāhā-tea: Māori involvement in State </w:t>
      </w:r>
      <w:r w:rsidR="00051E0C">
        <w:rPr>
          <w:rFonts w:eastAsia="BatangChe" w:cs="Arial"/>
          <w:sz w:val="16"/>
          <w:szCs w:val="16"/>
        </w:rPr>
        <w:t>c</w:t>
      </w:r>
      <w:r w:rsidR="00051E0C" w:rsidRPr="00CB4F47">
        <w:rPr>
          <w:rFonts w:eastAsia="BatangChe" w:cs="Arial"/>
          <w:sz w:val="16"/>
          <w:szCs w:val="16"/>
        </w:rPr>
        <w:t xml:space="preserve">are </w:t>
      </w:r>
      <w:r w:rsidRPr="00CB4F47">
        <w:rPr>
          <w:rFonts w:eastAsia="BatangChe" w:cs="Arial"/>
          <w:sz w:val="16"/>
          <w:szCs w:val="16"/>
        </w:rPr>
        <w:t xml:space="preserve">1950–1999 </w:t>
      </w:r>
      <w:r w:rsidRPr="00CB4F47">
        <w:rPr>
          <w:rFonts w:eastAsia="BatangChe" w:cs="Arial"/>
          <w:color w:val="001C2E"/>
          <w:sz w:val="16"/>
          <w:szCs w:val="16"/>
          <w:shd w:val="clear" w:color="auto" w:fill="FFFFFF"/>
        </w:rPr>
        <w:t>(Ihi Research, 2021</w:t>
      </w:r>
      <w:r w:rsidR="00A671DF" w:rsidRPr="00CB4F47">
        <w:rPr>
          <w:rFonts w:eastAsia="BatangChe" w:cs="Arial"/>
          <w:color w:val="001C2E"/>
          <w:sz w:val="16"/>
          <w:szCs w:val="16"/>
          <w:shd w:val="clear" w:color="auto" w:fill="FFFFFF"/>
        </w:rPr>
        <w:t>,</w:t>
      </w:r>
      <w:r w:rsidRPr="00CB4F47">
        <w:rPr>
          <w:rFonts w:eastAsia="BatangChe" w:cs="Arial"/>
          <w:color w:val="001C2E"/>
          <w:sz w:val="16"/>
          <w:szCs w:val="16"/>
          <w:shd w:val="clear" w:color="auto" w:fill="FFFFFF"/>
        </w:rPr>
        <w:t xml:space="preserve"> </w:t>
      </w:r>
      <w:r w:rsidRPr="00CB4F47">
        <w:rPr>
          <w:rFonts w:cs="Arial"/>
          <w:sz w:val="16"/>
          <w:szCs w:val="16"/>
        </w:rPr>
        <w:t>pages 34</w:t>
      </w:r>
      <w:r w:rsidRPr="00CB4F47">
        <w:rPr>
          <w:rFonts w:cs="Arial"/>
          <w:color w:val="auto"/>
          <w:sz w:val="16"/>
          <w:szCs w:val="16"/>
        </w:rPr>
        <w:t>–</w:t>
      </w:r>
      <w:r w:rsidRPr="00CB4F47">
        <w:rPr>
          <w:rFonts w:cs="Arial"/>
          <w:sz w:val="16"/>
          <w:szCs w:val="16"/>
        </w:rPr>
        <w:t>36</w:t>
      </w:r>
      <w:r w:rsidR="00EA1B39">
        <w:rPr>
          <w:rFonts w:cs="Arial"/>
          <w:sz w:val="16"/>
          <w:szCs w:val="16"/>
        </w:rPr>
        <w:t>)</w:t>
      </w:r>
      <w:r w:rsidRPr="00CB4F47">
        <w:rPr>
          <w:rFonts w:cs="Arial"/>
          <w:sz w:val="16"/>
          <w:szCs w:val="16"/>
        </w:rPr>
        <w:t>.</w:t>
      </w:r>
    </w:p>
  </w:footnote>
  <w:footnote w:id="7">
    <w:p w14:paraId="5C9B7737" w14:textId="302B15D1" w:rsidR="000E429D" w:rsidRPr="00CB4F47" w:rsidRDefault="000E429D" w:rsidP="00C57877">
      <w:pPr>
        <w:keepLines w:val="0"/>
        <w:spacing w:before="0" w:after="0" w:line="20" w:lineRule="atLeast"/>
        <w:rPr>
          <w:rFonts w:ascii="Arial" w:hAnsi="Arial" w:cs="Arial"/>
          <w:color w:val="000000" w:themeColor="text1"/>
          <w:sz w:val="16"/>
          <w:szCs w:val="16"/>
        </w:rPr>
      </w:pPr>
      <w:r w:rsidRPr="00536E67">
        <w:rPr>
          <w:rStyle w:val="StyleFootnoteReferenceFagoFunotenzeichenFagoFunotenzeichen"/>
          <w:sz w:val="16"/>
          <w:szCs w:val="16"/>
        </w:rPr>
        <w:footnoteRef/>
      </w:r>
      <w:r w:rsidRPr="00CB4F47">
        <w:rPr>
          <w:rFonts w:ascii="Arial" w:hAnsi="Arial" w:cs="Arial"/>
          <w:color w:val="000000" w:themeColor="text1"/>
          <w:sz w:val="16"/>
          <w:szCs w:val="16"/>
        </w:rPr>
        <w:t xml:space="preserve"> Marsden, S, Journal – Reverend Samuel Marsden’s first visit to New Zealand in December 1814 (Marsden Online Archive</w:t>
      </w:r>
      <w:r w:rsidR="005B6307">
        <w:rPr>
          <w:rFonts w:ascii="Arial" w:hAnsi="Arial" w:cs="Arial"/>
          <w:color w:val="000000" w:themeColor="text1"/>
          <w:sz w:val="16"/>
          <w:szCs w:val="16"/>
        </w:rPr>
        <w:t xml:space="preserve">, </w:t>
      </w:r>
      <w:r w:rsidR="005B6307" w:rsidRPr="00147DBB">
        <w:rPr>
          <w:rFonts w:ascii="Arial" w:hAnsi="Arial" w:cs="Arial"/>
          <w:color w:val="000000" w:themeColor="text1"/>
          <w:sz w:val="16"/>
          <w:szCs w:val="16"/>
        </w:rPr>
        <w:t>last modified October 3, 2014</w:t>
      </w:r>
      <w:r w:rsidRPr="00CB4F47">
        <w:rPr>
          <w:rFonts w:ascii="Arial" w:hAnsi="Arial" w:cs="Arial"/>
          <w:color w:val="000000" w:themeColor="text1"/>
          <w:sz w:val="16"/>
          <w:szCs w:val="16"/>
        </w:rPr>
        <w:t>)</w:t>
      </w:r>
      <w:r w:rsidR="005B6307">
        <w:rPr>
          <w:rFonts w:ascii="Arial" w:hAnsi="Arial" w:cs="Arial"/>
          <w:color w:val="000000" w:themeColor="text1"/>
          <w:sz w:val="16"/>
          <w:szCs w:val="16"/>
        </w:rPr>
        <w:t xml:space="preserve">, </w:t>
      </w:r>
      <w:r w:rsidR="005B6307" w:rsidRPr="00120E85">
        <w:rPr>
          <w:rFonts w:ascii="Arial" w:hAnsi="Arial" w:cs="Arial"/>
          <w:color w:val="000000" w:themeColor="text1"/>
          <w:sz w:val="16"/>
          <w:szCs w:val="16"/>
        </w:rPr>
        <w:t xml:space="preserve"> </w:t>
      </w:r>
      <w:hyperlink r:id="rId2" w:history="1">
        <w:r w:rsidR="005B6307" w:rsidRPr="00120E85">
          <w:rPr>
            <w:rStyle w:val="Hyperlink"/>
            <w:rFonts w:ascii="Arial" w:hAnsi="Arial" w:cs="Arial"/>
            <w:sz w:val="16"/>
            <w:szCs w:val="16"/>
          </w:rPr>
          <w:t>http://www.marsdenarchive.otago.ac.nz/MS_0176_001</w:t>
        </w:r>
      </w:hyperlink>
      <w:r w:rsidR="005B6307" w:rsidRPr="00120E85">
        <w:rPr>
          <w:rFonts w:ascii="Arial" w:hAnsi="Arial" w:cs="Arial"/>
          <w:color w:val="000000" w:themeColor="text1"/>
          <w:sz w:val="16"/>
          <w:szCs w:val="16"/>
        </w:rPr>
        <w:t>.</w:t>
      </w:r>
    </w:p>
  </w:footnote>
  <w:footnote w:id="8">
    <w:p w14:paraId="53396D6B" w14:textId="7FF0BEAD" w:rsidR="00A671DF" w:rsidRPr="00CB4F47" w:rsidRDefault="00A671DF"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Polack, J, New Zealand being a narrative of travels and adventures during a residence in that country between the years 1831 and 1837 (</w:t>
      </w:r>
      <w:r>
        <w:rPr>
          <w:rFonts w:cs="Arial"/>
          <w:color w:val="auto"/>
          <w:sz w:val="16"/>
          <w:szCs w:val="16"/>
        </w:rPr>
        <w:t xml:space="preserve">Richard Bentley, </w:t>
      </w:r>
      <w:r w:rsidRPr="00CB4F47">
        <w:rPr>
          <w:rFonts w:cs="Arial"/>
          <w:color w:val="auto"/>
          <w:sz w:val="16"/>
          <w:szCs w:val="16"/>
        </w:rPr>
        <w:t>18</w:t>
      </w:r>
      <w:r>
        <w:rPr>
          <w:rFonts w:cs="Arial"/>
          <w:color w:val="auto"/>
          <w:sz w:val="16"/>
          <w:szCs w:val="16"/>
        </w:rPr>
        <w:t>87</w:t>
      </w:r>
      <w:r w:rsidRPr="00CB4F47">
        <w:rPr>
          <w:rFonts w:cs="Arial"/>
          <w:color w:val="auto"/>
          <w:sz w:val="16"/>
          <w:szCs w:val="16"/>
        </w:rPr>
        <w:t>, page 374</w:t>
      </w:r>
      <w:r>
        <w:rPr>
          <w:rFonts w:cs="Arial"/>
          <w:color w:val="auto"/>
          <w:sz w:val="16"/>
          <w:szCs w:val="16"/>
        </w:rPr>
        <w:t>)</w:t>
      </w:r>
      <w:r w:rsidRPr="00CB4F47">
        <w:rPr>
          <w:rFonts w:cs="Arial"/>
          <w:color w:val="auto"/>
          <w:sz w:val="16"/>
          <w:szCs w:val="16"/>
        </w:rPr>
        <w:t>.</w:t>
      </w:r>
    </w:p>
  </w:footnote>
  <w:footnote w:id="9">
    <w:p w14:paraId="5D27860C" w14:textId="5C4317B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Atholl, A, Shortland, Edward</w:t>
      </w:r>
      <w:r w:rsidR="00A671DF">
        <w:rPr>
          <w:rFonts w:cs="Arial"/>
          <w:color w:val="auto"/>
          <w:sz w:val="16"/>
          <w:szCs w:val="16"/>
        </w:rPr>
        <w:t>,</w:t>
      </w:r>
      <w:r w:rsidRPr="00CB4F47">
        <w:rPr>
          <w:rFonts w:cs="Arial"/>
          <w:color w:val="auto"/>
          <w:sz w:val="16"/>
          <w:szCs w:val="16"/>
        </w:rPr>
        <w:t xml:space="preserve"> Dictionary of New Zealand Biography</w:t>
      </w:r>
      <w:r w:rsidR="00234435">
        <w:rPr>
          <w:rFonts w:cs="Arial"/>
          <w:color w:val="auto"/>
          <w:sz w:val="16"/>
          <w:szCs w:val="16"/>
        </w:rPr>
        <w:t xml:space="preserve"> </w:t>
      </w:r>
      <w:r w:rsidR="00A671DF">
        <w:rPr>
          <w:rFonts w:cs="Arial"/>
          <w:color w:val="auto"/>
          <w:sz w:val="16"/>
          <w:szCs w:val="16"/>
        </w:rPr>
        <w:t>(</w:t>
      </w:r>
      <w:r w:rsidRPr="00CB4F47">
        <w:rPr>
          <w:rFonts w:cs="Arial"/>
          <w:color w:val="auto"/>
          <w:sz w:val="16"/>
          <w:szCs w:val="16"/>
        </w:rPr>
        <w:t xml:space="preserve">Te Ara </w:t>
      </w:r>
      <w:r w:rsidR="00A671DF" w:rsidRPr="00CB4F47">
        <w:rPr>
          <w:rFonts w:cs="Arial"/>
          <w:sz w:val="16"/>
          <w:szCs w:val="16"/>
        </w:rPr>
        <w:t>–</w:t>
      </w:r>
      <w:r w:rsidR="00A671DF" w:rsidRPr="00CB4F47">
        <w:rPr>
          <w:rFonts w:cs="Arial"/>
          <w:color w:val="auto"/>
          <w:sz w:val="16"/>
          <w:szCs w:val="16"/>
        </w:rPr>
        <w:t xml:space="preserve"> </w:t>
      </w:r>
      <w:r w:rsidR="00A671DF">
        <w:rPr>
          <w:rFonts w:cs="Arial"/>
          <w:color w:val="auto"/>
          <w:sz w:val="16"/>
          <w:szCs w:val="16"/>
        </w:rPr>
        <w:t>T</w:t>
      </w:r>
      <w:r w:rsidR="00A671DF" w:rsidRPr="00CB4F47">
        <w:rPr>
          <w:rFonts w:cs="Arial"/>
          <w:color w:val="auto"/>
          <w:sz w:val="16"/>
          <w:szCs w:val="16"/>
        </w:rPr>
        <w:t>he Encyclopedia</w:t>
      </w:r>
      <w:r w:rsidRPr="00CB4F47">
        <w:rPr>
          <w:rFonts w:cs="Arial"/>
          <w:color w:val="auto"/>
          <w:sz w:val="16"/>
          <w:szCs w:val="16"/>
        </w:rPr>
        <w:t xml:space="preserve"> of New Zealand,</w:t>
      </w:r>
      <w:r w:rsidRPr="00CB4F47" w:rsidDel="00D27075">
        <w:rPr>
          <w:rFonts w:cs="Arial"/>
          <w:color w:val="auto"/>
          <w:sz w:val="16"/>
          <w:szCs w:val="16"/>
        </w:rPr>
        <w:t xml:space="preserve"> </w:t>
      </w:r>
      <w:r w:rsidRPr="00CB4F47">
        <w:rPr>
          <w:rFonts w:cs="Arial"/>
          <w:color w:val="auto"/>
          <w:sz w:val="16"/>
          <w:szCs w:val="16"/>
        </w:rPr>
        <w:t>first published 1990, updated December 2013</w:t>
      </w:r>
      <w:r w:rsidR="00A671DF" w:rsidRPr="00CB4F47">
        <w:rPr>
          <w:rFonts w:cs="Arial"/>
          <w:color w:val="auto"/>
          <w:sz w:val="16"/>
          <w:szCs w:val="16"/>
        </w:rPr>
        <w:t>,</w:t>
      </w:r>
      <w:r w:rsidRPr="00CB4F47">
        <w:rPr>
          <w:rFonts w:cs="Arial"/>
          <w:color w:val="auto"/>
          <w:sz w:val="16"/>
          <w:szCs w:val="16"/>
        </w:rPr>
        <w:t xml:space="preserve"> page 1</w:t>
      </w:r>
      <w:r w:rsidR="00EA1B39">
        <w:rPr>
          <w:rFonts w:cs="Arial"/>
          <w:color w:val="auto"/>
          <w:sz w:val="16"/>
          <w:szCs w:val="16"/>
        </w:rPr>
        <w:t>)</w:t>
      </w:r>
      <w:r w:rsidR="003F7C3A">
        <w:rPr>
          <w:rFonts w:cs="Arial"/>
          <w:color w:val="auto"/>
          <w:sz w:val="16"/>
          <w:szCs w:val="16"/>
        </w:rPr>
        <w:t xml:space="preserve">, </w:t>
      </w:r>
      <w:hyperlink r:id="rId3" w:history="1">
        <w:r w:rsidR="003F7C3A" w:rsidRPr="003F7C3A">
          <w:rPr>
            <w:rStyle w:val="Hyperlink"/>
            <w:rFonts w:cs="Arial"/>
            <w:sz w:val="16"/>
            <w:szCs w:val="16"/>
          </w:rPr>
          <w:t>https://teara.govt.nz/en/biographies/1s11/shortland-edward</w:t>
        </w:r>
      </w:hyperlink>
      <w:r w:rsidRPr="00CB4F47">
        <w:rPr>
          <w:rFonts w:cs="Arial"/>
          <w:color w:val="auto"/>
          <w:sz w:val="16"/>
          <w:szCs w:val="16"/>
        </w:rPr>
        <w:t>.</w:t>
      </w:r>
    </w:p>
  </w:footnote>
  <w:footnote w:id="10">
    <w:p w14:paraId="504E74F1" w14:textId="6D575EA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Shortland, E, Traditions and superstitions of the New Zealanders: With illustrations of their manners and customs (</w:t>
      </w:r>
      <w:r w:rsidR="004466BF" w:rsidRPr="00DD5764">
        <w:rPr>
          <w:rFonts w:cs="Arial"/>
          <w:color w:val="auto"/>
          <w:sz w:val="16"/>
          <w:szCs w:val="16"/>
        </w:rPr>
        <w:t>Longman, Brown, Green, Longman and Roberts,</w:t>
      </w:r>
      <w:r w:rsidR="00C12151">
        <w:rPr>
          <w:rFonts w:cs="Arial"/>
          <w:color w:val="auto"/>
          <w:sz w:val="16"/>
          <w:szCs w:val="16"/>
        </w:rPr>
        <w:t xml:space="preserve"> </w:t>
      </w:r>
      <w:r w:rsidRPr="00CB4F47">
        <w:rPr>
          <w:rFonts w:cs="Arial"/>
          <w:color w:val="auto"/>
          <w:sz w:val="16"/>
          <w:szCs w:val="16"/>
        </w:rPr>
        <w:t>1856</w:t>
      </w:r>
      <w:r w:rsidR="00A671DF" w:rsidRPr="00CB4F47">
        <w:rPr>
          <w:rFonts w:cs="Arial"/>
          <w:color w:val="auto"/>
          <w:sz w:val="16"/>
          <w:szCs w:val="16"/>
        </w:rPr>
        <w:t>,</w:t>
      </w:r>
      <w:r w:rsidRPr="00CB4F47">
        <w:rPr>
          <w:rFonts w:cs="Arial"/>
          <w:color w:val="auto"/>
          <w:sz w:val="16"/>
          <w:szCs w:val="16"/>
        </w:rPr>
        <w:t xml:space="preserve"> page 156</w:t>
      </w:r>
      <w:r w:rsidR="00EA1B39">
        <w:rPr>
          <w:rFonts w:cs="Arial"/>
          <w:color w:val="auto"/>
          <w:sz w:val="16"/>
          <w:szCs w:val="16"/>
        </w:rPr>
        <w:t>)</w:t>
      </w:r>
      <w:r w:rsidRPr="00CB4F47">
        <w:rPr>
          <w:rFonts w:cs="Arial"/>
          <w:color w:val="auto"/>
          <w:sz w:val="16"/>
          <w:szCs w:val="16"/>
        </w:rPr>
        <w:t>.</w:t>
      </w:r>
    </w:p>
  </w:footnote>
  <w:footnote w:id="11">
    <w:p w14:paraId="6CE921AE" w14:textId="14972A2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Shortland, E, Traditions and superstitions of the New Zealanders: With illustrations of their manners and customs (</w:t>
      </w:r>
      <w:r w:rsidR="004466BF" w:rsidRPr="001C0589">
        <w:rPr>
          <w:rFonts w:cs="Arial"/>
          <w:color w:val="auto"/>
          <w:sz w:val="16"/>
          <w:szCs w:val="16"/>
        </w:rPr>
        <w:t>Longman, Brown, Green, Longman and Roberts,</w:t>
      </w:r>
      <w:r w:rsidR="004466BF">
        <w:rPr>
          <w:rFonts w:cs="Arial"/>
          <w:color w:val="auto"/>
          <w:sz w:val="16"/>
          <w:szCs w:val="16"/>
        </w:rPr>
        <w:t xml:space="preserve"> </w:t>
      </w:r>
      <w:r w:rsidRPr="00CB4F47">
        <w:rPr>
          <w:rFonts w:cs="Arial"/>
          <w:color w:val="auto"/>
          <w:sz w:val="16"/>
          <w:szCs w:val="16"/>
        </w:rPr>
        <w:t>1856</w:t>
      </w:r>
      <w:r w:rsidR="00A671DF" w:rsidRPr="00CB4F47">
        <w:rPr>
          <w:rFonts w:cs="Arial"/>
          <w:color w:val="auto"/>
          <w:sz w:val="16"/>
          <w:szCs w:val="16"/>
        </w:rPr>
        <w:t>,</w:t>
      </w:r>
      <w:r w:rsidRPr="00CB4F47">
        <w:rPr>
          <w:rFonts w:cs="Arial"/>
          <w:color w:val="auto"/>
          <w:sz w:val="16"/>
          <w:szCs w:val="16"/>
        </w:rPr>
        <w:t xml:space="preserve"> page 156</w:t>
      </w:r>
      <w:r w:rsidR="00EA1B39">
        <w:rPr>
          <w:rFonts w:cs="Arial"/>
          <w:color w:val="auto"/>
          <w:sz w:val="16"/>
          <w:szCs w:val="16"/>
        </w:rPr>
        <w:t>)</w:t>
      </w:r>
      <w:r w:rsidRPr="00CB4F47">
        <w:rPr>
          <w:rFonts w:cs="Arial"/>
          <w:color w:val="auto"/>
          <w:sz w:val="16"/>
          <w:szCs w:val="16"/>
        </w:rPr>
        <w:t>.</w:t>
      </w:r>
    </w:p>
  </w:footnote>
  <w:footnote w:id="12">
    <w:p w14:paraId="1C06D04C" w14:textId="4B0A6DC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Durie, M, Whaiora: Māori Health Development </w:t>
      </w:r>
      <w:r w:rsidR="00751B96">
        <w:rPr>
          <w:rFonts w:cs="Arial"/>
          <w:color w:val="auto"/>
          <w:sz w:val="16"/>
          <w:szCs w:val="16"/>
        </w:rPr>
        <w:t>(</w:t>
      </w:r>
      <w:r w:rsidRPr="00CB4F47">
        <w:rPr>
          <w:rFonts w:cs="Arial"/>
          <w:color w:val="auto"/>
          <w:sz w:val="16"/>
          <w:szCs w:val="16"/>
        </w:rPr>
        <w:t>2</w:t>
      </w:r>
      <w:r w:rsidRPr="00DD5764">
        <w:rPr>
          <w:rFonts w:cs="Arial"/>
          <w:color w:val="auto"/>
          <w:sz w:val="16"/>
          <w:szCs w:val="16"/>
          <w:vertAlign w:val="superscript"/>
        </w:rPr>
        <w:t>nd</w:t>
      </w:r>
      <w:r w:rsidRPr="00CB4F47">
        <w:rPr>
          <w:rFonts w:cs="Arial"/>
          <w:color w:val="auto"/>
          <w:sz w:val="16"/>
          <w:szCs w:val="16"/>
        </w:rPr>
        <w:t xml:space="preserve"> ed</w:t>
      </w:r>
      <w:r w:rsidR="00751B96">
        <w:rPr>
          <w:rFonts w:cs="Arial"/>
          <w:color w:val="auto"/>
          <w:sz w:val="16"/>
          <w:szCs w:val="16"/>
        </w:rPr>
        <w:t>ition</w:t>
      </w:r>
      <w:r w:rsidR="002B4FBE">
        <w:rPr>
          <w:rFonts w:cs="Arial"/>
          <w:color w:val="auto"/>
          <w:sz w:val="16"/>
          <w:szCs w:val="16"/>
        </w:rPr>
        <w:t>,</w:t>
      </w:r>
      <w:r w:rsidRPr="00CB4F47" w:rsidDel="002B4FBE">
        <w:rPr>
          <w:rFonts w:cs="Arial"/>
          <w:color w:val="auto"/>
          <w:sz w:val="16"/>
          <w:szCs w:val="16"/>
        </w:rPr>
        <w:t xml:space="preserve"> </w:t>
      </w:r>
      <w:r w:rsidRPr="00CB4F47">
        <w:rPr>
          <w:rFonts w:cs="Arial"/>
          <w:color w:val="auto"/>
          <w:sz w:val="16"/>
          <w:szCs w:val="16"/>
        </w:rPr>
        <w:t>Oxford University Press, 1998</w:t>
      </w:r>
      <w:r w:rsidR="00A671DF" w:rsidRPr="00CB4F47">
        <w:rPr>
          <w:rFonts w:cs="Arial"/>
          <w:color w:val="auto"/>
          <w:sz w:val="16"/>
          <w:szCs w:val="16"/>
        </w:rPr>
        <w:t xml:space="preserve">, </w:t>
      </w:r>
      <w:r w:rsidR="00C32E74" w:rsidRPr="00CB4F47">
        <w:rPr>
          <w:rFonts w:cs="Arial"/>
          <w:color w:val="auto"/>
          <w:sz w:val="16"/>
          <w:szCs w:val="16"/>
        </w:rPr>
        <w:t>p</w:t>
      </w:r>
      <w:r w:rsidR="00316961" w:rsidRPr="00CB4F47">
        <w:rPr>
          <w:rFonts w:cs="Arial"/>
          <w:color w:val="auto"/>
          <w:sz w:val="16"/>
          <w:szCs w:val="16"/>
        </w:rPr>
        <w:t>age</w:t>
      </w:r>
      <w:r w:rsidRPr="00CB4F47">
        <w:rPr>
          <w:rFonts w:cs="Arial"/>
          <w:color w:val="auto"/>
          <w:sz w:val="16"/>
          <w:szCs w:val="16"/>
        </w:rPr>
        <w:t xml:space="preserve"> 7</w:t>
      </w:r>
      <w:r w:rsidR="00A671DF">
        <w:rPr>
          <w:rFonts w:cs="Arial"/>
          <w:color w:val="auto"/>
          <w:sz w:val="16"/>
          <w:szCs w:val="16"/>
        </w:rPr>
        <w:t>)</w:t>
      </w:r>
      <w:r w:rsidR="00A671DF" w:rsidRPr="00CB4F47">
        <w:rPr>
          <w:rFonts w:cs="Arial"/>
          <w:color w:val="auto"/>
          <w:sz w:val="16"/>
          <w:szCs w:val="16"/>
        </w:rPr>
        <w:t>,</w:t>
      </w:r>
      <w:r w:rsidRPr="00CB4F47" w:rsidDel="002B4FBE">
        <w:rPr>
          <w:rFonts w:cs="Arial"/>
          <w:color w:val="auto"/>
          <w:sz w:val="16"/>
          <w:szCs w:val="16"/>
        </w:rPr>
        <w:t xml:space="preserve"> </w:t>
      </w:r>
      <w:r w:rsidRPr="00CB4F47">
        <w:rPr>
          <w:rFonts w:cs="Arial"/>
          <w:color w:val="auto"/>
          <w:sz w:val="16"/>
          <w:szCs w:val="16"/>
        </w:rPr>
        <w:t>in Waitangi Tribunal, Ko Aotearoa tēnei: A report into claims concerning New Zealand law and policy affecting Māori culture and identity, Te taumata tuarua: Volume 2 (2011</w:t>
      </w:r>
      <w:r w:rsidR="00A671DF" w:rsidRPr="00CB4F47">
        <w:rPr>
          <w:rFonts w:cs="Arial"/>
          <w:color w:val="auto"/>
          <w:sz w:val="16"/>
          <w:szCs w:val="16"/>
        </w:rPr>
        <w:t>,</w:t>
      </w:r>
      <w:r w:rsidRPr="00CB4F47">
        <w:rPr>
          <w:rFonts w:cs="Arial"/>
          <w:color w:val="auto"/>
          <w:sz w:val="16"/>
          <w:szCs w:val="16"/>
        </w:rPr>
        <w:t xml:space="preserve"> page 602</w:t>
      </w:r>
      <w:r w:rsidR="00EA1B39">
        <w:rPr>
          <w:rFonts w:cs="Arial"/>
          <w:color w:val="auto"/>
          <w:sz w:val="16"/>
          <w:szCs w:val="16"/>
        </w:rPr>
        <w:t>)</w:t>
      </w:r>
      <w:r w:rsidRPr="00CB4F47">
        <w:rPr>
          <w:rFonts w:cs="Arial"/>
          <w:color w:val="auto"/>
          <w:sz w:val="16"/>
          <w:szCs w:val="16"/>
        </w:rPr>
        <w:t>.</w:t>
      </w:r>
    </w:p>
  </w:footnote>
  <w:footnote w:id="13">
    <w:p w14:paraId="42514411" w14:textId="61CB61EA" w:rsidR="000E429D" w:rsidRPr="00CB4F47" w:rsidRDefault="000E429D" w:rsidP="002F3A8B">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Kaiwai, H &amp; Allport, T, Māori with disabilities (Part two): Report commissioned by the Waitangi Tribunal for the Health Services and Outcomes Inquiry (Wai 2575), (2019</w:t>
      </w:r>
      <w:r w:rsidR="00A671DF" w:rsidRPr="00CB4F47">
        <w:rPr>
          <w:rFonts w:cs="Arial"/>
          <w:color w:val="auto"/>
          <w:sz w:val="16"/>
          <w:szCs w:val="16"/>
        </w:rPr>
        <w:t>,</w:t>
      </w:r>
      <w:r w:rsidRPr="00CB4F47">
        <w:rPr>
          <w:rFonts w:cs="Arial"/>
          <w:color w:val="auto"/>
          <w:sz w:val="16"/>
          <w:szCs w:val="16"/>
        </w:rPr>
        <w:t xml:space="preserve"> pages 17–18</w:t>
      </w:r>
      <w:r w:rsidR="00450F21">
        <w:rPr>
          <w:rFonts w:cs="Arial"/>
          <w:color w:val="auto"/>
          <w:sz w:val="16"/>
          <w:szCs w:val="16"/>
        </w:rPr>
        <w:t>)</w:t>
      </w:r>
      <w:r w:rsidRPr="00CB4F47">
        <w:rPr>
          <w:rFonts w:cs="Arial"/>
          <w:color w:val="auto"/>
          <w:sz w:val="16"/>
          <w:szCs w:val="16"/>
        </w:rPr>
        <w:t>.</w:t>
      </w:r>
    </w:p>
  </w:footnote>
  <w:footnote w:id="14">
    <w:p w14:paraId="42AD0A35" w14:textId="205E170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Tikao, K, Higgins, N, Phillips, H &amp; Cowan, C, “Kāpo (blind) Māori in the ancient world</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MAI Review, 2(4)</w:t>
      </w:r>
      <w:r w:rsidR="00D959E6">
        <w:rPr>
          <w:rFonts w:cs="Arial"/>
          <w:color w:val="auto"/>
          <w:sz w:val="16"/>
          <w:szCs w:val="16"/>
        </w:rPr>
        <w:t>,</w:t>
      </w:r>
      <w:r w:rsidRPr="00CB4F47">
        <w:rPr>
          <w:rFonts w:cs="Arial"/>
          <w:color w:val="auto"/>
          <w:sz w:val="16"/>
          <w:szCs w:val="16"/>
        </w:rPr>
        <w:t xml:space="preserve"> (2009</w:t>
      </w:r>
      <w:r w:rsidR="00A671DF" w:rsidRPr="00CB4F47">
        <w:rPr>
          <w:rFonts w:cs="Arial"/>
          <w:color w:val="auto"/>
          <w:sz w:val="16"/>
          <w:szCs w:val="16"/>
        </w:rPr>
        <w:t>,</w:t>
      </w:r>
      <w:r w:rsidRPr="00CB4F47">
        <w:rPr>
          <w:rFonts w:cs="Arial"/>
          <w:color w:val="auto"/>
          <w:sz w:val="16"/>
          <w:szCs w:val="16"/>
        </w:rPr>
        <w:t xml:space="preserve"> page 11</w:t>
      </w:r>
      <w:r w:rsidR="00450F21">
        <w:rPr>
          <w:rFonts w:cs="Arial"/>
          <w:color w:val="auto"/>
          <w:sz w:val="16"/>
          <w:szCs w:val="16"/>
        </w:rPr>
        <w:t>)</w:t>
      </w:r>
      <w:r w:rsidRPr="00CB4F47">
        <w:rPr>
          <w:rFonts w:cs="Arial"/>
          <w:color w:val="auto"/>
          <w:sz w:val="16"/>
          <w:szCs w:val="16"/>
        </w:rPr>
        <w:t>.</w:t>
      </w:r>
    </w:p>
  </w:footnote>
  <w:footnote w:id="15">
    <w:p w14:paraId="5159D34E" w14:textId="500BB949" w:rsidR="000E429D" w:rsidRPr="00CB4F47" w:rsidRDefault="000E429D" w:rsidP="00C57877">
      <w:pPr>
        <w:pStyle w:val="NoSpacing"/>
        <w:spacing w:line="20" w:lineRule="atLeast"/>
        <w:rPr>
          <w:rFonts w:ascii="Arial" w:hAnsi="Arial" w:cs="Arial"/>
          <w:color w:val="auto"/>
          <w:sz w:val="16"/>
          <w:szCs w:val="16"/>
        </w:rPr>
      </w:pPr>
      <w:r w:rsidRPr="00536E67">
        <w:rPr>
          <w:rStyle w:val="StyleFootnoteReferenceFagoFunotenzeichenFagoFunotenzeichen"/>
          <w:sz w:val="16"/>
          <w:szCs w:val="16"/>
        </w:rPr>
        <w:footnoteRef/>
      </w:r>
      <w:r w:rsidRPr="00CB4F47">
        <w:rPr>
          <w:rFonts w:ascii="Arial" w:hAnsi="Arial" w:cs="Arial"/>
          <w:color w:val="auto"/>
          <w:sz w:val="16"/>
          <w:szCs w:val="16"/>
        </w:rPr>
        <w:t xml:space="preserve"> </w:t>
      </w:r>
      <w:r w:rsidRPr="00CB4F47">
        <w:rPr>
          <w:rFonts w:ascii="Arial" w:eastAsia="Arial" w:hAnsi="Arial" w:cs="Arial"/>
          <w:color w:val="auto"/>
          <w:sz w:val="16"/>
          <w:szCs w:val="16"/>
        </w:rPr>
        <w:t xml:space="preserve">Smiler, K &amp; McKee, </w:t>
      </w:r>
      <w:r w:rsidR="00A671DF" w:rsidRPr="00CB4F47">
        <w:rPr>
          <w:rFonts w:ascii="Arial" w:eastAsia="Arial" w:hAnsi="Arial" w:cs="Arial"/>
          <w:color w:val="auto"/>
          <w:sz w:val="16"/>
          <w:szCs w:val="16"/>
        </w:rPr>
        <w:t>RL</w:t>
      </w:r>
      <w:r w:rsidRPr="00CB4F47">
        <w:rPr>
          <w:rFonts w:ascii="Arial" w:eastAsia="Arial" w:hAnsi="Arial" w:cs="Arial"/>
          <w:color w:val="auto"/>
          <w:sz w:val="16"/>
          <w:szCs w:val="16"/>
        </w:rPr>
        <w:t>, “Perceptio of Māori deaf identity in New Zealand</w:t>
      </w:r>
      <w:r w:rsidR="00A671DF">
        <w:rPr>
          <w:rFonts w:ascii="Arial" w:eastAsia="Arial" w:hAnsi="Arial" w:cs="Arial"/>
          <w:color w:val="auto"/>
          <w:sz w:val="16"/>
          <w:szCs w:val="16"/>
        </w:rPr>
        <w:t>,</w:t>
      </w:r>
      <w:r w:rsidR="00A671DF" w:rsidRPr="00CB4F47">
        <w:rPr>
          <w:rFonts w:ascii="Arial" w:eastAsia="Arial" w:hAnsi="Arial" w:cs="Arial"/>
          <w:color w:val="auto"/>
          <w:sz w:val="16"/>
          <w:szCs w:val="16"/>
        </w:rPr>
        <w:t>”</w:t>
      </w:r>
      <w:r w:rsidRPr="00CB4F47">
        <w:rPr>
          <w:rFonts w:ascii="Arial" w:eastAsia="Arial" w:hAnsi="Arial" w:cs="Arial"/>
          <w:color w:val="auto"/>
          <w:sz w:val="16"/>
          <w:szCs w:val="16"/>
        </w:rPr>
        <w:t xml:space="preserve"> </w:t>
      </w:r>
      <w:r w:rsidR="00205F1F" w:rsidRPr="00CB4F47">
        <w:rPr>
          <w:rFonts w:ascii="Arial" w:eastAsia="Arial" w:hAnsi="Arial" w:cs="Arial"/>
          <w:color w:val="auto"/>
          <w:sz w:val="16"/>
          <w:szCs w:val="16"/>
        </w:rPr>
        <w:t>J</w:t>
      </w:r>
      <w:r w:rsidRPr="00CB4F47">
        <w:rPr>
          <w:rFonts w:ascii="Arial" w:eastAsia="Arial" w:hAnsi="Arial" w:cs="Arial"/>
          <w:color w:val="auto"/>
          <w:sz w:val="16"/>
          <w:szCs w:val="16"/>
        </w:rPr>
        <w:t>ournal of Deaf Studies and Deaf Education, 12(1) (2007</w:t>
      </w:r>
      <w:r w:rsidR="00A671DF" w:rsidRPr="00CB4F47">
        <w:rPr>
          <w:rFonts w:ascii="Arial" w:eastAsia="Arial" w:hAnsi="Arial" w:cs="Arial"/>
          <w:color w:val="auto"/>
          <w:sz w:val="16"/>
          <w:szCs w:val="16"/>
        </w:rPr>
        <w:t>,</w:t>
      </w:r>
      <w:r w:rsidRPr="00CB4F47">
        <w:rPr>
          <w:rFonts w:ascii="Arial" w:eastAsia="Arial" w:hAnsi="Arial" w:cs="Arial"/>
          <w:color w:val="auto"/>
          <w:sz w:val="16"/>
          <w:szCs w:val="16"/>
        </w:rPr>
        <w:t xml:space="preserve"> </w:t>
      </w:r>
      <w:r w:rsidRPr="00CB4F47">
        <w:rPr>
          <w:rFonts w:ascii="Arial" w:hAnsi="Arial" w:cs="Arial"/>
          <w:color w:val="auto"/>
          <w:sz w:val="16"/>
          <w:szCs w:val="16"/>
        </w:rPr>
        <w:t>page</w:t>
      </w:r>
      <w:r w:rsidRPr="00CB4F47">
        <w:rPr>
          <w:rFonts w:ascii="Arial" w:eastAsia="Arial" w:hAnsi="Arial" w:cs="Arial"/>
          <w:color w:val="auto"/>
          <w:sz w:val="16"/>
          <w:szCs w:val="16"/>
        </w:rPr>
        <w:t xml:space="preserve"> 94</w:t>
      </w:r>
      <w:r w:rsidR="00450F21">
        <w:rPr>
          <w:rFonts w:ascii="Arial" w:eastAsia="Arial" w:hAnsi="Arial" w:cs="Arial"/>
          <w:color w:val="auto"/>
          <w:sz w:val="16"/>
          <w:szCs w:val="16"/>
        </w:rPr>
        <w:t>)</w:t>
      </w:r>
      <w:r w:rsidRPr="00CB4F47">
        <w:rPr>
          <w:rFonts w:ascii="Arial" w:eastAsia="Arial" w:hAnsi="Arial" w:cs="Arial"/>
          <w:color w:val="auto"/>
          <w:sz w:val="16"/>
          <w:szCs w:val="16"/>
        </w:rPr>
        <w:t>.</w:t>
      </w:r>
    </w:p>
  </w:footnote>
  <w:footnote w:id="16">
    <w:p w14:paraId="638B2E9B" w14:textId="2F984379" w:rsidR="000E429D" w:rsidRPr="00CB4F47" w:rsidRDefault="000E429D" w:rsidP="00C57877">
      <w:pPr>
        <w:pStyle w:val="NoSpacing"/>
        <w:spacing w:line="20" w:lineRule="atLeast"/>
        <w:rPr>
          <w:rFonts w:ascii="Arial" w:hAnsi="Arial" w:cs="Arial"/>
          <w:color w:val="auto"/>
          <w:sz w:val="16"/>
          <w:szCs w:val="16"/>
        </w:rPr>
      </w:pPr>
      <w:r w:rsidRPr="00536E67">
        <w:rPr>
          <w:rStyle w:val="StyleFootnoteReferenceFagoFunotenzeichenFagoFunotenzeichen"/>
          <w:sz w:val="16"/>
          <w:szCs w:val="16"/>
        </w:rPr>
        <w:footnoteRef/>
      </w:r>
      <w:r w:rsidRPr="00CB4F47">
        <w:rPr>
          <w:rFonts w:ascii="Arial" w:hAnsi="Arial" w:cs="Arial"/>
          <w:color w:val="auto"/>
          <w:sz w:val="16"/>
          <w:szCs w:val="16"/>
        </w:rPr>
        <w:t xml:space="preserve"> Kaiwai, H &amp; Allport, T, Māori with disabilities (Part two): Report commissioned by the Waitangi Tribunal for the Health Services and Outcomes Inquiry (Wai 2575)</w:t>
      </w:r>
      <w:r w:rsidR="0082167D">
        <w:rPr>
          <w:rFonts w:ascii="Arial" w:hAnsi="Arial" w:cs="Arial"/>
          <w:color w:val="auto"/>
          <w:sz w:val="16"/>
          <w:szCs w:val="16"/>
        </w:rPr>
        <w:t>,</w:t>
      </w:r>
      <w:r w:rsidRPr="00CB4F47">
        <w:rPr>
          <w:rFonts w:ascii="Arial" w:hAnsi="Arial" w:cs="Arial"/>
          <w:color w:val="auto"/>
          <w:sz w:val="16"/>
          <w:szCs w:val="16"/>
        </w:rPr>
        <w:t xml:space="preserve"> (2019</w:t>
      </w:r>
      <w:r w:rsidR="00A671DF" w:rsidRPr="00CB4F47">
        <w:rPr>
          <w:rFonts w:ascii="Arial" w:hAnsi="Arial" w:cs="Arial"/>
          <w:color w:val="auto"/>
          <w:sz w:val="16"/>
          <w:szCs w:val="16"/>
        </w:rPr>
        <w:t>,</w:t>
      </w:r>
      <w:r w:rsidRPr="00CB4F47">
        <w:rPr>
          <w:rFonts w:ascii="Arial" w:hAnsi="Arial" w:cs="Arial"/>
          <w:color w:val="auto"/>
          <w:sz w:val="16"/>
          <w:szCs w:val="16"/>
        </w:rPr>
        <w:t xml:space="preserve"> page 18</w:t>
      </w:r>
      <w:r w:rsidR="00450F21">
        <w:rPr>
          <w:rFonts w:ascii="Arial" w:hAnsi="Arial" w:cs="Arial"/>
          <w:color w:val="auto"/>
          <w:sz w:val="16"/>
          <w:szCs w:val="16"/>
        </w:rPr>
        <w:t>)</w:t>
      </w:r>
      <w:r w:rsidRPr="00CB4F47">
        <w:rPr>
          <w:rFonts w:ascii="Arial" w:hAnsi="Arial" w:cs="Arial"/>
          <w:color w:val="auto"/>
          <w:sz w:val="16"/>
          <w:szCs w:val="16"/>
        </w:rPr>
        <w:t>.</w:t>
      </w:r>
    </w:p>
  </w:footnote>
  <w:footnote w:id="17">
    <w:p w14:paraId="2C02BB56" w14:textId="00A1DE7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Kerekere, E, Part of the Whānau: The emergence of takatāpui identity – He Whāriki Takatāpui</w:t>
      </w:r>
      <w:r w:rsidR="00715B81">
        <w:rPr>
          <w:rFonts w:cs="Arial"/>
          <w:color w:val="auto"/>
          <w:sz w:val="16"/>
          <w:szCs w:val="16"/>
        </w:rPr>
        <w:t xml:space="preserve">, Doctoral </w:t>
      </w:r>
      <w:r w:rsidRPr="00CB4F47">
        <w:rPr>
          <w:rFonts w:cs="Arial"/>
          <w:color w:val="auto"/>
          <w:sz w:val="16"/>
          <w:szCs w:val="16"/>
        </w:rPr>
        <w:t>Thesis</w:t>
      </w:r>
      <w:r w:rsidR="00A671DF" w:rsidRPr="00CB4F47">
        <w:rPr>
          <w:rFonts w:cs="Arial"/>
          <w:color w:val="auto"/>
          <w:sz w:val="16"/>
          <w:szCs w:val="16"/>
        </w:rPr>
        <w:t xml:space="preserve">, </w:t>
      </w:r>
      <w:r w:rsidRPr="00CB4F47">
        <w:rPr>
          <w:rFonts w:cs="Arial"/>
          <w:color w:val="auto"/>
          <w:sz w:val="16"/>
          <w:szCs w:val="16"/>
        </w:rPr>
        <w:t>Victoria University of Wellington</w:t>
      </w:r>
      <w:r w:rsidR="00BC59D0">
        <w:rPr>
          <w:rFonts w:cs="Arial"/>
          <w:color w:val="auto"/>
          <w:sz w:val="16"/>
          <w:szCs w:val="16"/>
        </w:rPr>
        <w:t xml:space="preserve"> </w:t>
      </w:r>
      <w:r w:rsidR="00A671DF">
        <w:rPr>
          <w:rFonts w:cs="Arial"/>
          <w:color w:val="auto"/>
          <w:sz w:val="16"/>
          <w:szCs w:val="16"/>
        </w:rPr>
        <w:t>(</w:t>
      </w:r>
      <w:r w:rsidRPr="00CB4F47">
        <w:rPr>
          <w:rFonts w:cs="Arial"/>
          <w:color w:val="auto"/>
          <w:sz w:val="16"/>
          <w:szCs w:val="16"/>
        </w:rPr>
        <w:t>2017</w:t>
      </w:r>
      <w:r w:rsidR="00A671DF" w:rsidRPr="00CB4F47">
        <w:rPr>
          <w:rFonts w:cs="Arial"/>
          <w:color w:val="auto"/>
          <w:sz w:val="16"/>
          <w:szCs w:val="16"/>
        </w:rPr>
        <w:t>,</w:t>
      </w:r>
      <w:r w:rsidRPr="00CB4F47">
        <w:rPr>
          <w:rFonts w:cs="Arial"/>
          <w:color w:val="auto"/>
          <w:sz w:val="16"/>
          <w:szCs w:val="16"/>
        </w:rPr>
        <w:t xml:space="preserve"> pages 21 and 33</w:t>
      </w:r>
      <w:r w:rsidR="00221C59">
        <w:rPr>
          <w:rFonts w:cs="Arial"/>
          <w:color w:val="auto"/>
          <w:sz w:val="16"/>
          <w:szCs w:val="16"/>
        </w:rPr>
        <w:t>)</w:t>
      </w:r>
      <w:r w:rsidRPr="00CB4F47">
        <w:rPr>
          <w:rFonts w:cs="Arial"/>
          <w:color w:val="auto"/>
          <w:sz w:val="16"/>
          <w:szCs w:val="16"/>
        </w:rPr>
        <w:t>.</w:t>
      </w:r>
    </w:p>
  </w:footnote>
  <w:footnote w:id="18">
    <w:p w14:paraId="1E0A0138" w14:textId="7F61350C" w:rsidR="00FE5E82" w:rsidRPr="00536E67" w:rsidRDefault="00FE5E82" w:rsidP="00B2285F">
      <w:pPr>
        <w:pStyle w:val="FootnoteText"/>
        <w:spacing w:before="0" w:after="0" w:line="20" w:lineRule="atLeast"/>
        <w:rPr>
          <w:sz w:val="16"/>
          <w:szCs w:val="16"/>
        </w:rPr>
      </w:pPr>
      <w:r w:rsidRPr="00536E67">
        <w:rPr>
          <w:rStyle w:val="StyleFootnoteReferenceFagoFunotenzeichenFagoFunotenzeichen"/>
          <w:sz w:val="16"/>
          <w:szCs w:val="16"/>
        </w:rPr>
        <w:footnoteRef/>
      </w:r>
      <w:r w:rsidRPr="00536E67">
        <w:rPr>
          <w:sz w:val="16"/>
          <w:szCs w:val="16"/>
        </w:rPr>
        <w:t xml:space="preserve"> </w:t>
      </w:r>
      <w:r w:rsidRPr="00B2285F">
        <w:rPr>
          <w:sz w:val="16"/>
          <w:szCs w:val="16"/>
        </w:rPr>
        <w:t xml:space="preserve">Salmond, </w:t>
      </w:r>
      <w:r w:rsidR="00A671DF">
        <w:rPr>
          <w:sz w:val="16"/>
          <w:szCs w:val="16"/>
        </w:rPr>
        <w:t>A</w:t>
      </w:r>
      <w:r w:rsidRPr="00B2285F">
        <w:rPr>
          <w:sz w:val="16"/>
          <w:szCs w:val="16"/>
        </w:rPr>
        <w:t>, Tears of Rangi: Experiments across worlds (Auckland University Press, 2017</w:t>
      </w:r>
      <w:r w:rsidR="00A671DF" w:rsidRPr="00B2285F">
        <w:rPr>
          <w:sz w:val="16"/>
          <w:szCs w:val="16"/>
        </w:rPr>
        <w:t>,</w:t>
      </w:r>
      <w:r w:rsidRPr="00B2285F">
        <w:rPr>
          <w:sz w:val="16"/>
          <w:szCs w:val="16"/>
        </w:rPr>
        <w:t xml:space="preserve"> pages 387</w:t>
      </w:r>
      <w:r w:rsidR="00A671DF">
        <w:rPr>
          <w:sz w:val="16"/>
          <w:szCs w:val="16"/>
        </w:rPr>
        <w:t xml:space="preserve"> and</w:t>
      </w:r>
      <w:r w:rsidRPr="00B2285F">
        <w:rPr>
          <w:sz w:val="16"/>
          <w:szCs w:val="16"/>
        </w:rPr>
        <w:t xml:space="preserve"> 199</w:t>
      </w:r>
      <w:r w:rsidR="00221C59">
        <w:rPr>
          <w:sz w:val="16"/>
          <w:szCs w:val="16"/>
        </w:rPr>
        <w:t>)</w:t>
      </w:r>
      <w:r w:rsidRPr="00B2285F">
        <w:rPr>
          <w:sz w:val="16"/>
          <w:szCs w:val="16"/>
        </w:rPr>
        <w:t xml:space="preserve">.  </w:t>
      </w:r>
    </w:p>
  </w:footnote>
  <w:footnote w:id="19">
    <w:p w14:paraId="2B8D8259" w14:textId="0C91B8F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bookmarkStart w:id="63" w:name="_Hlk115267715"/>
      <w:r w:rsidRPr="00CB4F47">
        <w:rPr>
          <w:rFonts w:cs="Arial"/>
          <w:color w:val="auto"/>
          <w:sz w:val="16"/>
          <w:szCs w:val="16"/>
        </w:rPr>
        <w:t xml:space="preserve"> Schoeffel, P &amp; Meleisa, M, “Pacific Island Polynesian attitudes to child training and discipline in New Zealand: Some policy implications for Social Welfare and Education</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Social Policy Journal of New Zealand, (6)</w:t>
      </w:r>
      <w:r w:rsidR="00891710">
        <w:rPr>
          <w:rFonts w:cs="Arial"/>
          <w:color w:val="auto"/>
          <w:sz w:val="16"/>
          <w:szCs w:val="16"/>
        </w:rPr>
        <w:t>,</w:t>
      </w:r>
      <w:r w:rsidRPr="00CB4F47">
        <w:rPr>
          <w:rFonts w:cs="Arial"/>
          <w:color w:val="auto"/>
          <w:sz w:val="16"/>
          <w:szCs w:val="16"/>
        </w:rPr>
        <w:t xml:space="preserve"> (1996</w:t>
      </w:r>
      <w:r w:rsidR="00A671DF" w:rsidRPr="00CB4F47">
        <w:rPr>
          <w:rFonts w:cs="Arial"/>
          <w:color w:val="auto"/>
          <w:sz w:val="16"/>
          <w:szCs w:val="16"/>
        </w:rPr>
        <w:t>,</w:t>
      </w:r>
      <w:r w:rsidRPr="00CB4F47">
        <w:rPr>
          <w:rFonts w:cs="Arial"/>
          <w:color w:val="auto"/>
          <w:sz w:val="16"/>
          <w:szCs w:val="16"/>
        </w:rPr>
        <w:t xml:space="preserve"> page 7</w:t>
      </w:r>
      <w:r w:rsidR="00221C59">
        <w:rPr>
          <w:rFonts w:cs="Arial"/>
          <w:color w:val="auto"/>
          <w:sz w:val="16"/>
          <w:szCs w:val="16"/>
        </w:rPr>
        <w:t>)</w:t>
      </w:r>
      <w:r w:rsidRPr="00CB4F47">
        <w:rPr>
          <w:rFonts w:cs="Arial"/>
          <w:color w:val="auto"/>
          <w:sz w:val="16"/>
          <w:szCs w:val="16"/>
        </w:rPr>
        <w:t xml:space="preserve">. </w:t>
      </w:r>
      <w:bookmarkEnd w:id="63"/>
    </w:p>
  </w:footnote>
  <w:footnote w:id="20">
    <w:p w14:paraId="6ECE4A66" w14:textId="6B08B83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Schoeffel, P &amp; Meleisa, M, “Pacific Island Polynesian attitudes to child training and discipline in New Zealand: Some policy implications for Social Welfare and Education</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Social Policy Journal of New Zealand, (6)</w:t>
      </w:r>
      <w:r w:rsidR="00891710">
        <w:rPr>
          <w:rFonts w:cs="Arial"/>
          <w:color w:val="auto"/>
          <w:sz w:val="16"/>
          <w:szCs w:val="16"/>
        </w:rPr>
        <w:t>,</w:t>
      </w:r>
      <w:r w:rsidRPr="00CB4F47">
        <w:rPr>
          <w:rFonts w:cs="Arial"/>
          <w:color w:val="auto"/>
          <w:sz w:val="16"/>
          <w:szCs w:val="16"/>
        </w:rPr>
        <w:t xml:space="preserve"> (1996</w:t>
      </w:r>
      <w:r w:rsidR="00A671DF" w:rsidRPr="00CB4F47">
        <w:rPr>
          <w:rFonts w:cs="Arial"/>
          <w:color w:val="auto"/>
          <w:sz w:val="16"/>
          <w:szCs w:val="16"/>
        </w:rPr>
        <w:t>,</w:t>
      </w:r>
      <w:r w:rsidRPr="00CB4F47">
        <w:rPr>
          <w:rFonts w:cs="Arial"/>
          <w:color w:val="auto"/>
          <w:sz w:val="16"/>
          <w:szCs w:val="16"/>
        </w:rPr>
        <w:t xml:space="preserve"> page 8</w:t>
      </w:r>
      <w:r w:rsidR="00221C59">
        <w:rPr>
          <w:rFonts w:cs="Arial"/>
          <w:color w:val="auto"/>
          <w:sz w:val="16"/>
          <w:szCs w:val="16"/>
        </w:rPr>
        <w:t>)</w:t>
      </w:r>
      <w:r w:rsidRPr="00CB4F47">
        <w:rPr>
          <w:rFonts w:cs="Arial"/>
          <w:color w:val="auto"/>
          <w:sz w:val="16"/>
          <w:szCs w:val="16"/>
        </w:rPr>
        <w:t>.</w:t>
      </w:r>
    </w:p>
  </w:footnote>
  <w:footnote w:id="21">
    <w:p w14:paraId="7B09227D" w14:textId="580C5923"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Schoeffel, P &amp; Meleisa, M, “Pacific Island Polynesian attitudes to child training and discipline in New Zealand: Some policy implications for Social Welfare and Education</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Social Policy Journal of New Zealand, (6)</w:t>
      </w:r>
      <w:r w:rsidR="00891710">
        <w:rPr>
          <w:rFonts w:cs="Arial"/>
          <w:color w:val="auto"/>
          <w:sz w:val="16"/>
          <w:szCs w:val="16"/>
        </w:rPr>
        <w:t>,</w:t>
      </w:r>
      <w:r w:rsidRPr="00CB4F47">
        <w:rPr>
          <w:rFonts w:cs="Arial"/>
          <w:color w:val="auto"/>
          <w:sz w:val="16"/>
          <w:szCs w:val="16"/>
        </w:rPr>
        <w:t xml:space="preserve"> (1996</w:t>
      </w:r>
      <w:r w:rsidR="00A671DF" w:rsidRPr="00CB4F47">
        <w:rPr>
          <w:rFonts w:cs="Arial"/>
          <w:color w:val="auto"/>
          <w:sz w:val="16"/>
          <w:szCs w:val="16"/>
        </w:rPr>
        <w:t>,</w:t>
      </w:r>
      <w:r w:rsidRPr="00CB4F47">
        <w:rPr>
          <w:rFonts w:cs="Arial"/>
          <w:color w:val="auto"/>
          <w:sz w:val="16"/>
          <w:szCs w:val="16"/>
        </w:rPr>
        <w:t xml:space="preserve"> page 7</w:t>
      </w:r>
      <w:r w:rsidR="00844A49">
        <w:rPr>
          <w:rFonts w:cs="Arial"/>
          <w:color w:val="auto"/>
          <w:sz w:val="16"/>
          <w:szCs w:val="16"/>
        </w:rPr>
        <w:t>)</w:t>
      </w:r>
      <w:r w:rsidRPr="00CB4F47">
        <w:rPr>
          <w:rFonts w:cs="Arial"/>
          <w:color w:val="auto"/>
          <w:sz w:val="16"/>
          <w:szCs w:val="16"/>
        </w:rPr>
        <w:t>.</w:t>
      </w:r>
    </w:p>
  </w:footnote>
  <w:footnote w:id="22">
    <w:p w14:paraId="287D03EE" w14:textId="023514D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Witness statement of Folasāitu Dr Apaula Ioane </w:t>
      </w:r>
      <w:r w:rsidR="00844A49">
        <w:rPr>
          <w:rFonts w:cs="Arial"/>
          <w:color w:val="auto"/>
          <w:sz w:val="16"/>
          <w:szCs w:val="16"/>
        </w:rPr>
        <w:t>(</w:t>
      </w:r>
      <w:r w:rsidRPr="00CB4F47">
        <w:rPr>
          <w:rFonts w:cs="Arial"/>
          <w:color w:val="auto"/>
          <w:sz w:val="16"/>
          <w:szCs w:val="16"/>
        </w:rPr>
        <w:t>21 July 2021, page 10</w:t>
      </w:r>
      <w:r w:rsidR="00844A49">
        <w:rPr>
          <w:rFonts w:cs="Arial"/>
          <w:color w:val="auto"/>
          <w:sz w:val="16"/>
          <w:szCs w:val="16"/>
        </w:rPr>
        <w:t>)</w:t>
      </w:r>
      <w:r w:rsidRPr="00CB4F47">
        <w:rPr>
          <w:rFonts w:cs="Arial"/>
          <w:color w:val="auto"/>
          <w:sz w:val="16"/>
          <w:szCs w:val="16"/>
        </w:rPr>
        <w:t>.</w:t>
      </w:r>
    </w:p>
  </w:footnote>
  <w:footnote w:id="23">
    <w:p w14:paraId="08B25233" w14:textId="4801C2DE" w:rsidR="000E429D" w:rsidRPr="00CB4F47" w:rsidRDefault="000E429D" w:rsidP="00C57877">
      <w:pPr>
        <w:pStyle w:val="Paranumbers"/>
        <w:numPr>
          <w:ilvl w:val="0"/>
          <w:numId w:val="0"/>
        </w:numPr>
        <w:spacing w:before="0" w:line="20" w:lineRule="atLeast"/>
        <w:rPr>
          <w:rFonts w:ascii="Arial" w:hAnsi="Arial" w:cs="Arial"/>
          <w:sz w:val="16"/>
          <w:szCs w:val="16"/>
        </w:rPr>
      </w:pPr>
      <w:r w:rsidRPr="00536E67">
        <w:rPr>
          <w:rStyle w:val="StyleFootnoteReferenceFagoFunotenzeichenFagoFunotenzeichen"/>
          <w:sz w:val="16"/>
          <w:szCs w:val="16"/>
        </w:rPr>
        <w:footnoteRef/>
      </w:r>
      <w:r w:rsidRPr="00CB4F47">
        <w:rPr>
          <w:rFonts w:ascii="Arial" w:hAnsi="Arial" w:cs="Arial"/>
          <w:sz w:val="16"/>
          <w:szCs w:val="16"/>
        </w:rPr>
        <w:t xml:space="preserve"> Suaalii-Sauni, T, Wheeler, A, Etuate, S, Robinson, G, Agnew, F, Warren, H, Erick, M &amp; Hingano, T, “Exploration of Pacific perspectives of Pacific models of mental health service delivery in New Zealand</w:t>
      </w:r>
      <w:r w:rsidR="00367549">
        <w:rPr>
          <w:rFonts w:ascii="Arial" w:hAnsi="Arial" w:cs="Arial"/>
          <w:sz w:val="16"/>
          <w:szCs w:val="16"/>
        </w:rPr>
        <w:t>,</w:t>
      </w:r>
      <w:r w:rsidR="00A671DF" w:rsidRPr="00CB4F47">
        <w:rPr>
          <w:rFonts w:ascii="Arial" w:hAnsi="Arial" w:cs="Arial"/>
          <w:sz w:val="16"/>
          <w:szCs w:val="16"/>
        </w:rPr>
        <w:t>”</w:t>
      </w:r>
      <w:r w:rsidRPr="00CB4F47">
        <w:rPr>
          <w:rFonts w:ascii="Arial" w:hAnsi="Arial" w:cs="Arial"/>
          <w:sz w:val="16"/>
          <w:szCs w:val="16"/>
        </w:rPr>
        <w:t xml:space="preserve"> Pacific Health Dialog</w:t>
      </w:r>
      <w:r w:rsidR="00367549">
        <w:rPr>
          <w:rFonts w:ascii="Arial" w:hAnsi="Arial" w:cs="Arial"/>
          <w:sz w:val="16"/>
          <w:szCs w:val="16"/>
        </w:rPr>
        <w:t>,</w:t>
      </w:r>
      <w:r w:rsidRPr="00CB4F47">
        <w:rPr>
          <w:rFonts w:ascii="Arial" w:hAnsi="Arial" w:cs="Arial"/>
          <w:sz w:val="16"/>
          <w:szCs w:val="16"/>
        </w:rPr>
        <w:t xml:space="preserve"> 15(1</w:t>
      </w:r>
      <w:r w:rsidR="00A671DF" w:rsidRPr="00CB4F47">
        <w:rPr>
          <w:rFonts w:ascii="Arial" w:hAnsi="Arial" w:cs="Arial"/>
          <w:sz w:val="16"/>
          <w:szCs w:val="16"/>
        </w:rPr>
        <w:t>)</w:t>
      </w:r>
      <w:r w:rsidR="00891710">
        <w:rPr>
          <w:rFonts w:ascii="Arial" w:hAnsi="Arial" w:cs="Arial"/>
          <w:sz w:val="16"/>
          <w:szCs w:val="16"/>
        </w:rPr>
        <w:t>,</w:t>
      </w:r>
      <w:r w:rsidRPr="00CB4F47">
        <w:rPr>
          <w:rFonts w:ascii="Arial" w:hAnsi="Arial" w:cs="Arial"/>
          <w:sz w:val="16"/>
          <w:szCs w:val="16"/>
        </w:rPr>
        <w:t xml:space="preserve"> (2009</w:t>
      </w:r>
      <w:r w:rsidR="00A671DF" w:rsidRPr="00CB4F47">
        <w:rPr>
          <w:rFonts w:ascii="Arial" w:hAnsi="Arial" w:cs="Arial"/>
          <w:sz w:val="16"/>
          <w:szCs w:val="16"/>
        </w:rPr>
        <w:t>,</w:t>
      </w:r>
      <w:r w:rsidRPr="00CB4F47">
        <w:rPr>
          <w:rFonts w:ascii="Arial" w:hAnsi="Arial" w:cs="Arial"/>
          <w:sz w:val="16"/>
          <w:szCs w:val="16"/>
        </w:rPr>
        <w:t xml:space="preserve"> pages 18–27, p</w:t>
      </w:r>
      <w:r w:rsidR="00B43E3E" w:rsidRPr="00CB4F47">
        <w:rPr>
          <w:rFonts w:ascii="Arial" w:hAnsi="Arial" w:cs="Arial"/>
          <w:sz w:val="16"/>
          <w:szCs w:val="16"/>
        </w:rPr>
        <w:t>age</w:t>
      </w:r>
      <w:r w:rsidRPr="00CB4F47">
        <w:rPr>
          <w:rFonts w:ascii="Arial" w:hAnsi="Arial" w:cs="Arial"/>
          <w:sz w:val="16"/>
          <w:szCs w:val="16"/>
        </w:rPr>
        <w:t xml:space="preserve"> 19</w:t>
      </w:r>
      <w:r w:rsidR="00844A49">
        <w:rPr>
          <w:rFonts w:ascii="Arial" w:hAnsi="Arial" w:cs="Arial"/>
          <w:sz w:val="16"/>
          <w:szCs w:val="16"/>
        </w:rPr>
        <w:t>)</w:t>
      </w:r>
      <w:r w:rsidRPr="00CB4F47">
        <w:rPr>
          <w:rFonts w:ascii="Arial" w:hAnsi="Arial" w:cs="Arial"/>
          <w:sz w:val="16"/>
          <w:szCs w:val="16"/>
        </w:rPr>
        <w:t xml:space="preserve">. </w:t>
      </w:r>
    </w:p>
  </w:footnote>
  <w:footnote w:id="24">
    <w:p w14:paraId="7DBEEBD2" w14:textId="069DA06F" w:rsidR="000E429D" w:rsidRPr="00CB4F47" w:rsidRDefault="000E429D" w:rsidP="002F3A8B">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sz w:val="16"/>
          <w:szCs w:val="16"/>
        </w:rPr>
        <w:t xml:space="preserve"> </w:t>
      </w:r>
      <w:r w:rsidRPr="00CB4F47">
        <w:rPr>
          <w:rFonts w:cs="Arial"/>
          <w:color w:val="auto"/>
          <w:sz w:val="16"/>
          <w:szCs w:val="16"/>
        </w:rPr>
        <w:t>Ministry of Health, Pacific Peoples’ experience of disability: A paper for the Pacific Health and Disability Action Plan review (2008</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page</w:t>
      </w:r>
      <w:r w:rsidRPr="00CB4F47">
        <w:rPr>
          <w:rFonts w:cs="Arial"/>
          <w:color w:val="auto"/>
          <w:sz w:val="16"/>
          <w:szCs w:val="16"/>
        </w:rPr>
        <w:t xml:space="preserve"> 24</w:t>
      </w:r>
      <w:r w:rsidR="00844A49">
        <w:rPr>
          <w:rFonts w:cs="Arial"/>
          <w:color w:val="auto"/>
          <w:sz w:val="16"/>
          <w:szCs w:val="16"/>
        </w:rPr>
        <w:t>)</w:t>
      </w:r>
      <w:r w:rsidRPr="00CB4F47">
        <w:rPr>
          <w:rFonts w:cs="Arial"/>
          <w:color w:val="auto"/>
          <w:sz w:val="16"/>
          <w:szCs w:val="16"/>
        </w:rPr>
        <w:t>.</w:t>
      </w:r>
    </w:p>
  </w:footnote>
  <w:footnote w:id="25">
    <w:p w14:paraId="3C082740" w14:textId="6820775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Ministry of Health, Pacific Peoples’ experience of disability: A paper for the Pacific Health and Disability Action Plan review (2008</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page</w:t>
      </w:r>
      <w:r w:rsidRPr="00CB4F47">
        <w:rPr>
          <w:rFonts w:cs="Arial"/>
          <w:color w:val="auto"/>
          <w:sz w:val="16"/>
          <w:szCs w:val="16"/>
        </w:rPr>
        <w:t xml:space="preserve"> 24</w:t>
      </w:r>
      <w:r w:rsidR="00844A49">
        <w:rPr>
          <w:rFonts w:cs="Arial"/>
          <w:color w:val="auto"/>
          <w:sz w:val="16"/>
          <w:szCs w:val="16"/>
        </w:rPr>
        <w:t>)</w:t>
      </w:r>
      <w:r w:rsidRPr="00CB4F47">
        <w:rPr>
          <w:rFonts w:cs="Arial"/>
          <w:color w:val="auto"/>
          <w:sz w:val="16"/>
          <w:szCs w:val="16"/>
        </w:rPr>
        <w:t xml:space="preserve">. </w:t>
      </w:r>
    </w:p>
  </w:footnote>
  <w:footnote w:id="26">
    <w:p w14:paraId="20853B3B" w14:textId="4090686E" w:rsidR="000E429D" w:rsidRPr="00CB4F47" w:rsidRDefault="000E429D" w:rsidP="002F3A8B">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sz w:val="16"/>
          <w:szCs w:val="16"/>
        </w:rPr>
        <w:t xml:space="preserve"> </w:t>
      </w:r>
      <w:r w:rsidRPr="00CB4F47">
        <w:rPr>
          <w:rFonts w:cs="Arial"/>
          <w:color w:val="auto"/>
          <w:sz w:val="16"/>
          <w:szCs w:val="16"/>
        </w:rPr>
        <w:t>Ministry of Health, Pacific Peoples’ experience of disability: A paper for the Pacific Health and Disability Action Plan review (2008</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page</w:t>
      </w:r>
      <w:r w:rsidRPr="00CB4F47">
        <w:rPr>
          <w:rFonts w:cs="Arial"/>
          <w:color w:val="auto"/>
          <w:sz w:val="16"/>
          <w:szCs w:val="16"/>
        </w:rPr>
        <w:t xml:space="preserve"> 24</w:t>
      </w:r>
      <w:r w:rsidR="00844A49">
        <w:rPr>
          <w:rFonts w:cs="Arial"/>
          <w:color w:val="auto"/>
          <w:sz w:val="16"/>
          <w:szCs w:val="16"/>
        </w:rPr>
        <w:t>)</w:t>
      </w:r>
      <w:r w:rsidRPr="00CB4F47">
        <w:rPr>
          <w:rFonts w:cs="Arial"/>
          <w:color w:val="auto"/>
          <w:sz w:val="16"/>
          <w:szCs w:val="16"/>
        </w:rPr>
        <w:t>.</w:t>
      </w:r>
    </w:p>
  </w:footnote>
  <w:footnote w:id="27">
    <w:p w14:paraId="1FD688FC" w14:textId="7F03138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Ministry of Health, Pacific Peoples and mental health: A paper for the Pacific Health and Disability Action Plan review (2008</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page</w:t>
      </w:r>
      <w:r w:rsidRPr="00CB4F47">
        <w:rPr>
          <w:rFonts w:cs="Arial"/>
          <w:color w:val="auto"/>
          <w:sz w:val="16"/>
          <w:szCs w:val="16"/>
        </w:rPr>
        <w:t xml:space="preserve"> 11</w:t>
      </w:r>
      <w:r w:rsidR="004D4D55">
        <w:rPr>
          <w:rFonts w:cs="Arial"/>
          <w:color w:val="auto"/>
          <w:sz w:val="16"/>
          <w:szCs w:val="16"/>
        </w:rPr>
        <w:t>)</w:t>
      </w:r>
      <w:r w:rsidRPr="00CB4F47">
        <w:rPr>
          <w:rFonts w:cs="Arial"/>
          <w:color w:val="auto"/>
          <w:sz w:val="16"/>
          <w:szCs w:val="16"/>
        </w:rPr>
        <w:t xml:space="preserve">. </w:t>
      </w:r>
    </w:p>
  </w:footnote>
  <w:footnote w:id="28">
    <w:p w14:paraId="656E11BD" w14:textId="74D700AF" w:rsidR="00A671DF" w:rsidRPr="00CB4F47" w:rsidRDefault="00A671DF"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color w:val="auto"/>
          <w:sz w:val="16"/>
          <w:szCs w:val="16"/>
          <w:shd w:val="clear" w:color="auto" w:fill="FAFAFA"/>
        </w:rPr>
        <w:t xml:space="preserve"> Ministry for Culture and Heritage, Overview: immigration to New Zealand 1840–1914 (updated 26 May 2023)</w:t>
      </w:r>
      <w:r w:rsidR="00DD2287">
        <w:rPr>
          <w:rFonts w:cs="Arial"/>
          <w:color w:val="auto"/>
          <w:sz w:val="16"/>
          <w:szCs w:val="16"/>
          <w:shd w:val="clear" w:color="auto" w:fill="FAFAFA"/>
        </w:rPr>
        <w:t xml:space="preserve">, </w:t>
      </w:r>
      <w:hyperlink r:id="rId4" w:history="1">
        <w:r w:rsidR="008104BF" w:rsidRPr="008104BF">
          <w:rPr>
            <w:rStyle w:val="Hyperlink"/>
            <w:rFonts w:cs="Arial"/>
            <w:sz w:val="16"/>
            <w:szCs w:val="16"/>
            <w:shd w:val="clear" w:color="auto" w:fill="FAFAFA"/>
          </w:rPr>
          <w:t>https://nzhistory.govt.nz/culture/immigration/home-away-from-home/summary</w:t>
        </w:r>
      </w:hyperlink>
      <w:r w:rsidRPr="00CB4F47">
        <w:rPr>
          <w:rFonts w:cs="Arial"/>
          <w:color w:val="auto"/>
          <w:sz w:val="16"/>
          <w:szCs w:val="16"/>
          <w:shd w:val="clear" w:color="auto" w:fill="FAFAFA"/>
        </w:rPr>
        <w:t xml:space="preserve">. </w:t>
      </w:r>
    </w:p>
  </w:footnote>
  <w:footnote w:id="29">
    <w:p w14:paraId="2941F427" w14:textId="3CACAF73"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Scull, A, The </w:t>
      </w:r>
      <w:r w:rsidR="00A671DF">
        <w:rPr>
          <w:rFonts w:cs="Arial"/>
          <w:sz w:val="16"/>
          <w:szCs w:val="16"/>
        </w:rPr>
        <w:t>m</w:t>
      </w:r>
      <w:r w:rsidR="00A671DF" w:rsidRPr="00CB4F47">
        <w:rPr>
          <w:rFonts w:cs="Arial"/>
          <w:sz w:val="16"/>
          <w:szCs w:val="16"/>
        </w:rPr>
        <w:t>ost</w:t>
      </w:r>
      <w:r w:rsidRPr="00CB4F47" w:rsidDel="006C5E16">
        <w:rPr>
          <w:rFonts w:cs="Arial"/>
          <w:sz w:val="16"/>
          <w:szCs w:val="16"/>
        </w:rPr>
        <w:t xml:space="preserve"> </w:t>
      </w:r>
      <w:r w:rsidR="006C5E16">
        <w:rPr>
          <w:rFonts w:cs="Arial"/>
          <w:sz w:val="16"/>
          <w:szCs w:val="16"/>
        </w:rPr>
        <w:t>s</w:t>
      </w:r>
      <w:r w:rsidR="006C5E16" w:rsidRPr="00CB4F47">
        <w:rPr>
          <w:rFonts w:cs="Arial"/>
          <w:sz w:val="16"/>
          <w:szCs w:val="16"/>
        </w:rPr>
        <w:t xml:space="preserve">olitary </w:t>
      </w:r>
      <w:r w:rsidRPr="00CB4F47">
        <w:rPr>
          <w:rFonts w:cs="Arial"/>
          <w:sz w:val="16"/>
          <w:szCs w:val="16"/>
        </w:rPr>
        <w:t xml:space="preserve">of </w:t>
      </w:r>
      <w:r w:rsidR="00A671DF">
        <w:rPr>
          <w:rFonts w:cs="Arial"/>
          <w:sz w:val="16"/>
          <w:szCs w:val="16"/>
        </w:rPr>
        <w:t>a</w:t>
      </w:r>
      <w:r w:rsidR="00A671DF" w:rsidRPr="00CB4F47">
        <w:rPr>
          <w:rFonts w:cs="Arial"/>
          <w:sz w:val="16"/>
          <w:szCs w:val="16"/>
        </w:rPr>
        <w:t>fflictions:</w:t>
      </w:r>
      <w:r w:rsidRPr="00CB4F47" w:rsidDel="006C5E16">
        <w:rPr>
          <w:rFonts w:cs="Arial"/>
          <w:sz w:val="16"/>
          <w:szCs w:val="16"/>
        </w:rPr>
        <w:t xml:space="preserve"> </w:t>
      </w:r>
      <w:r w:rsidR="006C5E16">
        <w:rPr>
          <w:rFonts w:cs="Arial"/>
          <w:sz w:val="16"/>
          <w:szCs w:val="16"/>
        </w:rPr>
        <w:t>M</w:t>
      </w:r>
      <w:r w:rsidR="006C5E16" w:rsidRPr="00CB4F47">
        <w:rPr>
          <w:rFonts w:cs="Arial"/>
          <w:sz w:val="16"/>
          <w:szCs w:val="16"/>
        </w:rPr>
        <w:t xml:space="preserve">adness </w:t>
      </w:r>
      <w:r w:rsidRPr="00CB4F47">
        <w:rPr>
          <w:rFonts w:cs="Arial"/>
          <w:sz w:val="16"/>
          <w:szCs w:val="16"/>
        </w:rPr>
        <w:t>and society in Britain, 1700–1900 (Yale University Press, 2005</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 xml:space="preserve">pages </w:t>
      </w:r>
      <w:r w:rsidRPr="00CB4F47">
        <w:rPr>
          <w:rFonts w:cs="Arial"/>
          <w:sz w:val="16"/>
          <w:szCs w:val="16"/>
        </w:rPr>
        <w:t>1 and 11</w:t>
      </w:r>
      <w:r w:rsidR="00C22680">
        <w:rPr>
          <w:rFonts w:cs="Arial"/>
          <w:sz w:val="16"/>
          <w:szCs w:val="16"/>
        </w:rPr>
        <w:t>)</w:t>
      </w:r>
      <w:r w:rsidRPr="00CB4F47">
        <w:rPr>
          <w:rFonts w:cs="Arial"/>
          <w:sz w:val="16"/>
          <w:szCs w:val="16"/>
        </w:rPr>
        <w:t xml:space="preserve">. </w:t>
      </w:r>
    </w:p>
  </w:footnote>
  <w:footnote w:id="30">
    <w:p w14:paraId="05301E97" w14:textId="3B8E495F"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Scull, A, The </w:t>
      </w:r>
      <w:r w:rsidR="006C5E16">
        <w:rPr>
          <w:rFonts w:cs="Arial"/>
          <w:sz w:val="16"/>
          <w:szCs w:val="16"/>
        </w:rPr>
        <w:t>m</w:t>
      </w:r>
      <w:r w:rsidR="006C5E16" w:rsidRPr="00CB4F47">
        <w:rPr>
          <w:rFonts w:cs="Arial"/>
          <w:sz w:val="16"/>
          <w:szCs w:val="16"/>
        </w:rPr>
        <w:t xml:space="preserve">ost </w:t>
      </w:r>
      <w:r w:rsidR="006C5E16">
        <w:rPr>
          <w:rFonts w:cs="Arial"/>
          <w:sz w:val="16"/>
          <w:szCs w:val="16"/>
        </w:rPr>
        <w:t>s</w:t>
      </w:r>
      <w:r w:rsidR="006C5E16" w:rsidRPr="00CB4F47">
        <w:rPr>
          <w:rFonts w:cs="Arial"/>
          <w:sz w:val="16"/>
          <w:szCs w:val="16"/>
        </w:rPr>
        <w:t xml:space="preserve">olitary </w:t>
      </w:r>
      <w:r w:rsidRPr="00CB4F47">
        <w:rPr>
          <w:rFonts w:cs="Arial"/>
          <w:sz w:val="16"/>
          <w:szCs w:val="16"/>
        </w:rPr>
        <w:t xml:space="preserve">of </w:t>
      </w:r>
      <w:r w:rsidR="00A671DF">
        <w:rPr>
          <w:rFonts w:cs="Arial"/>
          <w:sz w:val="16"/>
          <w:szCs w:val="16"/>
        </w:rPr>
        <w:t>a</w:t>
      </w:r>
      <w:r w:rsidR="00A671DF" w:rsidRPr="00CB4F47">
        <w:rPr>
          <w:rFonts w:cs="Arial"/>
          <w:sz w:val="16"/>
          <w:szCs w:val="16"/>
        </w:rPr>
        <w:t>fflictions:</w:t>
      </w:r>
      <w:r w:rsidRPr="00CB4F47" w:rsidDel="006C5E16">
        <w:rPr>
          <w:rFonts w:cs="Arial"/>
          <w:sz w:val="16"/>
          <w:szCs w:val="16"/>
        </w:rPr>
        <w:t xml:space="preserve"> </w:t>
      </w:r>
      <w:r w:rsidR="006C5E16">
        <w:rPr>
          <w:rFonts w:cs="Arial"/>
          <w:sz w:val="16"/>
          <w:szCs w:val="16"/>
        </w:rPr>
        <w:t>M</w:t>
      </w:r>
      <w:r w:rsidR="006C5E16" w:rsidRPr="00CB4F47">
        <w:rPr>
          <w:rFonts w:cs="Arial"/>
          <w:sz w:val="16"/>
          <w:szCs w:val="16"/>
        </w:rPr>
        <w:t xml:space="preserve">adness </w:t>
      </w:r>
      <w:r w:rsidRPr="00CB4F47">
        <w:rPr>
          <w:rFonts w:cs="Arial"/>
          <w:sz w:val="16"/>
          <w:szCs w:val="16"/>
        </w:rPr>
        <w:t>and society in Britain, 1700–1900 (Yale University Press, 2005</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 xml:space="preserve">pages </w:t>
      </w:r>
      <w:r w:rsidRPr="00CB4F47">
        <w:rPr>
          <w:rFonts w:cs="Arial"/>
          <w:sz w:val="16"/>
          <w:szCs w:val="16"/>
        </w:rPr>
        <w:t>11</w:t>
      </w:r>
      <w:r w:rsidRPr="00CB4F47">
        <w:rPr>
          <w:rFonts w:cs="Arial"/>
          <w:color w:val="auto"/>
          <w:sz w:val="16"/>
          <w:szCs w:val="16"/>
        </w:rPr>
        <w:t>–</w:t>
      </w:r>
      <w:r w:rsidRPr="00CB4F47">
        <w:rPr>
          <w:rFonts w:cs="Arial"/>
          <w:sz w:val="16"/>
          <w:szCs w:val="16"/>
        </w:rPr>
        <w:t>12</w:t>
      </w:r>
      <w:r w:rsidR="00C22680">
        <w:rPr>
          <w:rFonts w:cs="Arial"/>
          <w:sz w:val="16"/>
          <w:szCs w:val="16"/>
        </w:rPr>
        <w:t>)</w:t>
      </w:r>
      <w:r w:rsidRPr="00CB4F47">
        <w:rPr>
          <w:rFonts w:cs="Arial"/>
          <w:sz w:val="16"/>
          <w:szCs w:val="16"/>
        </w:rPr>
        <w:t xml:space="preserve">. </w:t>
      </w:r>
    </w:p>
  </w:footnote>
  <w:footnote w:id="31">
    <w:p w14:paraId="5FE5A017" w14:textId="3194D7BB"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Scull, A, The </w:t>
      </w:r>
      <w:r w:rsidR="006C5E16">
        <w:rPr>
          <w:rFonts w:cs="Arial"/>
          <w:sz w:val="16"/>
          <w:szCs w:val="16"/>
        </w:rPr>
        <w:t>m</w:t>
      </w:r>
      <w:r w:rsidR="006C5E16" w:rsidRPr="00CB4F47">
        <w:rPr>
          <w:rFonts w:cs="Arial"/>
          <w:sz w:val="16"/>
          <w:szCs w:val="16"/>
        </w:rPr>
        <w:t xml:space="preserve">ost </w:t>
      </w:r>
      <w:r w:rsidR="006C5E16">
        <w:rPr>
          <w:rFonts w:cs="Arial"/>
          <w:sz w:val="16"/>
          <w:szCs w:val="16"/>
        </w:rPr>
        <w:t>s</w:t>
      </w:r>
      <w:r w:rsidR="006C5E16" w:rsidRPr="00CB4F47">
        <w:rPr>
          <w:rFonts w:cs="Arial"/>
          <w:sz w:val="16"/>
          <w:szCs w:val="16"/>
        </w:rPr>
        <w:t xml:space="preserve">olitary </w:t>
      </w:r>
      <w:r w:rsidRPr="00CB4F47">
        <w:rPr>
          <w:rFonts w:cs="Arial"/>
          <w:sz w:val="16"/>
          <w:szCs w:val="16"/>
        </w:rPr>
        <w:t xml:space="preserve">of </w:t>
      </w:r>
      <w:r w:rsidR="00A671DF">
        <w:rPr>
          <w:rFonts w:cs="Arial"/>
          <w:sz w:val="16"/>
          <w:szCs w:val="16"/>
        </w:rPr>
        <w:t>a</w:t>
      </w:r>
      <w:r w:rsidR="00A671DF" w:rsidRPr="00CB4F47">
        <w:rPr>
          <w:rFonts w:cs="Arial"/>
          <w:sz w:val="16"/>
          <w:szCs w:val="16"/>
        </w:rPr>
        <w:t>fflictions:</w:t>
      </w:r>
      <w:r w:rsidRPr="00CB4F47" w:rsidDel="006C5E16">
        <w:rPr>
          <w:rFonts w:cs="Arial"/>
          <w:sz w:val="16"/>
          <w:szCs w:val="16"/>
        </w:rPr>
        <w:t xml:space="preserve"> </w:t>
      </w:r>
      <w:r w:rsidR="006C5E16">
        <w:rPr>
          <w:rFonts w:cs="Arial"/>
          <w:sz w:val="16"/>
          <w:szCs w:val="16"/>
        </w:rPr>
        <w:t>M</w:t>
      </w:r>
      <w:r w:rsidR="006C5E16" w:rsidRPr="00CB4F47">
        <w:rPr>
          <w:rFonts w:cs="Arial"/>
          <w:sz w:val="16"/>
          <w:szCs w:val="16"/>
        </w:rPr>
        <w:t xml:space="preserve">adness </w:t>
      </w:r>
      <w:r w:rsidRPr="00CB4F47">
        <w:rPr>
          <w:rFonts w:cs="Arial"/>
          <w:sz w:val="16"/>
          <w:szCs w:val="16"/>
        </w:rPr>
        <w:t>and society in Britain, 1700–1900 (Yale University Press, 2005</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 xml:space="preserve">pages </w:t>
      </w:r>
      <w:r w:rsidRPr="00CB4F47">
        <w:rPr>
          <w:rFonts w:cs="Arial"/>
          <w:sz w:val="16"/>
          <w:szCs w:val="16"/>
        </w:rPr>
        <w:t>27</w:t>
      </w:r>
      <w:r w:rsidRPr="00CB4F47">
        <w:rPr>
          <w:rFonts w:cs="Arial"/>
          <w:color w:val="auto"/>
          <w:sz w:val="16"/>
          <w:szCs w:val="16"/>
        </w:rPr>
        <w:t>–</w:t>
      </w:r>
      <w:r w:rsidRPr="00CB4F47">
        <w:rPr>
          <w:rFonts w:cs="Arial"/>
          <w:sz w:val="16"/>
          <w:szCs w:val="16"/>
        </w:rPr>
        <w:t>3</w:t>
      </w:r>
      <w:r w:rsidR="0032732C">
        <w:rPr>
          <w:rFonts w:cs="Arial"/>
          <w:sz w:val="16"/>
          <w:szCs w:val="16"/>
        </w:rPr>
        <w:t xml:space="preserve"> </w:t>
      </w:r>
      <w:r w:rsidRPr="00CB4F47">
        <w:rPr>
          <w:rFonts w:cs="Arial"/>
          <w:sz w:val="16"/>
          <w:szCs w:val="16"/>
        </w:rPr>
        <w:t>1</w:t>
      </w:r>
      <w:r w:rsidR="00C22680">
        <w:rPr>
          <w:rFonts w:cs="Arial"/>
          <w:sz w:val="16"/>
          <w:szCs w:val="16"/>
        </w:rPr>
        <w:t>)</w:t>
      </w:r>
      <w:r w:rsidRPr="00CB4F47">
        <w:rPr>
          <w:rFonts w:cs="Arial"/>
          <w:sz w:val="16"/>
          <w:szCs w:val="16"/>
        </w:rPr>
        <w:t xml:space="preserve">. </w:t>
      </w:r>
    </w:p>
  </w:footnote>
  <w:footnote w:id="32">
    <w:p w14:paraId="2F4D13B9" w14:textId="750DD449" w:rsidR="00A11AAA" w:rsidRDefault="00A11AAA">
      <w:pPr>
        <w:pStyle w:val="FootnoteText"/>
      </w:pPr>
      <w:r>
        <w:rPr>
          <w:rStyle w:val="FootnoteReference"/>
        </w:rPr>
        <w:footnoteRef/>
      </w:r>
      <w:r>
        <w:t xml:space="preserve"> </w:t>
      </w:r>
      <w:r w:rsidRPr="00CB4F47">
        <w:rPr>
          <w:rFonts w:cs="Arial"/>
          <w:color w:val="auto"/>
          <w:sz w:val="16"/>
          <w:szCs w:val="16"/>
        </w:rPr>
        <w:t>Wilson, AN, The Victorians (</w:t>
      </w:r>
      <w:r>
        <w:rPr>
          <w:rFonts w:cs="Arial"/>
          <w:color w:val="auto"/>
          <w:sz w:val="16"/>
          <w:szCs w:val="16"/>
        </w:rPr>
        <w:t>Hutchinson</w:t>
      </w:r>
      <w:r w:rsidRPr="00CB4F47">
        <w:rPr>
          <w:rFonts w:cs="Arial"/>
          <w:color w:val="auto"/>
          <w:sz w:val="16"/>
          <w:szCs w:val="16"/>
        </w:rPr>
        <w:t>, 2002, page 12</w:t>
      </w:r>
      <w:r>
        <w:rPr>
          <w:rFonts w:cs="Arial"/>
          <w:color w:val="auto"/>
          <w:sz w:val="16"/>
          <w:szCs w:val="16"/>
        </w:rPr>
        <w:t>)</w:t>
      </w:r>
      <w:r w:rsidRPr="00CB4F47">
        <w:rPr>
          <w:rFonts w:cs="Arial"/>
          <w:color w:val="auto"/>
          <w:sz w:val="16"/>
          <w:szCs w:val="16"/>
        </w:rPr>
        <w:t>.</w:t>
      </w:r>
    </w:p>
  </w:footnote>
  <w:footnote w:id="33">
    <w:p w14:paraId="498BAFB4" w14:textId="793B33B3"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Scull, A, The </w:t>
      </w:r>
      <w:r w:rsidR="006C5E16">
        <w:rPr>
          <w:rFonts w:cs="Arial"/>
          <w:sz w:val="16"/>
          <w:szCs w:val="16"/>
        </w:rPr>
        <w:t>m</w:t>
      </w:r>
      <w:r w:rsidR="006C5E16" w:rsidRPr="00CB4F47">
        <w:rPr>
          <w:rFonts w:cs="Arial"/>
          <w:sz w:val="16"/>
          <w:szCs w:val="16"/>
        </w:rPr>
        <w:t xml:space="preserve">ost </w:t>
      </w:r>
      <w:r w:rsidR="006C5E16">
        <w:rPr>
          <w:rFonts w:cs="Arial"/>
          <w:sz w:val="16"/>
          <w:szCs w:val="16"/>
        </w:rPr>
        <w:t>s</w:t>
      </w:r>
      <w:r w:rsidR="006C5E16" w:rsidRPr="00CB4F47">
        <w:rPr>
          <w:rFonts w:cs="Arial"/>
          <w:sz w:val="16"/>
          <w:szCs w:val="16"/>
        </w:rPr>
        <w:t xml:space="preserve">olitary </w:t>
      </w:r>
      <w:r w:rsidRPr="00CB4F47">
        <w:rPr>
          <w:rFonts w:cs="Arial"/>
          <w:sz w:val="16"/>
          <w:szCs w:val="16"/>
        </w:rPr>
        <w:t xml:space="preserve">of </w:t>
      </w:r>
      <w:r w:rsidR="00A671DF">
        <w:rPr>
          <w:rFonts w:cs="Arial"/>
          <w:sz w:val="16"/>
          <w:szCs w:val="16"/>
        </w:rPr>
        <w:t>a</w:t>
      </w:r>
      <w:r w:rsidR="00A671DF" w:rsidRPr="00CB4F47">
        <w:rPr>
          <w:rFonts w:cs="Arial"/>
          <w:sz w:val="16"/>
          <w:szCs w:val="16"/>
        </w:rPr>
        <w:t>fflictions:</w:t>
      </w:r>
      <w:r w:rsidRPr="00CB4F47" w:rsidDel="006C5E16">
        <w:rPr>
          <w:rFonts w:cs="Arial"/>
          <w:sz w:val="16"/>
          <w:szCs w:val="16"/>
        </w:rPr>
        <w:t xml:space="preserve"> </w:t>
      </w:r>
      <w:r w:rsidR="006C5E16">
        <w:rPr>
          <w:rFonts w:cs="Arial"/>
          <w:sz w:val="16"/>
          <w:szCs w:val="16"/>
        </w:rPr>
        <w:t>M</w:t>
      </w:r>
      <w:r w:rsidR="006C5E16" w:rsidRPr="00CB4F47">
        <w:rPr>
          <w:rFonts w:cs="Arial"/>
          <w:sz w:val="16"/>
          <w:szCs w:val="16"/>
        </w:rPr>
        <w:t xml:space="preserve">adness </w:t>
      </w:r>
      <w:r w:rsidRPr="00CB4F47">
        <w:rPr>
          <w:rFonts w:cs="Arial"/>
          <w:sz w:val="16"/>
          <w:szCs w:val="16"/>
        </w:rPr>
        <w:t>and society in Britain, 1700–1900 (Yale University Press, 2005</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page</w:t>
      </w:r>
      <w:r w:rsidRPr="00CB4F47">
        <w:rPr>
          <w:rFonts w:cs="Arial"/>
          <w:sz w:val="16"/>
          <w:szCs w:val="16"/>
        </w:rPr>
        <w:t xml:space="preserve"> 33</w:t>
      </w:r>
      <w:r w:rsidR="00AA2EDE">
        <w:rPr>
          <w:rFonts w:cs="Arial"/>
          <w:sz w:val="16"/>
          <w:szCs w:val="16"/>
        </w:rPr>
        <w:t>)</w:t>
      </w:r>
      <w:r w:rsidRPr="00CB4F47">
        <w:rPr>
          <w:rFonts w:cs="Arial"/>
          <w:sz w:val="16"/>
          <w:szCs w:val="16"/>
        </w:rPr>
        <w:t xml:space="preserve">. </w:t>
      </w:r>
    </w:p>
  </w:footnote>
  <w:footnote w:id="34">
    <w:p w14:paraId="670D533A" w14:textId="6F3B59DA"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Fairburn, M, The ideal society and its enemies: The foundations of modern New Zealand society 1850–1900 (Auckland University Press, 1989</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page</w:t>
      </w:r>
      <w:r w:rsidRPr="00CB4F47">
        <w:rPr>
          <w:rFonts w:cs="Arial"/>
          <w:sz w:val="16"/>
          <w:szCs w:val="16"/>
        </w:rPr>
        <w:t xml:space="preserve"> 233</w:t>
      </w:r>
      <w:r w:rsidR="00AA2EDE">
        <w:rPr>
          <w:rFonts w:cs="Arial"/>
          <w:sz w:val="16"/>
          <w:szCs w:val="16"/>
        </w:rPr>
        <w:t>)</w:t>
      </w:r>
      <w:r w:rsidRPr="00CB4F47">
        <w:rPr>
          <w:rFonts w:cs="Arial"/>
          <w:sz w:val="16"/>
          <w:szCs w:val="16"/>
        </w:rPr>
        <w:t xml:space="preserve">. </w:t>
      </w:r>
    </w:p>
  </w:footnote>
  <w:footnote w:id="35">
    <w:p w14:paraId="1CCCBDEC" w14:textId="341144DD" w:rsidR="00E23FCC" w:rsidRPr="00536E67" w:rsidRDefault="00E23FCC">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DD5764">
        <w:rPr>
          <w:sz w:val="16"/>
          <w:szCs w:val="16"/>
        </w:rPr>
        <w:t xml:space="preserve">Grinker, </w:t>
      </w:r>
      <w:r w:rsidR="00A671DF">
        <w:rPr>
          <w:sz w:val="16"/>
          <w:szCs w:val="16"/>
        </w:rPr>
        <w:t>RR</w:t>
      </w:r>
      <w:r w:rsidRPr="00DD5764">
        <w:rPr>
          <w:sz w:val="16"/>
          <w:szCs w:val="16"/>
        </w:rPr>
        <w:t>, Nobody’s normal – how culture created the stigma of mental illness (WW Norton and Company, 2021 pages 18–19</w:t>
      </w:r>
      <w:r w:rsidR="00DB0A3D">
        <w:rPr>
          <w:sz w:val="16"/>
          <w:szCs w:val="16"/>
        </w:rPr>
        <w:t>)</w:t>
      </w:r>
      <w:r w:rsidRPr="00DD5764">
        <w:rPr>
          <w:sz w:val="16"/>
          <w:szCs w:val="16"/>
        </w:rPr>
        <w:t>.</w:t>
      </w:r>
    </w:p>
  </w:footnote>
  <w:footnote w:id="36">
    <w:p w14:paraId="3DE22986" w14:textId="5B56215B" w:rsidR="000372FA" w:rsidRDefault="000372FA">
      <w:pPr>
        <w:pStyle w:val="FootnoteText"/>
      </w:pPr>
      <w:r>
        <w:rPr>
          <w:rStyle w:val="FootnoteReference"/>
        </w:rPr>
        <w:footnoteRef/>
      </w:r>
      <w:r w:rsidR="0032732C">
        <w:rPr>
          <w:sz w:val="16"/>
          <w:szCs w:val="16"/>
        </w:rPr>
        <w:t xml:space="preserve"> Ashburn </w:t>
      </w:r>
      <w:r w:rsidR="00FE2280">
        <w:rPr>
          <w:sz w:val="16"/>
          <w:szCs w:val="16"/>
        </w:rPr>
        <w:t>Clinic</w:t>
      </w:r>
      <w:r w:rsidR="0032732C">
        <w:rPr>
          <w:sz w:val="16"/>
          <w:szCs w:val="16"/>
        </w:rPr>
        <w:t xml:space="preserve"> </w:t>
      </w:r>
      <w:r w:rsidR="00ED042D">
        <w:rPr>
          <w:sz w:val="16"/>
          <w:szCs w:val="16"/>
        </w:rPr>
        <w:t>website, Ashburn Clinic History (accessed 29 April 2024),</w:t>
      </w:r>
      <w:r w:rsidR="0032732C">
        <w:rPr>
          <w:sz w:val="16"/>
          <w:szCs w:val="16"/>
        </w:rPr>
        <w:t xml:space="preserve"> </w:t>
      </w:r>
      <w:hyperlink r:id="rId5" w:history="1">
        <w:r w:rsidR="00EC1A7A" w:rsidRPr="002824A6">
          <w:rPr>
            <w:rStyle w:val="Hyperlink"/>
            <w:sz w:val="16"/>
            <w:szCs w:val="16"/>
          </w:rPr>
          <w:t>https://www.ashburn.co.nz/about/</w:t>
        </w:r>
      </w:hyperlink>
      <w:r w:rsidR="00EC1A7A">
        <w:rPr>
          <w:sz w:val="16"/>
          <w:szCs w:val="16"/>
        </w:rPr>
        <w:t>.</w:t>
      </w:r>
    </w:p>
  </w:footnote>
  <w:footnote w:id="37">
    <w:p w14:paraId="3FD3C698" w14:textId="4D304666"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Fass, </w:t>
      </w:r>
      <w:r w:rsidR="00A671DF" w:rsidRPr="00CB4F47">
        <w:rPr>
          <w:rFonts w:cs="Arial"/>
          <w:sz w:val="16"/>
          <w:szCs w:val="16"/>
        </w:rPr>
        <w:t>PS</w:t>
      </w:r>
      <w:r w:rsidRPr="00CB4F47">
        <w:rPr>
          <w:rFonts w:cs="Arial"/>
          <w:sz w:val="16"/>
          <w:szCs w:val="16"/>
        </w:rPr>
        <w:t>, “Is there a story in the history of childhood</w:t>
      </w:r>
      <w:r w:rsidR="00A671DF" w:rsidRPr="00CB4F47">
        <w:rPr>
          <w:rFonts w:cs="Arial"/>
          <w:sz w:val="16"/>
          <w:szCs w:val="16"/>
        </w:rPr>
        <w:t>?</w:t>
      </w:r>
      <w:r w:rsidR="00A671DF">
        <w:rPr>
          <w:rFonts w:cs="Arial"/>
          <w:sz w:val="16"/>
          <w:szCs w:val="16"/>
        </w:rPr>
        <w:t>,</w:t>
      </w:r>
      <w:r w:rsidR="00A671DF" w:rsidRPr="00CB4F47">
        <w:rPr>
          <w:rFonts w:cs="Arial"/>
          <w:sz w:val="16"/>
          <w:szCs w:val="16"/>
        </w:rPr>
        <w:t>”</w:t>
      </w:r>
      <w:r w:rsidRPr="00CB4F47">
        <w:rPr>
          <w:rFonts w:cs="Arial"/>
          <w:sz w:val="16"/>
          <w:szCs w:val="16"/>
        </w:rPr>
        <w:t xml:space="preserve"> in Fass, </w:t>
      </w:r>
      <w:r w:rsidR="00A671DF" w:rsidRPr="00CB4F47">
        <w:rPr>
          <w:rFonts w:cs="Arial"/>
          <w:sz w:val="16"/>
          <w:szCs w:val="16"/>
        </w:rPr>
        <w:t>PS</w:t>
      </w:r>
      <w:r w:rsidRPr="00CB4F47">
        <w:rPr>
          <w:rFonts w:cs="Arial"/>
          <w:sz w:val="16"/>
          <w:szCs w:val="16"/>
        </w:rPr>
        <w:t xml:space="preserve"> (ed), The Routledge </w:t>
      </w:r>
      <w:r w:rsidR="005448E7">
        <w:rPr>
          <w:rFonts w:cs="Arial"/>
          <w:sz w:val="16"/>
          <w:szCs w:val="16"/>
        </w:rPr>
        <w:t>h</w:t>
      </w:r>
      <w:r w:rsidRPr="00CB4F47">
        <w:rPr>
          <w:rFonts w:cs="Arial"/>
          <w:sz w:val="16"/>
          <w:szCs w:val="16"/>
        </w:rPr>
        <w:t xml:space="preserve">istory of </w:t>
      </w:r>
      <w:r w:rsidR="005448E7">
        <w:rPr>
          <w:rFonts w:cs="Arial"/>
          <w:sz w:val="16"/>
          <w:szCs w:val="16"/>
        </w:rPr>
        <w:t>c</w:t>
      </w:r>
      <w:r w:rsidRPr="00CB4F47">
        <w:rPr>
          <w:rFonts w:cs="Arial"/>
          <w:sz w:val="16"/>
          <w:szCs w:val="16"/>
        </w:rPr>
        <w:t xml:space="preserve">hildhood in the Western </w:t>
      </w:r>
      <w:r w:rsidR="005448E7">
        <w:rPr>
          <w:rFonts w:cs="Arial"/>
          <w:sz w:val="16"/>
          <w:szCs w:val="16"/>
        </w:rPr>
        <w:t>w</w:t>
      </w:r>
      <w:r w:rsidRPr="00CB4F47">
        <w:rPr>
          <w:rFonts w:cs="Arial"/>
          <w:sz w:val="16"/>
          <w:szCs w:val="16"/>
        </w:rPr>
        <w:t>orld (Routledge, 2013</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page</w:t>
      </w:r>
      <w:r w:rsidRPr="00CB4F47">
        <w:rPr>
          <w:rFonts w:cs="Arial"/>
          <w:sz w:val="16"/>
          <w:szCs w:val="16"/>
        </w:rPr>
        <w:t xml:space="preserve"> 4</w:t>
      </w:r>
      <w:r w:rsidR="00C1388A">
        <w:rPr>
          <w:rFonts w:cs="Arial"/>
          <w:sz w:val="16"/>
          <w:szCs w:val="16"/>
        </w:rPr>
        <w:t>)</w:t>
      </w:r>
      <w:r w:rsidRPr="00CB4F47">
        <w:rPr>
          <w:rFonts w:cs="Arial"/>
          <w:sz w:val="16"/>
          <w:szCs w:val="16"/>
        </w:rPr>
        <w:t>.</w:t>
      </w:r>
    </w:p>
  </w:footnote>
  <w:footnote w:id="38">
    <w:p w14:paraId="30D43C22" w14:textId="13E69AAB"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Fass, </w:t>
      </w:r>
      <w:r w:rsidR="00A671DF" w:rsidRPr="00CB4F47">
        <w:rPr>
          <w:rFonts w:cs="Arial"/>
          <w:sz w:val="16"/>
          <w:szCs w:val="16"/>
        </w:rPr>
        <w:t>PS</w:t>
      </w:r>
      <w:r w:rsidRPr="00CB4F47">
        <w:rPr>
          <w:rFonts w:cs="Arial"/>
          <w:sz w:val="16"/>
          <w:szCs w:val="16"/>
        </w:rPr>
        <w:t>, “Is there a story in the history of childhood</w:t>
      </w:r>
      <w:r w:rsidR="00A671DF" w:rsidRPr="00CB4F47">
        <w:rPr>
          <w:rFonts w:cs="Arial"/>
          <w:sz w:val="16"/>
          <w:szCs w:val="16"/>
        </w:rPr>
        <w:t>?</w:t>
      </w:r>
      <w:r w:rsidR="00A671DF">
        <w:rPr>
          <w:rFonts w:cs="Arial"/>
          <w:sz w:val="16"/>
          <w:szCs w:val="16"/>
        </w:rPr>
        <w:t>,</w:t>
      </w:r>
      <w:r w:rsidR="00A671DF" w:rsidRPr="00CB4F47">
        <w:rPr>
          <w:rFonts w:cs="Arial"/>
          <w:sz w:val="16"/>
          <w:szCs w:val="16"/>
        </w:rPr>
        <w:t>”</w:t>
      </w:r>
      <w:r w:rsidRPr="00CB4F47">
        <w:rPr>
          <w:rFonts w:cs="Arial"/>
          <w:sz w:val="16"/>
          <w:szCs w:val="16"/>
        </w:rPr>
        <w:t xml:space="preserve"> in Fass, </w:t>
      </w:r>
      <w:r w:rsidR="00A671DF" w:rsidRPr="00CB4F47">
        <w:rPr>
          <w:rFonts w:cs="Arial"/>
          <w:sz w:val="16"/>
          <w:szCs w:val="16"/>
        </w:rPr>
        <w:t>PS</w:t>
      </w:r>
      <w:r w:rsidRPr="00CB4F47">
        <w:rPr>
          <w:rFonts w:cs="Arial"/>
          <w:sz w:val="16"/>
          <w:szCs w:val="16"/>
        </w:rPr>
        <w:t xml:space="preserve"> (ed), The Routledge </w:t>
      </w:r>
      <w:r w:rsidR="005273AC">
        <w:rPr>
          <w:rFonts w:cs="Arial"/>
          <w:sz w:val="16"/>
          <w:szCs w:val="16"/>
        </w:rPr>
        <w:t>h</w:t>
      </w:r>
      <w:r w:rsidRPr="00CB4F47">
        <w:rPr>
          <w:rFonts w:cs="Arial"/>
          <w:sz w:val="16"/>
          <w:szCs w:val="16"/>
        </w:rPr>
        <w:t xml:space="preserve">istory of </w:t>
      </w:r>
      <w:r w:rsidR="005273AC">
        <w:rPr>
          <w:rFonts w:cs="Arial"/>
          <w:sz w:val="16"/>
          <w:szCs w:val="16"/>
        </w:rPr>
        <w:t>c</w:t>
      </w:r>
      <w:r w:rsidRPr="00CB4F47">
        <w:rPr>
          <w:rFonts w:cs="Arial"/>
          <w:sz w:val="16"/>
          <w:szCs w:val="16"/>
        </w:rPr>
        <w:t xml:space="preserve">hildhood in the Western </w:t>
      </w:r>
      <w:r w:rsidR="005273AC">
        <w:rPr>
          <w:rFonts w:cs="Arial"/>
          <w:sz w:val="16"/>
          <w:szCs w:val="16"/>
        </w:rPr>
        <w:t>w</w:t>
      </w:r>
      <w:r w:rsidRPr="00CB4F47">
        <w:rPr>
          <w:rFonts w:cs="Arial"/>
          <w:sz w:val="16"/>
          <w:szCs w:val="16"/>
        </w:rPr>
        <w:t>orld (Routledge, 2013</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page</w:t>
      </w:r>
      <w:r w:rsidRPr="00CB4F47">
        <w:rPr>
          <w:rFonts w:cs="Arial"/>
          <w:sz w:val="16"/>
          <w:szCs w:val="16"/>
        </w:rPr>
        <w:t xml:space="preserve"> 5</w:t>
      </w:r>
      <w:r w:rsidR="00C1388A">
        <w:rPr>
          <w:rFonts w:cs="Arial"/>
          <w:sz w:val="16"/>
          <w:szCs w:val="16"/>
        </w:rPr>
        <w:t>)</w:t>
      </w:r>
      <w:r w:rsidRPr="00CB4F47">
        <w:rPr>
          <w:rFonts w:cs="Arial"/>
          <w:sz w:val="16"/>
          <w:szCs w:val="16"/>
        </w:rPr>
        <w:t>.</w:t>
      </w:r>
    </w:p>
  </w:footnote>
  <w:footnote w:id="39">
    <w:p w14:paraId="35BEA6FE" w14:textId="44CE5EE0"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Fass, </w:t>
      </w:r>
      <w:r w:rsidR="00A671DF" w:rsidRPr="00CB4F47">
        <w:rPr>
          <w:rFonts w:cs="Arial"/>
          <w:sz w:val="16"/>
          <w:szCs w:val="16"/>
        </w:rPr>
        <w:t>PS</w:t>
      </w:r>
      <w:r w:rsidRPr="00CB4F47">
        <w:rPr>
          <w:rFonts w:cs="Arial"/>
          <w:sz w:val="16"/>
          <w:szCs w:val="16"/>
        </w:rPr>
        <w:t>, “Is there a story in the history of childhood</w:t>
      </w:r>
      <w:r w:rsidR="00A671DF" w:rsidRPr="00CB4F47">
        <w:rPr>
          <w:rFonts w:cs="Arial"/>
          <w:sz w:val="16"/>
          <w:szCs w:val="16"/>
        </w:rPr>
        <w:t>?</w:t>
      </w:r>
      <w:r w:rsidR="00A671DF">
        <w:rPr>
          <w:rFonts w:cs="Arial"/>
          <w:sz w:val="16"/>
          <w:szCs w:val="16"/>
        </w:rPr>
        <w:t>,</w:t>
      </w:r>
      <w:r w:rsidR="00A671DF" w:rsidRPr="00CB4F47">
        <w:rPr>
          <w:rFonts w:cs="Arial"/>
          <w:sz w:val="16"/>
          <w:szCs w:val="16"/>
        </w:rPr>
        <w:t>”</w:t>
      </w:r>
      <w:r w:rsidRPr="00CB4F47">
        <w:rPr>
          <w:rFonts w:cs="Arial"/>
          <w:sz w:val="16"/>
          <w:szCs w:val="16"/>
        </w:rPr>
        <w:t xml:space="preserve"> in Fass, </w:t>
      </w:r>
      <w:r w:rsidR="00A671DF" w:rsidRPr="00CB4F47">
        <w:rPr>
          <w:rFonts w:cs="Arial"/>
          <w:sz w:val="16"/>
          <w:szCs w:val="16"/>
        </w:rPr>
        <w:t>PS</w:t>
      </w:r>
      <w:r w:rsidRPr="00CB4F47">
        <w:rPr>
          <w:rFonts w:cs="Arial"/>
          <w:sz w:val="16"/>
          <w:szCs w:val="16"/>
        </w:rPr>
        <w:t xml:space="preserve"> (ed), The Routledge </w:t>
      </w:r>
      <w:r w:rsidR="005273AC">
        <w:rPr>
          <w:rFonts w:cs="Arial"/>
          <w:sz w:val="16"/>
          <w:szCs w:val="16"/>
        </w:rPr>
        <w:t>h</w:t>
      </w:r>
      <w:r w:rsidRPr="00CB4F47">
        <w:rPr>
          <w:rFonts w:cs="Arial"/>
          <w:sz w:val="16"/>
          <w:szCs w:val="16"/>
        </w:rPr>
        <w:t xml:space="preserve">istory of </w:t>
      </w:r>
      <w:r w:rsidR="005273AC">
        <w:rPr>
          <w:rFonts w:cs="Arial"/>
          <w:sz w:val="16"/>
          <w:szCs w:val="16"/>
        </w:rPr>
        <w:t>c</w:t>
      </w:r>
      <w:r w:rsidRPr="00CB4F47">
        <w:rPr>
          <w:rFonts w:cs="Arial"/>
          <w:sz w:val="16"/>
          <w:szCs w:val="16"/>
        </w:rPr>
        <w:t xml:space="preserve">hildhood in the Western </w:t>
      </w:r>
      <w:r w:rsidR="005273AC">
        <w:rPr>
          <w:rFonts w:cs="Arial"/>
          <w:sz w:val="16"/>
          <w:szCs w:val="16"/>
        </w:rPr>
        <w:t>w</w:t>
      </w:r>
      <w:r w:rsidRPr="00CB4F47">
        <w:rPr>
          <w:rFonts w:cs="Arial"/>
          <w:sz w:val="16"/>
          <w:szCs w:val="16"/>
        </w:rPr>
        <w:t>orld (Routledge, 2013</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page</w:t>
      </w:r>
      <w:r w:rsidRPr="00CB4F47">
        <w:rPr>
          <w:rFonts w:cs="Arial"/>
          <w:sz w:val="16"/>
          <w:szCs w:val="16"/>
        </w:rPr>
        <w:t xml:space="preserve"> 12</w:t>
      </w:r>
      <w:r w:rsidR="00C1388A">
        <w:rPr>
          <w:rFonts w:cs="Arial"/>
          <w:sz w:val="16"/>
          <w:szCs w:val="16"/>
        </w:rPr>
        <w:t>)</w:t>
      </w:r>
      <w:r w:rsidRPr="00CB4F47">
        <w:rPr>
          <w:rFonts w:cs="Arial"/>
          <w:sz w:val="16"/>
          <w:szCs w:val="16"/>
        </w:rPr>
        <w:t>.</w:t>
      </w:r>
    </w:p>
  </w:footnote>
  <w:footnote w:id="40">
    <w:p w14:paraId="2D78FE94" w14:textId="32625847"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Fass, </w:t>
      </w:r>
      <w:r w:rsidR="00A671DF" w:rsidRPr="00CB4F47">
        <w:rPr>
          <w:rFonts w:cs="Arial"/>
          <w:sz w:val="16"/>
          <w:szCs w:val="16"/>
        </w:rPr>
        <w:t>PS</w:t>
      </w:r>
      <w:r w:rsidRPr="00CB4F47">
        <w:rPr>
          <w:rFonts w:cs="Arial"/>
          <w:sz w:val="16"/>
          <w:szCs w:val="16"/>
        </w:rPr>
        <w:t>, “Is there a story in the history of childhood</w:t>
      </w:r>
      <w:r w:rsidR="00A671DF" w:rsidRPr="00CB4F47">
        <w:rPr>
          <w:rFonts w:cs="Arial"/>
          <w:sz w:val="16"/>
          <w:szCs w:val="16"/>
        </w:rPr>
        <w:t>?</w:t>
      </w:r>
      <w:r w:rsidR="00A671DF">
        <w:rPr>
          <w:rFonts w:cs="Arial"/>
          <w:sz w:val="16"/>
          <w:szCs w:val="16"/>
        </w:rPr>
        <w:t>,”</w:t>
      </w:r>
      <w:r w:rsidRPr="00CB4F47">
        <w:rPr>
          <w:rFonts w:cs="Arial"/>
          <w:sz w:val="16"/>
          <w:szCs w:val="16"/>
        </w:rPr>
        <w:t xml:space="preserve"> in Fass, </w:t>
      </w:r>
      <w:r w:rsidR="00A671DF" w:rsidRPr="00CB4F47">
        <w:rPr>
          <w:rFonts w:cs="Arial"/>
          <w:sz w:val="16"/>
          <w:szCs w:val="16"/>
        </w:rPr>
        <w:t>PS</w:t>
      </w:r>
      <w:r w:rsidRPr="00CB4F47">
        <w:rPr>
          <w:rFonts w:cs="Arial"/>
          <w:sz w:val="16"/>
          <w:szCs w:val="16"/>
        </w:rPr>
        <w:t xml:space="preserve"> (ed), The Routledge </w:t>
      </w:r>
      <w:r w:rsidR="005273AC">
        <w:rPr>
          <w:rFonts w:cs="Arial"/>
          <w:sz w:val="16"/>
          <w:szCs w:val="16"/>
        </w:rPr>
        <w:t>h</w:t>
      </w:r>
      <w:r w:rsidRPr="00CB4F47">
        <w:rPr>
          <w:rFonts w:cs="Arial"/>
          <w:sz w:val="16"/>
          <w:szCs w:val="16"/>
        </w:rPr>
        <w:t xml:space="preserve">istory of </w:t>
      </w:r>
      <w:r w:rsidR="005273AC">
        <w:rPr>
          <w:rFonts w:cs="Arial"/>
          <w:sz w:val="16"/>
          <w:szCs w:val="16"/>
        </w:rPr>
        <w:t>c</w:t>
      </w:r>
      <w:r w:rsidRPr="00CB4F47">
        <w:rPr>
          <w:rFonts w:cs="Arial"/>
          <w:sz w:val="16"/>
          <w:szCs w:val="16"/>
        </w:rPr>
        <w:t xml:space="preserve">hildhood in the Western </w:t>
      </w:r>
      <w:r w:rsidR="005273AC">
        <w:rPr>
          <w:rFonts w:cs="Arial"/>
          <w:sz w:val="16"/>
          <w:szCs w:val="16"/>
        </w:rPr>
        <w:t>w</w:t>
      </w:r>
      <w:r w:rsidRPr="00CB4F47">
        <w:rPr>
          <w:rFonts w:cs="Arial"/>
          <w:sz w:val="16"/>
          <w:szCs w:val="16"/>
        </w:rPr>
        <w:t>orld (Routledge, 2013</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page</w:t>
      </w:r>
      <w:r w:rsidRPr="00CB4F47">
        <w:rPr>
          <w:rFonts w:cs="Arial"/>
          <w:sz w:val="16"/>
          <w:szCs w:val="16"/>
        </w:rPr>
        <w:t xml:space="preserve"> 7</w:t>
      </w:r>
      <w:r w:rsidR="00C1388A">
        <w:rPr>
          <w:rFonts w:cs="Arial"/>
          <w:sz w:val="16"/>
          <w:szCs w:val="16"/>
        </w:rPr>
        <w:t>)</w:t>
      </w:r>
      <w:r w:rsidRPr="00CB4F47">
        <w:rPr>
          <w:rFonts w:cs="Arial"/>
          <w:sz w:val="16"/>
          <w:szCs w:val="16"/>
        </w:rPr>
        <w:t>.</w:t>
      </w:r>
    </w:p>
  </w:footnote>
  <w:footnote w:id="41">
    <w:p w14:paraId="01448576" w14:textId="27A8732F" w:rsidR="000E429D" w:rsidRPr="00CB4F47" w:rsidRDefault="000E429D" w:rsidP="00C57877">
      <w:pPr>
        <w:pStyle w:val="Heading1"/>
        <w:spacing w:before="0" w:after="0" w:line="20" w:lineRule="atLeast"/>
        <w:rPr>
          <w:b w:val="0"/>
          <w:color w:val="auto"/>
          <w:sz w:val="16"/>
          <w:szCs w:val="16"/>
          <w:lang w:eastAsia="en-US"/>
        </w:rPr>
      </w:pPr>
      <w:r w:rsidRPr="00536E67">
        <w:rPr>
          <w:rStyle w:val="StyleFootnoteReferenceFagoFunotenzeichenFagoFunotenzeichen"/>
          <w:sz w:val="16"/>
          <w:szCs w:val="16"/>
        </w:rPr>
        <w:footnoteRef/>
      </w:r>
      <w:r w:rsidRPr="00CB4F47">
        <w:rPr>
          <w:rStyle w:val="FootnoteReference"/>
          <w:b w:val="0"/>
          <w:color w:val="auto"/>
          <w:sz w:val="16"/>
          <w:szCs w:val="16"/>
          <w:lang w:eastAsia="en-US"/>
        </w:rPr>
        <w:t xml:space="preserve"> </w:t>
      </w:r>
      <w:r w:rsidRPr="00CB4F47">
        <w:rPr>
          <w:b w:val="0"/>
          <w:color w:val="auto"/>
          <w:sz w:val="16"/>
          <w:szCs w:val="16"/>
        </w:rPr>
        <w:t>Armitage, A, Comparing the policy of Aboriginal assimilation: Australia, Canada, and New Zealand (University of British Columbia Press, 1995</w:t>
      </w:r>
      <w:r w:rsidR="00A671DF" w:rsidRPr="00CB4F47">
        <w:rPr>
          <w:b w:val="0"/>
          <w:color w:val="auto"/>
          <w:sz w:val="16"/>
          <w:szCs w:val="16"/>
        </w:rPr>
        <w:t>,</w:t>
      </w:r>
      <w:r w:rsidRPr="00CB4F47">
        <w:rPr>
          <w:b w:val="0"/>
          <w:color w:val="auto"/>
          <w:sz w:val="16"/>
          <w:szCs w:val="16"/>
        </w:rPr>
        <w:t xml:space="preserve"> page 8</w:t>
      </w:r>
      <w:r w:rsidR="00C1388A">
        <w:rPr>
          <w:b w:val="0"/>
          <w:color w:val="auto"/>
          <w:sz w:val="16"/>
          <w:szCs w:val="16"/>
        </w:rPr>
        <w:t>)</w:t>
      </w:r>
      <w:r w:rsidRPr="00CB4F47">
        <w:rPr>
          <w:b w:val="0"/>
          <w:color w:val="auto"/>
          <w:sz w:val="16"/>
          <w:szCs w:val="16"/>
        </w:rPr>
        <w:t>.</w:t>
      </w:r>
    </w:p>
  </w:footnote>
  <w:footnote w:id="42">
    <w:p w14:paraId="3CC0B956" w14:textId="2FE9FE8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Armitage, A, Comparing the policy of Aboriginal assimilation: Australia, Canada, and New Zealand (University of British Columbia Press, </w:t>
      </w:r>
      <w:r w:rsidR="00A671DF" w:rsidRPr="00CB4F47">
        <w:rPr>
          <w:rFonts w:cs="Arial"/>
          <w:color w:val="auto"/>
          <w:sz w:val="16"/>
          <w:szCs w:val="16"/>
        </w:rPr>
        <w:t>1995,</w:t>
      </w:r>
      <w:r w:rsidRPr="00CB4F47">
        <w:rPr>
          <w:rFonts w:cs="Arial"/>
          <w:color w:val="auto"/>
          <w:sz w:val="16"/>
          <w:szCs w:val="16"/>
        </w:rPr>
        <w:t xml:space="preserve"> page 186</w:t>
      </w:r>
      <w:r w:rsidR="00C1388A">
        <w:rPr>
          <w:rFonts w:cs="Arial"/>
          <w:color w:val="auto"/>
          <w:sz w:val="16"/>
          <w:szCs w:val="16"/>
        </w:rPr>
        <w:t>)</w:t>
      </w:r>
      <w:r w:rsidRPr="00CB4F47">
        <w:rPr>
          <w:rFonts w:cs="Arial"/>
          <w:color w:val="auto"/>
          <w:sz w:val="16"/>
          <w:szCs w:val="16"/>
        </w:rPr>
        <w:t>.</w:t>
      </w:r>
    </w:p>
  </w:footnote>
  <w:footnote w:id="43">
    <w:p w14:paraId="4892FE4C" w14:textId="349689F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Armitage, A, Comparing the policy of Aboriginal assimilation: Australia, Canada, and New Zealand</w:t>
      </w:r>
      <w:r w:rsidRPr="00CB4F47">
        <w:rPr>
          <w:rFonts w:cs="Arial"/>
          <w:b/>
          <w:color w:val="auto"/>
          <w:sz w:val="16"/>
          <w:szCs w:val="16"/>
        </w:rPr>
        <w:t xml:space="preserve"> </w:t>
      </w:r>
      <w:r w:rsidRPr="00CB4F47">
        <w:rPr>
          <w:rFonts w:cs="Arial"/>
          <w:color w:val="auto"/>
          <w:sz w:val="16"/>
          <w:szCs w:val="16"/>
        </w:rPr>
        <w:t xml:space="preserve">(University of British Columbia Press, </w:t>
      </w:r>
      <w:r w:rsidR="00A671DF" w:rsidRPr="00CB4F47">
        <w:rPr>
          <w:rFonts w:cs="Arial"/>
          <w:color w:val="auto"/>
          <w:sz w:val="16"/>
          <w:szCs w:val="16"/>
        </w:rPr>
        <w:t>1995,</w:t>
      </w:r>
      <w:r w:rsidRPr="00CB4F47">
        <w:rPr>
          <w:rFonts w:cs="Arial"/>
          <w:color w:val="auto"/>
          <w:sz w:val="16"/>
          <w:szCs w:val="16"/>
        </w:rPr>
        <w:t xml:space="preserve"> pages 196 and 204</w:t>
      </w:r>
      <w:r w:rsidR="00C1388A">
        <w:rPr>
          <w:rFonts w:cs="Arial"/>
          <w:color w:val="auto"/>
          <w:sz w:val="16"/>
          <w:szCs w:val="16"/>
        </w:rPr>
        <w:t>)</w:t>
      </w:r>
      <w:r w:rsidRPr="00CB4F47">
        <w:rPr>
          <w:rFonts w:cs="Arial"/>
          <w:color w:val="auto"/>
          <w:sz w:val="16"/>
          <w:szCs w:val="16"/>
        </w:rPr>
        <w:t>.</w:t>
      </w:r>
    </w:p>
  </w:footnote>
  <w:footnote w:id="44">
    <w:p w14:paraId="672B2FFE" w14:textId="4F86DBE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Wilson, </w:t>
      </w:r>
      <w:r w:rsidR="00A671DF" w:rsidRPr="00CB4F47">
        <w:rPr>
          <w:rFonts w:cs="Arial"/>
          <w:color w:val="auto"/>
          <w:sz w:val="16"/>
          <w:szCs w:val="16"/>
        </w:rPr>
        <w:t>AN</w:t>
      </w:r>
      <w:r w:rsidRPr="00CB4F47">
        <w:rPr>
          <w:rFonts w:cs="Arial"/>
          <w:color w:val="auto"/>
          <w:sz w:val="16"/>
          <w:szCs w:val="16"/>
        </w:rPr>
        <w:t>, The Victorians</w:t>
      </w:r>
      <w:r w:rsidR="00A671DF" w:rsidRPr="00CB4F47">
        <w:rPr>
          <w:rFonts w:cs="Arial"/>
          <w:color w:val="auto"/>
          <w:sz w:val="16"/>
          <w:szCs w:val="16"/>
        </w:rPr>
        <w:t xml:space="preserve"> (</w:t>
      </w:r>
      <w:r w:rsidR="00A671DF">
        <w:rPr>
          <w:rFonts w:cs="Arial"/>
          <w:color w:val="auto"/>
          <w:sz w:val="16"/>
          <w:szCs w:val="16"/>
        </w:rPr>
        <w:t>Hutchinson</w:t>
      </w:r>
      <w:r w:rsidRPr="00CB4F47">
        <w:rPr>
          <w:rFonts w:cs="Arial"/>
          <w:color w:val="auto"/>
          <w:sz w:val="16"/>
          <w:szCs w:val="16"/>
        </w:rPr>
        <w:t>, 2002</w:t>
      </w:r>
      <w:r w:rsidR="00A671DF" w:rsidRPr="00CB4F47">
        <w:rPr>
          <w:rFonts w:cs="Arial"/>
          <w:color w:val="auto"/>
          <w:sz w:val="16"/>
          <w:szCs w:val="16"/>
        </w:rPr>
        <w:t>,</w:t>
      </w:r>
      <w:r w:rsidRPr="00CB4F47">
        <w:rPr>
          <w:rFonts w:cs="Arial"/>
          <w:color w:val="auto"/>
          <w:sz w:val="16"/>
          <w:szCs w:val="16"/>
        </w:rPr>
        <w:t xml:space="preserve"> page 12</w:t>
      </w:r>
      <w:r w:rsidR="00C1388A">
        <w:rPr>
          <w:rFonts w:cs="Arial"/>
          <w:color w:val="auto"/>
          <w:sz w:val="16"/>
          <w:szCs w:val="16"/>
        </w:rPr>
        <w:t>)</w:t>
      </w:r>
      <w:r w:rsidRPr="00CB4F47">
        <w:rPr>
          <w:rFonts w:cs="Arial"/>
          <w:color w:val="auto"/>
          <w:sz w:val="16"/>
          <w:szCs w:val="16"/>
        </w:rPr>
        <w:t>.</w:t>
      </w:r>
    </w:p>
  </w:footnote>
  <w:footnote w:id="45">
    <w:p w14:paraId="35693E80" w14:textId="03AEE56B" w:rsidR="000E429D" w:rsidRPr="00CB4F47" w:rsidRDefault="000E429D" w:rsidP="00C57877">
      <w:pPr>
        <w:pStyle w:val="FootnoteText"/>
        <w:spacing w:before="0" w:after="0" w:line="20" w:lineRule="atLeast"/>
        <w:jc w:val="left"/>
        <w:rPr>
          <w:rFonts w:cs="Arial"/>
          <w:color w:val="auto"/>
          <w:sz w:val="16"/>
          <w:szCs w:val="16"/>
          <w:u w:val="single"/>
        </w:rPr>
      </w:pPr>
      <w:r w:rsidRPr="00536E67">
        <w:rPr>
          <w:rStyle w:val="StyleFootnoteReferenceFagoFunotenzeichenFagoFunotenzeichen"/>
          <w:sz w:val="16"/>
          <w:szCs w:val="16"/>
        </w:rPr>
        <w:footnoteRef/>
      </w:r>
      <w:r w:rsidRPr="00CB4F47">
        <w:rPr>
          <w:rFonts w:cs="Arial"/>
          <w:color w:val="auto"/>
          <w:sz w:val="16"/>
          <w:szCs w:val="16"/>
        </w:rPr>
        <w:t xml:space="preserve"> UK Parliament, Poor Law reform website (accessed 28 November 2023),</w:t>
      </w:r>
      <w:r w:rsidRPr="00CB4F47">
        <w:rPr>
          <w:sz w:val="16"/>
          <w:szCs w:val="16"/>
        </w:rPr>
        <w:t xml:space="preserve"> </w:t>
      </w:r>
      <w:hyperlink r:id="rId6" w:history="1">
        <w:r w:rsidRPr="00CB4F47">
          <w:rPr>
            <w:rStyle w:val="Hyperlink"/>
            <w:rFonts w:cs="Arial"/>
            <w:sz w:val="16"/>
            <w:szCs w:val="16"/>
          </w:rPr>
          <w:t>https://www.parliament.uk/about/living-heritage/transformingsociety/livinglearning/19thcentury/overview/poorlaw/</w:t>
        </w:r>
      </w:hyperlink>
      <w:r w:rsidRPr="00CB4F47">
        <w:rPr>
          <w:rFonts w:cs="Arial"/>
          <w:color w:val="auto"/>
          <w:sz w:val="16"/>
          <w:szCs w:val="16"/>
        </w:rPr>
        <w:t>.</w:t>
      </w:r>
    </w:p>
  </w:footnote>
  <w:footnote w:id="46">
    <w:p w14:paraId="00935FF1" w14:textId="3F904EDD"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 xml:space="preserve">Derin, B, The </w:t>
      </w:r>
      <w:r w:rsidR="004217D3">
        <w:rPr>
          <w:rFonts w:cs="Arial"/>
          <w:sz w:val="16"/>
          <w:szCs w:val="16"/>
        </w:rPr>
        <w:t>n</w:t>
      </w:r>
      <w:r w:rsidRPr="00CB4F47">
        <w:rPr>
          <w:rFonts w:cs="Arial"/>
          <w:sz w:val="16"/>
          <w:szCs w:val="16"/>
        </w:rPr>
        <w:t xml:space="preserve">ineteenth </w:t>
      </w:r>
      <w:r w:rsidR="004217D3">
        <w:rPr>
          <w:rFonts w:cs="Arial"/>
          <w:sz w:val="16"/>
          <w:szCs w:val="16"/>
        </w:rPr>
        <w:t>c</w:t>
      </w:r>
      <w:r w:rsidRPr="00CB4F47">
        <w:rPr>
          <w:rFonts w:cs="Arial"/>
          <w:sz w:val="16"/>
          <w:szCs w:val="16"/>
        </w:rPr>
        <w:t>entury British workhouse: Mission not accomplished (Dominican University of California, 2019</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page 10</w:t>
      </w:r>
      <w:r w:rsidR="009361E8">
        <w:rPr>
          <w:rFonts w:cs="Arial"/>
          <w:color w:val="auto"/>
          <w:sz w:val="16"/>
          <w:szCs w:val="16"/>
        </w:rPr>
        <w:t>)</w:t>
      </w:r>
      <w:r w:rsidRPr="00CB4F47">
        <w:rPr>
          <w:rFonts w:cs="Arial"/>
          <w:color w:val="auto"/>
          <w:sz w:val="16"/>
          <w:szCs w:val="16"/>
        </w:rPr>
        <w:t>.</w:t>
      </w:r>
    </w:p>
  </w:footnote>
  <w:footnote w:id="47">
    <w:p w14:paraId="30D4536E" w14:textId="719A81E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Armitage, A, Comparing the Policy of Aboriginal assimilation: Australia</w:t>
      </w:r>
      <w:r w:rsidRPr="00CB4F47">
        <w:rPr>
          <w:rFonts w:cs="Arial"/>
          <w:b/>
          <w:color w:val="auto"/>
          <w:sz w:val="16"/>
          <w:szCs w:val="16"/>
        </w:rPr>
        <w:t>,</w:t>
      </w:r>
      <w:r w:rsidRPr="00CB4F47">
        <w:rPr>
          <w:rFonts w:cs="Arial"/>
          <w:color w:val="auto"/>
          <w:sz w:val="16"/>
          <w:szCs w:val="16"/>
        </w:rPr>
        <w:t xml:space="preserve"> Canada, and New Zealand</w:t>
      </w:r>
      <w:r w:rsidRPr="00CB4F47">
        <w:rPr>
          <w:rFonts w:cs="Arial"/>
          <w:b/>
          <w:color w:val="auto"/>
          <w:sz w:val="16"/>
          <w:szCs w:val="16"/>
        </w:rPr>
        <w:t xml:space="preserve"> </w:t>
      </w:r>
      <w:r w:rsidRPr="00CB4F47">
        <w:rPr>
          <w:rFonts w:cs="Arial"/>
          <w:color w:val="auto"/>
          <w:sz w:val="16"/>
          <w:szCs w:val="16"/>
        </w:rPr>
        <w:t xml:space="preserve">(University of British Columbia Press, </w:t>
      </w:r>
      <w:r w:rsidR="00A671DF" w:rsidRPr="00CB4F47">
        <w:rPr>
          <w:rFonts w:cs="Arial"/>
          <w:color w:val="auto"/>
          <w:sz w:val="16"/>
          <w:szCs w:val="16"/>
        </w:rPr>
        <w:t>1995,</w:t>
      </w:r>
      <w:r w:rsidRPr="00CB4F47">
        <w:rPr>
          <w:rFonts w:cs="Arial"/>
          <w:color w:val="auto"/>
          <w:sz w:val="16"/>
          <w:szCs w:val="16"/>
        </w:rPr>
        <w:t xml:space="preserve"> page 3</w:t>
      </w:r>
      <w:r w:rsidR="009361E8">
        <w:rPr>
          <w:rFonts w:cs="Arial"/>
          <w:color w:val="auto"/>
          <w:sz w:val="16"/>
          <w:szCs w:val="16"/>
        </w:rPr>
        <w:t>)</w:t>
      </w:r>
      <w:r w:rsidRPr="00CB4F47">
        <w:rPr>
          <w:rFonts w:cs="Arial"/>
          <w:color w:val="auto"/>
          <w:sz w:val="16"/>
          <w:szCs w:val="16"/>
        </w:rPr>
        <w:t>.</w:t>
      </w:r>
    </w:p>
  </w:footnote>
  <w:footnote w:id="48">
    <w:p w14:paraId="72826A49" w14:textId="27CD7E22" w:rsidR="009C257B" w:rsidRDefault="009C257B">
      <w:pPr>
        <w:pStyle w:val="FootnoteText"/>
      </w:pPr>
      <w:r>
        <w:rPr>
          <w:rStyle w:val="FootnoteReference"/>
        </w:rPr>
        <w:footnoteRef/>
      </w:r>
      <w:r>
        <w:t xml:space="preserve"> </w:t>
      </w:r>
      <w:r w:rsidRPr="004919C1">
        <w:rPr>
          <w:sz w:val="16"/>
          <w:szCs w:val="16"/>
        </w:rPr>
        <w:t>Garlick, T, Social developments: An organisational history of the Ministry of Social Development and its predecessors, 1860–2011 (Steele Roberts Aotearoa, 2012, page 2</w:t>
      </w:r>
      <w:r w:rsidR="000B06C9">
        <w:rPr>
          <w:sz w:val="16"/>
          <w:szCs w:val="16"/>
        </w:rPr>
        <w:t>4</w:t>
      </w:r>
      <w:r>
        <w:rPr>
          <w:sz w:val="16"/>
          <w:szCs w:val="16"/>
        </w:rPr>
        <w:t>)</w:t>
      </w:r>
      <w:r w:rsidRPr="004919C1">
        <w:rPr>
          <w:sz w:val="16"/>
          <w:szCs w:val="16"/>
        </w:rPr>
        <w:t>.</w:t>
      </w:r>
    </w:p>
  </w:footnote>
  <w:footnote w:id="49">
    <w:p w14:paraId="4FA1FBFD" w14:textId="6F0725B9" w:rsidR="000B06C9" w:rsidRDefault="000B06C9">
      <w:pPr>
        <w:pStyle w:val="FootnoteText"/>
      </w:pPr>
      <w:r>
        <w:rPr>
          <w:rStyle w:val="FootnoteReference"/>
        </w:rPr>
        <w:footnoteRef/>
      </w:r>
      <w:r>
        <w:t xml:space="preserve"> </w:t>
      </w:r>
      <w:r w:rsidRPr="004919C1">
        <w:rPr>
          <w:sz w:val="16"/>
          <w:szCs w:val="16"/>
        </w:rPr>
        <w:t>Garlick, T, Social developments: An organisational history of the Ministry of Social Development and its predecessors, 1860–2011 (Steele Roberts Aotearoa, 2012, page 2</w:t>
      </w:r>
      <w:r>
        <w:rPr>
          <w:sz w:val="16"/>
          <w:szCs w:val="16"/>
        </w:rPr>
        <w:t>7)</w:t>
      </w:r>
      <w:r w:rsidRPr="004919C1">
        <w:rPr>
          <w:sz w:val="16"/>
          <w:szCs w:val="16"/>
        </w:rPr>
        <w:t>.</w:t>
      </w:r>
    </w:p>
  </w:footnote>
  <w:footnote w:id="50">
    <w:p w14:paraId="5C916340" w14:textId="52C12E5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Arial" w:cs="Arial"/>
          <w:color w:val="auto"/>
          <w:sz w:val="16"/>
          <w:szCs w:val="16"/>
        </w:rPr>
        <w:t xml:space="preserve">Lineham, </w:t>
      </w:r>
      <w:r w:rsidR="00A671DF" w:rsidRPr="00CB4F47">
        <w:rPr>
          <w:rFonts w:eastAsia="Arial" w:cs="Arial"/>
          <w:color w:val="auto"/>
          <w:sz w:val="16"/>
          <w:szCs w:val="16"/>
        </w:rPr>
        <w:t>PJ</w:t>
      </w:r>
      <w:r w:rsidRPr="00CB4F47">
        <w:rPr>
          <w:rFonts w:eastAsia="Arial" w:cs="Arial"/>
          <w:color w:val="auto"/>
          <w:sz w:val="16"/>
          <w:szCs w:val="16"/>
        </w:rPr>
        <w:t>, “Trends in religious history in New Zealand: From institutional to social history</w:t>
      </w:r>
      <w:r w:rsidR="00367549">
        <w:rPr>
          <w:rFonts w:eastAsia="Arial" w:cs="Arial"/>
          <w:color w:val="auto"/>
          <w:sz w:val="16"/>
          <w:szCs w:val="16"/>
        </w:rPr>
        <w:t>,</w:t>
      </w:r>
      <w:r w:rsidR="00A671DF" w:rsidRPr="00CB4F47">
        <w:rPr>
          <w:rFonts w:eastAsia="Arial" w:cs="Arial"/>
          <w:color w:val="auto"/>
          <w:sz w:val="16"/>
          <w:szCs w:val="16"/>
        </w:rPr>
        <w:t>”</w:t>
      </w:r>
      <w:r w:rsidRPr="00CB4F47">
        <w:rPr>
          <w:rFonts w:eastAsia="Arial" w:cs="Arial"/>
          <w:color w:val="auto"/>
          <w:sz w:val="16"/>
          <w:szCs w:val="16"/>
        </w:rPr>
        <w:t xml:space="preserve"> History Compass 12(4)</w:t>
      </w:r>
      <w:r w:rsidR="00C86D05">
        <w:rPr>
          <w:rFonts w:eastAsia="Arial" w:cs="Arial"/>
          <w:color w:val="auto"/>
          <w:sz w:val="16"/>
          <w:szCs w:val="16"/>
        </w:rPr>
        <w:t>,</w:t>
      </w:r>
      <w:r w:rsidRPr="00CB4F47">
        <w:rPr>
          <w:rFonts w:eastAsia="Arial" w:cs="Arial"/>
          <w:color w:val="auto"/>
          <w:sz w:val="16"/>
          <w:szCs w:val="16"/>
        </w:rPr>
        <w:t xml:space="preserve"> (2014</w:t>
      </w:r>
      <w:r w:rsidR="00A671DF" w:rsidRPr="00CB4F47">
        <w:rPr>
          <w:rFonts w:eastAsia="Arial" w:cs="Arial"/>
          <w:color w:val="auto"/>
          <w:sz w:val="16"/>
          <w:szCs w:val="16"/>
        </w:rPr>
        <w:t>,</w:t>
      </w:r>
      <w:r w:rsidRPr="00CB4F47">
        <w:rPr>
          <w:rFonts w:eastAsia="Arial" w:cs="Arial"/>
          <w:color w:val="auto"/>
          <w:sz w:val="16"/>
          <w:szCs w:val="16"/>
        </w:rPr>
        <w:t xml:space="preserve"> </w:t>
      </w:r>
      <w:r w:rsidRPr="00CB4F47">
        <w:rPr>
          <w:rFonts w:cs="Arial"/>
          <w:color w:val="auto"/>
          <w:sz w:val="16"/>
          <w:szCs w:val="16"/>
        </w:rPr>
        <w:t>pages</w:t>
      </w:r>
      <w:r w:rsidRPr="00CB4F47">
        <w:rPr>
          <w:rFonts w:eastAsia="Arial" w:cs="Arial"/>
          <w:color w:val="auto"/>
          <w:sz w:val="16"/>
          <w:szCs w:val="16"/>
        </w:rPr>
        <w:t xml:space="preserve"> 333</w:t>
      </w:r>
      <w:r w:rsidRPr="00CB4F47">
        <w:rPr>
          <w:rFonts w:cs="Arial"/>
          <w:color w:val="auto"/>
          <w:sz w:val="16"/>
          <w:szCs w:val="16"/>
        </w:rPr>
        <w:t>–</w:t>
      </w:r>
      <w:r w:rsidRPr="00CB4F47">
        <w:rPr>
          <w:rFonts w:eastAsia="Arial" w:cs="Arial"/>
          <w:color w:val="auto"/>
          <w:sz w:val="16"/>
          <w:szCs w:val="16"/>
        </w:rPr>
        <w:t xml:space="preserve">343, </w:t>
      </w:r>
      <w:r w:rsidRPr="00CB4F47">
        <w:rPr>
          <w:rFonts w:cs="Arial"/>
          <w:color w:val="auto"/>
          <w:sz w:val="16"/>
          <w:szCs w:val="16"/>
        </w:rPr>
        <w:t>page</w:t>
      </w:r>
      <w:r w:rsidRPr="00CB4F47">
        <w:rPr>
          <w:rFonts w:eastAsia="Arial" w:cs="Arial"/>
          <w:color w:val="auto"/>
          <w:sz w:val="16"/>
          <w:szCs w:val="16"/>
        </w:rPr>
        <w:t xml:space="preserve"> 336</w:t>
      </w:r>
      <w:r w:rsidR="009361E8">
        <w:rPr>
          <w:rFonts w:eastAsia="Arial" w:cs="Arial"/>
          <w:color w:val="auto"/>
          <w:sz w:val="16"/>
          <w:szCs w:val="16"/>
        </w:rPr>
        <w:t>)</w:t>
      </w:r>
      <w:r w:rsidRPr="00CB4F47">
        <w:rPr>
          <w:rFonts w:eastAsia="Arial" w:cs="Arial"/>
          <w:color w:val="auto"/>
          <w:sz w:val="16"/>
          <w:szCs w:val="16"/>
        </w:rPr>
        <w:t>.</w:t>
      </w:r>
    </w:p>
  </w:footnote>
  <w:footnote w:id="51">
    <w:p w14:paraId="66943C7E" w14:textId="7AB573F7" w:rsidR="001A1D37" w:rsidRDefault="001A1D37">
      <w:pPr>
        <w:pStyle w:val="FootnoteText"/>
      </w:pPr>
      <w:r w:rsidRPr="00536E67">
        <w:rPr>
          <w:rStyle w:val="FootnoteReference"/>
          <w:sz w:val="16"/>
          <w:szCs w:val="18"/>
        </w:rPr>
        <w:footnoteRef/>
      </w:r>
      <w:r w:rsidRPr="00536E67">
        <w:rPr>
          <w:sz w:val="16"/>
          <w:szCs w:val="18"/>
        </w:rPr>
        <w:t xml:space="preserve"> Clarke, A, Orphanages and children's homes in Otago and Southland (University of Otago 2013, page 13).</w:t>
      </w:r>
    </w:p>
  </w:footnote>
  <w:footnote w:id="52">
    <w:p w14:paraId="23D5FBF4" w14:textId="590EAA4A" w:rsidR="000E429D" w:rsidRPr="00CB4F47" w:rsidRDefault="000E429D" w:rsidP="00C57877">
      <w:pPr>
        <w:pStyle w:val="FootnoteText"/>
        <w:tabs>
          <w:tab w:val="left" w:pos="6096"/>
        </w:tabs>
        <w:spacing w:before="0" w:after="0" w:line="20" w:lineRule="atLeast"/>
        <w:jc w:val="left"/>
        <w:rPr>
          <w:rFonts w:cs="Arial"/>
          <w:color w:val="1F546B" w:themeColor="text2"/>
          <w:sz w:val="16"/>
          <w:szCs w:val="16"/>
          <w:u w:val="single"/>
        </w:rPr>
      </w:pPr>
      <w:r w:rsidRPr="00536E67">
        <w:rPr>
          <w:rStyle w:val="StyleFootnoteReferenceFagoFunotenzeichenFagoFunotenzeichen"/>
          <w:sz w:val="16"/>
          <w:szCs w:val="16"/>
        </w:rPr>
        <w:footnoteRef/>
      </w:r>
      <w:r w:rsidRPr="00CB4F47">
        <w:rPr>
          <w:rFonts w:cs="Arial"/>
          <w:sz w:val="16"/>
          <w:szCs w:val="16"/>
        </w:rPr>
        <w:t xml:space="preserve"> Bloy, M, The 1601 Elizabethan Poor Law (The Victorian Web</w:t>
      </w:r>
      <w:r w:rsidR="0032714E">
        <w:rPr>
          <w:rFonts w:cs="Arial"/>
          <w:sz w:val="16"/>
          <w:szCs w:val="16"/>
        </w:rPr>
        <w:t>,</w:t>
      </w:r>
      <w:r w:rsidRPr="00CB4F47">
        <w:rPr>
          <w:rFonts w:cs="Arial"/>
          <w:sz w:val="16"/>
          <w:szCs w:val="16"/>
        </w:rPr>
        <w:t xml:space="preserve"> 2002).</w:t>
      </w:r>
    </w:p>
  </w:footnote>
  <w:footnote w:id="53">
    <w:p w14:paraId="20D80C0E" w14:textId="6EFFBC1C" w:rsidR="00CC0F3C" w:rsidRPr="004919C1" w:rsidRDefault="00CC0F3C">
      <w:pPr>
        <w:pStyle w:val="FootnoteText"/>
        <w:rPr>
          <w:sz w:val="16"/>
          <w:szCs w:val="16"/>
        </w:rPr>
      </w:pPr>
      <w:r w:rsidRPr="00536E67">
        <w:rPr>
          <w:rStyle w:val="StyleFootnoteReferenceFagoFunotenzeichenFagoFunotenzeichen"/>
          <w:sz w:val="16"/>
          <w:szCs w:val="16"/>
        </w:rPr>
        <w:footnoteRef/>
      </w:r>
      <w:r w:rsidRPr="004919C1">
        <w:rPr>
          <w:sz w:val="16"/>
          <w:szCs w:val="16"/>
        </w:rPr>
        <w:t xml:space="preserve"> Garlick, T, Social developments: An organisational history of the Ministry of Social Development and its predecessors, 1860–2011 (Steele Roberts Aotearoa, 2012</w:t>
      </w:r>
      <w:r w:rsidR="00A671DF" w:rsidRPr="004919C1">
        <w:rPr>
          <w:sz w:val="16"/>
          <w:szCs w:val="16"/>
        </w:rPr>
        <w:t>,</w:t>
      </w:r>
      <w:r w:rsidRPr="004919C1">
        <w:rPr>
          <w:sz w:val="16"/>
          <w:szCs w:val="16"/>
        </w:rPr>
        <w:t xml:space="preserve"> page 24</w:t>
      </w:r>
      <w:r w:rsidR="00B74EBA">
        <w:rPr>
          <w:sz w:val="16"/>
          <w:szCs w:val="16"/>
        </w:rPr>
        <w:t>)</w:t>
      </w:r>
      <w:r w:rsidRPr="004919C1">
        <w:rPr>
          <w:sz w:val="16"/>
          <w:szCs w:val="16"/>
        </w:rPr>
        <w:t>.</w:t>
      </w:r>
    </w:p>
  </w:footnote>
  <w:footnote w:id="54">
    <w:p w14:paraId="2D82BEB6" w14:textId="77777777" w:rsidR="00A671DF" w:rsidRPr="007B2BA9" w:rsidRDefault="00A671DF" w:rsidP="00243A8B">
      <w:pPr>
        <w:pStyle w:val="FootnoteText"/>
        <w:spacing w:before="0" w:after="0"/>
        <w:rPr>
          <w:sz w:val="16"/>
          <w:szCs w:val="16"/>
        </w:rPr>
      </w:pPr>
      <w:r w:rsidRPr="00536E67">
        <w:rPr>
          <w:rStyle w:val="StyleFootnoteReferenceFagoFunotenzeichenFagoFunotenzeichen"/>
          <w:sz w:val="16"/>
          <w:szCs w:val="16"/>
        </w:rPr>
        <w:footnoteRef/>
      </w:r>
      <w:r w:rsidRPr="007B2BA9">
        <w:rPr>
          <w:sz w:val="16"/>
          <w:szCs w:val="16"/>
        </w:rPr>
        <w:t xml:space="preserve"> </w:t>
      </w:r>
      <w:r w:rsidRPr="00FD11CA">
        <w:rPr>
          <w:rFonts w:cs="Arial"/>
          <w:sz w:val="16"/>
          <w:szCs w:val="16"/>
        </w:rPr>
        <w:t xml:space="preserve">Dalley, B, Family matters: Child welfare in twentieth-century New Zealand (Auckland University Press, 1998, </w:t>
      </w:r>
      <w:r w:rsidRPr="00FD11CA">
        <w:rPr>
          <w:rFonts w:cs="Arial"/>
          <w:color w:val="auto"/>
          <w:sz w:val="16"/>
          <w:szCs w:val="16"/>
        </w:rPr>
        <w:t>page 16</w:t>
      </w:r>
      <w:r>
        <w:rPr>
          <w:rFonts w:cs="Arial"/>
          <w:color w:val="auto"/>
          <w:sz w:val="16"/>
          <w:szCs w:val="16"/>
        </w:rPr>
        <w:t>)</w:t>
      </w:r>
      <w:r w:rsidRPr="00FD11CA">
        <w:rPr>
          <w:rFonts w:cs="Arial"/>
          <w:color w:val="auto"/>
          <w:sz w:val="16"/>
          <w:szCs w:val="16"/>
        </w:rPr>
        <w:t>.</w:t>
      </w:r>
    </w:p>
  </w:footnote>
  <w:footnote w:id="55">
    <w:p w14:paraId="0BDB06CA" w14:textId="581CB0ED" w:rsidR="00A671DF" w:rsidRPr="00771FAC" w:rsidRDefault="00A671DF" w:rsidP="00243A8B">
      <w:pPr>
        <w:pStyle w:val="FootnoteText"/>
        <w:spacing w:before="0" w:after="0"/>
        <w:rPr>
          <w:sz w:val="16"/>
          <w:szCs w:val="16"/>
        </w:rPr>
      </w:pPr>
      <w:r w:rsidRPr="00536E67">
        <w:rPr>
          <w:rStyle w:val="StyleFootnoteReferenceFagoFunotenzeichenFagoFunotenzeichen"/>
          <w:sz w:val="16"/>
          <w:szCs w:val="16"/>
        </w:rPr>
        <w:footnoteRef/>
      </w:r>
      <w:r w:rsidRPr="00771FAC">
        <w:rPr>
          <w:sz w:val="16"/>
          <w:szCs w:val="16"/>
        </w:rPr>
        <w:t xml:space="preserve"> </w:t>
      </w:r>
      <w:r w:rsidRPr="001A789E">
        <w:rPr>
          <w:sz w:val="16"/>
          <w:szCs w:val="16"/>
        </w:rPr>
        <w:t xml:space="preserve">Neglected and Criminal Children Act 1867, </w:t>
      </w:r>
      <w:r>
        <w:rPr>
          <w:sz w:val="16"/>
          <w:szCs w:val="16"/>
        </w:rPr>
        <w:t>section 13</w:t>
      </w:r>
      <w:r w:rsidRPr="001A789E">
        <w:rPr>
          <w:sz w:val="16"/>
          <w:szCs w:val="16"/>
        </w:rPr>
        <w:t>.</w:t>
      </w:r>
    </w:p>
  </w:footnote>
  <w:footnote w:id="56">
    <w:p w14:paraId="6CA02F79" w14:textId="77777777" w:rsidR="00A671DF" w:rsidRPr="00771FAC" w:rsidRDefault="00A671DF" w:rsidP="00243A8B">
      <w:pPr>
        <w:pStyle w:val="FootnoteText"/>
        <w:spacing w:before="0" w:after="0"/>
        <w:rPr>
          <w:sz w:val="16"/>
          <w:szCs w:val="16"/>
        </w:rPr>
      </w:pPr>
      <w:r w:rsidRPr="00536E67">
        <w:rPr>
          <w:rStyle w:val="StyleFootnoteReferenceFagoFunotenzeichenFagoFunotenzeichen"/>
          <w:sz w:val="16"/>
          <w:szCs w:val="16"/>
        </w:rPr>
        <w:footnoteRef/>
      </w:r>
      <w:r w:rsidRPr="00771FAC">
        <w:rPr>
          <w:sz w:val="16"/>
          <w:szCs w:val="16"/>
        </w:rPr>
        <w:t xml:space="preserve"> </w:t>
      </w:r>
      <w:r w:rsidRPr="00FD11CA">
        <w:rPr>
          <w:rFonts w:cs="Arial"/>
          <w:sz w:val="16"/>
          <w:szCs w:val="16"/>
        </w:rPr>
        <w:t xml:space="preserve">Dalley, B, Family matters: Child welfare in twentieth-century New Zealand (Auckland University Press, 1998, </w:t>
      </w:r>
      <w:r w:rsidRPr="00FD11CA">
        <w:rPr>
          <w:rFonts w:cs="Arial"/>
          <w:color w:val="auto"/>
          <w:sz w:val="16"/>
          <w:szCs w:val="16"/>
        </w:rPr>
        <w:t>page 17</w:t>
      </w:r>
      <w:r>
        <w:rPr>
          <w:rFonts w:cs="Arial"/>
          <w:color w:val="auto"/>
          <w:sz w:val="16"/>
          <w:szCs w:val="16"/>
        </w:rPr>
        <w:t>)</w:t>
      </w:r>
      <w:r w:rsidRPr="00FD11CA">
        <w:rPr>
          <w:rFonts w:cs="Arial"/>
          <w:color w:val="auto"/>
          <w:sz w:val="16"/>
          <w:szCs w:val="16"/>
        </w:rPr>
        <w:t>.</w:t>
      </w:r>
    </w:p>
  </w:footnote>
  <w:footnote w:id="57">
    <w:p w14:paraId="7539EF4B" w14:textId="57CA0D8E" w:rsidR="002466F2" w:rsidRPr="004F5209" w:rsidRDefault="002466F2">
      <w:pPr>
        <w:pStyle w:val="FootnoteText"/>
        <w:rPr>
          <w:sz w:val="16"/>
          <w:szCs w:val="16"/>
        </w:rPr>
      </w:pPr>
      <w:r w:rsidRPr="00536E67">
        <w:rPr>
          <w:rStyle w:val="StyleFootnoteReferenceFagoFunotenzeichenFagoFunotenzeichen"/>
          <w:sz w:val="16"/>
          <w:szCs w:val="16"/>
        </w:rPr>
        <w:footnoteRef/>
      </w:r>
      <w:r w:rsidRPr="004F5209">
        <w:rPr>
          <w:sz w:val="16"/>
          <w:szCs w:val="16"/>
        </w:rPr>
        <w:t xml:space="preserve"> </w:t>
      </w:r>
      <w:r w:rsidR="00292B3D" w:rsidRPr="004F5209">
        <w:rPr>
          <w:sz w:val="16"/>
          <w:szCs w:val="16"/>
        </w:rPr>
        <w:t xml:space="preserve">Tennant, M, Paupers &amp; providers: Charitable aid in New Zealand (Allen </w:t>
      </w:r>
      <w:r w:rsidR="002F0292">
        <w:rPr>
          <w:sz w:val="16"/>
          <w:szCs w:val="16"/>
        </w:rPr>
        <w:t>&amp;</w:t>
      </w:r>
      <w:r w:rsidR="002F0292" w:rsidRPr="004F5209">
        <w:rPr>
          <w:sz w:val="16"/>
          <w:szCs w:val="16"/>
        </w:rPr>
        <w:t xml:space="preserve"> </w:t>
      </w:r>
      <w:r w:rsidR="00292B3D" w:rsidRPr="004F5209">
        <w:rPr>
          <w:sz w:val="16"/>
          <w:szCs w:val="16"/>
        </w:rPr>
        <w:t>Unwin</w:t>
      </w:r>
      <w:r w:rsidR="009163B1">
        <w:rPr>
          <w:sz w:val="16"/>
          <w:szCs w:val="16"/>
        </w:rPr>
        <w:t>, Department of Internal Affairs,</w:t>
      </w:r>
      <w:r w:rsidR="00292B3D" w:rsidRPr="004F5209">
        <w:rPr>
          <w:sz w:val="16"/>
          <w:szCs w:val="16"/>
        </w:rPr>
        <w:t xml:space="preserve"> 1989</w:t>
      </w:r>
      <w:r w:rsidR="00A671DF" w:rsidRPr="004F5209">
        <w:rPr>
          <w:sz w:val="16"/>
          <w:szCs w:val="16"/>
        </w:rPr>
        <w:t>,</w:t>
      </w:r>
      <w:r w:rsidR="00292B3D" w:rsidRPr="004F5209">
        <w:rPr>
          <w:sz w:val="16"/>
          <w:szCs w:val="16"/>
        </w:rPr>
        <w:t xml:space="preserve"> page 32</w:t>
      </w:r>
      <w:r w:rsidR="00B74EBA">
        <w:rPr>
          <w:sz w:val="16"/>
          <w:szCs w:val="16"/>
        </w:rPr>
        <w:t>)</w:t>
      </w:r>
      <w:r w:rsidR="00292B3D" w:rsidRPr="004F5209">
        <w:rPr>
          <w:sz w:val="16"/>
          <w:szCs w:val="16"/>
        </w:rPr>
        <w:t>.</w:t>
      </w:r>
    </w:p>
  </w:footnote>
  <w:footnote w:id="58">
    <w:p w14:paraId="5509B7BC" w14:textId="0104CBFE" w:rsidR="00B61550" w:rsidRPr="004F5209" w:rsidRDefault="00B61550">
      <w:pPr>
        <w:pStyle w:val="FootnoteText"/>
        <w:rPr>
          <w:sz w:val="16"/>
          <w:szCs w:val="16"/>
        </w:rPr>
      </w:pPr>
      <w:r w:rsidRPr="00536E67">
        <w:rPr>
          <w:rStyle w:val="StyleFootnoteReferenceFagoFunotenzeichenFagoFunotenzeichen"/>
          <w:sz w:val="16"/>
          <w:szCs w:val="16"/>
        </w:rPr>
        <w:footnoteRef/>
      </w:r>
      <w:r w:rsidRPr="004F5209">
        <w:rPr>
          <w:sz w:val="16"/>
          <w:szCs w:val="16"/>
        </w:rPr>
        <w:t xml:space="preserve"> Dalley, B, Family matters: Child welfare in twentieth-century New Zealand (Auckland University Press, 1998</w:t>
      </w:r>
      <w:r w:rsidR="00A671DF" w:rsidRPr="004F5209">
        <w:rPr>
          <w:sz w:val="16"/>
          <w:szCs w:val="16"/>
        </w:rPr>
        <w:t>,</w:t>
      </w:r>
      <w:r w:rsidRPr="004F5209">
        <w:rPr>
          <w:sz w:val="16"/>
          <w:szCs w:val="16"/>
        </w:rPr>
        <w:t xml:space="preserve"> pages 17–18</w:t>
      </w:r>
      <w:r w:rsidR="00B74EBA">
        <w:rPr>
          <w:sz w:val="16"/>
          <w:szCs w:val="16"/>
        </w:rPr>
        <w:t>)</w:t>
      </w:r>
      <w:r w:rsidRPr="004F5209">
        <w:rPr>
          <w:sz w:val="16"/>
          <w:szCs w:val="16"/>
        </w:rPr>
        <w:t>.</w:t>
      </w:r>
    </w:p>
  </w:footnote>
  <w:footnote w:id="59">
    <w:p w14:paraId="732DC4F5" w14:textId="301274D0" w:rsidR="001E78B8" w:rsidRPr="00536E67" w:rsidRDefault="001E78B8">
      <w:pPr>
        <w:pStyle w:val="FootnoteText"/>
        <w:rPr>
          <w:sz w:val="16"/>
          <w:szCs w:val="16"/>
        </w:rPr>
      </w:pPr>
      <w:r w:rsidRPr="00536E67">
        <w:rPr>
          <w:rStyle w:val="StyleFootnoteReferenceFagoFunotenzeichenFagoFunotenzeichen"/>
          <w:sz w:val="16"/>
          <w:szCs w:val="16"/>
        </w:rPr>
        <w:footnoteRef/>
      </w:r>
      <w:r w:rsidRPr="004F5209">
        <w:rPr>
          <w:sz w:val="16"/>
          <w:szCs w:val="16"/>
        </w:rPr>
        <w:t xml:space="preserve"> Dalley, B, Family matters: Child welfare in twentieth-century New Zealand (Auckland University Press, 1998</w:t>
      </w:r>
      <w:r w:rsidR="00A671DF" w:rsidRPr="004F5209">
        <w:rPr>
          <w:sz w:val="16"/>
          <w:szCs w:val="16"/>
        </w:rPr>
        <w:t>,</w:t>
      </w:r>
      <w:r w:rsidRPr="004F5209">
        <w:rPr>
          <w:sz w:val="16"/>
          <w:szCs w:val="16"/>
        </w:rPr>
        <w:t xml:space="preserve"> page 18</w:t>
      </w:r>
      <w:r w:rsidR="00B74EBA">
        <w:rPr>
          <w:sz w:val="16"/>
          <w:szCs w:val="16"/>
        </w:rPr>
        <w:t>)</w:t>
      </w:r>
      <w:r w:rsidRPr="004F5209">
        <w:rPr>
          <w:sz w:val="16"/>
          <w:szCs w:val="16"/>
        </w:rPr>
        <w:t>.</w:t>
      </w:r>
    </w:p>
  </w:footnote>
  <w:footnote w:id="60">
    <w:p w14:paraId="68BB8C00" w14:textId="094C706D" w:rsidR="0071610E" w:rsidRPr="00536E67" w:rsidRDefault="0071610E">
      <w:pPr>
        <w:pStyle w:val="FootnoteText"/>
        <w:rPr>
          <w:sz w:val="16"/>
          <w:szCs w:val="16"/>
        </w:rPr>
      </w:pPr>
      <w:r w:rsidRPr="00536E67">
        <w:rPr>
          <w:rStyle w:val="FootnoteReference"/>
          <w:sz w:val="16"/>
          <w:szCs w:val="16"/>
        </w:rPr>
        <w:footnoteRef/>
      </w:r>
      <w:r w:rsidRPr="00536E67">
        <w:rPr>
          <w:sz w:val="16"/>
          <w:szCs w:val="16"/>
        </w:rPr>
        <w:t xml:space="preserve"> </w:t>
      </w:r>
      <w:r w:rsidR="004322A4" w:rsidRPr="00536E67">
        <w:rPr>
          <w:sz w:val="16"/>
          <w:szCs w:val="16"/>
        </w:rPr>
        <w:t xml:space="preserve">Hughes, B, The </w:t>
      </w:r>
      <w:r w:rsidR="00472102">
        <w:rPr>
          <w:sz w:val="16"/>
          <w:szCs w:val="16"/>
        </w:rPr>
        <w:t>E</w:t>
      </w:r>
      <w:r w:rsidR="004322A4" w:rsidRPr="00536E67">
        <w:rPr>
          <w:sz w:val="16"/>
          <w:szCs w:val="16"/>
        </w:rPr>
        <w:t xml:space="preserve">nquiry into </w:t>
      </w:r>
      <w:r w:rsidR="00472102">
        <w:rPr>
          <w:sz w:val="16"/>
          <w:szCs w:val="16"/>
        </w:rPr>
        <w:t xml:space="preserve">the </w:t>
      </w:r>
      <w:r w:rsidR="004322A4" w:rsidRPr="00536E67">
        <w:rPr>
          <w:sz w:val="16"/>
          <w:szCs w:val="16"/>
        </w:rPr>
        <w:t xml:space="preserve">Te Oranga Girls Home, 1908, </w:t>
      </w:r>
      <w:r w:rsidR="003360DA" w:rsidRPr="00536E67">
        <w:rPr>
          <w:rFonts w:ascii="Helvetica" w:hAnsi="Helvetica" w:cs="Helvetica"/>
          <w:color w:val="000000"/>
          <w:sz w:val="16"/>
          <w:szCs w:val="16"/>
          <w:shd w:val="clear" w:color="auto" w:fill="FEFEFE"/>
        </w:rPr>
        <w:t>Women</w:t>
      </w:r>
      <w:r w:rsidR="00344157">
        <w:rPr>
          <w:rFonts w:ascii="Helvetica" w:hAnsi="Helvetica" w:cs="Helvetica"/>
          <w:color w:val="000000"/>
          <w:sz w:val="16"/>
          <w:szCs w:val="16"/>
          <w:shd w:val="clear" w:color="auto" w:fill="FEFEFE"/>
        </w:rPr>
        <w:t>’</w:t>
      </w:r>
      <w:r w:rsidR="003360DA" w:rsidRPr="00536E67">
        <w:rPr>
          <w:rFonts w:ascii="Helvetica" w:hAnsi="Helvetica" w:cs="Helvetica"/>
          <w:color w:val="000000"/>
          <w:sz w:val="16"/>
          <w:szCs w:val="16"/>
          <w:shd w:val="clear" w:color="auto" w:fill="FEFEFE"/>
        </w:rPr>
        <w:t xml:space="preserve">s </w:t>
      </w:r>
      <w:r w:rsidR="008449C0">
        <w:rPr>
          <w:rFonts w:ascii="Helvetica" w:hAnsi="Helvetica" w:cs="Helvetica"/>
          <w:color w:val="000000"/>
          <w:sz w:val="16"/>
          <w:szCs w:val="16"/>
          <w:shd w:val="clear" w:color="auto" w:fill="FEFEFE"/>
        </w:rPr>
        <w:t>S</w:t>
      </w:r>
      <w:r w:rsidR="003360DA" w:rsidRPr="00536E67">
        <w:rPr>
          <w:rFonts w:ascii="Helvetica" w:hAnsi="Helvetica" w:cs="Helvetica"/>
          <w:color w:val="000000"/>
          <w:sz w:val="16"/>
          <w:szCs w:val="16"/>
          <w:shd w:val="clear" w:color="auto" w:fill="FEFEFE"/>
        </w:rPr>
        <w:t xml:space="preserve">tudies </w:t>
      </w:r>
      <w:r w:rsidR="008449C0">
        <w:rPr>
          <w:rFonts w:ascii="Helvetica" w:hAnsi="Helvetica" w:cs="Helvetica"/>
          <w:color w:val="000000"/>
          <w:sz w:val="16"/>
          <w:szCs w:val="16"/>
          <w:shd w:val="clear" w:color="auto" w:fill="FEFEFE"/>
        </w:rPr>
        <w:t>J</w:t>
      </w:r>
      <w:r w:rsidR="003360DA" w:rsidRPr="00536E67">
        <w:rPr>
          <w:rFonts w:ascii="Helvetica" w:hAnsi="Helvetica" w:cs="Helvetica"/>
          <w:color w:val="000000"/>
          <w:sz w:val="16"/>
          <w:szCs w:val="16"/>
          <w:shd w:val="clear" w:color="auto" w:fill="FEFEFE"/>
        </w:rPr>
        <w:t>ournal</w:t>
      </w:r>
      <w:r w:rsidR="007E2FFA">
        <w:rPr>
          <w:rFonts w:ascii="Helvetica" w:hAnsi="Helvetica" w:cs="Helvetica"/>
          <w:color w:val="000000"/>
          <w:sz w:val="16"/>
          <w:szCs w:val="16"/>
          <w:shd w:val="clear" w:color="auto" w:fill="FEFEFE"/>
        </w:rPr>
        <w:t>, Volume 4</w:t>
      </w:r>
      <w:r w:rsidR="008A1459">
        <w:rPr>
          <w:rFonts w:ascii="Helvetica" w:hAnsi="Helvetica" w:cs="Helvetica"/>
          <w:color w:val="000000"/>
          <w:sz w:val="16"/>
          <w:szCs w:val="16"/>
          <w:shd w:val="clear" w:color="auto" w:fill="FEFEFE"/>
        </w:rPr>
        <w:t>:</w:t>
      </w:r>
      <w:r w:rsidR="007E2FFA">
        <w:rPr>
          <w:rFonts w:ascii="Helvetica" w:hAnsi="Helvetica" w:cs="Helvetica"/>
          <w:color w:val="000000"/>
          <w:sz w:val="16"/>
          <w:szCs w:val="16"/>
          <w:shd w:val="clear" w:color="auto" w:fill="FEFEFE"/>
        </w:rPr>
        <w:t>1 (</w:t>
      </w:r>
      <w:r w:rsidR="003360DA" w:rsidRPr="00536E67">
        <w:rPr>
          <w:rFonts w:ascii="Helvetica" w:hAnsi="Helvetica" w:cs="Helvetica"/>
          <w:color w:val="000000"/>
          <w:sz w:val="16"/>
          <w:szCs w:val="16"/>
          <w:shd w:val="clear" w:color="auto" w:fill="FEFEFE"/>
        </w:rPr>
        <w:t>1988</w:t>
      </w:r>
      <w:r w:rsidR="007E2FFA">
        <w:rPr>
          <w:rFonts w:ascii="Helvetica" w:hAnsi="Helvetica" w:cs="Helvetica"/>
          <w:color w:val="000000"/>
          <w:sz w:val="16"/>
          <w:szCs w:val="16"/>
          <w:shd w:val="clear" w:color="auto" w:fill="FEFEFE"/>
        </w:rPr>
        <w:t xml:space="preserve">, </w:t>
      </w:r>
      <w:r w:rsidR="003360DA" w:rsidRPr="00536E67">
        <w:rPr>
          <w:rFonts w:ascii="Helvetica" w:hAnsi="Helvetica" w:cs="Helvetica"/>
          <w:color w:val="000000"/>
          <w:sz w:val="16"/>
          <w:szCs w:val="16"/>
          <w:shd w:val="clear" w:color="auto" w:fill="FEFEFE"/>
        </w:rPr>
        <w:t xml:space="preserve">pages </w:t>
      </w:r>
      <w:r w:rsidR="00472102">
        <w:rPr>
          <w:rFonts w:ascii="Helvetica" w:hAnsi="Helvetica" w:cs="Helvetica"/>
          <w:color w:val="000000"/>
          <w:sz w:val="16"/>
          <w:szCs w:val="16"/>
          <w:shd w:val="clear" w:color="auto" w:fill="FEFEFE"/>
        </w:rPr>
        <w:t>33–34).</w:t>
      </w:r>
    </w:p>
  </w:footnote>
  <w:footnote w:id="61">
    <w:p w14:paraId="1412BC8B" w14:textId="7C457053" w:rsidR="00C540FC" w:rsidRPr="00536E67" w:rsidRDefault="00C540FC">
      <w:pPr>
        <w:pStyle w:val="FootnoteText"/>
        <w:rPr>
          <w:sz w:val="16"/>
          <w:szCs w:val="16"/>
        </w:rPr>
      </w:pPr>
      <w:r w:rsidRPr="00536E67">
        <w:rPr>
          <w:rStyle w:val="FootnoteReference"/>
          <w:sz w:val="16"/>
          <w:szCs w:val="16"/>
        </w:rPr>
        <w:footnoteRef/>
      </w:r>
      <w:r w:rsidRPr="00536E67">
        <w:rPr>
          <w:sz w:val="16"/>
          <w:szCs w:val="16"/>
        </w:rPr>
        <w:t xml:space="preserve"> Postance, P, </w:t>
      </w:r>
      <w:r w:rsidR="0017462F" w:rsidRPr="00536E67">
        <w:rPr>
          <w:sz w:val="16"/>
          <w:szCs w:val="16"/>
        </w:rPr>
        <w:t xml:space="preserve">Sunnybank – the forgotten </w:t>
      </w:r>
      <w:r w:rsidR="00256889">
        <w:rPr>
          <w:sz w:val="16"/>
          <w:szCs w:val="16"/>
        </w:rPr>
        <w:t>B</w:t>
      </w:r>
      <w:r w:rsidR="0017462F" w:rsidRPr="00536E67">
        <w:rPr>
          <w:sz w:val="16"/>
          <w:szCs w:val="16"/>
        </w:rPr>
        <w:t>oys</w:t>
      </w:r>
      <w:r w:rsidR="00256889">
        <w:rPr>
          <w:sz w:val="16"/>
          <w:szCs w:val="16"/>
        </w:rPr>
        <w:t>’</w:t>
      </w:r>
      <w:r w:rsidR="0017462F" w:rsidRPr="00536E67">
        <w:rPr>
          <w:sz w:val="16"/>
          <w:szCs w:val="16"/>
        </w:rPr>
        <w:t xml:space="preserve"> </w:t>
      </w:r>
      <w:r w:rsidR="00256889">
        <w:rPr>
          <w:sz w:val="16"/>
          <w:szCs w:val="16"/>
        </w:rPr>
        <w:t>H</w:t>
      </w:r>
      <w:r w:rsidR="0017462F" w:rsidRPr="00536E67">
        <w:rPr>
          <w:sz w:val="16"/>
          <w:szCs w:val="16"/>
        </w:rPr>
        <w:t xml:space="preserve">ome, </w:t>
      </w:r>
      <w:r w:rsidR="000D78BF" w:rsidRPr="00536E67">
        <w:rPr>
          <w:rFonts w:ascii="Helvetica" w:hAnsi="Helvetica" w:cs="Helvetica"/>
          <w:color w:val="000000"/>
          <w:sz w:val="16"/>
          <w:szCs w:val="16"/>
          <w:shd w:val="clear" w:color="auto" w:fill="FEFEFE"/>
        </w:rPr>
        <w:t xml:space="preserve">Nelson Historical Society journal, </w:t>
      </w:r>
      <w:r w:rsidR="00CB1013">
        <w:rPr>
          <w:rFonts w:ascii="Helvetica" w:hAnsi="Helvetica" w:cs="Helvetica"/>
          <w:color w:val="000000"/>
          <w:sz w:val="16"/>
          <w:szCs w:val="16"/>
          <w:shd w:val="clear" w:color="auto" w:fill="FEFEFE"/>
        </w:rPr>
        <w:t>Volume 8:2 (</w:t>
      </w:r>
      <w:r w:rsidR="000D78BF" w:rsidRPr="00536E67">
        <w:rPr>
          <w:rFonts w:ascii="Helvetica" w:hAnsi="Helvetica" w:cs="Helvetica"/>
          <w:color w:val="000000"/>
          <w:sz w:val="16"/>
          <w:szCs w:val="16"/>
          <w:shd w:val="clear" w:color="auto" w:fill="FEFEFE"/>
        </w:rPr>
        <w:t>2016</w:t>
      </w:r>
      <w:r w:rsidR="00CB1013">
        <w:rPr>
          <w:rFonts w:ascii="Helvetica" w:hAnsi="Helvetica" w:cs="Helvetica"/>
          <w:color w:val="000000"/>
          <w:sz w:val="16"/>
          <w:szCs w:val="16"/>
          <w:shd w:val="clear" w:color="auto" w:fill="FEFEFE"/>
        </w:rPr>
        <w:t>,</w:t>
      </w:r>
      <w:r w:rsidR="000D78BF" w:rsidRPr="00536E67">
        <w:rPr>
          <w:rFonts w:ascii="Helvetica" w:hAnsi="Helvetica" w:cs="Helvetica"/>
          <w:color w:val="000000"/>
          <w:sz w:val="16"/>
          <w:szCs w:val="16"/>
          <w:shd w:val="clear" w:color="auto" w:fill="FEFEFE"/>
        </w:rPr>
        <w:t xml:space="preserve"> pages 60</w:t>
      </w:r>
      <w:r w:rsidR="00CB1013">
        <w:rPr>
          <w:rFonts w:ascii="Helvetica" w:hAnsi="Helvetica" w:cs="Helvetica"/>
          <w:color w:val="000000"/>
          <w:sz w:val="16"/>
          <w:szCs w:val="16"/>
          <w:shd w:val="clear" w:color="auto" w:fill="FEFEFE"/>
        </w:rPr>
        <w:t>–</w:t>
      </w:r>
      <w:r w:rsidR="000D78BF" w:rsidRPr="00536E67">
        <w:rPr>
          <w:rFonts w:ascii="Helvetica" w:hAnsi="Helvetica" w:cs="Helvetica"/>
          <w:color w:val="000000"/>
          <w:sz w:val="16"/>
          <w:szCs w:val="16"/>
          <w:shd w:val="clear" w:color="auto" w:fill="FEFEFE"/>
        </w:rPr>
        <w:t>71</w:t>
      </w:r>
      <w:r w:rsidR="00CB1013">
        <w:rPr>
          <w:rFonts w:ascii="Helvetica" w:hAnsi="Helvetica" w:cs="Helvetica"/>
          <w:color w:val="000000"/>
          <w:sz w:val="16"/>
          <w:szCs w:val="16"/>
          <w:shd w:val="clear" w:color="auto" w:fill="FEFEFE"/>
        </w:rPr>
        <w:t>).</w:t>
      </w:r>
    </w:p>
  </w:footnote>
  <w:footnote w:id="62">
    <w:p w14:paraId="0374665A" w14:textId="4A4537B2" w:rsidR="00D817C3" w:rsidRPr="00120E85" w:rsidRDefault="00D817C3" w:rsidP="00D817C3">
      <w:pPr>
        <w:pStyle w:val="paragraph"/>
        <w:spacing w:before="0" w:beforeAutospacing="0" w:after="0" w:afterAutospacing="0"/>
        <w:textAlignment w:val="baseline"/>
        <w:rPr>
          <w:rFonts w:ascii="Segoe UI" w:hAnsi="Segoe UI" w:cs="Segoe UI"/>
          <w:sz w:val="16"/>
          <w:szCs w:val="16"/>
        </w:rPr>
      </w:pPr>
      <w:r w:rsidRPr="00536E67">
        <w:rPr>
          <w:rStyle w:val="FootnoteReference"/>
          <w:sz w:val="16"/>
          <w:szCs w:val="16"/>
        </w:rPr>
        <w:footnoteRef/>
      </w:r>
      <w:r w:rsidRPr="00536E67">
        <w:rPr>
          <w:sz w:val="16"/>
          <w:szCs w:val="16"/>
        </w:rPr>
        <w:t xml:space="preserve"> </w:t>
      </w:r>
      <w:r w:rsidRPr="00120E85">
        <w:rPr>
          <w:rStyle w:val="normaltextrun"/>
          <w:rFonts w:ascii="Arial" w:hAnsi="Arial" w:cs="Arial"/>
          <w:sz w:val="16"/>
          <w:szCs w:val="16"/>
        </w:rPr>
        <w:t>Witness statement of Whiti Ronaki (Royal Commission of Inquiry into Abuse in Care, 20 June 2022). </w:t>
      </w:r>
      <w:r w:rsidRPr="00120E85">
        <w:rPr>
          <w:rStyle w:val="eop"/>
          <w:rFonts w:ascii="Arial" w:hAnsi="Arial" w:cs="Arial"/>
          <w:sz w:val="16"/>
          <w:szCs w:val="16"/>
        </w:rPr>
        <w:t> </w:t>
      </w:r>
    </w:p>
    <w:p w14:paraId="6E1E5C3E" w14:textId="23874C42" w:rsidR="00D817C3" w:rsidRPr="00536E67" w:rsidRDefault="00D817C3">
      <w:pPr>
        <w:pStyle w:val="FootnoteText"/>
        <w:rPr>
          <w:sz w:val="16"/>
          <w:szCs w:val="16"/>
        </w:rPr>
      </w:pPr>
    </w:p>
  </w:footnote>
  <w:footnote w:id="63">
    <w:p w14:paraId="5697BBED" w14:textId="6CFC117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normaltextrun"/>
          <w:rFonts w:cs="Arial"/>
          <w:color w:val="auto"/>
          <w:sz w:val="16"/>
          <w:szCs w:val="16"/>
          <w:shd w:val="clear" w:color="auto" w:fill="FFFFFF"/>
        </w:rPr>
        <w:t>Waitangi Tribunal, Muriwhenua Land Report (1997</w:t>
      </w:r>
      <w:r w:rsidR="00A671DF" w:rsidRPr="00CB4F47">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 xml:space="preserve"> </w:t>
      </w:r>
      <w:r w:rsidRPr="00CB4F47">
        <w:rPr>
          <w:rFonts w:cs="Arial"/>
          <w:color w:val="auto"/>
          <w:sz w:val="16"/>
          <w:szCs w:val="16"/>
        </w:rPr>
        <w:t>page</w:t>
      </w:r>
      <w:r w:rsidRPr="00CB4F47">
        <w:rPr>
          <w:rStyle w:val="normaltextrun"/>
          <w:rFonts w:cs="Arial"/>
          <w:color w:val="auto"/>
          <w:sz w:val="16"/>
          <w:szCs w:val="16"/>
          <w:shd w:val="clear" w:color="auto" w:fill="FFFFFF"/>
        </w:rPr>
        <w:t xml:space="preserve"> 48</w:t>
      </w:r>
      <w:r w:rsidR="00B117C9">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w:t>
      </w:r>
    </w:p>
  </w:footnote>
  <w:footnote w:id="64">
    <w:p w14:paraId="338D24A9" w14:textId="002E4F4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normaltextrun"/>
          <w:rFonts w:cs="Arial"/>
          <w:color w:val="auto"/>
          <w:sz w:val="16"/>
          <w:szCs w:val="16"/>
          <w:shd w:val="clear" w:color="auto" w:fill="FFFFFF"/>
        </w:rPr>
        <w:t>Waitangi Tribunal, Muriwhenua Land Report (1997</w:t>
      </w:r>
      <w:r w:rsidR="00A671DF" w:rsidRPr="00CB4F47">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 xml:space="preserve"> </w:t>
      </w:r>
      <w:r w:rsidRPr="00CB4F47">
        <w:rPr>
          <w:rFonts w:cs="Arial"/>
          <w:color w:val="auto"/>
          <w:sz w:val="16"/>
          <w:szCs w:val="16"/>
        </w:rPr>
        <w:t>page</w:t>
      </w:r>
      <w:r w:rsidRPr="00CB4F47">
        <w:rPr>
          <w:rStyle w:val="normaltextrun"/>
          <w:rFonts w:cs="Arial"/>
          <w:color w:val="auto"/>
          <w:sz w:val="16"/>
          <w:szCs w:val="16"/>
          <w:shd w:val="clear" w:color="auto" w:fill="FFFFFF"/>
        </w:rPr>
        <w:t xml:space="preserve"> 48</w:t>
      </w:r>
      <w:r w:rsidR="00B117C9">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 xml:space="preserve">; </w:t>
      </w:r>
      <w:r w:rsidRPr="00CB4F47">
        <w:rPr>
          <w:rFonts w:cs="Arial"/>
          <w:color w:val="auto"/>
          <w:sz w:val="16"/>
          <w:szCs w:val="16"/>
        </w:rPr>
        <w:t>Waitangi Tribunal, He Whakaputanga me te Tiriti: The Declaration and the Treaty: Report on stage 1 of the Te Paparahi o Te Raki Inquiry (2014</w:t>
      </w:r>
      <w:r w:rsidR="00A671DF" w:rsidRPr="00CB4F47">
        <w:rPr>
          <w:rFonts w:cs="Arial"/>
          <w:color w:val="auto"/>
          <w:sz w:val="16"/>
          <w:szCs w:val="16"/>
        </w:rPr>
        <w:t>,</w:t>
      </w:r>
      <w:r w:rsidRPr="00CB4F47">
        <w:rPr>
          <w:rFonts w:cs="Arial"/>
          <w:color w:val="auto"/>
          <w:sz w:val="16"/>
          <w:szCs w:val="16"/>
        </w:rPr>
        <w:t xml:space="preserve"> page</w:t>
      </w:r>
      <w:r w:rsidRPr="00CB4F47">
        <w:rPr>
          <w:rStyle w:val="normaltextrun"/>
          <w:rFonts w:cs="Arial"/>
          <w:color w:val="auto"/>
          <w:sz w:val="16"/>
          <w:szCs w:val="16"/>
        </w:rPr>
        <w:t xml:space="preserve"> 251</w:t>
      </w:r>
      <w:r w:rsidR="00B117C9">
        <w:rPr>
          <w:rStyle w:val="normaltextrun"/>
          <w:rFonts w:cs="Arial"/>
          <w:color w:val="auto"/>
          <w:sz w:val="16"/>
          <w:szCs w:val="16"/>
        </w:rPr>
        <w:t>)</w:t>
      </w:r>
      <w:r w:rsidRPr="00CB4F47">
        <w:rPr>
          <w:rStyle w:val="normaltextrun"/>
          <w:rFonts w:cs="Arial"/>
          <w:color w:val="auto"/>
          <w:sz w:val="16"/>
          <w:szCs w:val="16"/>
        </w:rPr>
        <w:t>.</w:t>
      </w:r>
    </w:p>
  </w:footnote>
  <w:footnote w:id="65">
    <w:p w14:paraId="48C42416" w14:textId="530F94A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vertAlign w:val="superscript"/>
        </w:rPr>
        <w:t xml:space="preserve"> </w:t>
      </w:r>
      <w:r w:rsidRPr="00CB4F47">
        <w:rPr>
          <w:rFonts w:cs="Arial"/>
          <w:color w:val="auto"/>
          <w:sz w:val="16"/>
          <w:szCs w:val="16"/>
        </w:rPr>
        <w:t>Rigby, B, The Muriwhenua North Area and the Muriwhenua claim: A historical report commissioned by the Waitangi Tribunal (</w:t>
      </w:r>
      <w:r w:rsidR="00266C1A" w:rsidRPr="00CB4F47">
        <w:rPr>
          <w:rFonts w:cs="Arial"/>
          <w:color w:val="auto"/>
          <w:sz w:val="16"/>
          <w:szCs w:val="16"/>
        </w:rPr>
        <w:t>Wai 45)</w:t>
      </w:r>
      <w:r w:rsidR="00266C1A">
        <w:rPr>
          <w:rFonts w:cs="Arial"/>
          <w:color w:val="auto"/>
          <w:sz w:val="16"/>
          <w:szCs w:val="16"/>
        </w:rPr>
        <w:t>,</w:t>
      </w:r>
      <w:r w:rsidR="00266C1A" w:rsidRPr="00CB4F47">
        <w:rPr>
          <w:rFonts w:cs="Arial"/>
          <w:color w:val="auto"/>
          <w:sz w:val="16"/>
          <w:szCs w:val="16"/>
        </w:rPr>
        <w:t xml:space="preserve"> </w:t>
      </w:r>
      <w:r w:rsidRPr="00CB4F47">
        <w:rPr>
          <w:rFonts w:cs="Arial"/>
          <w:color w:val="auto"/>
          <w:sz w:val="16"/>
          <w:szCs w:val="16"/>
        </w:rPr>
        <w:t>(1990</w:t>
      </w:r>
      <w:r w:rsidR="00A671DF" w:rsidRPr="00CB4F47">
        <w:rPr>
          <w:rFonts w:cs="Arial"/>
          <w:color w:val="auto"/>
          <w:sz w:val="16"/>
          <w:szCs w:val="16"/>
        </w:rPr>
        <w:t>,</w:t>
      </w:r>
      <w:r w:rsidRPr="00CB4F47">
        <w:rPr>
          <w:rFonts w:cs="Arial"/>
          <w:color w:val="auto"/>
          <w:sz w:val="16"/>
          <w:szCs w:val="16"/>
        </w:rPr>
        <w:t xml:space="preserve"> page 6</w:t>
      </w:r>
      <w:r w:rsidR="00B117C9">
        <w:rPr>
          <w:rFonts w:cs="Arial"/>
          <w:color w:val="auto"/>
          <w:sz w:val="16"/>
          <w:szCs w:val="16"/>
        </w:rPr>
        <w:t>)</w:t>
      </w:r>
      <w:r w:rsidRPr="00CB4F47">
        <w:rPr>
          <w:rFonts w:cs="Arial"/>
          <w:color w:val="auto"/>
          <w:sz w:val="16"/>
          <w:szCs w:val="16"/>
        </w:rPr>
        <w:t>.</w:t>
      </w:r>
    </w:p>
  </w:footnote>
  <w:footnote w:id="66">
    <w:p w14:paraId="27A93EC7" w14:textId="09E17C8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normaltextrun"/>
          <w:rFonts w:cs="Arial"/>
          <w:color w:val="auto"/>
          <w:sz w:val="16"/>
          <w:szCs w:val="16"/>
          <w:shd w:val="clear" w:color="auto" w:fill="FFFFFF"/>
        </w:rPr>
        <w:t>Waitangi Tribunal, Muriwhenua Land Report (1997</w:t>
      </w:r>
      <w:r w:rsidR="00A671DF" w:rsidRPr="00CB4F47">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 xml:space="preserve"> </w:t>
      </w:r>
      <w:r w:rsidRPr="00CB4F47">
        <w:rPr>
          <w:rFonts w:cs="Arial"/>
          <w:color w:val="auto"/>
          <w:sz w:val="16"/>
          <w:szCs w:val="16"/>
        </w:rPr>
        <w:t>page</w:t>
      </w:r>
      <w:r w:rsidRPr="00CB4F47">
        <w:rPr>
          <w:rStyle w:val="normaltextrun"/>
          <w:rFonts w:cs="Arial"/>
          <w:color w:val="auto"/>
          <w:sz w:val="16"/>
          <w:szCs w:val="16"/>
          <w:shd w:val="clear" w:color="auto" w:fill="FFFFFF"/>
        </w:rPr>
        <w:t xml:space="preserve"> 48</w:t>
      </w:r>
      <w:r w:rsidR="00B117C9">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w:t>
      </w:r>
    </w:p>
  </w:footnote>
  <w:footnote w:id="67">
    <w:p w14:paraId="22DA2984" w14:textId="32C09DE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Brookes, B, A </w:t>
      </w:r>
      <w:r w:rsidR="00730946">
        <w:rPr>
          <w:rFonts w:cs="Arial"/>
          <w:color w:val="auto"/>
          <w:sz w:val="16"/>
          <w:szCs w:val="16"/>
        </w:rPr>
        <w:t>h</w:t>
      </w:r>
      <w:r w:rsidR="00730946" w:rsidRPr="00CB4F47">
        <w:rPr>
          <w:rFonts w:cs="Arial"/>
          <w:color w:val="auto"/>
          <w:sz w:val="16"/>
          <w:szCs w:val="16"/>
        </w:rPr>
        <w:t xml:space="preserve">istory </w:t>
      </w:r>
      <w:r w:rsidRPr="00CB4F47">
        <w:rPr>
          <w:rFonts w:cs="Arial"/>
          <w:color w:val="auto"/>
          <w:sz w:val="16"/>
          <w:szCs w:val="16"/>
        </w:rPr>
        <w:t>of New Zealand women (Bridget Williams Books, 2016</w:t>
      </w:r>
      <w:r w:rsidR="00A671DF" w:rsidRPr="00CB4F47">
        <w:rPr>
          <w:rFonts w:cs="Arial"/>
          <w:color w:val="auto"/>
          <w:sz w:val="16"/>
          <w:szCs w:val="16"/>
        </w:rPr>
        <w:t>,</w:t>
      </w:r>
      <w:r w:rsidRPr="00CB4F47">
        <w:rPr>
          <w:rFonts w:cs="Arial"/>
          <w:color w:val="auto"/>
          <w:sz w:val="16"/>
          <w:szCs w:val="16"/>
        </w:rPr>
        <w:t xml:space="preserve"> page 47</w:t>
      </w:r>
      <w:r w:rsidR="00B117C9">
        <w:rPr>
          <w:rFonts w:cs="Arial"/>
          <w:color w:val="auto"/>
          <w:sz w:val="16"/>
          <w:szCs w:val="16"/>
        </w:rPr>
        <w:t>)</w:t>
      </w:r>
      <w:r w:rsidRPr="00CB4F47">
        <w:rPr>
          <w:rFonts w:cs="Arial"/>
          <w:color w:val="auto"/>
          <w:sz w:val="16"/>
          <w:szCs w:val="16"/>
        </w:rPr>
        <w:t xml:space="preserve">. </w:t>
      </w:r>
    </w:p>
  </w:footnote>
  <w:footnote w:id="68">
    <w:p w14:paraId="53640CA8" w14:textId="515A88E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D03A9A">
        <w:rPr>
          <w:rFonts w:cs="Arial"/>
          <w:color w:val="auto"/>
          <w:sz w:val="16"/>
          <w:szCs w:val="16"/>
        </w:rPr>
        <w:t>Ballantyne, T, Entanglements of empire: Missionaries, Māori, and the question of the body</w:t>
      </w:r>
      <w:r w:rsidR="00D9701E">
        <w:rPr>
          <w:rFonts w:cs="Arial"/>
          <w:color w:val="auto"/>
          <w:sz w:val="16"/>
          <w:szCs w:val="16"/>
        </w:rPr>
        <w:t xml:space="preserve"> (</w:t>
      </w:r>
      <w:r w:rsidR="00802000">
        <w:rPr>
          <w:rFonts w:cs="Arial"/>
          <w:color w:val="auto"/>
          <w:sz w:val="16"/>
          <w:szCs w:val="16"/>
        </w:rPr>
        <w:t>Auckland University Press</w:t>
      </w:r>
      <w:r w:rsidRPr="00D03A9A">
        <w:rPr>
          <w:rFonts w:cs="Arial"/>
          <w:color w:val="auto"/>
          <w:sz w:val="16"/>
          <w:szCs w:val="16"/>
        </w:rPr>
        <w:t>,</w:t>
      </w:r>
      <w:r w:rsidR="00802000">
        <w:rPr>
          <w:rFonts w:cs="Arial"/>
          <w:color w:val="auto"/>
          <w:sz w:val="16"/>
          <w:szCs w:val="16"/>
        </w:rPr>
        <w:t xml:space="preserve"> 2015,</w:t>
      </w:r>
      <w:r w:rsidRPr="00D03A9A">
        <w:rPr>
          <w:rFonts w:cs="Arial"/>
          <w:color w:val="auto"/>
          <w:sz w:val="16"/>
          <w:szCs w:val="16"/>
        </w:rPr>
        <w:t xml:space="preserve"> page 6</w:t>
      </w:r>
      <w:r w:rsidR="00A259E5">
        <w:rPr>
          <w:rFonts w:cs="Arial"/>
          <w:color w:val="auto"/>
          <w:sz w:val="16"/>
          <w:szCs w:val="16"/>
        </w:rPr>
        <w:t>)</w:t>
      </w:r>
      <w:r w:rsidRPr="00D03A9A">
        <w:rPr>
          <w:rFonts w:cs="Arial"/>
          <w:color w:val="auto"/>
          <w:sz w:val="16"/>
          <w:szCs w:val="16"/>
        </w:rPr>
        <w:t>.</w:t>
      </w:r>
    </w:p>
  </w:footnote>
  <w:footnote w:id="69">
    <w:p w14:paraId="69A22B05" w14:textId="65D54B2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 xml:space="preserve">Waitangi Tribunal, </w:t>
      </w:r>
      <w:r w:rsidRPr="00CB4F47">
        <w:rPr>
          <w:rFonts w:cs="Arial"/>
          <w:color w:val="auto"/>
          <w:sz w:val="16"/>
          <w:szCs w:val="16"/>
        </w:rPr>
        <w:t>He Whakaputanga me te Tiriti: The Declaration and the Treaty: Report on stage 1 of the Te Paparahi o Te Raki Inquiry (2014</w:t>
      </w:r>
      <w:r w:rsidR="00A671DF" w:rsidRPr="00CB4F47">
        <w:rPr>
          <w:rFonts w:cs="Arial"/>
          <w:color w:val="auto"/>
          <w:sz w:val="16"/>
          <w:szCs w:val="16"/>
        </w:rPr>
        <w:t>,</w:t>
      </w:r>
      <w:r w:rsidRPr="00CB4F47">
        <w:rPr>
          <w:rFonts w:eastAsia="Calibri" w:cs="Arial"/>
          <w:color w:val="auto"/>
          <w:sz w:val="16"/>
          <w:szCs w:val="16"/>
        </w:rPr>
        <w:t xml:space="preserve"> </w:t>
      </w:r>
      <w:r w:rsidRPr="00CB4F47">
        <w:rPr>
          <w:rFonts w:cs="Arial"/>
          <w:color w:val="auto"/>
          <w:sz w:val="16"/>
          <w:szCs w:val="16"/>
        </w:rPr>
        <w:t>page</w:t>
      </w:r>
      <w:r w:rsidRPr="00CB4F47">
        <w:rPr>
          <w:rFonts w:eastAsia="Calibri" w:cs="Arial"/>
          <w:color w:val="auto"/>
          <w:sz w:val="16"/>
          <w:szCs w:val="16"/>
        </w:rPr>
        <w:t xml:space="preserve"> 254</w:t>
      </w:r>
      <w:r w:rsidR="00B117C9">
        <w:rPr>
          <w:rFonts w:eastAsia="Calibri" w:cs="Arial"/>
          <w:color w:val="auto"/>
          <w:sz w:val="16"/>
          <w:szCs w:val="16"/>
        </w:rPr>
        <w:t>)</w:t>
      </w:r>
      <w:r w:rsidRPr="00CB4F47">
        <w:rPr>
          <w:rFonts w:eastAsia="Calibri" w:cs="Arial"/>
          <w:color w:val="auto"/>
          <w:sz w:val="16"/>
          <w:szCs w:val="16"/>
        </w:rPr>
        <w:t>.</w:t>
      </w:r>
    </w:p>
  </w:footnote>
  <w:footnote w:id="70">
    <w:p w14:paraId="0D59483E" w14:textId="17C6446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Kaa, H, Te Hahi Mihinare: </w:t>
      </w:r>
      <w:r w:rsidR="0016645F">
        <w:rPr>
          <w:rFonts w:cs="Arial"/>
          <w:color w:val="auto"/>
          <w:sz w:val="16"/>
          <w:szCs w:val="16"/>
        </w:rPr>
        <w:t>T</w:t>
      </w:r>
      <w:r w:rsidRPr="00CB4F47">
        <w:rPr>
          <w:rFonts w:cs="Arial"/>
          <w:color w:val="auto"/>
          <w:sz w:val="16"/>
          <w:szCs w:val="16"/>
        </w:rPr>
        <w:t>he Maori Anglican Church (Bridget Williams Books, 2020</w:t>
      </w:r>
      <w:r w:rsidR="00A671DF" w:rsidRPr="00CB4F47">
        <w:rPr>
          <w:rFonts w:cs="Arial"/>
          <w:color w:val="auto"/>
          <w:sz w:val="16"/>
          <w:szCs w:val="16"/>
        </w:rPr>
        <w:t>,</w:t>
      </w:r>
      <w:r w:rsidRPr="00CB4F47">
        <w:rPr>
          <w:rFonts w:cs="Arial"/>
          <w:color w:val="auto"/>
          <w:sz w:val="16"/>
          <w:szCs w:val="16"/>
        </w:rPr>
        <w:t xml:space="preserve"> pages 26–29 and 37</w:t>
      </w:r>
      <w:r w:rsidR="00B117C9">
        <w:rPr>
          <w:rFonts w:cs="Arial"/>
          <w:color w:val="auto"/>
          <w:sz w:val="16"/>
          <w:szCs w:val="16"/>
        </w:rPr>
        <w:t>)</w:t>
      </w:r>
      <w:r w:rsidRPr="00CB4F47">
        <w:rPr>
          <w:rFonts w:cs="Arial"/>
          <w:color w:val="auto"/>
          <w:sz w:val="16"/>
          <w:szCs w:val="16"/>
        </w:rPr>
        <w:t>.</w:t>
      </w:r>
    </w:p>
  </w:footnote>
  <w:footnote w:id="71">
    <w:p w14:paraId="35353BCE" w14:textId="2C39E6D3" w:rsidR="000E429D" w:rsidRPr="00CB4F47" w:rsidRDefault="000E429D" w:rsidP="00C57877">
      <w:pPr>
        <w:pStyle w:val="FootnoteText"/>
        <w:spacing w:before="0" w:after="0" w:line="20" w:lineRule="atLeast"/>
        <w:jc w:val="left"/>
        <w:rPr>
          <w:rFonts w:cs="Arial"/>
          <w:color w:val="auto"/>
          <w:sz w:val="16"/>
          <w:szCs w:val="16"/>
        </w:rPr>
      </w:pPr>
      <w:r w:rsidRPr="00072B30">
        <w:rPr>
          <w:rStyle w:val="StyleFootnoteReferenceFagoFunotenzeichenFagoFunotenzeichen"/>
          <w:sz w:val="16"/>
          <w:szCs w:val="16"/>
        </w:rPr>
        <w:footnoteRef/>
      </w:r>
      <w:r w:rsidRPr="00CB4F47">
        <w:rPr>
          <w:rFonts w:cs="Arial"/>
          <w:color w:val="auto"/>
          <w:sz w:val="16"/>
          <w:szCs w:val="16"/>
        </w:rPr>
        <w:t xml:space="preserve"> Kaa, H, Te Hahi Mihinare: </w:t>
      </w:r>
      <w:r w:rsidR="0016645F">
        <w:rPr>
          <w:rFonts w:cs="Arial"/>
          <w:color w:val="auto"/>
          <w:sz w:val="16"/>
          <w:szCs w:val="16"/>
        </w:rPr>
        <w:t>T</w:t>
      </w:r>
      <w:r w:rsidRPr="00CB4F47">
        <w:rPr>
          <w:rFonts w:cs="Arial"/>
          <w:color w:val="auto"/>
          <w:sz w:val="16"/>
          <w:szCs w:val="16"/>
        </w:rPr>
        <w:t>he Maori Anglican Church (Bridget Williams Books, 2020</w:t>
      </w:r>
      <w:r w:rsidR="00A671DF" w:rsidRPr="00CB4F47">
        <w:rPr>
          <w:rFonts w:cs="Arial"/>
          <w:color w:val="auto"/>
          <w:sz w:val="16"/>
          <w:szCs w:val="16"/>
        </w:rPr>
        <w:t>,</w:t>
      </w:r>
      <w:r w:rsidRPr="00CB4F47">
        <w:rPr>
          <w:rFonts w:cs="Arial"/>
          <w:color w:val="auto"/>
          <w:sz w:val="16"/>
          <w:szCs w:val="16"/>
        </w:rPr>
        <w:t xml:space="preserve"> pages 47–49</w:t>
      </w:r>
      <w:r w:rsidR="003A5CAB">
        <w:rPr>
          <w:rFonts w:cs="Arial"/>
          <w:color w:val="auto"/>
          <w:sz w:val="16"/>
          <w:szCs w:val="16"/>
        </w:rPr>
        <w:t>)</w:t>
      </w:r>
      <w:r w:rsidRPr="00CB4F47">
        <w:rPr>
          <w:rFonts w:cs="Arial"/>
          <w:color w:val="auto"/>
          <w:sz w:val="16"/>
          <w:szCs w:val="16"/>
        </w:rPr>
        <w:t>.</w:t>
      </w:r>
    </w:p>
  </w:footnote>
  <w:footnote w:id="72">
    <w:p w14:paraId="56441A09" w14:textId="18A1340C" w:rsidR="000E429D" w:rsidRPr="00CB4F47" w:rsidRDefault="000E429D" w:rsidP="00C57877">
      <w:pPr>
        <w:pStyle w:val="EndnoteText"/>
        <w:spacing w:line="20" w:lineRule="atLeast"/>
        <w:rPr>
          <w:rFonts w:ascii="Arial" w:hAnsi="Arial" w:cs="Arial"/>
          <w:color w:val="auto"/>
          <w:sz w:val="16"/>
          <w:szCs w:val="16"/>
        </w:rPr>
      </w:pPr>
      <w:r w:rsidRPr="00072B30">
        <w:rPr>
          <w:rStyle w:val="StyleFootnoteReferenceFagoFunotenzeichenFagoFunotenzeichen"/>
          <w:sz w:val="16"/>
          <w:szCs w:val="16"/>
        </w:rPr>
        <w:footnoteRef/>
      </w:r>
      <w:r w:rsidRPr="00CB4F47">
        <w:rPr>
          <w:rFonts w:ascii="Arial" w:hAnsi="Arial" w:cs="Arial"/>
          <w:color w:val="auto"/>
          <w:sz w:val="16"/>
          <w:szCs w:val="16"/>
        </w:rPr>
        <w:t xml:space="preserve"> Pihama, L, Tīhei mauri ora honouring our voices – mana wahine as a kaupapa Māori theoretical framework,</w:t>
      </w:r>
      <w:r w:rsidR="00E10E19" w:rsidRPr="00E10E19">
        <w:rPr>
          <w:rFonts w:ascii="Arial" w:hAnsi="Arial" w:cs="Arial"/>
          <w:color w:val="auto"/>
          <w:sz w:val="16"/>
          <w:szCs w:val="16"/>
        </w:rPr>
        <w:t xml:space="preserve"> </w:t>
      </w:r>
      <w:r w:rsidR="00E10E19" w:rsidRPr="00CB4F47">
        <w:rPr>
          <w:rFonts w:ascii="Arial" w:hAnsi="Arial" w:cs="Arial"/>
          <w:color w:val="auto"/>
          <w:sz w:val="16"/>
          <w:szCs w:val="16"/>
        </w:rPr>
        <w:t xml:space="preserve">Doctoral </w:t>
      </w:r>
      <w:r w:rsidR="00E10E19">
        <w:rPr>
          <w:rFonts w:ascii="Arial" w:hAnsi="Arial" w:cs="Arial"/>
          <w:color w:val="auto"/>
          <w:sz w:val="16"/>
          <w:szCs w:val="16"/>
        </w:rPr>
        <w:t>T</w:t>
      </w:r>
      <w:r w:rsidR="00E10E19" w:rsidRPr="00CB4F47">
        <w:rPr>
          <w:rFonts w:ascii="Arial" w:hAnsi="Arial" w:cs="Arial"/>
          <w:color w:val="auto"/>
          <w:sz w:val="16"/>
          <w:szCs w:val="16"/>
        </w:rPr>
        <w:t>hesis</w:t>
      </w:r>
      <w:r w:rsidR="00713658">
        <w:rPr>
          <w:rFonts w:ascii="Arial" w:hAnsi="Arial" w:cs="Arial"/>
          <w:color w:val="auto"/>
          <w:sz w:val="16"/>
          <w:szCs w:val="16"/>
        </w:rPr>
        <w:t>,</w:t>
      </w:r>
      <w:r w:rsidRPr="00CB4F47">
        <w:rPr>
          <w:rFonts w:ascii="Arial" w:hAnsi="Arial" w:cs="Arial"/>
          <w:color w:val="auto"/>
          <w:sz w:val="16"/>
          <w:szCs w:val="16"/>
        </w:rPr>
        <w:t xml:space="preserve"> University of Auckland</w:t>
      </w:r>
      <w:r w:rsidR="00713658">
        <w:rPr>
          <w:rFonts w:ascii="Arial" w:hAnsi="Arial" w:cs="Arial"/>
          <w:color w:val="auto"/>
          <w:sz w:val="16"/>
          <w:szCs w:val="16"/>
        </w:rPr>
        <w:t xml:space="preserve"> </w:t>
      </w:r>
      <w:r w:rsidR="00A671DF">
        <w:rPr>
          <w:rFonts w:ascii="Arial" w:hAnsi="Arial" w:cs="Arial"/>
          <w:color w:val="auto"/>
          <w:sz w:val="16"/>
          <w:szCs w:val="16"/>
        </w:rPr>
        <w:t>(</w:t>
      </w:r>
      <w:r w:rsidRPr="00CB4F47">
        <w:rPr>
          <w:rFonts w:ascii="Arial" w:hAnsi="Arial" w:cs="Arial"/>
          <w:color w:val="auto"/>
          <w:sz w:val="16"/>
          <w:szCs w:val="16"/>
        </w:rPr>
        <w:t>2001</w:t>
      </w:r>
      <w:r w:rsidR="00A671DF" w:rsidRPr="00CB4F47">
        <w:rPr>
          <w:rFonts w:ascii="Arial" w:hAnsi="Arial" w:cs="Arial"/>
          <w:color w:val="auto"/>
          <w:sz w:val="16"/>
          <w:szCs w:val="16"/>
        </w:rPr>
        <w:t>,</w:t>
      </w:r>
      <w:r w:rsidRPr="00CB4F47">
        <w:rPr>
          <w:rFonts w:ascii="Arial" w:hAnsi="Arial" w:cs="Arial"/>
          <w:color w:val="auto"/>
          <w:sz w:val="16"/>
          <w:szCs w:val="16"/>
        </w:rPr>
        <w:t xml:space="preserve"> </w:t>
      </w:r>
      <w:r w:rsidR="00A8348E" w:rsidRPr="00CB4F47">
        <w:rPr>
          <w:rFonts w:cs="Arial"/>
          <w:color w:val="auto"/>
          <w:sz w:val="16"/>
          <w:szCs w:val="16"/>
        </w:rPr>
        <w:t>page</w:t>
      </w:r>
      <w:r w:rsidR="00A8348E" w:rsidRPr="00CB4F47">
        <w:rPr>
          <w:rFonts w:ascii="Arial" w:hAnsi="Arial" w:cs="Arial"/>
          <w:color w:val="auto"/>
          <w:sz w:val="16"/>
          <w:szCs w:val="16"/>
        </w:rPr>
        <w:t xml:space="preserve"> </w:t>
      </w:r>
      <w:r w:rsidRPr="00CB4F47">
        <w:rPr>
          <w:rFonts w:ascii="Arial" w:hAnsi="Arial" w:cs="Arial"/>
          <w:color w:val="auto"/>
          <w:sz w:val="16"/>
          <w:szCs w:val="16"/>
        </w:rPr>
        <w:t>208</w:t>
      </w:r>
      <w:r w:rsidR="003A5CAB">
        <w:rPr>
          <w:rFonts w:ascii="Arial" w:hAnsi="Arial" w:cs="Arial"/>
          <w:color w:val="auto"/>
          <w:sz w:val="16"/>
          <w:szCs w:val="16"/>
        </w:rPr>
        <w:t>)</w:t>
      </w:r>
      <w:r w:rsidRPr="00CB4F47">
        <w:rPr>
          <w:rFonts w:ascii="Arial" w:hAnsi="Arial" w:cs="Arial"/>
          <w:color w:val="auto"/>
          <w:sz w:val="16"/>
          <w:szCs w:val="16"/>
        </w:rPr>
        <w:t>.</w:t>
      </w:r>
    </w:p>
  </w:footnote>
  <w:footnote w:id="73">
    <w:p w14:paraId="77A6249A" w14:textId="6571D20E" w:rsidR="000E429D" w:rsidRPr="00CB4F47" w:rsidRDefault="000E429D" w:rsidP="00C57877">
      <w:pPr>
        <w:pStyle w:val="FootnoteText"/>
        <w:spacing w:before="0" w:after="0" w:line="20" w:lineRule="atLeast"/>
        <w:jc w:val="left"/>
        <w:rPr>
          <w:rFonts w:cs="Arial"/>
          <w:color w:val="auto"/>
          <w:sz w:val="16"/>
          <w:szCs w:val="16"/>
        </w:rPr>
      </w:pPr>
      <w:r w:rsidRPr="00072B30">
        <w:rPr>
          <w:rStyle w:val="StyleFootnoteReferenceFagoFunotenzeichenFagoFunotenzeichen"/>
          <w:sz w:val="16"/>
          <w:szCs w:val="16"/>
        </w:rPr>
        <w:footnoteRef/>
      </w:r>
      <w:r w:rsidRPr="00CB4F47">
        <w:rPr>
          <w:rFonts w:cs="Arial"/>
          <w:color w:val="auto"/>
          <w:sz w:val="16"/>
          <w:szCs w:val="16"/>
        </w:rPr>
        <w:t xml:space="preserve"> Pihama, L, Tīhei mauri ora honouring our voices – mana wahine as a kaupapa Māori theoretical framework, </w:t>
      </w:r>
      <w:r w:rsidR="00713658" w:rsidRPr="00CB4F47">
        <w:rPr>
          <w:rFonts w:cs="Arial"/>
          <w:color w:val="auto"/>
          <w:sz w:val="16"/>
          <w:szCs w:val="16"/>
        </w:rPr>
        <w:t xml:space="preserve">Doctoral </w:t>
      </w:r>
      <w:r w:rsidR="00713658">
        <w:rPr>
          <w:rFonts w:cs="Arial"/>
          <w:color w:val="auto"/>
          <w:sz w:val="16"/>
          <w:szCs w:val="16"/>
        </w:rPr>
        <w:t>T</w:t>
      </w:r>
      <w:r w:rsidR="00713658" w:rsidRPr="00CB4F47">
        <w:rPr>
          <w:rFonts w:cs="Arial"/>
          <w:color w:val="auto"/>
          <w:sz w:val="16"/>
          <w:szCs w:val="16"/>
        </w:rPr>
        <w:t>hesis</w:t>
      </w:r>
      <w:r w:rsidR="00713658">
        <w:rPr>
          <w:rFonts w:cs="Arial"/>
          <w:color w:val="auto"/>
          <w:sz w:val="16"/>
          <w:szCs w:val="16"/>
        </w:rPr>
        <w:t>,</w:t>
      </w:r>
      <w:r w:rsidR="00713658" w:rsidRPr="00CB4F47">
        <w:rPr>
          <w:rFonts w:cs="Arial"/>
          <w:color w:val="auto"/>
          <w:sz w:val="16"/>
          <w:szCs w:val="16"/>
        </w:rPr>
        <w:t xml:space="preserve"> </w:t>
      </w:r>
      <w:r w:rsidRPr="00CB4F47">
        <w:rPr>
          <w:rFonts w:cs="Arial"/>
          <w:color w:val="auto"/>
          <w:sz w:val="16"/>
          <w:szCs w:val="16"/>
        </w:rPr>
        <w:t xml:space="preserve">University of Auckland </w:t>
      </w:r>
      <w:r w:rsidR="00713658">
        <w:rPr>
          <w:rFonts w:cs="Arial"/>
          <w:color w:val="auto"/>
          <w:sz w:val="16"/>
          <w:szCs w:val="16"/>
        </w:rPr>
        <w:t>(</w:t>
      </w:r>
      <w:r w:rsidRPr="00CB4F47">
        <w:rPr>
          <w:rFonts w:cs="Arial"/>
          <w:color w:val="auto"/>
          <w:sz w:val="16"/>
          <w:szCs w:val="16"/>
        </w:rPr>
        <w:t>2001</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208</w:t>
      </w:r>
      <w:r w:rsidR="003A5CAB">
        <w:rPr>
          <w:rFonts w:cs="Arial"/>
          <w:color w:val="auto"/>
          <w:sz w:val="16"/>
          <w:szCs w:val="16"/>
        </w:rPr>
        <w:t>)</w:t>
      </w:r>
      <w:r w:rsidRPr="00CB4F47">
        <w:rPr>
          <w:rFonts w:cs="Arial"/>
          <w:color w:val="auto"/>
          <w:sz w:val="16"/>
          <w:szCs w:val="16"/>
        </w:rPr>
        <w:t>.</w:t>
      </w:r>
    </w:p>
  </w:footnote>
  <w:footnote w:id="74">
    <w:p w14:paraId="3BD72513" w14:textId="70907E6C" w:rsidR="000E429D" w:rsidRPr="00CB4F47" w:rsidRDefault="000E429D" w:rsidP="00C57877">
      <w:pPr>
        <w:pStyle w:val="FootnoteText"/>
        <w:spacing w:before="0" w:after="0" w:line="20" w:lineRule="atLeast"/>
        <w:jc w:val="left"/>
        <w:rPr>
          <w:rFonts w:cs="Arial"/>
          <w:color w:val="auto"/>
          <w:sz w:val="16"/>
          <w:szCs w:val="16"/>
        </w:rPr>
      </w:pPr>
      <w:r w:rsidRPr="00072B30">
        <w:rPr>
          <w:rStyle w:val="StyleFootnoteReferenceFagoFunotenzeichenFagoFunotenzeichen"/>
          <w:sz w:val="16"/>
          <w:szCs w:val="16"/>
        </w:rPr>
        <w:footnoteRef/>
      </w:r>
      <w:r w:rsidRPr="00CB4F47">
        <w:rPr>
          <w:rFonts w:cs="Arial"/>
          <w:color w:val="auto"/>
          <w:sz w:val="16"/>
          <w:szCs w:val="16"/>
        </w:rPr>
        <w:t xml:space="preserve"> Walker, R, “Reclaiming Māori education” in Hutchings</w:t>
      </w:r>
      <w:r w:rsidR="004A5E1B">
        <w:rPr>
          <w:rFonts w:cs="Arial"/>
          <w:color w:val="auto"/>
          <w:sz w:val="16"/>
          <w:szCs w:val="16"/>
        </w:rPr>
        <w:t>, J</w:t>
      </w:r>
      <w:r w:rsidRPr="00CB4F47">
        <w:rPr>
          <w:rFonts w:cs="Arial"/>
          <w:color w:val="auto"/>
          <w:sz w:val="16"/>
          <w:szCs w:val="16"/>
        </w:rPr>
        <w:t xml:space="preserve"> &amp; Lee-Morgan</w:t>
      </w:r>
      <w:r w:rsidR="004A5E1B">
        <w:rPr>
          <w:rFonts w:cs="Arial"/>
          <w:color w:val="auto"/>
          <w:sz w:val="16"/>
          <w:szCs w:val="16"/>
        </w:rPr>
        <w:t>, J</w:t>
      </w:r>
      <w:r w:rsidRPr="00CB4F47">
        <w:rPr>
          <w:rFonts w:cs="Arial"/>
          <w:color w:val="auto"/>
          <w:sz w:val="16"/>
          <w:szCs w:val="16"/>
        </w:rPr>
        <w:t xml:space="preserve"> (eds), Decolonisation in Aotearoa: Education, research and practice (2016</w:t>
      </w:r>
      <w:r w:rsidR="00A671DF" w:rsidRPr="00CB4F47">
        <w:rPr>
          <w:rFonts w:cs="Arial"/>
          <w:color w:val="auto"/>
          <w:sz w:val="16"/>
          <w:szCs w:val="16"/>
        </w:rPr>
        <w:t>,</w:t>
      </w:r>
      <w:r w:rsidRPr="00CB4F47">
        <w:rPr>
          <w:rFonts w:cs="Arial"/>
          <w:color w:val="auto"/>
          <w:sz w:val="16"/>
          <w:szCs w:val="16"/>
        </w:rPr>
        <w:t xml:space="preserve"> pages 23–24</w:t>
      </w:r>
      <w:r w:rsidR="003A5CAB">
        <w:rPr>
          <w:rFonts w:cs="Arial"/>
          <w:color w:val="auto"/>
          <w:sz w:val="16"/>
          <w:szCs w:val="16"/>
        </w:rPr>
        <w:t>)</w:t>
      </w:r>
      <w:r w:rsidRPr="00CB4F47">
        <w:rPr>
          <w:rFonts w:cs="Arial"/>
          <w:color w:val="auto"/>
          <w:sz w:val="16"/>
          <w:szCs w:val="16"/>
        </w:rPr>
        <w:t>.</w:t>
      </w:r>
    </w:p>
  </w:footnote>
  <w:footnote w:id="75">
    <w:p w14:paraId="330CC478" w14:textId="695BB1C8" w:rsidR="00D42717" w:rsidRPr="00536E67" w:rsidRDefault="00D42717">
      <w:pPr>
        <w:pStyle w:val="FootnoteText"/>
        <w:rPr>
          <w:sz w:val="16"/>
          <w:szCs w:val="16"/>
        </w:rPr>
      </w:pPr>
      <w:r w:rsidRPr="00536E67">
        <w:rPr>
          <w:rStyle w:val="FootnoteReference"/>
          <w:sz w:val="16"/>
          <w:szCs w:val="16"/>
        </w:rPr>
        <w:footnoteRef/>
      </w:r>
      <w:r w:rsidRPr="00536E67">
        <w:rPr>
          <w:sz w:val="16"/>
          <w:szCs w:val="16"/>
        </w:rPr>
        <w:t xml:space="preserve"> </w:t>
      </w:r>
      <w:r w:rsidR="00EE3A82" w:rsidRPr="00536E67">
        <w:rPr>
          <w:sz w:val="16"/>
          <w:szCs w:val="16"/>
        </w:rPr>
        <w:t xml:space="preserve">Pōtiki, MK, Te Hū o Moho – The contributing factors to the death of the Māori language at Ōtākou, Doctoral Thesis, University of Otago (2023, page </w:t>
      </w:r>
      <w:r w:rsidR="00D727FA" w:rsidRPr="00536E67">
        <w:rPr>
          <w:sz w:val="16"/>
          <w:szCs w:val="16"/>
        </w:rPr>
        <w:t>201).</w:t>
      </w:r>
    </w:p>
  </w:footnote>
  <w:footnote w:id="76">
    <w:p w14:paraId="47B630EE" w14:textId="7537B788" w:rsidR="000E429D" w:rsidRPr="00FC5F93" w:rsidRDefault="000E429D" w:rsidP="00C57877">
      <w:pPr>
        <w:pStyle w:val="FootnoteText"/>
        <w:spacing w:before="0" w:after="0" w:line="20" w:lineRule="atLeast"/>
        <w:jc w:val="left"/>
        <w:rPr>
          <w:rFonts w:cs="Arial"/>
          <w:color w:val="auto"/>
          <w:sz w:val="16"/>
          <w:szCs w:val="16"/>
        </w:rPr>
      </w:pPr>
      <w:r w:rsidRPr="00072B30">
        <w:rPr>
          <w:rStyle w:val="StyleFootnoteReferenceFagoFunotenzeichenFagoFunotenzeichen"/>
          <w:sz w:val="16"/>
          <w:szCs w:val="16"/>
        </w:rPr>
        <w:footnoteRef/>
      </w:r>
      <w:r w:rsidRPr="00FC5F93">
        <w:rPr>
          <w:rFonts w:cs="Arial"/>
          <w:color w:val="auto"/>
          <w:sz w:val="16"/>
          <w:szCs w:val="16"/>
        </w:rPr>
        <w:t xml:space="preserve"> </w:t>
      </w:r>
      <w:r w:rsidRPr="00FC5F93">
        <w:rPr>
          <w:rFonts w:eastAsia="Arial" w:cs="Arial"/>
          <w:color w:val="auto"/>
          <w:sz w:val="16"/>
          <w:szCs w:val="16"/>
        </w:rPr>
        <w:t>Barrington, JM &amp; Beaglehole, TH, Māori schools in a changing society – An historical review, No 52 (New Zealand Council for Educational Research, 1974</w:t>
      </w:r>
      <w:r w:rsidR="00A671DF" w:rsidRPr="00FC5F93">
        <w:rPr>
          <w:rFonts w:eastAsia="Arial" w:cs="Arial"/>
          <w:color w:val="auto"/>
          <w:sz w:val="16"/>
          <w:szCs w:val="16"/>
        </w:rPr>
        <w:t>,</w:t>
      </w:r>
      <w:r w:rsidRPr="00FC5F93">
        <w:rPr>
          <w:rFonts w:eastAsia="Arial" w:cs="Arial"/>
          <w:color w:val="auto"/>
          <w:sz w:val="16"/>
          <w:szCs w:val="16"/>
        </w:rPr>
        <w:t xml:space="preserve"> </w:t>
      </w:r>
      <w:r w:rsidR="00A8348E" w:rsidRPr="00FC5F93">
        <w:rPr>
          <w:rFonts w:cs="Arial"/>
          <w:color w:val="auto"/>
          <w:sz w:val="16"/>
          <w:szCs w:val="16"/>
        </w:rPr>
        <w:t xml:space="preserve">page </w:t>
      </w:r>
      <w:r w:rsidRPr="00FC5F93">
        <w:rPr>
          <w:rFonts w:cs="Arial"/>
          <w:color w:val="auto"/>
          <w:sz w:val="16"/>
          <w:szCs w:val="16"/>
        </w:rPr>
        <w:t>68</w:t>
      </w:r>
      <w:r w:rsidR="00CA437C" w:rsidRPr="00FC5F93">
        <w:rPr>
          <w:rFonts w:cs="Arial"/>
          <w:color w:val="auto"/>
          <w:sz w:val="16"/>
          <w:szCs w:val="16"/>
        </w:rPr>
        <w:t>)</w:t>
      </w:r>
      <w:r w:rsidRPr="00FC5F93">
        <w:rPr>
          <w:rFonts w:cs="Arial"/>
          <w:color w:val="auto"/>
          <w:sz w:val="16"/>
          <w:szCs w:val="16"/>
        </w:rPr>
        <w:t xml:space="preserve">. </w:t>
      </w:r>
    </w:p>
  </w:footnote>
  <w:footnote w:id="77">
    <w:p w14:paraId="219B2428" w14:textId="2781C297" w:rsidR="00A1303C" w:rsidRDefault="00A1303C">
      <w:pPr>
        <w:pStyle w:val="FootnoteText"/>
      </w:pPr>
      <w:r w:rsidRPr="00536E67">
        <w:rPr>
          <w:rStyle w:val="FootnoteReference"/>
          <w:sz w:val="16"/>
          <w:szCs w:val="16"/>
        </w:rPr>
        <w:footnoteRef/>
      </w:r>
      <w:r w:rsidR="000E6E36" w:rsidRPr="00536E67">
        <w:rPr>
          <w:sz w:val="16"/>
          <w:szCs w:val="16"/>
        </w:rPr>
        <w:t xml:space="preserve"> Barrington, </w:t>
      </w:r>
      <w:r w:rsidR="00D727FA" w:rsidRPr="00536E67">
        <w:rPr>
          <w:sz w:val="16"/>
          <w:szCs w:val="16"/>
        </w:rPr>
        <w:t xml:space="preserve">JM </w:t>
      </w:r>
      <w:r w:rsidR="000E6E36" w:rsidRPr="00536E67">
        <w:rPr>
          <w:sz w:val="16"/>
          <w:szCs w:val="16"/>
        </w:rPr>
        <w:t xml:space="preserve">&amp; Beaglehole, </w:t>
      </w:r>
      <w:r w:rsidR="00D727FA" w:rsidRPr="00536E67">
        <w:rPr>
          <w:sz w:val="16"/>
          <w:szCs w:val="16"/>
        </w:rPr>
        <w:t xml:space="preserve">TH, </w:t>
      </w:r>
      <w:r w:rsidR="000E6E36" w:rsidRPr="00536E67">
        <w:rPr>
          <w:sz w:val="16"/>
          <w:szCs w:val="16"/>
        </w:rPr>
        <w:t>Maori Schools in a Changing society</w:t>
      </w:r>
      <w:r w:rsidR="00D727FA" w:rsidRPr="00536E67">
        <w:rPr>
          <w:sz w:val="16"/>
          <w:szCs w:val="16"/>
        </w:rPr>
        <w:t>,</w:t>
      </w:r>
      <w:r w:rsidR="000E6E36" w:rsidRPr="00536E67">
        <w:rPr>
          <w:sz w:val="16"/>
          <w:szCs w:val="16"/>
        </w:rPr>
        <w:t xml:space="preserve"> An Historical Review (Wellington, 1974</w:t>
      </w:r>
      <w:r w:rsidR="00D727FA" w:rsidRPr="00536E67">
        <w:rPr>
          <w:sz w:val="16"/>
          <w:szCs w:val="16"/>
        </w:rPr>
        <w:t>, page</w:t>
      </w:r>
      <w:r w:rsidR="000E6E36" w:rsidRPr="00536E67">
        <w:rPr>
          <w:sz w:val="16"/>
          <w:szCs w:val="16"/>
        </w:rPr>
        <w:t xml:space="preserve"> 106</w:t>
      </w:r>
      <w:r w:rsidR="00D727FA" w:rsidRPr="00536E67">
        <w:rPr>
          <w:sz w:val="16"/>
          <w:szCs w:val="16"/>
        </w:rPr>
        <w:t>)</w:t>
      </w:r>
      <w:r w:rsidR="000E6E36" w:rsidRPr="00536E67">
        <w:rPr>
          <w:sz w:val="16"/>
          <w:szCs w:val="16"/>
        </w:rPr>
        <w:t>, cited i</w:t>
      </w:r>
      <w:r w:rsidR="00D727FA" w:rsidRPr="00536E67">
        <w:rPr>
          <w:sz w:val="16"/>
          <w:szCs w:val="16"/>
        </w:rPr>
        <w:t>n</w:t>
      </w:r>
      <w:r w:rsidR="000E6E36" w:rsidRPr="00536E67">
        <w:rPr>
          <w:sz w:val="16"/>
          <w:szCs w:val="16"/>
        </w:rPr>
        <w:t xml:space="preserve"> </w:t>
      </w:r>
      <w:r w:rsidR="00D727FA" w:rsidRPr="00536E67">
        <w:rPr>
          <w:sz w:val="16"/>
          <w:szCs w:val="16"/>
        </w:rPr>
        <w:t>Pōtiki, MK, Te Hū o Moho – The contributing factors to the death of the Māori language at Ōtākou, Doctoral Thesis, University of Otago (2023,</w:t>
      </w:r>
      <w:r w:rsidR="000E6E36" w:rsidRPr="00536E67">
        <w:rPr>
          <w:sz w:val="16"/>
          <w:szCs w:val="16"/>
        </w:rPr>
        <w:t xml:space="preserve"> page 2002</w:t>
      </w:r>
      <w:r w:rsidR="00D727FA" w:rsidRPr="00536E67">
        <w:rPr>
          <w:sz w:val="16"/>
          <w:szCs w:val="16"/>
        </w:rPr>
        <w:t>).</w:t>
      </w:r>
    </w:p>
  </w:footnote>
  <w:footnote w:id="78">
    <w:p w14:paraId="2AB98200" w14:textId="4599C799" w:rsidR="000E429D" w:rsidRPr="00CB4F47" w:rsidRDefault="000E429D" w:rsidP="00C57877">
      <w:pPr>
        <w:pStyle w:val="FootnoteText"/>
        <w:spacing w:before="0" w:after="0" w:line="20" w:lineRule="atLeast"/>
        <w:jc w:val="left"/>
        <w:rPr>
          <w:rFonts w:cs="Arial"/>
          <w:color w:val="auto"/>
          <w:sz w:val="16"/>
          <w:szCs w:val="16"/>
        </w:rPr>
      </w:pPr>
      <w:r w:rsidRPr="00072B30">
        <w:rPr>
          <w:rStyle w:val="StyleFootnoteReferenceFagoFunotenzeichenFagoFunotenzeichen"/>
          <w:sz w:val="16"/>
          <w:szCs w:val="16"/>
        </w:rPr>
        <w:footnoteRef/>
      </w:r>
      <w:r w:rsidRPr="00CB4F47">
        <w:rPr>
          <w:rFonts w:cs="Arial"/>
          <w:color w:val="auto"/>
          <w:sz w:val="16"/>
          <w:szCs w:val="16"/>
        </w:rPr>
        <w:t xml:space="preserve"> Walker, R, “Reclaiming Māori education” in Hutchings, J </w:t>
      </w:r>
      <w:r w:rsidR="00CA437C">
        <w:rPr>
          <w:rFonts w:cs="Arial"/>
          <w:color w:val="auto"/>
          <w:sz w:val="16"/>
          <w:szCs w:val="16"/>
        </w:rPr>
        <w:t>&amp;</w:t>
      </w:r>
      <w:r w:rsidR="00CA437C" w:rsidRPr="00CB4F47">
        <w:rPr>
          <w:rFonts w:cs="Arial"/>
          <w:color w:val="auto"/>
          <w:sz w:val="16"/>
          <w:szCs w:val="16"/>
        </w:rPr>
        <w:t xml:space="preserve"> </w:t>
      </w:r>
      <w:r w:rsidRPr="00CB4F47">
        <w:rPr>
          <w:rFonts w:cs="Arial"/>
          <w:color w:val="auto"/>
          <w:sz w:val="16"/>
          <w:szCs w:val="16"/>
        </w:rPr>
        <w:t>Lee-Morgan, J (eds), Decolonisation in Aotearoa: Education, research and practice (2016</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24</w:t>
      </w:r>
      <w:r w:rsidR="00284FD2">
        <w:rPr>
          <w:rFonts w:cs="Arial"/>
          <w:color w:val="auto"/>
          <w:sz w:val="16"/>
          <w:szCs w:val="16"/>
        </w:rPr>
        <w:t>)</w:t>
      </w:r>
      <w:r w:rsidRPr="00CB4F47">
        <w:rPr>
          <w:rFonts w:cs="Arial"/>
          <w:color w:val="auto"/>
          <w:sz w:val="16"/>
          <w:szCs w:val="16"/>
        </w:rPr>
        <w:t>.</w:t>
      </w:r>
    </w:p>
  </w:footnote>
  <w:footnote w:id="79">
    <w:p w14:paraId="29BCFFC3" w14:textId="6E3D202B" w:rsidR="000E429D" w:rsidRPr="00CB4F47" w:rsidRDefault="000E429D" w:rsidP="00C57877">
      <w:pPr>
        <w:pStyle w:val="FootnoteText"/>
        <w:shd w:val="clear" w:color="auto" w:fill="FFFFFF" w:themeFill="background1"/>
        <w:spacing w:before="0" w:after="0" w:line="20" w:lineRule="atLeast"/>
        <w:jc w:val="left"/>
        <w:rPr>
          <w:rFonts w:cs="Arial"/>
          <w:color w:val="auto"/>
          <w:sz w:val="16"/>
          <w:szCs w:val="16"/>
        </w:rPr>
      </w:pPr>
      <w:r w:rsidRPr="00072B30">
        <w:rPr>
          <w:rStyle w:val="StyleFootnoteReferenceFagoFunotenzeichenFagoFunotenzeichen"/>
          <w:sz w:val="16"/>
          <w:szCs w:val="16"/>
        </w:rPr>
        <w:footnoteRef/>
      </w:r>
      <w:r w:rsidRPr="00CB4F47">
        <w:rPr>
          <w:rFonts w:cs="Arial"/>
          <w:color w:val="auto"/>
          <w:sz w:val="16"/>
          <w:szCs w:val="16"/>
        </w:rPr>
        <w:t xml:space="preserve"> Walker, R, “Reclaiming Māori education” in Hutchings, J &amp; Lee-Morgan, J (eds), Decolonisation in Aotearoa: Education, research and practice (2016</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24</w:t>
      </w:r>
      <w:r w:rsidR="00284FD2">
        <w:rPr>
          <w:rFonts w:cs="Arial"/>
          <w:color w:val="auto"/>
          <w:sz w:val="16"/>
          <w:szCs w:val="16"/>
        </w:rPr>
        <w:t>)</w:t>
      </w:r>
      <w:r w:rsidRPr="00CB4F47">
        <w:rPr>
          <w:rFonts w:cs="Arial"/>
          <w:color w:val="auto"/>
          <w:sz w:val="16"/>
          <w:szCs w:val="16"/>
        </w:rPr>
        <w:t>.</w:t>
      </w:r>
    </w:p>
  </w:footnote>
  <w:footnote w:id="80">
    <w:p w14:paraId="52AC9370" w14:textId="4458FF39" w:rsidR="000E429D" w:rsidRPr="00CB4F47" w:rsidRDefault="000E429D" w:rsidP="00C57877">
      <w:pPr>
        <w:pStyle w:val="FootnoteText"/>
        <w:spacing w:before="0" w:after="0" w:line="20" w:lineRule="atLeast"/>
        <w:jc w:val="left"/>
        <w:rPr>
          <w:rFonts w:cs="Arial"/>
          <w:color w:val="auto"/>
          <w:sz w:val="16"/>
          <w:szCs w:val="16"/>
        </w:rPr>
      </w:pPr>
      <w:r w:rsidRPr="00072B30">
        <w:rPr>
          <w:rStyle w:val="StyleFootnoteReferenceFagoFunotenzeichenFagoFunotenzeichen"/>
          <w:sz w:val="16"/>
          <w:szCs w:val="16"/>
        </w:rPr>
        <w:footnoteRef/>
      </w:r>
      <w:r w:rsidRPr="00CB4F47">
        <w:rPr>
          <w:rFonts w:cs="Arial"/>
          <w:color w:val="auto"/>
          <w:sz w:val="16"/>
          <w:szCs w:val="16"/>
        </w:rPr>
        <w:t xml:space="preserve"> Yengoyan, AA, “Christianity and Austronesian transformations: Church, polity and culture in the Philippines and the Pacific” in Bellwood, P, Fox, JJ &amp; Tryon, D (eds), The Austronesians: Historical and comparative perspectives (The Australian National University Press, 2006</w:t>
      </w:r>
      <w:r w:rsidR="00A671DF" w:rsidRPr="00CB4F47">
        <w:rPr>
          <w:rFonts w:cs="Arial"/>
          <w:color w:val="auto"/>
          <w:sz w:val="16"/>
          <w:szCs w:val="16"/>
        </w:rPr>
        <w:t>,</w:t>
      </w:r>
      <w:r w:rsidRPr="00CB4F47">
        <w:rPr>
          <w:rFonts w:cs="Arial"/>
          <w:color w:val="auto"/>
          <w:sz w:val="16"/>
          <w:szCs w:val="16"/>
        </w:rPr>
        <w:t xml:space="preserve"> p</w:t>
      </w:r>
      <w:r w:rsidR="00B43E3E" w:rsidRPr="00CB4F47">
        <w:rPr>
          <w:rFonts w:cs="Arial"/>
          <w:color w:val="auto"/>
          <w:sz w:val="16"/>
          <w:szCs w:val="16"/>
        </w:rPr>
        <w:t>age</w:t>
      </w:r>
      <w:r w:rsidRPr="00CB4F47">
        <w:rPr>
          <w:rFonts w:cs="Arial"/>
          <w:color w:val="auto"/>
          <w:sz w:val="16"/>
          <w:szCs w:val="16"/>
        </w:rPr>
        <w:t xml:space="preserve"> 361</w:t>
      </w:r>
      <w:r w:rsidR="00284FD2">
        <w:rPr>
          <w:rFonts w:cs="Arial"/>
          <w:color w:val="auto"/>
          <w:sz w:val="16"/>
          <w:szCs w:val="16"/>
        </w:rPr>
        <w:t>)</w:t>
      </w:r>
      <w:r w:rsidRPr="00CB4F47">
        <w:rPr>
          <w:rFonts w:cs="Arial"/>
          <w:color w:val="auto"/>
          <w:sz w:val="16"/>
          <w:szCs w:val="16"/>
        </w:rPr>
        <w:t>.</w:t>
      </w:r>
    </w:p>
  </w:footnote>
  <w:footnote w:id="81">
    <w:p w14:paraId="41A100FC" w14:textId="25440DFE" w:rsidR="000E429D" w:rsidRPr="00CB4F47" w:rsidRDefault="000E429D" w:rsidP="00C57877">
      <w:pPr>
        <w:pStyle w:val="FootnoteText"/>
        <w:spacing w:before="0" w:after="0" w:line="20" w:lineRule="atLeast"/>
        <w:jc w:val="left"/>
        <w:rPr>
          <w:rFonts w:cs="Arial"/>
          <w:color w:val="auto"/>
          <w:sz w:val="16"/>
          <w:szCs w:val="16"/>
        </w:rPr>
      </w:pPr>
      <w:r w:rsidRPr="00072B30">
        <w:rPr>
          <w:rStyle w:val="StyleFootnoteReferenceFagoFunotenzeichenFagoFunotenzeichen"/>
          <w:sz w:val="16"/>
          <w:szCs w:val="16"/>
        </w:rPr>
        <w:footnoteRef/>
      </w:r>
      <w:r w:rsidRPr="00CB4F47">
        <w:rPr>
          <w:rFonts w:cs="Arial"/>
          <w:color w:val="auto"/>
          <w:sz w:val="16"/>
          <w:szCs w:val="16"/>
        </w:rPr>
        <w:t xml:space="preserve"> Schoeffel, P &amp; Meleisa, M, “Pacific Island Polynesian attitudes to child training and discipline in New Zealand: Some policy implications for Social Welfare and Education</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Social Policy Journal of New Zealand, </w:t>
      </w:r>
      <w:r w:rsidR="00A671DF">
        <w:rPr>
          <w:rFonts w:cs="Arial"/>
          <w:color w:val="auto"/>
          <w:sz w:val="16"/>
          <w:szCs w:val="16"/>
        </w:rPr>
        <w:t>N</w:t>
      </w:r>
      <w:r w:rsidR="00A671DF" w:rsidRPr="00CB4F47">
        <w:rPr>
          <w:rFonts w:cs="Arial"/>
          <w:color w:val="auto"/>
          <w:sz w:val="16"/>
          <w:szCs w:val="16"/>
        </w:rPr>
        <w:t>o</w:t>
      </w:r>
      <w:r w:rsidRPr="00CB4F47">
        <w:rPr>
          <w:rFonts w:cs="Arial"/>
          <w:color w:val="auto"/>
          <w:sz w:val="16"/>
          <w:szCs w:val="16"/>
        </w:rPr>
        <w:t xml:space="preserve"> 6 (1996</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6</w:t>
      </w:r>
      <w:r w:rsidR="00284FD2">
        <w:rPr>
          <w:rFonts w:cs="Arial"/>
          <w:color w:val="auto"/>
          <w:sz w:val="16"/>
          <w:szCs w:val="16"/>
        </w:rPr>
        <w:t>)</w:t>
      </w:r>
      <w:r w:rsidRPr="00CB4F47">
        <w:rPr>
          <w:rFonts w:cs="Arial"/>
          <w:color w:val="auto"/>
          <w:sz w:val="16"/>
          <w:szCs w:val="16"/>
        </w:rPr>
        <w:t>.</w:t>
      </w:r>
    </w:p>
  </w:footnote>
  <w:footnote w:id="82">
    <w:p w14:paraId="63EC555F" w14:textId="27DDBED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normaltextrun"/>
          <w:rFonts w:cs="Arial"/>
          <w:color w:val="auto"/>
          <w:sz w:val="16"/>
          <w:szCs w:val="16"/>
          <w:shd w:val="clear" w:color="auto" w:fill="FFFFFF"/>
        </w:rPr>
        <w:t>Waitangi Tribunal, He Whakaputanga me te Tiriti, The Declaration and the Treaty: Report on stage 1 of the Te Paparahi o Te Raki Inquiry</w:t>
      </w:r>
      <w:r w:rsidRPr="00CB4F47">
        <w:rPr>
          <w:rFonts w:cs="Arial"/>
          <w:color w:val="auto"/>
          <w:sz w:val="16"/>
          <w:szCs w:val="16"/>
        </w:rPr>
        <w:t xml:space="preserve"> </w:t>
      </w:r>
      <w:r w:rsidRPr="00CB4F47">
        <w:rPr>
          <w:rStyle w:val="normaltextrun"/>
          <w:rFonts w:cs="Arial"/>
          <w:color w:val="auto"/>
          <w:sz w:val="16"/>
          <w:szCs w:val="16"/>
          <w:shd w:val="clear" w:color="auto" w:fill="FFFFFF"/>
        </w:rPr>
        <w:t>(2014</w:t>
      </w:r>
      <w:r w:rsidR="00A671DF" w:rsidRPr="00CB4F47">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 xml:space="preserve"> </w:t>
      </w:r>
      <w:r w:rsidRPr="00CB4F47">
        <w:rPr>
          <w:rFonts w:cs="Arial"/>
          <w:color w:val="auto"/>
          <w:sz w:val="16"/>
          <w:szCs w:val="16"/>
        </w:rPr>
        <w:t xml:space="preserve">pages </w:t>
      </w:r>
      <w:r w:rsidRPr="00CB4F47">
        <w:rPr>
          <w:rStyle w:val="normaltextrun"/>
          <w:rFonts w:cs="Arial"/>
          <w:color w:val="auto"/>
          <w:sz w:val="16"/>
          <w:szCs w:val="16"/>
          <w:shd w:val="clear" w:color="auto" w:fill="FFFFFF"/>
        </w:rPr>
        <w:t>12, 154 and 501</w:t>
      </w:r>
      <w:r w:rsidR="00D62A82">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w:t>
      </w:r>
    </w:p>
  </w:footnote>
  <w:footnote w:id="83">
    <w:p w14:paraId="7C941565" w14:textId="1AB9DE4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normaltextrun"/>
          <w:rFonts w:cs="Arial"/>
          <w:color w:val="auto"/>
          <w:sz w:val="16"/>
          <w:szCs w:val="16"/>
          <w:shd w:val="clear" w:color="auto" w:fill="FFFFFF"/>
        </w:rPr>
        <w:t>Waitangi Tribunal, He Whakaputanga me te Tiriti, The Declaration and the Treaty: Report on stage 1 of the Te Paparahi o Te Raki Inquiry (2014</w:t>
      </w:r>
      <w:r w:rsidR="00A671DF" w:rsidRPr="00CB4F47">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 xml:space="preserve"> </w:t>
      </w:r>
      <w:r w:rsidR="00A8348E" w:rsidRPr="00CB4F47">
        <w:rPr>
          <w:rFonts w:cs="Arial"/>
          <w:color w:val="auto"/>
          <w:sz w:val="16"/>
          <w:szCs w:val="16"/>
        </w:rPr>
        <w:t xml:space="preserve">page </w:t>
      </w:r>
      <w:r w:rsidRPr="00CB4F47">
        <w:rPr>
          <w:rFonts w:cs="Arial"/>
          <w:color w:val="auto"/>
          <w:sz w:val="16"/>
          <w:szCs w:val="16"/>
        </w:rPr>
        <w:t>176</w:t>
      </w:r>
      <w:r w:rsidR="00D62A82">
        <w:rPr>
          <w:rFonts w:cs="Arial"/>
          <w:color w:val="auto"/>
          <w:sz w:val="16"/>
          <w:szCs w:val="16"/>
        </w:rPr>
        <w:t>)</w:t>
      </w:r>
      <w:r w:rsidRPr="00CB4F47">
        <w:rPr>
          <w:rFonts w:cs="Arial"/>
          <w:color w:val="auto"/>
          <w:sz w:val="16"/>
          <w:szCs w:val="16"/>
        </w:rPr>
        <w:t>.</w:t>
      </w:r>
    </w:p>
  </w:footnote>
  <w:footnote w:id="84">
    <w:p w14:paraId="5805B582" w14:textId="01EBEE33"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Orange, C, The Treaty of Waitangi (Bridget Williams Books, 2011</w:t>
      </w:r>
      <w:r w:rsidR="00A671DF" w:rsidRPr="00CB4F47">
        <w:rPr>
          <w:rFonts w:cs="Arial"/>
          <w:color w:val="auto"/>
          <w:sz w:val="16"/>
          <w:szCs w:val="16"/>
        </w:rPr>
        <w:t xml:space="preserve">, </w:t>
      </w:r>
      <w:r w:rsidRPr="00CB4F47">
        <w:rPr>
          <w:rFonts w:cs="Arial"/>
          <w:color w:val="auto"/>
          <w:sz w:val="16"/>
          <w:szCs w:val="16"/>
        </w:rPr>
        <w:t>pages 21, 30–32</w:t>
      </w:r>
      <w:r w:rsidR="002E7C01" w:rsidRPr="00CB4F47" w:rsidDel="00DE19C6">
        <w:rPr>
          <w:rFonts w:cs="Arial"/>
          <w:color w:val="auto"/>
          <w:sz w:val="16"/>
          <w:szCs w:val="16"/>
        </w:rPr>
        <w:t>)</w:t>
      </w:r>
      <w:r w:rsidRPr="00CB4F47">
        <w:rPr>
          <w:rFonts w:cs="Arial"/>
          <w:color w:val="auto"/>
          <w:sz w:val="16"/>
          <w:szCs w:val="16"/>
        </w:rPr>
        <w:t>.</w:t>
      </w:r>
    </w:p>
  </w:footnote>
  <w:footnote w:id="85">
    <w:p w14:paraId="3C30A596" w14:textId="2ED4D027" w:rsidR="007252C0" w:rsidRDefault="007252C0">
      <w:pPr>
        <w:pStyle w:val="FootnoteText"/>
      </w:pPr>
      <w:r>
        <w:rPr>
          <w:rStyle w:val="FootnoteReference"/>
        </w:rPr>
        <w:footnoteRef/>
      </w:r>
      <w:r>
        <w:t xml:space="preserve"> </w:t>
      </w:r>
      <w:r w:rsidRPr="00FC5F93">
        <w:rPr>
          <w:rFonts w:eastAsia="Times New Roman" w:cs="Arial"/>
          <w:color w:val="auto"/>
          <w:sz w:val="16"/>
          <w:szCs w:val="16"/>
          <w:lang w:eastAsia="en-NZ"/>
        </w:rPr>
        <w:t xml:space="preserve">Fletcher, N, The English text of the Treaty of Waitangi (Bridget Williams Books, 2022, </w:t>
      </w:r>
      <w:r w:rsidRPr="00FC5F93">
        <w:rPr>
          <w:rFonts w:cs="Arial"/>
          <w:color w:val="auto"/>
          <w:sz w:val="16"/>
          <w:szCs w:val="16"/>
        </w:rPr>
        <w:t>pages 470–471</w:t>
      </w:r>
      <w:r w:rsidRPr="00FC5F93" w:rsidDel="00134AEF">
        <w:rPr>
          <w:rFonts w:cs="Arial"/>
          <w:color w:val="auto"/>
          <w:sz w:val="16"/>
          <w:szCs w:val="16"/>
        </w:rPr>
        <w:t>)</w:t>
      </w:r>
      <w:r w:rsidRPr="00FC5F93">
        <w:rPr>
          <w:rFonts w:cs="Arial"/>
          <w:color w:val="auto"/>
          <w:sz w:val="16"/>
          <w:szCs w:val="16"/>
        </w:rPr>
        <w:t>.</w:t>
      </w:r>
    </w:p>
  </w:footnote>
  <w:footnote w:id="86">
    <w:p w14:paraId="2009E18A" w14:textId="38105E13" w:rsidR="000E429D" w:rsidRPr="00CB4F47" w:rsidRDefault="000E429D" w:rsidP="00C57877">
      <w:pPr>
        <w:pStyle w:val="FootnoteText"/>
        <w:spacing w:before="0" w:after="0" w:line="20" w:lineRule="atLeast"/>
        <w:contextualSpacing/>
        <w:jc w:val="left"/>
        <w:rPr>
          <w:rFonts w:cs="Arial"/>
          <w:color w:val="auto"/>
          <w:sz w:val="16"/>
          <w:szCs w:val="16"/>
        </w:rPr>
      </w:pPr>
      <w:r w:rsidRPr="00536E67">
        <w:rPr>
          <w:rStyle w:val="StyleFootnoteReferenceFagoFunotenzeichenFagoFunotenzeichen"/>
          <w:sz w:val="16"/>
          <w:szCs w:val="16"/>
        </w:rPr>
        <w:footnoteRef/>
      </w:r>
      <w:r w:rsidRPr="00CB4F47">
        <w:rPr>
          <w:rFonts w:eastAsia="Consolas" w:cs="Arial"/>
          <w:color w:val="auto"/>
          <w:sz w:val="16"/>
          <w:szCs w:val="16"/>
        </w:rPr>
        <w:t xml:space="preserve"> </w:t>
      </w:r>
      <w:r w:rsidRPr="00CB4F47">
        <w:rPr>
          <w:rFonts w:eastAsia="BatangChe" w:cs="Arial"/>
          <w:sz w:val="16"/>
          <w:szCs w:val="16"/>
        </w:rPr>
        <w:t>Waitangi Tribunal, Te Mana Whatu Ahuru: Report on Te Rohe Pōtae claims parts I and II (2018</w:t>
      </w:r>
      <w:r w:rsidR="00A671DF" w:rsidRPr="00CB4F47">
        <w:rPr>
          <w:rFonts w:eastAsia="BatangChe" w:cs="Arial"/>
          <w:sz w:val="16"/>
          <w:szCs w:val="16"/>
        </w:rPr>
        <w:t>,</w:t>
      </w:r>
      <w:r w:rsidRPr="00CB4F47">
        <w:rPr>
          <w:rFonts w:eastAsia="BatangChe" w:cs="Arial"/>
          <w:sz w:val="16"/>
          <w:szCs w:val="16"/>
          <w:lang w:val="mi-NZ"/>
        </w:rPr>
        <w:t xml:space="preserve"> </w:t>
      </w:r>
      <w:r w:rsidR="00A8348E" w:rsidRPr="00CB4F47">
        <w:rPr>
          <w:rFonts w:cs="Arial"/>
          <w:color w:val="auto"/>
          <w:sz w:val="16"/>
          <w:szCs w:val="16"/>
        </w:rPr>
        <w:t>page</w:t>
      </w:r>
      <w:r w:rsidR="00A8348E" w:rsidRPr="00CB4F47">
        <w:rPr>
          <w:rFonts w:eastAsia="Consolas" w:cs="Arial"/>
          <w:color w:val="auto"/>
          <w:sz w:val="16"/>
          <w:szCs w:val="16"/>
        </w:rPr>
        <w:t xml:space="preserve"> </w:t>
      </w:r>
      <w:r w:rsidRPr="00CB4F47">
        <w:rPr>
          <w:rFonts w:eastAsia="Consolas" w:cs="Arial"/>
          <w:color w:val="auto"/>
          <w:sz w:val="16"/>
          <w:szCs w:val="16"/>
        </w:rPr>
        <w:t>189</w:t>
      </w:r>
      <w:r w:rsidR="00D62A82">
        <w:rPr>
          <w:rFonts w:eastAsia="Consolas" w:cs="Arial"/>
          <w:color w:val="auto"/>
          <w:sz w:val="16"/>
          <w:szCs w:val="16"/>
        </w:rPr>
        <w:t>)</w:t>
      </w:r>
      <w:r w:rsidRPr="00CB4F47">
        <w:rPr>
          <w:rFonts w:eastAsia="Consolas" w:cs="Arial"/>
          <w:color w:val="auto"/>
          <w:sz w:val="16"/>
          <w:szCs w:val="16"/>
        </w:rPr>
        <w:t>.</w:t>
      </w:r>
    </w:p>
  </w:footnote>
  <w:footnote w:id="87">
    <w:p w14:paraId="361E3A2F" w14:textId="0001A8C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Style w:val="normaltextrun"/>
          <w:rFonts w:cs="Arial"/>
          <w:color w:val="auto"/>
          <w:sz w:val="16"/>
          <w:szCs w:val="16"/>
          <w:shd w:val="clear" w:color="auto" w:fill="FFFFFF"/>
        </w:rPr>
        <w:t xml:space="preserve"> Waitangi Tribunal, </w:t>
      </w:r>
      <w:r w:rsidRPr="00CB4F47">
        <w:rPr>
          <w:rFonts w:cs="Arial"/>
          <w:color w:val="auto"/>
          <w:sz w:val="16"/>
          <w:szCs w:val="16"/>
        </w:rPr>
        <w:t>He Whakaputanga me te Tiriti: The Declaration and the Treaty: Report on stage 1 of the Te Paparahi o Te Raki Inquiry (2014</w:t>
      </w:r>
      <w:r w:rsidR="00A671DF" w:rsidRPr="00CB4F47">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 xml:space="preserve"> </w:t>
      </w:r>
      <w:r w:rsidR="00A8348E" w:rsidRPr="00CB4F47">
        <w:rPr>
          <w:rFonts w:cs="Arial"/>
          <w:color w:val="auto"/>
          <w:sz w:val="16"/>
          <w:szCs w:val="16"/>
        </w:rPr>
        <w:t>page</w:t>
      </w:r>
      <w:r w:rsidR="00A8348E" w:rsidRPr="00CB4F47">
        <w:rPr>
          <w:rStyle w:val="normaltextrun"/>
          <w:rFonts w:cs="Arial"/>
          <w:color w:val="auto"/>
          <w:sz w:val="16"/>
          <w:szCs w:val="16"/>
          <w:shd w:val="clear" w:color="auto" w:fill="FFFFFF"/>
        </w:rPr>
        <w:t xml:space="preserve"> </w:t>
      </w:r>
      <w:r w:rsidRPr="00CB4F47">
        <w:rPr>
          <w:rStyle w:val="normaltextrun"/>
          <w:rFonts w:cs="Arial"/>
          <w:color w:val="auto"/>
          <w:sz w:val="16"/>
          <w:szCs w:val="16"/>
          <w:shd w:val="clear" w:color="auto" w:fill="FFFFFF"/>
        </w:rPr>
        <w:t>499</w:t>
      </w:r>
      <w:r w:rsidR="00D62A82">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w:t>
      </w:r>
    </w:p>
  </w:footnote>
  <w:footnote w:id="88">
    <w:p w14:paraId="40AAE8C1" w14:textId="0092A46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normaltextrun"/>
          <w:rFonts w:cs="Arial"/>
          <w:color w:val="auto"/>
          <w:sz w:val="16"/>
          <w:szCs w:val="16"/>
          <w:shd w:val="clear" w:color="auto" w:fill="FFFFFF"/>
        </w:rPr>
        <w:t>Waitangi Tribunal, Report of the Waitangi Tribunal on the Motunui-Waitara claim (1983</w:t>
      </w:r>
      <w:r w:rsidR="00A671DF" w:rsidRPr="00CB4F47">
        <w:rPr>
          <w:rStyle w:val="normaltextrun"/>
          <w:rFonts w:cs="Arial"/>
          <w:color w:val="auto"/>
          <w:sz w:val="16"/>
          <w:szCs w:val="16"/>
          <w:shd w:val="clear" w:color="auto" w:fill="FFFFFF"/>
        </w:rPr>
        <w:t xml:space="preserve">, </w:t>
      </w:r>
      <w:r w:rsidR="00C32E74" w:rsidRPr="00CB4F47">
        <w:rPr>
          <w:rStyle w:val="normaltextrun"/>
          <w:rFonts w:cs="Arial"/>
          <w:color w:val="auto"/>
          <w:sz w:val="16"/>
          <w:szCs w:val="16"/>
          <w:shd w:val="clear" w:color="auto" w:fill="FFFFFF"/>
        </w:rPr>
        <w:t>p</w:t>
      </w:r>
      <w:r w:rsidR="00212CAB" w:rsidRPr="00CB4F47">
        <w:rPr>
          <w:rStyle w:val="normaltextrun"/>
          <w:rFonts w:cs="Arial"/>
          <w:color w:val="auto"/>
          <w:sz w:val="16"/>
          <w:szCs w:val="16"/>
          <w:shd w:val="clear" w:color="auto" w:fill="FFFFFF"/>
        </w:rPr>
        <w:t>age</w:t>
      </w:r>
      <w:r w:rsidRPr="00CB4F47">
        <w:rPr>
          <w:rStyle w:val="normaltextrun"/>
          <w:rFonts w:cs="Arial"/>
          <w:color w:val="auto"/>
          <w:sz w:val="16"/>
          <w:szCs w:val="16"/>
          <w:shd w:val="clear" w:color="auto" w:fill="FFFFFF"/>
        </w:rPr>
        <w:t xml:space="preserve"> 52</w:t>
      </w:r>
      <w:r w:rsidR="002E7C01" w:rsidRPr="00CB4F47" w:rsidDel="00134AEF">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 xml:space="preserve">. </w:t>
      </w:r>
    </w:p>
  </w:footnote>
  <w:footnote w:id="89">
    <w:p w14:paraId="34F4FF44" w14:textId="4AC3E22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Times New Roman" w:cs="Arial"/>
          <w:color w:val="auto"/>
          <w:sz w:val="16"/>
          <w:szCs w:val="16"/>
          <w:lang w:eastAsia="en-NZ"/>
        </w:rPr>
        <w:t>Fletcher, N, The English text of the Treaty of Waitangi (Bridget Williams Books, 2022</w:t>
      </w:r>
      <w:r w:rsidR="00A671DF" w:rsidRPr="00CB4F47">
        <w:rPr>
          <w:rFonts w:eastAsia="Times New Roman" w:cs="Arial"/>
          <w:color w:val="auto"/>
          <w:sz w:val="16"/>
          <w:szCs w:val="16"/>
          <w:lang w:eastAsia="en-NZ"/>
        </w:rPr>
        <w:t xml:space="preserve">, </w:t>
      </w:r>
      <w:r w:rsidRPr="00CB4F47">
        <w:rPr>
          <w:rFonts w:cs="Arial"/>
          <w:color w:val="auto"/>
          <w:sz w:val="16"/>
          <w:szCs w:val="16"/>
        </w:rPr>
        <w:t>pages 470–471</w:t>
      </w:r>
      <w:r w:rsidR="002E7C01" w:rsidRPr="00CB4F47" w:rsidDel="00134AEF">
        <w:rPr>
          <w:rFonts w:cs="Arial"/>
          <w:color w:val="auto"/>
          <w:sz w:val="16"/>
          <w:szCs w:val="16"/>
        </w:rPr>
        <w:t>)</w:t>
      </w:r>
      <w:r w:rsidRPr="00CB4F47">
        <w:rPr>
          <w:rFonts w:cs="Arial"/>
          <w:color w:val="auto"/>
          <w:sz w:val="16"/>
          <w:szCs w:val="16"/>
        </w:rPr>
        <w:t>.</w:t>
      </w:r>
    </w:p>
  </w:footnote>
  <w:footnote w:id="90">
    <w:p w14:paraId="35F1A7D9" w14:textId="55CF8E3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 xml:space="preserve">Waitangi Tribunal, </w:t>
      </w:r>
      <w:r w:rsidRPr="00CB4F47">
        <w:rPr>
          <w:rFonts w:cs="Arial"/>
          <w:color w:val="auto"/>
          <w:sz w:val="16"/>
          <w:szCs w:val="16"/>
        </w:rPr>
        <w:t>Te Roroa Report (1992</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28</w:t>
      </w:r>
      <w:r w:rsidR="00D62A82">
        <w:rPr>
          <w:rFonts w:cs="Arial"/>
          <w:color w:val="auto"/>
          <w:sz w:val="16"/>
          <w:szCs w:val="16"/>
        </w:rPr>
        <w:t>)</w:t>
      </w:r>
      <w:r w:rsidRPr="00CB4F47">
        <w:rPr>
          <w:rFonts w:cs="Arial"/>
          <w:color w:val="auto"/>
          <w:sz w:val="16"/>
          <w:szCs w:val="16"/>
        </w:rPr>
        <w:t>.</w:t>
      </w:r>
    </w:p>
  </w:footnote>
  <w:footnote w:id="91">
    <w:p w14:paraId="12C10900" w14:textId="3ED98C6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William</w:t>
      </w:r>
      <w:r w:rsidR="00D82157">
        <w:rPr>
          <w:rFonts w:cs="Arial"/>
          <w:color w:val="auto"/>
          <w:sz w:val="16"/>
          <w:szCs w:val="16"/>
        </w:rPr>
        <w:t>s</w:t>
      </w:r>
      <w:r w:rsidRPr="00CB4F47">
        <w:rPr>
          <w:rFonts w:cs="Arial"/>
          <w:color w:val="auto"/>
          <w:sz w:val="16"/>
          <w:szCs w:val="16"/>
        </w:rPr>
        <w:t xml:space="preserve">, </w:t>
      </w:r>
      <w:r w:rsidR="00A671DF" w:rsidRPr="00CB4F47">
        <w:rPr>
          <w:rFonts w:cs="Arial"/>
          <w:color w:val="auto"/>
          <w:sz w:val="16"/>
          <w:szCs w:val="16"/>
        </w:rPr>
        <w:t>DV</w:t>
      </w:r>
      <w:r w:rsidRPr="00CB4F47">
        <w:rPr>
          <w:rFonts w:cs="Arial"/>
          <w:color w:val="auto"/>
          <w:sz w:val="16"/>
          <w:szCs w:val="16"/>
        </w:rPr>
        <w:t>, “The continuing impact of amalgamation, assimilation and integration policies</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Journal of the Royal Society of New Zealand 49(1) (2019</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3</w:t>
      </w:r>
      <w:r w:rsidR="00A671DF">
        <w:rPr>
          <w:rFonts w:cs="Arial"/>
          <w:color w:val="auto"/>
          <w:sz w:val="16"/>
          <w:szCs w:val="16"/>
        </w:rPr>
        <w:t>);</w:t>
      </w:r>
      <w:r w:rsidRPr="00CB4F47">
        <w:rPr>
          <w:rFonts w:cs="Arial"/>
          <w:color w:val="auto"/>
          <w:sz w:val="16"/>
          <w:szCs w:val="16"/>
        </w:rPr>
        <w:t xml:space="preserve"> </w:t>
      </w:r>
      <w:r w:rsidR="008A5F31" w:rsidRPr="008A5F31">
        <w:rPr>
          <w:rFonts w:cs="Arial"/>
          <w:color w:val="auto"/>
          <w:sz w:val="16"/>
          <w:szCs w:val="16"/>
        </w:rPr>
        <w:t xml:space="preserve">Boast, R, Te tango whenua: Māori land alienation (Te Ara – </w:t>
      </w:r>
      <w:r w:rsidR="00A671DF">
        <w:rPr>
          <w:rFonts w:cs="Arial"/>
          <w:color w:val="auto"/>
          <w:sz w:val="16"/>
          <w:szCs w:val="16"/>
        </w:rPr>
        <w:t>T</w:t>
      </w:r>
      <w:r w:rsidR="00A671DF" w:rsidRPr="008A5F31">
        <w:rPr>
          <w:rFonts w:cs="Arial"/>
          <w:color w:val="auto"/>
          <w:sz w:val="16"/>
          <w:szCs w:val="16"/>
        </w:rPr>
        <w:t>he Encyclopedia</w:t>
      </w:r>
      <w:r w:rsidR="008A5F31" w:rsidRPr="008A5F31">
        <w:rPr>
          <w:rFonts w:cs="Arial"/>
          <w:color w:val="auto"/>
          <w:sz w:val="16"/>
          <w:szCs w:val="16"/>
        </w:rPr>
        <w:t xml:space="preserve"> of New Zealand, 2008, updated 2015)</w:t>
      </w:r>
      <w:r w:rsidR="000C6D59">
        <w:rPr>
          <w:rFonts w:cs="Arial"/>
          <w:color w:val="auto"/>
          <w:sz w:val="16"/>
          <w:szCs w:val="16"/>
        </w:rPr>
        <w:t xml:space="preserve">, </w:t>
      </w:r>
      <w:hyperlink r:id="rId7" w:history="1">
        <w:r w:rsidR="000C6D59" w:rsidRPr="00DD5764">
          <w:rPr>
            <w:rStyle w:val="Hyperlink"/>
            <w:rFonts w:cs="Arial"/>
            <w:sz w:val="16"/>
            <w:szCs w:val="16"/>
          </w:rPr>
          <w:t>http://www.TeAra.govt.nz/en/te-tango-whenua-maori-land-alienation</w:t>
        </w:r>
      </w:hyperlink>
      <w:r w:rsidR="00A671DF">
        <w:rPr>
          <w:rFonts w:cs="Arial"/>
          <w:color w:val="auto"/>
          <w:sz w:val="16"/>
          <w:szCs w:val="16"/>
        </w:rPr>
        <w:t>.</w:t>
      </w:r>
    </w:p>
  </w:footnote>
  <w:footnote w:id="92">
    <w:p w14:paraId="1282FE53" w14:textId="1A6DB2C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Armitage, A, Comparing the </w:t>
      </w:r>
      <w:r w:rsidR="000218B2">
        <w:rPr>
          <w:rFonts w:cs="Arial"/>
          <w:color w:val="auto"/>
          <w:sz w:val="16"/>
          <w:szCs w:val="16"/>
        </w:rPr>
        <w:t>p</w:t>
      </w:r>
      <w:r w:rsidR="000218B2" w:rsidRPr="00CB4F47">
        <w:rPr>
          <w:rFonts w:cs="Arial"/>
          <w:color w:val="auto"/>
          <w:sz w:val="16"/>
          <w:szCs w:val="16"/>
        </w:rPr>
        <w:t xml:space="preserve">olicy </w:t>
      </w:r>
      <w:r w:rsidRPr="00CB4F47">
        <w:rPr>
          <w:rFonts w:cs="Arial"/>
          <w:color w:val="auto"/>
          <w:sz w:val="16"/>
          <w:szCs w:val="16"/>
        </w:rPr>
        <w:t>of Aboriginal assimilation: Australia</w:t>
      </w:r>
      <w:r w:rsidRPr="00CB4F47">
        <w:rPr>
          <w:rFonts w:cs="Arial"/>
          <w:b/>
          <w:color w:val="auto"/>
          <w:sz w:val="16"/>
          <w:szCs w:val="16"/>
        </w:rPr>
        <w:t>,</w:t>
      </w:r>
      <w:r w:rsidRPr="00CB4F47">
        <w:rPr>
          <w:rFonts w:cs="Arial"/>
          <w:color w:val="auto"/>
          <w:sz w:val="16"/>
          <w:szCs w:val="16"/>
        </w:rPr>
        <w:t xml:space="preserve"> Canada, and New Zealand (University of British Columbia Press, 1995, </w:t>
      </w:r>
      <w:r w:rsidR="00212CAB" w:rsidRPr="00CB4F47">
        <w:rPr>
          <w:rFonts w:cs="Arial"/>
          <w:color w:val="auto"/>
          <w:sz w:val="16"/>
          <w:szCs w:val="16"/>
        </w:rPr>
        <w:t>page</w:t>
      </w:r>
      <w:r w:rsidRPr="00CB4F47">
        <w:rPr>
          <w:rFonts w:cs="Arial"/>
          <w:color w:val="auto"/>
          <w:sz w:val="16"/>
          <w:szCs w:val="16"/>
        </w:rPr>
        <w:t xml:space="preserve"> 155</w:t>
      </w:r>
      <w:r w:rsidR="00225A22" w:rsidRPr="00CB4F47">
        <w:rPr>
          <w:rFonts w:cs="Arial"/>
          <w:color w:val="auto"/>
          <w:sz w:val="16"/>
          <w:szCs w:val="16"/>
        </w:rPr>
        <w:t>)</w:t>
      </w:r>
      <w:r w:rsidRPr="00CB4F47">
        <w:rPr>
          <w:rFonts w:cs="Arial"/>
          <w:color w:val="auto"/>
          <w:sz w:val="16"/>
          <w:szCs w:val="16"/>
        </w:rPr>
        <w:t xml:space="preserve">; </w:t>
      </w:r>
      <w:r w:rsidRPr="00CB4F47">
        <w:rPr>
          <w:rFonts w:cs="Arial"/>
          <w:sz w:val="16"/>
          <w:szCs w:val="16"/>
        </w:rPr>
        <w:t xml:space="preserve">Waitangi Tribunal, </w:t>
      </w:r>
      <w:r w:rsidRPr="00CB4F47">
        <w:rPr>
          <w:rFonts w:cs="Arial"/>
          <w:color w:val="auto"/>
          <w:sz w:val="16"/>
          <w:szCs w:val="16"/>
        </w:rPr>
        <w:t>Te Roroa Report (1992</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28</w:t>
      </w:r>
      <w:r w:rsidR="00B07322">
        <w:rPr>
          <w:rFonts w:cs="Arial"/>
          <w:color w:val="auto"/>
          <w:sz w:val="16"/>
          <w:szCs w:val="16"/>
        </w:rPr>
        <w:t>)</w:t>
      </w:r>
      <w:r w:rsidRPr="00CB4F47">
        <w:rPr>
          <w:rFonts w:cs="Arial"/>
          <w:color w:val="auto"/>
          <w:sz w:val="16"/>
          <w:szCs w:val="16"/>
        </w:rPr>
        <w:t>.</w:t>
      </w:r>
    </w:p>
  </w:footnote>
  <w:footnote w:id="93">
    <w:p w14:paraId="466367E8" w14:textId="35EAE3E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Armitage, A, Comparing the </w:t>
      </w:r>
      <w:r w:rsidR="00A671DF">
        <w:rPr>
          <w:rFonts w:cs="Arial"/>
          <w:color w:val="auto"/>
          <w:sz w:val="16"/>
          <w:szCs w:val="16"/>
        </w:rPr>
        <w:t>p</w:t>
      </w:r>
      <w:r w:rsidR="00A671DF" w:rsidRPr="00CB4F47">
        <w:rPr>
          <w:rFonts w:cs="Arial"/>
          <w:color w:val="auto"/>
          <w:sz w:val="16"/>
          <w:szCs w:val="16"/>
        </w:rPr>
        <w:t>olicy</w:t>
      </w:r>
      <w:r w:rsidRPr="00CB4F47">
        <w:rPr>
          <w:rFonts w:cs="Arial"/>
          <w:color w:val="auto"/>
          <w:sz w:val="16"/>
          <w:szCs w:val="16"/>
        </w:rPr>
        <w:t xml:space="preserve"> of Aboriginal assimilation: Australia</w:t>
      </w:r>
      <w:r w:rsidRPr="00CB4F47">
        <w:rPr>
          <w:rFonts w:cs="Arial"/>
          <w:b/>
          <w:color w:val="auto"/>
          <w:sz w:val="16"/>
          <w:szCs w:val="16"/>
        </w:rPr>
        <w:t>,</w:t>
      </w:r>
      <w:r w:rsidRPr="00CB4F47">
        <w:rPr>
          <w:rFonts w:cs="Arial"/>
          <w:color w:val="auto"/>
          <w:sz w:val="16"/>
          <w:szCs w:val="16"/>
        </w:rPr>
        <w:t xml:space="preserve"> Canada, and New Zealand</w:t>
      </w:r>
      <w:r w:rsidR="00225A22" w:rsidRPr="00CB4F47">
        <w:rPr>
          <w:rFonts w:cs="Arial"/>
          <w:b/>
          <w:color w:val="auto"/>
          <w:sz w:val="16"/>
          <w:szCs w:val="16"/>
        </w:rPr>
        <w:t xml:space="preserve"> </w:t>
      </w:r>
      <w:r w:rsidRPr="00CB4F47">
        <w:rPr>
          <w:rFonts w:cs="Arial"/>
          <w:color w:val="auto"/>
          <w:sz w:val="16"/>
          <w:szCs w:val="16"/>
        </w:rPr>
        <w:t>(University of British Columbia Press, 1995</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171</w:t>
      </w:r>
      <w:r w:rsidR="00B07322">
        <w:rPr>
          <w:rFonts w:cs="Arial"/>
          <w:color w:val="auto"/>
          <w:sz w:val="16"/>
          <w:szCs w:val="16"/>
        </w:rPr>
        <w:t>)</w:t>
      </w:r>
      <w:r w:rsidRPr="00CB4F47">
        <w:rPr>
          <w:rFonts w:cs="Arial"/>
          <w:color w:val="auto"/>
          <w:sz w:val="16"/>
          <w:szCs w:val="16"/>
        </w:rPr>
        <w:t>.</w:t>
      </w:r>
    </w:p>
  </w:footnote>
  <w:footnote w:id="94">
    <w:p w14:paraId="307BDF3B" w14:textId="21A0E7B3"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Armitage, A, Comparing the </w:t>
      </w:r>
      <w:r w:rsidR="00042926">
        <w:rPr>
          <w:rFonts w:cs="Arial"/>
          <w:color w:val="auto"/>
          <w:sz w:val="16"/>
          <w:szCs w:val="16"/>
        </w:rPr>
        <w:t>p</w:t>
      </w:r>
      <w:r w:rsidR="00042926" w:rsidRPr="00CB4F47">
        <w:rPr>
          <w:rFonts w:cs="Arial"/>
          <w:color w:val="auto"/>
          <w:sz w:val="16"/>
          <w:szCs w:val="16"/>
        </w:rPr>
        <w:t xml:space="preserve">olicy </w:t>
      </w:r>
      <w:r w:rsidRPr="00CB4F47">
        <w:rPr>
          <w:rFonts w:cs="Arial"/>
          <w:color w:val="auto"/>
          <w:sz w:val="16"/>
          <w:szCs w:val="16"/>
        </w:rPr>
        <w:t>of Aboriginal assimilation: Australia</w:t>
      </w:r>
      <w:r w:rsidRPr="00CB4F47">
        <w:rPr>
          <w:rFonts w:cs="Arial"/>
          <w:b/>
          <w:color w:val="auto"/>
          <w:sz w:val="16"/>
          <w:szCs w:val="16"/>
        </w:rPr>
        <w:t>,</w:t>
      </w:r>
      <w:r w:rsidRPr="00CB4F47">
        <w:rPr>
          <w:rFonts w:cs="Arial"/>
          <w:color w:val="auto"/>
          <w:sz w:val="16"/>
          <w:szCs w:val="16"/>
        </w:rPr>
        <w:t xml:space="preserve"> Canada, and New Zealand (University of British Columbia Press, 1995</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156</w:t>
      </w:r>
      <w:r w:rsidR="00B07322">
        <w:rPr>
          <w:rFonts w:cs="Arial"/>
          <w:color w:val="auto"/>
          <w:sz w:val="16"/>
          <w:szCs w:val="16"/>
        </w:rPr>
        <w:t>)</w:t>
      </w:r>
      <w:r w:rsidRPr="00CB4F47">
        <w:rPr>
          <w:rFonts w:cs="Arial"/>
          <w:color w:val="auto"/>
          <w:sz w:val="16"/>
          <w:szCs w:val="16"/>
        </w:rPr>
        <w:t>.</w:t>
      </w:r>
    </w:p>
  </w:footnote>
  <w:footnote w:id="95">
    <w:p w14:paraId="716F1114" w14:textId="7D7025BA" w:rsidR="00A671DF" w:rsidRPr="00CB4F47" w:rsidRDefault="00A671DF" w:rsidP="00E84482">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Boast, R, Te tango whenua: Māori land alienation (Te Ara – the Encyclopedia of New Zealand, 2008, updated 2015) </w:t>
      </w:r>
      <w:hyperlink r:id="rId8" w:history="1">
        <w:r w:rsidRPr="00A24536">
          <w:rPr>
            <w:rStyle w:val="Hyperlink"/>
            <w:rFonts w:cs="Arial"/>
            <w:sz w:val="16"/>
            <w:szCs w:val="16"/>
          </w:rPr>
          <w:t>http://www.TeAra.govt.nz/en/te-tango-whenua-maori-land-alienation</w:t>
        </w:r>
      </w:hyperlink>
      <w:r w:rsidRPr="00CB4F47">
        <w:rPr>
          <w:rFonts w:cs="Arial"/>
          <w:color w:val="auto"/>
          <w:sz w:val="16"/>
          <w:szCs w:val="16"/>
        </w:rPr>
        <w:t xml:space="preserve">.  </w:t>
      </w:r>
    </w:p>
  </w:footnote>
  <w:footnote w:id="96">
    <w:p w14:paraId="10C1CBFE" w14:textId="52643B9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Williams, J, “Build a bridge and get over it – the role of colonial dispossession in contemporary indigenous offending and what we should do about it</w:t>
      </w:r>
      <w:r w:rsidR="00367549">
        <w:rPr>
          <w:rFonts w:cs="Arial"/>
          <w:color w:val="auto"/>
          <w:sz w:val="16"/>
          <w:szCs w:val="16"/>
        </w:rPr>
        <w:t>,</w:t>
      </w:r>
      <w:r w:rsidR="00A671DF" w:rsidRPr="00CB4F47">
        <w:rPr>
          <w:rFonts w:cs="Arial"/>
          <w:color w:val="auto"/>
          <w:sz w:val="16"/>
          <w:szCs w:val="16"/>
        </w:rPr>
        <w:t>”</w:t>
      </w:r>
      <w:r w:rsidRPr="00CB4F47" w:rsidDel="00A02407">
        <w:rPr>
          <w:rFonts w:cs="Arial"/>
          <w:color w:val="auto"/>
          <w:sz w:val="16"/>
          <w:szCs w:val="16"/>
        </w:rPr>
        <w:t xml:space="preserve"> </w:t>
      </w:r>
      <w:r w:rsidR="00A02407">
        <w:rPr>
          <w:rFonts w:cs="Arial"/>
          <w:color w:val="auto"/>
          <w:sz w:val="16"/>
          <w:szCs w:val="16"/>
        </w:rPr>
        <w:t>s</w:t>
      </w:r>
      <w:r w:rsidR="00A02407" w:rsidRPr="00CB4F47">
        <w:rPr>
          <w:rFonts w:cs="Arial"/>
          <w:color w:val="auto"/>
          <w:sz w:val="16"/>
          <w:szCs w:val="16"/>
        </w:rPr>
        <w:t xml:space="preserve">peech </w:t>
      </w:r>
      <w:r w:rsidRPr="00CB4F47">
        <w:rPr>
          <w:rFonts w:cs="Arial"/>
          <w:color w:val="auto"/>
          <w:sz w:val="16"/>
          <w:szCs w:val="16"/>
        </w:rPr>
        <w:t>for the Robin Cooke Memorial Lecture 2019, reproduced in the New Zealand Journal of Public and International Law 18 (2020</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3</w:t>
      </w:r>
      <w:r w:rsidR="00D10F79">
        <w:rPr>
          <w:rFonts w:cs="Arial"/>
          <w:color w:val="auto"/>
          <w:sz w:val="16"/>
          <w:szCs w:val="16"/>
        </w:rPr>
        <w:t>)</w:t>
      </w:r>
      <w:r w:rsidRPr="00CB4F47">
        <w:rPr>
          <w:rFonts w:cs="Arial"/>
          <w:color w:val="auto"/>
          <w:sz w:val="16"/>
          <w:szCs w:val="16"/>
        </w:rPr>
        <w:t xml:space="preserve">. </w:t>
      </w:r>
    </w:p>
  </w:footnote>
  <w:footnote w:id="97">
    <w:p w14:paraId="75BB85D1" w14:textId="0712D617" w:rsidR="00A671DF" w:rsidRPr="00CB4F47" w:rsidRDefault="00A671DF" w:rsidP="00C57877">
      <w:pPr>
        <w:spacing w:before="0" w:after="0" w:line="20" w:lineRule="atLeast"/>
        <w:textAlignment w:val="baseline"/>
        <w:rPr>
          <w:rFonts w:ascii="Arial" w:hAnsi="Arial" w:cs="Arial"/>
          <w:color w:val="auto"/>
          <w:sz w:val="16"/>
          <w:szCs w:val="16"/>
        </w:rPr>
      </w:pPr>
      <w:r w:rsidRPr="00536E67">
        <w:rPr>
          <w:rStyle w:val="StyleFootnoteReferenceFagoFunotenzeichenFagoFunotenzeichen"/>
          <w:sz w:val="16"/>
          <w:szCs w:val="16"/>
        </w:rPr>
        <w:footnoteRef/>
      </w:r>
      <w:r w:rsidRPr="00CB4F47">
        <w:rPr>
          <w:rFonts w:ascii="Arial" w:hAnsi="Arial" w:cs="Arial"/>
          <w:color w:val="auto"/>
          <w:sz w:val="16"/>
          <w:szCs w:val="16"/>
        </w:rPr>
        <w:t xml:space="preserve"> Binney, J, Basset, J &amp; Olssen, E, The </w:t>
      </w:r>
      <w:r w:rsidR="00E55D87">
        <w:rPr>
          <w:rFonts w:ascii="Arial" w:hAnsi="Arial" w:cs="Arial"/>
          <w:color w:val="auto"/>
          <w:sz w:val="16"/>
          <w:szCs w:val="16"/>
        </w:rPr>
        <w:t>p</w:t>
      </w:r>
      <w:r w:rsidRPr="00CB4F47">
        <w:rPr>
          <w:rFonts w:ascii="Arial" w:hAnsi="Arial" w:cs="Arial"/>
          <w:color w:val="auto"/>
          <w:sz w:val="16"/>
          <w:szCs w:val="16"/>
        </w:rPr>
        <w:t xml:space="preserve">eople and the </w:t>
      </w:r>
      <w:r w:rsidR="00E55D87">
        <w:rPr>
          <w:rFonts w:ascii="Arial" w:hAnsi="Arial" w:cs="Arial"/>
          <w:color w:val="auto"/>
          <w:sz w:val="16"/>
          <w:szCs w:val="16"/>
        </w:rPr>
        <w:t>l</w:t>
      </w:r>
      <w:r w:rsidRPr="00CB4F47">
        <w:rPr>
          <w:rFonts w:ascii="Arial" w:hAnsi="Arial" w:cs="Arial"/>
          <w:color w:val="auto"/>
          <w:sz w:val="16"/>
          <w:szCs w:val="16"/>
        </w:rPr>
        <w:t>and, Te Tangata me te Whenua: An illustrated history of New Zealand 1820–1920 (Bridget Williams Books, New Zealand 1993, page 214</w:t>
      </w:r>
      <w:r>
        <w:rPr>
          <w:rFonts w:ascii="Arial" w:hAnsi="Arial" w:cs="Arial"/>
          <w:color w:val="auto"/>
          <w:sz w:val="16"/>
          <w:szCs w:val="16"/>
        </w:rPr>
        <w:t>)</w:t>
      </w:r>
      <w:r w:rsidRPr="00CB4F47">
        <w:rPr>
          <w:rFonts w:ascii="Arial" w:hAnsi="Arial" w:cs="Arial"/>
          <w:color w:val="auto"/>
          <w:sz w:val="16"/>
          <w:szCs w:val="16"/>
        </w:rPr>
        <w:t>.</w:t>
      </w:r>
    </w:p>
  </w:footnote>
  <w:footnote w:id="98">
    <w:p w14:paraId="3609AC1F" w14:textId="73142DC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Williams, J, “Build a bridge and get over it – the role of colonial dispossession in contemporary indigenous offending and what we should do about it</w:t>
      </w:r>
      <w:r w:rsidR="00367549">
        <w:rPr>
          <w:rFonts w:cs="Arial"/>
          <w:color w:val="auto"/>
          <w:sz w:val="16"/>
          <w:szCs w:val="16"/>
        </w:rPr>
        <w:t>,</w:t>
      </w:r>
      <w:r w:rsidR="00A671DF" w:rsidRPr="00CB4F47">
        <w:rPr>
          <w:rFonts w:cs="Arial"/>
          <w:color w:val="auto"/>
          <w:sz w:val="16"/>
          <w:szCs w:val="16"/>
        </w:rPr>
        <w:t>”</w:t>
      </w:r>
      <w:r w:rsidRPr="00CB4F47" w:rsidDel="00A02407">
        <w:rPr>
          <w:rFonts w:cs="Arial"/>
          <w:color w:val="auto"/>
          <w:sz w:val="16"/>
          <w:szCs w:val="16"/>
        </w:rPr>
        <w:t xml:space="preserve"> </w:t>
      </w:r>
      <w:r w:rsidR="00A02407">
        <w:rPr>
          <w:rFonts w:cs="Arial"/>
          <w:color w:val="auto"/>
          <w:sz w:val="16"/>
          <w:szCs w:val="16"/>
        </w:rPr>
        <w:t>s</w:t>
      </w:r>
      <w:r w:rsidR="00A02407" w:rsidRPr="00CB4F47">
        <w:rPr>
          <w:rFonts w:cs="Arial"/>
          <w:color w:val="auto"/>
          <w:sz w:val="16"/>
          <w:szCs w:val="16"/>
        </w:rPr>
        <w:t xml:space="preserve">peech </w:t>
      </w:r>
      <w:r w:rsidRPr="00CB4F47">
        <w:rPr>
          <w:rFonts w:cs="Arial"/>
          <w:color w:val="auto"/>
          <w:sz w:val="16"/>
          <w:szCs w:val="16"/>
        </w:rPr>
        <w:t>for the Robin Cooke Memorial Lecture 2019, reproduced in the New Zealand Journal of Public and International Law 18 (2020</w:t>
      </w:r>
      <w:r w:rsidR="00A671DF" w:rsidRPr="00CB4F47">
        <w:rPr>
          <w:rFonts w:cs="Arial"/>
          <w:color w:val="auto"/>
          <w:sz w:val="16"/>
          <w:szCs w:val="16"/>
        </w:rPr>
        <w:t xml:space="preserve">, </w:t>
      </w:r>
      <w:r w:rsidR="00A8348E" w:rsidRPr="00CB4F47">
        <w:rPr>
          <w:rFonts w:cs="Arial"/>
          <w:color w:val="auto"/>
          <w:sz w:val="16"/>
          <w:szCs w:val="16"/>
        </w:rPr>
        <w:t>page</w:t>
      </w:r>
      <w:r w:rsidRPr="00CB4F47">
        <w:rPr>
          <w:rFonts w:cs="Arial"/>
          <w:color w:val="auto"/>
          <w:sz w:val="16"/>
          <w:szCs w:val="16"/>
        </w:rPr>
        <w:t xml:space="preserve"> 12</w:t>
      </w:r>
      <w:r w:rsidR="00B017F9" w:rsidRPr="00CB4F47">
        <w:rPr>
          <w:rFonts w:cs="Arial"/>
          <w:color w:val="auto"/>
          <w:sz w:val="16"/>
          <w:szCs w:val="16"/>
        </w:rPr>
        <w:t>)</w:t>
      </w:r>
      <w:r w:rsidRPr="00CB4F47">
        <w:rPr>
          <w:rFonts w:cs="Arial"/>
          <w:color w:val="auto"/>
          <w:sz w:val="16"/>
          <w:szCs w:val="16"/>
        </w:rPr>
        <w:t>; Shirley, I, Koopman-Boyden, P, Pool, I &amp; St John, S, “Family change and family policies: New Zealand</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Kamerman, </w:t>
      </w:r>
      <w:r w:rsidR="00A671DF" w:rsidRPr="00CB4F47">
        <w:rPr>
          <w:rFonts w:cs="Arial"/>
          <w:color w:val="auto"/>
          <w:sz w:val="16"/>
          <w:szCs w:val="16"/>
        </w:rPr>
        <w:t>SB</w:t>
      </w:r>
      <w:r w:rsidRPr="00CB4F47">
        <w:rPr>
          <w:rFonts w:cs="Arial"/>
          <w:color w:val="auto"/>
          <w:sz w:val="16"/>
          <w:szCs w:val="16"/>
        </w:rPr>
        <w:t xml:space="preserve"> &amp; Kahn, </w:t>
      </w:r>
      <w:r w:rsidR="00A671DF" w:rsidRPr="00CB4F47">
        <w:rPr>
          <w:rFonts w:cs="Arial"/>
          <w:color w:val="auto"/>
          <w:sz w:val="16"/>
          <w:szCs w:val="16"/>
        </w:rPr>
        <w:t>AJ</w:t>
      </w:r>
      <w:r w:rsidRPr="00CB4F47">
        <w:rPr>
          <w:rFonts w:cs="Arial"/>
          <w:color w:val="auto"/>
          <w:sz w:val="16"/>
          <w:szCs w:val="16"/>
        </w:rPr>
        <w:t xml:space="preserve"> (eds), Family change and family policies in Great Britain, Canada, New Zealand and the United States (Clarendon Press, 2007</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209</w:t>
      </w:r>
      <w:r w:rsidR="00D10F79">
        <w:rPr>
          <w:rFonts w:cs="Arial"/>
          <w:color w:val="auto"/>
          <w:sz w:val="16"/>
          <w:szCs w:val="16"/>
        </w:rPr>
        <w:t>)</w:t>
      </w:r>
      <w:r w:rsidRPr="00CB4F47">
        <w:rPr>
          <w:rFonts w:cs="Arial"/>
          <w:color w:val="auto"/>
          <w:sz w:val="16"/>
          <w:szCs w:val="16"/>
        </w:rPr>
        <w:t>.</w:t>
      </w:r>
    </w:p>
  </w:footnote>
  <w:footnote w:id="99">
    <w:p w14:paraId="2C1CEB38" w14:textId="682D5FF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Ross, M, “The throat of Parata</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Kiddle, R, Elkington, B, Jackson, M, Mercier, O R, Ross, M, Smeaton, J &amp; Thomas, A, Imagining decolonisation (Bridget Williams Books, 2020</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30</w:t>
      </w:r>
      <w:r w:rsidR="00581D4A">
        <w:rPr>
          <w:rFonts w:cs="Arial"/>
          <w:color w:val="auto"/>
          <w:sz w:val="16"/>
          <w:szCs w:val="16"/>
        </w:rPr>
        <w:t>)</w:t>
      </w:r>
      <w:r w:rsidRPr="00CB4F47">
        <w:rPr>
          <w:rFonts w:cs="Arial"/>
          <w:color w:val="auto"/>
          <w:sz w:val="16"/>
          <w:szCs w:val="16"/>
        </w:rPr>
        <w:t>.</w:t>
      </w:r>
    </w:p>
  </w:footnote>
  <w:footnote w:id="100">
    <w:p w14:paraId="77F099F7" w14:textId="1BF89091" w:rsidR="005A280B" w:rsidRPr="005A280B" w:rsidRDefault="005A280B">
      <w:pPr>
        <w:pStyle w:val="FootnoteText"/>
        <w:rPr>
          <w:sz w:val="16"/>
          <w:szCs w:val="16"/>
        </w:rPr>
      </w:pPr>
      <w:r w:rsidRPr="00536E67">
        <w:rPr>
          <w:rStyle w:val="StyleFootnoteReferenceFagoFunotenzeichenFagoFunotenzeichen"/>
          <w:sz w:val="16"/>
          <w:szCs w:val="16"/>
        </w:rPr>
        <w:footnoteRef/>
      </w:r>
      <w:r w:rsidRPr="005A280B">
        <w:rPr>
          <w:sz w:val="16"/>
          <w:szCs w:val="16"/>
        </w:rPr>
        <w:t xml:space="preserve"> Tennant, M, “Magdalens and moral imbeciles: Women’s homes in nineteenth-century New Zealand</w:t>
      </w:r>
      <w:r w:rsidR="00367549">
        <w:rPr>
          <w:sz w:val="16"/>
          <w:szCs w:val="16"/>
        </w:rPr>
        <w:t>,</w:t>
      </w:r>
      <w:r w:rsidR="00A671DF" w:rsidRPr="005A280B">
        <w:rPr>
          <w:sz w:val="16"/>
          <w:szCs w:val="16"/>
        </w:rPr>
        <w:t>”</w:t>
      </w:r>
      <w:r w:rsidRPr="005A280B">
        <w:rPr>
          <w:sz w:val="16"/>
          <w:szCs w:val="16"/>
        </w:rPr>
        <w:t xml:space="preserve"> </w:t>
      </w:r>
      <w:r w:rsidR="00A671DF" w:rsidRPr="005A280B">
        <w:rPr>
          <w:sz w:val="16"/>
          <w:szCs w:val="16"/>
        </w:rPr>
        <w:t>Women</w:t>
      </w:r>
      <w:r w:rsidR="00A671DF">
        <w:rPr>
          <w:sz w:val="16"/>
          <w:szCs w:val="16"/>
        </w:rPr>
        <w:t>’</w:t>
      </w:r>
      <w:r w:rsidR="00A671DF" w:rsidRPr="005A280B">
        <w:rPr>
          <w:sz w:val="16"/>
          <w:szCs w:val="16"/>
        </w:rPr>
        <w:t>s</w:t>
      </w:r>
      <w:r w:rsidRPr="005A280B">
        <w:rPr>
          <w:sz w:val="16"/>
          <w:szCs w:val="16"/>
        </w:rPr>
        <w:t xml:space="preserve"> Studies International Forum, 9(5-6), (1986</w:t>
      </w:r>
      <w:r w:rsidR="00A671DF" w:rsidRPr="005A280B">
        <w:rPr>
          <w:sz w:val="16"/>
          <w:szCs w:val="16"/>
        </w:rPr>
        <w:t>,</w:t>
      </w:r>
      <w:r w:rsidRPr="005A280B">
        <w:rPr>
          <w:sz w:val="16"/>
          <w:szCs w:val="16"/>
        </w:rPr>
        <w:t xml:space="preserve"> pages 493-494</w:t>
      </w:r>
      <w:r w:rsidR="00CC4F80">
        <w:rPr>
          <w:sz w:val="16"/>
          <w:szCs w:val="16"/>
        </w:rPr>
        <w:t>)</w:t>
      </w:r>
      <w:r w:rsidRPr="005A280B">
        <w:rPr>
          <w:sz w:val="16"/>
          <w:szCs w:val="16"/>
        </w:rPr>
        <w:t xml:space="preserve">; Lineham, P, “Trends in </w:t>
      </w:r>
      <w:r w:rsidR="002C782C">
        <w:rPr>
          <w:sz w:val="16"/>
          <w:szCs w:val="16"/>
        </w:rPr>
        <w:t>r</w:t>
      </w:r>
      <w:r w:rsidRPr="005A280B">
        <w:rPr>
          <w:sz w:val="16"/>
          <w:szCs w:val="16"/>
        </w:rPr>
        <w:t xml:space="preserve">eligious </w:t>
      </w:r>
      <w:r w:rsidR="002C782C">
        <w:rPr>
          <w:sz w:val="16"/>
          <w:szCs w:val="16"/>
        </w:rPr>
        <w:t>h</w:t>
      </w:r>
      <w:r w:rsidRPr="005A280B">
        <w:rPr>
          <w:sz w:val="16"/>
          <w:szCs w:val="16"/>
        </w:rPr>
        <w:t>istory in New Zealand: From institutional to social history</w:t>
      </w:r>
      <w:r w:rsidR="00367549">
        <w:rPr>
          <w:sz w:val="16"/>
          <w:szCs w:val="16"/>
        </w:rPr>
        <w:t>,</w:t>
      </w:r>
      <w:r w:rsidR="00A671DF" w:rsidRPr="005A280B">
        <w:rPr>
          <w:sz w:val="16"/>
          <w:szCs w:val="16"/>
        </w:rPr>
        <w:t>”</w:t>
      </w:r>
      <w:r w:rsidRPr="005A280B">
        <w:rPr>
          <w:sz w:val="16"/>
          <w:szCs w:val="16"/>
        </w:rPr>
        <w:t xml:space="preserve"> History Compass 12(4), (2014</w:t>
      </w:r>
      <w:r w:rsidR="00A671DF" w:rsidRPr="005A280B">
        <w:rPr>
          <w:sz w:val="16"/>
          <w:szCs w:val="16"/>
        </w:rPr>
        <w:t>,</w:t>
      </w:r>
      <w:r w:rsidRPr="005A280B">
        <w:rPr>
          <w:sz w:val="16"/>
          <w:szCs w:val="16"/>
        </w:rPr>
        <w:t xml:space="preserve"> page 336</w:t>
      </w:r>
      <w:r w:rsidR="00CC4F80">
        <w:rPr>
          <w:sz w:val="16"/>
          <w:szCs w:val="16"/>
        </w:rPr>
        <w:t>)</w:t>
      </w:r>
      <w:r w:rsidRPr="005A280B">
        <w:rPr>
          <w:sz w:val="16"/>
          <w:szCs w:val="16"/>
        </w:rPr>
        <w:t>.</w:t>
      </w:r>
    </w:p>
  </w:footnote>
  <w:footnote w:id="101">
    <w:p w14:paraId="74BAF1E3" w14:textId="7F02261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Times New Roman" w:cs="Arial"/>
          <w:color w:val="auto"/>
          <w:sz w:val="16"/>
          <w:szCs w:val="16"/>
        </w:rPr>
        <w:t>Guy, L, “‘Straightening the queers’ – medical perspectives on homosexuality in mid-twentieth century New Zealand</w:t>
      </w:r>
      <w:r w:rsidR="00367549">
        <w:rPr>
          <w:rFonts w:eastAsia="Times New Roman" w:cs="Arial"/>
          <w:color w:val="auto"/>
          <w:sz w:val="16"/>
          <w:szCs w:val="16"/>
        </w:rPr>
        <w:t>,</w:t>
      </w:r>
      <w:r w:rsidR="00A671DF" w:rsidRPr="00CB4F47">
        <w:rPr>
          <w:rFonts w:eastAsia="Times New Roman" w:cs="Arial"/>
          <w:color w:val="auto"/>
          <w:sz w:val="16"/>
          <w:szCs w:val="16"/>
        </w:rPr>
        <w:t>”</w:t>
      </w:r>
      <w:r w:rsidRPr="00CB4F47">
        <w:rPr>
          <w:rFonts w:eastAsia="Times New Roman" w:cs="Arial"/>
          <w:color w:val="auto"/>
          <w:sz w:val="16"/>
          <w:szCs w:val="16"/>
        </w:rPr>
        <w:t xml:space="preserve"> in Health and History, Vol</w:t>
      </w:r>
      <w:r w:rsidR="00677D79">
        <w:rPr>
          <w:rFonts w:eastAsia="Times New Roman" w:cs="Arial"/>
          <w:color w:val="auto"/>
          <w:sz w:val="16"/>
          <w:szCs w:val="16"/>
        </w:rPr>
        <w:t>ume</w:t>
      </w:r>
      <w:r w:rsidRPr="00CB4F47">
        <w:rPr>
          <w:rFonts w:eastAsia="Times New Roman" w:cs="Arial"/>
          <w:color w:val="auto"/>
          <w:sz w:val="16"/>
          <w:szCs w:val="16"/>
        </w:rPr>
        <w:t xml:space="preserve"> 2, No 1 (2000</w:t>
      </w:r>
      <w:r w:rsidR="00A671DF" w:rsidRPr="00CB4F47">
        <w:rPr>
          <w:rFonts w:eastAsia="Times New Roman" w:cs="Arial"/>
          <w:color w:val="auto"/>
          <w:sz w:val="16"/>
          <w:szCs w:val="16"/>
        </w:rPr>
        <w:t>,</w:t>
      </w:r>
      <w:r w:rsidRPr="00CB4F47">
        <w:rPr>
          <w:rFonts w:eastAsia="Times New Roman" w:cs="Arial"/>
          <w:color w:val="auto"/>
          <w:sz w:val="16"/>
          <w:szCs w:val="16"/>
        </w:rPr>
        <w:t xml:space="preserve"> </w:t>
      </w:r>
      <w:r w:rsidRPr="00CB4F47">
        <w:rPr>
          <w:rFonts w:cs="Arial"/>
          <w:color w:val="auto"/>
          <w:sz w:val="16"/>
          <w:szCs w:val="16"/>
        </w:rPr>
        <w:t>pages</w:t>
      </w:r>
      <w:r w:rsidRPr="00CB4F47">
        <w:rPr>
          <w:rFonts w:eastAsia="Times New Roman" w:cs="Arial"/>
          <w:color w:val="auto"/>
          <w:sz w:val="16"/>
          <w:szCs w:val="16"/>
        </w:rPr>
        <w:t xml:space="preserve"> 101</w:t>
      </w:r>
      <w:r w:rsidRPr="00CB4F47">
        <w:rPr>
          <w:rFonts w:cs="Arial"/>
          <w:color w:val="auto"/>
          <w:sz w:val="16"/>
          <w:szCs w:val="16"/>
        </w:rPr>
        <w:t>–</w:t>
      </w:r>
      <w:r w:rsidRPr="00CB4F47">
        <w:rPr>
          <w:rFonts w:eastAsia="Times New Roman" w:cs="Arial"/>
          <w:color w:val="auto"/>
          <w:sz w:val="16"/>
          <w:szCs w:val="16"/>
        </w:rPr>
        <w:t xml:space="preserve">120, </w:t>
      </w:r>
      <w:r w:rsidR="00A8348E" w:rsidRPr="00CB4F47">
        <w:rPr>
          <w:rFonts w:cs="Arial"/>
          <w:color w:val="auto"/>
          <w:sz w:val="16"/>
          <w:szCs w:val="16"/>
        </w:rPr>
        <w:t>page</w:t>
      </w:r>
      <w:r w:rsidR="00A8348E" w:rsidRPr="00CB4F47">
        <w:rPr>
          <w:rFonts w:eastAsia="Times New Roman" w:cs="Arial"/>
          <w:color w:val="auto"/>
          <w:sz w:val="16"/>
          <w:szCs w:val="16"/>
        </w:rPr>
        <w:t xml:space="preserve"> </w:t>
      </w:r>
      <w:r w:rsidRPr="00CB4F47">
        <w:rPr>
          <w:rFonts w:eastAsia="Times New Roman" w:cs="Arial"/>
          <w:color w:val="auto"/>
          <w:sz w:val="16"/>
          <w:szCs w:val="16"/>
        </w:rPr>
        <w:t>108</w:t>
      </w:r>
      <w:r w:rsidR="00CC4F80">
        <w:rPr>
          <w:rFonts w:eastAsia="Times New Roman" w:cs="Arial"/>
          <w:color w:val="auto"/>
          <w:sz w:val="16"/>
          <w:szCs w:val="16"/>
        </w:rPr>
        <w:t>)</w:t>
      </w:r>
      <w:r w:rsidRPr="00CB4F47">
        <w:rPr>
          <w:rFonts w:eastAsia="Times New Roman" w:cs="Arial"/>
          <w:color w:val="auto"/>
          <w:sz w:val="16"/>
          <w:szCs w:val="16"/>
        </w:rPr>
        <w:t xml:space="preserve">; </w:t>
      </w:r>
      <w:r w:rsidRPr="00CB4F47">
        <w:rPr>
          <w:rFonts w:cs="Arial"/>
          <w:color w:val="auto"/>
          <w:sz w:val="16"/>
          <w:szCs w:val="16"/>
        </w:rPr>
        <w:t>Pratt, J, “The dark side of paradise: Explaining New Zealand’s history of high imprisonment</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British Journal of Criminology 46 (2006</w:t>
      </w:r>
      <w:r w:rsidR="00A671DF" w:rsidRPr="00CB4F47">
        <w:rPr>
          <w:rFonts w:cs="Arial"/>
          <w:color w:val="auto"/>
          <w:sz w:val="16"/>
          <w:szCs w:val="16"/>
        </w:rPr>
        <w:t>,</w:t>
      </w:r>
      <w:r w:rsidRPr="00CB4F47">
        <w:rPr>
          <w:rFonts w:cs="Arial"/>
          <w:color w:val="auto"/>
          <w:sz w:val="16"/>
          <w:szCs w:val="16"/>
        </w:rPr>
        <w:t xml:space="preserve"> p</w:t>
      </w:r>
      <w:r w:rsidR="00CF184D" w:rsidRPr="00CB4F47">
        <w:rPr>
          <w:rFonts w:cs="Arial"/>
          <w:color w:val="auto"/>
          <w:sz w:val="16"/>
          <w:szCs w:val="16"/>
        </w:rPr>
        <w:t>age</w:t>
      </w:r>
      <w:r w:rsidRPr="00CB4F47">
        <w:rPr>
          <w:rFonts w:cs="Arial"/>
          <w:color w:val="auto"/>
          <w:sz w:val="16"/>
          <w:szCs w:val="16"/>
        </w:rPr>
        <w:t xml:space="preserve"> 553</w:t>
      </w:r>
      <w:r w:rsidR="00AD33B6">
        <w:rPr>
          <w:rFonts w:cs="Arial"/>
          <w:color w:val="auto"/>
          <w:sz w:val="16"/>
          <w:szCs w:val="16"/>
        </w:rPr>
        <w:t>)</w:t>
      </w:r>
      <w:r w:rsidRPr="00CB4F47">
        <w:rPr>
          <w:rFonts w:cs="Arial"/>
          <w:color w:val="auto"/>
          <w:sz w:val="16"/>
          <w:szCs w:val="16"/>
        </w:rPr>
        <w:t>.</w:t>
      </w:r>
    </w:p>
  </w:footnote>
  <w:footnote w:id="102">
    <w:p w14:paraId="42DE8E38" w14:textId="107B3F2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Times New Roman" w:cs="Arial"/>
          <w:color w:val="auto"/>
          <w:sz w:val="16"/>
          <w:szCs w:val="16"/>
        </w:rPr>
        <w:t>Guy, L</w:t>
      </w:r>
      <w:r w:rsidR="006D2495">
        <w:rPr>
          <w:rFonts w:eastAsia="Times New Roman" w:cs="Arial"/>
          <w:color w:val="auto"/>
          <w:sz w:val="16"/>
          <w:szCs w:val="16"/>
        </w:rPr>
        <w:t>,</w:t>
      </w:r>
      <w:r w:rsidRPr="00CB4F47">
        <w:rPr>
          <w:rFonts w:eastAsia="Times New Roman" w:cs="Arial"/>
          <w:color w:val="auto"/>
          <w:sz w:val="16"/>
          <w:szCs w:val="16"/>
        </w:rPr>
        <w:t xml:space="preserve"> “‘Straightening the queers’ – medical perspectives on homosexuality in mid-twentieth century New Zealand</w:t>
      </w:r>
      <w:r w:rsidR="00367549">
        <w:rPr>
          <w:rFonts w:eastAsia="Times New Roman" w:cs="Arial"/>
          <w:color w:val="auto"/>
          <w:sz w:val="16"/>
          <w:szCs w:val="16"/>
        </w:rPr>
        <w:t>,</w:t>
      </w:r>
      <w:r w:rsidR="00A671DF" w:rsidRPr="00CB4F47">
        <w:rPr>
          <w:rFonts w:eastAsia="Times New Roman" w:cs="Arial"/>
          <w:color w:val="auto"/>
          <w:sz w:val="16"/>
          <w:szCs w:val="16"/>
        </w:rPr>
        <w:t>”</w:t>
      </w:r>
      <w:r w:rsidRPr="00CB4F47">
        <w:rPr>
          <w:rFonts w:eastAsia="Times New Roman" w:cs="Arial"/>
          <w:color w:val="auto"/>
          <w:sz w:val="16"/>
          <w:szCs w:val="16"/>
        </w:rPr>
        <w:t xml:space="preserve"> in Health and History, Vol</w:t>
      </w:r>
      <w:r w:rsidR="00677D79">
        <w:rPr>
          <w:rFonts w:eastAsia="Times New Roman" w:cs="Arial"/>
          <w:color w:val="auto"/>
          <w:sz w:val="16"/>
          <w:szCs w:val="16"/>
        </w:rPr>
        <w:t>ume</w:t>
      </w:r>
      <w:r w:rsidRPr="00CB4F47">
        <w:rPr>
          <w:rFonts w:eastAsia="Times New Roman" w:cs="Arial"/>
          <w:color w:val="auto"/>
          <w:sz w:val="16"/>
          <w:szCs w:val="16"/>
        </w:rPr>
        <w:t xml:space="preserve"> 2, No 1 (2000</w:t>
      </w:r>
      <w:r w:rsidR="00A671DF" w:rsidRPr="00CB4F47">
        <w:rPr>
          <w:rFonts w:eastAsia="Times New Roman" w:cs="Arial"/>
          <w:color w:val="auto"/>
          <w:sz w:val="16"/>
          <w:szCs w:val="16"/>
        </w:rPr>
        <w:t>,</w:t>
      </w:r>
      <w:r w:rsidRPr="00CB4F47">
        <w:rPr>
          <w:rFonts w:eastAsia="Times New Roman" w:cs="Arial"/>
          <w:color w:val="auto"/>
          <w:sz w:val="16"/>
          <w:szCs w:val="16"/>
        </w:rPr>
        <w:t xml:space="preserve"> </w:t>
      </w:r>
      <w:r w:rsidRPr="00CB4F47">
        <w:rPr>
          <w:rFonts w:cs="Arial"/>
          <w:color w:val="auto"/>
          <w:sz w:val="16"/>
          <w:szCs w:val="16"/>
        </w:rPr>
        <w:t>pages</w:t>
      </w:r>
      <w:r w:rsidRPr="00CB4F47">
        <w:rPr>
          <w:rFonts w:eastAsia="Times New Roman" w:cs="Arial"/>
          <w:color w:val="auto"/>
          <w:sz w:val="16"/>
          <w:szCs w:val="16"/>
        </w:rPr>
        <w:t xml:space="preserve"> 101</w:t>
      </w:r>
      <w:r w:rsidRPr="00CB4F47">
        <w:rPr>
          <w:rFonts w:cs="Arial"/>
          <w:color w:val="auto"/>
          <w:sz w:val="16"/>
          <w:szCs w:val="16"/>
        </w:rPr>
        <w:t>–</w:t>
      </w:r>
      <w:r w:rsidRPr="00CB4F47">
        <w:rPr>
          <w:rFonts w:eastAsia="Times New Roman" w:cs="Arial"/>
          <w:color w:val="auto"/>
          <w:sz w:val="16"/>
          <w:szCs w:val="16"/>
        </w:rPr>
        <w:t>120, p</w:t>
      </w:r>
      <w:r w:rsidR="00CF184D" w:rsidRPr="00CB4F47">
        <w:rPr>
          <w:rFonts w:eastAsia="Times New Roman" w:cs="Arial"/>
          <w:color w:val="auto"/>
          <w:sz w:val="16"/>
          <w:szCs w:val="16"/>
        </w:rPr>
        <w:t>age</w:t>
      </w:r>
      <w:r w:rsidRPr="00CB4F47">
        <w:rPr>
          <w:rFonts w:eastAsia="Times New Roman" w:cs="Arial"/>
          <w:color w:val="auto"/>
          <w:sz w:val="16"/>
          <w:szCs w:val="16"/>
        </w:rPr>
        <w:t xml:space="preserve"> 108</w:t>
      </w:r>
      <w:r w:rsidR="00836F86">
        <w:rPr>
          <w:rFonts w:eastAsia="Times New Roman" w:cs="Arial"/>
          <w:color w:val="auto"/>
          <w:sz w:val="16"/>
          <w:szCs w:val="16"/>
        </w:rPr>
        <w:t>)</w:t>
      </w:r>
      <w:r w:rsidRPr="00CB4F47">
        <w:rPr>
          <w:rFonts w:eastAsia="Times New Roman" w:cs="Arial"/>
          <w:color w:val="auto"/>
          <w:sz w:val="16"/>
          <w:szCs w:val="16"/>
        </w:rPr>
        <w:t xml:space="preserve">. </w:t>
      </w:r>
    </w:p>
  </w:footnote>
  <w:footnote w:id="103">
    <w:p w14:paraId="6F02E4D0" w14:textId="4DEEF9B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Pratt, J, “The dark side of paradise: Explaining New Zealand’s history of high imprisonment</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British Journal of Criminology 46 (2006</w:t>
      </w:r>
      <w:r w:rsidR="00A671DF" w:rsidRPr="00CB4F47">
        <w:rPr>
          <w:rFonts w:cs="Arial"/>
          <w:color w:val="auto"/>
          <w:sz w:val="16"/>
          <w:szCs w:val="16"/>
        </w:rPr>
        <w:t>,</w:t>
      </w:r>
      <w:r w:rsidRPr="00CB4F47">
        <w:rPr>
          <w:rFonts w:cs="Arial"/>
          <w:color w:val="auto"/>
          <w:sz w:val="16"/>
          <w:szCs w:val="16"/>
        </w:rPr>
        <w:t xml:space="preserve"> p</w:t>
      </w:r>
      <w:r w:rsidR="00CF184D" w:rsidRPr="00CB4F47">
        <w:rPr>
          <w:rFonts w:cs="Arial"/>
          <w:color w:val="auto"/>
          <w:sz w:val="16"/>
          <w:szCs w:val="16"/>
        </w:rPr>
        <w:t>age</w:t>
      </w:r>
      <w:r w:rsidRPr="00CB4F47">
        <w:rPr>
          <w:rFonts w:cs="Arial"/>
          <w:color w:val="auto"/>
          <w:sz w:val="16"/>
          <w:szCs w:val="16"/>
        </w:rPr>
        <w:t xml:space="preserve"> 553</w:t>
      </w:r>
      <w:r w:rsidR="00836F86">
        <w:rPr>
          <w:rFonts w:cs="Arial"/>
          <w:color w:val="auto"/>
          <w:sz w:val="16"/>
          <w:szCs w:val="16"/>
        </w:rPr>
        <w:t>)</w:t>
      </w:r>
      <w:r w:rsidRPr="00CB4F47">
        <w:rPr>
          <w:rFonts w:cs="Arial"/>
          <w:color w:val="auto"/>
          <w:sz w:val="16"/>
          <w:szCs w:val="16"/>
        </w:rPr>
        <w:t>.</w:t>
      </w:r>
    </w:p>
  </w:footnote>
  <w:footnote w:id="104">
    <w:p w14:paraId="29EAA589" w14:textId="3B4633A7" w:rsidR="000E429D" w:rsidRPr="00CB4F47" w:rsidRDefault="000E429D" w:rsidP="002F3A8B">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Brookes, B, “Cherishing hopes of the impossible: Mothers, fathers, and disability at birth in mid-twentieth century New </w:t>
      </w:r>
      <w:r w:rsidR="00A671DF" w:rsidRPr="00CB4F47">
        <w:rPr>
          <w:rFonts w:cs="Arial"/>
          <w:color w:val="auto"/>
          <w:sz w:val="16"/>
          <w:szCs w:val="16"/>
        </w:rPr>
        <w:t>Zealand</w:t>
      </w:r>
      <w:r w:rsidR="00367549">
        <w:rPr>
          <w:rFonts w:cs="Arial"/>
          <w:color w:val="auto"/>
          <w:sz w:val="16"/>
          <w:szCs w:val="16"/>
        </w:rPr>
        <w:t>,</w:t>
      </w:r>
      <w:r w:rsidR="000013EF">
        <w:rPr>
          <w:rFonts w:cs="Arial"/>
          <w:color w:val="auto"/>
          <w:sz w:val="16"/>
          <w:szCs w:val="16"/>
        </w:rPr>
        <w:t>”</w:t>
      </w:r>
      <w:r w:rsidRPr="00CB4F47">
        <w:rPr>
          <w:rFonts w:cs="Arial"/>
          <w:color w:val="auto"/>
          <w:sz w:val="16"/>
          <w:szCs w:val="16"/>
        </w:rPr>
        <w:t xml:space="preserve"> in Light, T, Brookes, B &amp; Mitchinson, W (eds), Bodily subjects: Essay</w:t>
      </w:r>
      <w:r w:rsidR="0000311E">
        <w:rPr>
          <w:rFonts w:cs="Arial"/>
          <w:color w:val="auto"/>
          <w:sz w:val="16"/>
          <w:szCs w:val="16"/>
        </w:rPr>
        <w:t>s</w:t>
      </w:r>
      <w:r w:rsidRPr="00CB4F47">
        <w:rPr>
          <w:rFonts w:cs="Arial"/>
          <w:color w:val="auto"/>
          <w:sz w:val="16"/>
          <w:szCs w:val="16"/>
        </w:rPr>
        <w:t xml:space="preserve"> on gender and health, 1800</w:t>
      </w:r>
      <w:r w:rsidR="00A671DF">
        <w:rPr>
          <w:rFonts w:cs="Arial"/>
          <w:color w:val="auto"/>
          <w:sz w:val="16"/>
          <w:szCs w:val="16"/>
        </w:rPr>
        <w:t>–</w:t>
      </w:r>
      <w:r w:rsidRPr="00CB4F47">
        <w:rPr>
          <w:rFonts w:cs="Arial"/>
          <w:color w:val="auto"/>
          <w:sz w:val="16"/>
          <w:szCs w:val="16"/>
        </w:rPr>
        <w:t>2000 (</w:t>
      </w:r>
      <w:r w:rsidR="009A1787" w:rsidRPr="009A1787">
        <w:rPr>
          <w:rFonts w:cs="Arial"/>
          <w:color w:val="auto"/>
          <w:sz w:val="16"/>
          <w:szCs w:val="16"/>
        </w:rPr>
        <w:t>McGill-Queen's University Press</w:t>
      </w:r>
      <w:r w:rsidRPr="00CB4F47">
        <w:rPr>
          <w:rFonts w:cs="Arial"/>
          <w:color w:val="auto"/>
          <w:sz w:val="16"/>
          <w:szCs w:val="16"/>
        </w:rPr>
        <w:t>, 2014</w:t>
      </w:r>
      <w:r w:rsidR="00A671DF">
        <w:rPr>
          <w:rFonts w:cs="Arial"/>
          <w:color w:val="auto"/>
          <w:sz w:val="16"/>
          <w:szCs w:val="16"/>
        </w:rPr>
        <w:t>,</w:t>
      </w:r>
      <w:r w:rsidR="002A6F5B">
        <w:rPr>
          <w:rFonts w:cs="Arial"/>
          <w:color w:val="auto"/>
          <w:sz w:val="16"/>
          <w:szCs w:val="16"/>
        </w:rPr>
        <w:t xml:space="preserve"> </w:t>
      </w:r>
      <w:r w:rsidRPr="00CB4F47">
        <w:rPr>
          <w:rFonts w:cs="Arial"/>
          <w:color w:val="auto"/>
          <w:sz w:val="16"/>
          <w:szCs w:val="16"/>
        </w:rPr>
        <w:t>pages 187–90</w:t>
      </w:r>
      <w:r w:rsidR="00E06C84" w:rsidRPr="00CB4F47">
        <w:rPr>
          <w:rFonts w:cs="Arial"/>
          <w:color w:val="auto"/>
          <w:sz w:val="16"/>
          <w:szCs w:val="16"/>
        </w:rPr>
        <w:t>)</w:t>
      </w:r>
      <w:r w:rsidRPr="00CB4F47">
        <w:rPr>
          <w:rFonts w:cs="Arial"/>
          <w:color w:val="auto"/>
          <w:sz w:val="16"/>
          <w:szCs w:val="16"/>
        </w:rPr>
        <w:t>, cited in Kaiwai, H &amp; Allport, T, Māori with disabilities (Part two): Report commissioned by the Waitangi Tribunal for the Health Services and Outcomes Inquiry (Wai 2575)</w:t>
      </w:r>
      <w:r w:rsidR="00266C1A">
        <w:rPr>
          <w:rFonts w:cs="Arial"/>
          <w:color w:val="auto"/>
          <w:sz w:val="16"/>
          <w:szCs w:val="16"/>
        </w:rPr>
        <w:t>,</w:t>
      </w:r>
      <w:r w:rsidRPr="00CB4F47">
        <w:rPr>
          <w:rFonts w:cs="Arial"/>
          <w:color w:val="auto"/>
          <w:sz w:val="16"/>
          <w:szCs w:val="16"/>
        </w:rPr>
        <w:t xml:space="preserve"> (2019</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28</w:t>
      </w:r>
      <w:r w:rsidR="002A6F5B">
        <w:rPr>
          <w:rFonts w:cs="Arial"/>
          <w:color w:val="auto"/>
          <w:sz w:val="16"/>
          <w:szCs w:val="16"/>
        </w:rPr>
        <w:t>)</w:t>
      </w:r>
      <w:r w:rsidRPr="00CB4F47">
        <w:rPr>
          <w:rFonts w:cs="Arial"/>
          <w:color w:val="auto"/>
          <w:sz w:val="16"/>
          <w:szCs w:val="16"/>
        </w:rPr>
        <w:t>.</w:t>
      </w:r>
    </w:p>
  </w:footnote>
  <w:footnote w:id="105">
    <w:p w14:paraId="29DD3623" w14:textId="7EDF9AD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BatangChe"/>
          <w:sz w:val="16"/>
          <w:szCs w:val="16"/>
        </w:rPr>
        <w:t xml:space="preserve">Royal Commission of Inquiry into Abuse in Care, Beautiful </w:t>
      </w:r>
      <w:r w:rsidR="00875D42">
        <w:rPr>
          <w:rFonts w:eastAsia="BatangChe"/>
          <w:sz w:val="16"/>
          <w:szCs w:val="16"/>
        </w:rPr>
        <w:t>c</w:t>
      </w:r>
      <w:r w:rsidRPr="00CB4F47">
        <w:rPr>
          <w:rFonts w:eastAsia="BatangChe"/>
          <w:sz w:val="16"/>
          <w:szCs w:val="16"/>
        </w:rPr>
        <w:t xml:space="preserve">hildren: Inquiry into the Lake Alice Child </w:t>
      </w:r>
      <w:r w:rsidR="00A671DF" w:rsidRPr="00CB4F47">
        <w:rPr>
          <w:rFonts w:eastAsia="BatangChe"/>
          <w:sz w:val="16"/>
          <w:szCs w:val="16"/>
        </w:rPr>
        <w:t>and</w:t>
      </w:r>
      <w:r w:rsidRPr="00CB4F47">
        <w:rPr>
          <w:rFonts w:eastAsia="BatangChe"/>
          <w:sz w:val="16"/>
          <w:szCs w:val="16"/>
        </w:rPr>
        <w:t xml:space="preserve"> Adolescent Unit (2022</w:t>
      </w:r>
      <w:r w:rsidR="00A671DF" w:rsidRPr="00CB4F47">
        <w:rPr>
          <w:rFonts w:eastAsia="BatangChe"/>
          <w:sz w:val="16"/>
          <w:szCs w:val="16"/>
        </w:rPr>
        <w:t>,</w:t>
      </w:r>
      <w:r w:rsidRPr="00CB4F47">
        <w:rPr>
          <w:rFonts w:eastAsia="BatangChe"/>
          <w:sz w:val="16"/>
          <w:szCs w:val="16"/>
        </w:rPr>
        <w:t xml:space="preserve"> </w:t>
      </w:r>
      <w:r w:rsidRPr="00CB4F47">
        <w:rPr>
          <w:rFonts w:cs="Arial"/>
          <w:color w:val="auto"/>
          <w:sz w:val="16"/>
          <w:szCs w:val="16"/>
        </w:rPr>
        <w:t>pages 35 and 254</w:t>
      </w:r>
      <w:r w:rsidR="002A6F5B">
        <w:rPr>
          <w:rFonts w:cs="Arial"/>
          <w:color w:val="auto"/>
          <w:sz w:val="16"/>
          <w:szCs w:val="16"/>
        </w:rPr>
        <w:t>)</w:t>
      </w:r>
      <w:r w:rsidRPr="00CB4F47">
        <w:rPr>
          <w:rFonts w:cs="Arial"/>
          <w:color w:val="auto"/>
          <w:sz w:val="16"/>
          <w:szCs w:val="16"/>
        </w:rPr>
        <w:t>.</w:t>
      </w:r>
    </w:p>
  </w:footnote>
  <w:footnote w:id="106">
    <w:p w14:paraId="2672AD7D" w14:textId="121A058A"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CB4F47">
        <w:rPr>
          <w:rStyle w:val="normaltextrun"/>
          <w:color w:val="000000"/>
          <w:sz w:val="16"/>
          <w:szCs w:val="16"/>
          <w:shd w:val="clear" w:color="auto" w:fill="FFFFFF"/>
        </w:rPr>
        <w:t xml:space="preserve">Royal Commission of Inquiry into Abuse in Care, Stolen lives, marked souls: The </w:t>
      </w:r>
      <w:r w:rsidRPr="00CB4F47">
        <w:rPr>
          <w:rStyle w:val="normaltextrun"/>
          <w:rFonts w:cs="Arial"/>
          <w:color w:val="000000"/>
          <w:sz w:val="16"/>
          <w:szCs w:val="16"/>
          <w:shd w:val="clear" w:color="auto" w:fill="FFFFFF"/>
        </w:rPr>
        <w:t xml:space="preserve">inquiry into the Order of the Brothers of St John of God at Marylands School and Hebron Trust </w:t>
      </w:r>
      <w:r w:rsidRPr="00CB4F47">
        <w:rPr>
          <w:rFonts w:cs="Arial"/>
          <w:sz w:val="16"/>
          <w:szCs w:val="16"/>
        </w:rPr>
        <w:t>(2023</w:t>
      </w:r>
      <w:r w:rsidR="00A671DF" w:rsidRPr="00CB4F47">
        <w:rPr>
          <w:rFonts w:cs="Arial"/>
          <w:sz w:val="16"/>
          <w:szCs w:val="16"/>
        </w:rPr>
        <w:t>,</w:t>
      </w:r>
      <w:r w:rsidRPr="00CB4F47">
        <w:rPr>
          <w:rFonts w:cs="Arial"/>
          <w:sz w:val="16"/>
          <w:szCs w:val="16"/>
        </w:rPr>
        <w:t xml:space="preserve"> </w:t>
      </w:r>
      <w:r w:rsidR="00A8348E" w:rsidRPr="00CB4F47">
        <w:rPr>
          <w:rFonts w:cs="Arial"/>
          <w:color w:val="auto"/>
          <w:sz w:val="16"/>
          <w:szCs w:val="16"/>
        </w:rPr>
        <w:t>page</w:t>
      </w:r>
      <w:r w:rsidR="00A8348E" w:rsidRPr="00CB4F47">
        <w:rPr>
          <w:rFonts w:cs="Arial"/>
          <w:sz w:val="16"/>
          <w:szCs w:val="16"/>
        </w:rPr>
        <w:t xml:space="preserve"> </w:t>
      </w:r>
      <w:r w:rsidRPr="00CB4F47">
        <w:rPr>
          <w:rFonts w:cs="Arial"/>
          <w:sz w:val="16"/>
          <w:szCs w:val="16"/>
        </w:rPr>
        <w:t>323</w:t>
      </w:r>
      <w:r w:rsidR="002A6F5B">
        <w:rPr>
          <w:rFonts w:cs="Arial"/>
          <w:sz w:val="16"/>
          <w:szCs w:val="16"/>
        </w:rPr>
        <w:t>)</w:t>
      </w:r>
      <w:r w:rsidRPr="00CB4F47">
        <w:rPr>
          <w:rFonts w:cs="Arial"/>
          <w:sz w:val="16"/>
          <w:szCs w:val="16"/>
        </w:rPr>
        <w:t xml:space="preserve">. </w:t>
      </w:r>
    </w:p>
  </w:footnote>
  <w:footnote w:id="107">
    <w:p w14:paraId="443E0D30" w14:textId="14D4594D"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 xml:space="preserve">pages </w:t>
      </w:r>
      <w:r w:rsidRPr="00CB4F47">
        <w:rPr>
          <w:rFonts w:cs="Arial"/>
          <w:sz w:val="16"/>
          <w:szCs w:val="16"/>
        </w:rPr>
        <w:t>18 and 57</w:t>
      </w:r>
      <w:r w:rsidR="002A6F5B">
        <w:rPr>
          <w:rFonts w:cs="Arial"/>
          <w:sz w:val="16"/>
          <w:szCs w:val="16"/>
        </w:rPr>
        <w:t>)</w:t>
      </w:r>
      <w:r w:rsidRPr="00CB4F47">
        <w:rPr>
          <w:rFonts w:cs="Arial"/>
          <w:sz w:val="16"/>
          <w:szCs w:val="16"/>
        </w:rPr>
        <w:t xml:space="preserve">. </w:t>
      </w:r>
    </w:p>
  </w:footnote>
  <w:footnote w:id="108">
    <w:p w14:paraId="1B8CC494" w14:textId="12B3FF9A"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w:t>
      </w:r>
      <w:r w:rsidR="00A671DF" w:rsidRPr="00CB4F47">
        <w:rPr>
          <w:rFonts w:cs="Arial"/>
          <w:sz w:val="16"/>
          <w:szCs w:val="16"/>
        </w:rPr>
        <w:t>,</w:t>
      </w:r>
      <w:r w:rsidRPr="00CB4F47">
        <w:rPr>
          <w:rFonts w:cs="Arial"/>
          <w:sz w:val="16"/>
          <w:szCs w:val="16"/>
        </w:rPr>
        <w:t xml:space="preserve"> </w:t>
      </w:r>
      <w:r w:rsidR="00A8348E" w:rsidRPr="00CB4F47">
        <w:rPr>
          <w:rFonts w:cs="Arial"/>
          <w:color w:val="auto"/>
          <w:sz w:val="16"/>
          <w:szCs w:val="16"/>
        </w:rPr>
        <w:t>page</w:t>
      </w:r>
      <w:r w:rsidR="00A8348E" w:rsidRPr="00CB4F47">
        <w:rPr>
          <w:rFonts w:cs="Arial"/>
          <w:sz w:val="16"/>
          <w:szCs w:val="16"/>
        </w:rPr>
        <w:t xml:space="preserve"> </w:t>
      </w:r>
      <w:r w:rsidRPr="00CB4F47">
        <w:rPr>
          <w:rFonts w:cs="Arial"/>
          <w:sz w:val="16"/>
          <w:szCs w:val="16"/>
        </w:rPr>
        <w:t>18</w:t>
      </w:r>
      <w:r w:rsidR="002A6F5B">
        <w:rPr>
          <w:rFonts w:cs="Arial"/>
          <w:sz w:val="16"/>
          <w:szCs w:val="16"/>
        </w:rPr>
        <w:t>)</w:t>
      </w:r>
      <w:r w:rsidRPr="00CB4F47">
        <w:rPr>
          <w:rFonts w:cs="Arial"/>
          <w:sz w:val="16"/>
          <w:szCs w:val="16"/>
        </w:rPr>
        <w:t xml:space="preserve">. </w:t>
      </w:r>
    </w:p>
  </w:footnote>
  <w:footnote w:id="109">
    <w:p w14:paraId="187666E9" w14:textId="278990F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vertAlign w:val="superscript"/>
        </w:rPr>
        <w:t xml:space="preserve"> </w:t>
      </w:r>
      <w:r w:rsidRPr="00CB4F47">
        <w:rPr>
          <w:rFonts w:cs="Arial"/>
          <w:color w:val="auto"/>
          <w:sz w:val="16"/>
          <w:szCs w:val="16"/>
        </w:rPr>
        <w:t>National Museum of African American History and Culture</w:t>
      </w:r>
      <w:r w:rsidR="00275A24">
        <w:rPr>
          <w:rFonts w:cs="Arial"/>
          <w:color w:val="auto"/>
          <w:sz w:val="16"/>
          <w:szCs w:val="16"/>
        </w:rPr>
        <w:t xml:space="preserve"> website</w:t>
      </w:r>
      <w:r w:rsidRPr="00CB4F47">
        <w:rPr>
          <w:rFonts w:cs="Arial"/>
          <w:color w:val="auto"/>
          <w:sz w:val="16"/>
          <w:szCs w:val="16"/>
        </w:rPr>
        <w:t>, Being antiracist (accessed 5 May 2022)</w:t>
      </w:r>
      <w:r w:rsidR="00DC5F03">
        <w:rPr>
          <w:rFonts w:cs="Arial"/>
          <w:color w:val="auto"/>
          <w:sz w:val="16"/>
          <w:szCs w:val="16"/>
        </w:rPr>
        <w:t xml:space="preserve">, </w:t>
      </w:r>
      <w:hyperlink r:id="rId9" w:history="1">
        <w:r w:rsidR="00DC5F03" w:rsidRPr="00DC5F03">
          <w:rPr>
            <w:rStyle w:val="Hyperlink"/>
            <w:rFonts w:cs="Arial"/>
            <w:sz w:val="16"/>
            <w:szCs w:val="16"/>
          </w:rPr>
          <w:t>https://nmaahc.si.edu/learn/talking-about-race/topics/being-antiracist</w:t>
        </w:r>
      </w:hyperlink>
      <w:r w:rsidRPr="00CB4F47">
        <w:rPr>
          <w:rStyle w:val="Hyperlink"/>
          <w:rFonts w:cs="Arial"/>
          <w:color w:val="auto"/>
          <w:sz w:val="16"/>
          <w:szCs w:val="16"/>
          <w:u w:val="none"/>
        </w:rPr>
        <w:t>.</w:t>
      </w:r>
    </w:p>
  </w:footnote>
  <w:footnote w:id="110">
    <w:p w14:paraId="1156AB99" w14:textId="18D53313"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Lee, J, Jade Taniwha: Māori-Chinese identity and schooling (Rautaki, 2007</w:t>
      </w:r>
      <w:r w:rsidR="00A671DF" w:rsidRPr="00CB4F47">
        <w:rPr>
          <w:rFonts w:cs="Arial"/>
          <w:color w:val="auto"/>
          <w:sz w:val="16"/>
          <w:szCs w:val="16"/>
        </w:rPr>
        <w:t>,</w:t>
      </w:r>
      <w:r w:rsidRPr="00CB4F47">
        <w:rPr>
          <w:rFonts w:cs="Arial"/>
          <w:color w:val="auto"/>
          <w:sz w:val="16"/>
          <w:szCs w:val="16"/>
        </w:rPr>
        <w:t xml:space="preserve"> pages 29–30</w:t>
      </w:r>
      <w:r w:rsidR="002A6F5B">
        <w:rPr>
          <w:rFonts w:cs="Arial"/>
          <w:color w:val="auto"/>
          <w:sz w:val="16"/>
          <w:szCs w:val="16"/>
        </w:rPr>
        <w:t>)</w:t>
      </w:r>
      <w:r w:rsidRPr="00CB4F47">
        <w:rPr>
          <w:rFonts w:cs="Arial"/>
          <w:color w:val="auto"/>
          <w:sz w:val="16"/>
          <w:szCs w:val="16"/>
        </w:rPr>
        <w:t>.</w:t>
      </w:r>
    </w:p>
  </w:footnote>
  <w:footnote w:id="111">
    <w:p w14:paraId="4501D3D7" w14:textId="33F9865D" w:rsidR="000E429D" w:rsidRPr="00CB4F47" w:rsidRDefault="000E429D" w:rsidP="00DD5764">
      <w:pPr>
        <w:pStyle w:val="FootnoteText"/>
        <w:spacing w:before="24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Māori Perspective Advisory Committee, Puao-te-ata-tu (day break): The report of the Ministerial Advisory Committee on a Māori perspective for the Department of Social Welfare (Department of Social Welfare, 1988</w:t>
      </w:r>
      <w:r w:rsidR="00A671DF" w:rsidRPr="00CB4F47">
        <w:rPr>
          <w:rFonts w:cs="Arial"/>
          <w:sz w:val="16"/>
          <w:szCs w:val="16"/>
        </w:rPr>
        <w:t>,</w:t>
      </w:r>
      <w:r w:rsidRPr="00CB4F47">
        <w:rPr>
          <w:rFonts w:cs="Arial"/>
          <w:sz w:val="16"/>
          <w:szCs w:val="16"/>
        </w:rPr>
        <w:t xml:space="preserve"> </w:t>
      </w:r>
      <w:r w:rsidR="00A8348E" w:rsidRPr="00CB4F47">
        <w:rPr>
          <w:rFonts w:cs="Arial"/>
          <w:color w:val="auto"/>
          <w:sz w:val="16"/>
          <w:szCs w:val="16"/>
        </w:rPr>
        <w:t xml:space="preserve">page </w:t>
      </w:r>
      <w:r w:rsidRPr="00CB4F47">
        <w:rPr>
          <w:rFonts w:cs="Arial"/>
          <w:color w:val="auto"/>
          <w:sz w:val="16"/>
          <w:szCs w:val="16"/>
        </w:rPr>
        <w:t>19</w:t>
      </w:r>
      <w:r w:rsidR="008250D5">
        <w:rPr>
          <w:rFonts w:cs="Arial"/>
          <w:color w:val="auto"/>
          <w:sz w:val="16"/>
          <w:szCs w:val="16"/>
        </w:rPr>
        <w:t>)</w:t>
      </w:r>
      <w:r w:rsidRPr="00CB4F47">
        <w:rPr>
          <w:rFonts w:cs="Arial"/>
          <w:color w:val="auto"/>
          <w:sz w:val="16"/>
          <w:szCs w:val="16"/>
        </w:rPr>
        <w:t>.</w:t>
      </w:r>
    </w:p>
  </w:footnote>
  <w:footnote w:id="112">
    <w:p w14:paraId="7EB2421C" w14:textId="22A5D813" w:rsidR="00431AFB" w:rsidRPr="00DD5764" w:rsidRDefault="00431AFB">
      <w:pPr>
        <w:pStyle w:val="FootnoteText"/>
        <w:rPr>
          <w:sz w:val="16"/>
          <w:szCs w:val="16"/>
        </w:rPr>
      </w:pPr>
      <w:r w:rsidRPr="00536E67">
        <w:rPr>
          <w:rStyle w:val="StyleFootnoteReferenceFagoFunotenzeichenFagoFunotenzeichen"/>
          <w:sz w:val="16"/>
          <w:szCs w:val="16"/>
        </w:rPr>
        <w:footnoteRef/>
      </w:r>
      <w:r w:rsidR="00220E68" w:rsidRPr="00CB4F47" w:rsidDel="00B57D9F">
        <w:rPr>
          <w:sz w:val="16"/>
          <w:szCs w:val="16"/>
        </w:rPr>
        <w:t xml:space="preserve"> </w:t>
      </w:r>
      <w:r w:rsidR="00220E68" w:rsidRPr="00DD5764">
        <w:rPr>
          <w:sz w:val="16"/>
          <w:szCs w:val="16"/>
        </w:rPr>
        <w:t xml:space="preserve">Hampton, </w:t>
      </w:r>
      <w:r w:rsidR="00A671DF" w:rsidRPr="00DD5764">
        <w:rPr>
          <w:sz w:val="16"/>
          <w:szCs w:val="16"/>
        </w:rPr>
        <w:t>RE</w:t>
      </w:r>
      <w:r w:rsidR="00220E68" w:rsidRPr="00DD5764">
        <w:rPr>
          <w:sz w:val="16"/>
          <w:szCs w:val="16"/>
        </w:rPr>
        <w:t xml:space="preserve">, Delinquency and social processes: labelling theory and the police decision to prosecute juveniles, </w:t>
      </w:r>
      <w:r w:rsidR="00A671DF" w:rsidRPr="00DD5764">
        <w:rPr>
          <w:sz w:val="16"/>
          <w:szCs w:val="16"/>
        </w:rPr>
        <w:t>Master’s</w:t>
      </w:r>
      <w:r w:rsidR="00220E68" w:rsidRPr="00DD5764">
        <w:rPr>
          <w:sz w:val="16"/>
          <w:szCs w:val="16"/>
        </w:rPr>
        <w:t xml:space="preserve"> Thesis</w:t>
      </w:r>
      <w:r w:rsidR="00FD12CF" w:rsidRPr="00DD5764">
        <w:rPr>
          <w:sz w:val="16"/>
          <w:szCs w:val="16"/>
        </w:rPr>
        <w:t>,</w:t>
      </w:r>
      <w:r w:rsidR="00220E68" w:rsidRPr="00DD5764">
        <w:rPr>
          <w:sz w:val="16"/>
          <w:szCs w:val="16"/>
        </w:rPr>
        <w:t xml:space="preserve"> </w:t>
      </w:r>
      <w:r w:rsidR="004910C6">
        <w:rPr>
          <w:sz w:val="16"/>
          <w:szCs w:val="16"/>
        </w:rPr>
        <w:t>(</w:t>
      </w:r>
      <w:r w:rsidR="00220E68" w:rsidRPr="00DD5764">
        <w:rPr>
          <w:sz w:val="16"/>
          <w:szCs w:val="16"/>
        </w:rPr>
        <w:t>University of Auckland 1973</w:t>
      </w:r>
      <w:r w:rsidR="00A671DF" w:rsidRPr="00DD5764">
        <w:rPr>
          <w:sz w:val="16"/>
          <w:szCs w:val="16"/>
        </w:rPr>
        <w:t>)</w:t>
      </w:r>
      <w:r w:rsidR="00A671DF">
        <w:rPr>
          <w:sz w:val="16"/>
          <w:szCs w:val="16"/>
        </w:rPr>
        <w:t>;</w:t>
      </w:r>
      <w:r w:rsidR="00220E68" w:rsidRPr="00DD5764" w:rsidDel="00FD12CF">
        <w:rPr>
          <w:sz w:val="16"/>
          <w:szCs w:val="16"/>
        </w:rPr>
        <w:t xml:space="preserve"> </w:t>
      </w:r>
      <w:r w:rsidR="00220E68" w:rsidRPr="00DD5764">
        <w:rPr>
          <w:sz w:val="16"/>
          <w:szCs w:val="16"/>
        </w:rPr>
        <w:t xml:space="preserve">in </w:t>
      </w:r>
      <w:r w:rsidR="00A671DF">
        <w:rPr>
          <w:sz w:val="16"/>
          <w:szCs w:val="16"/>
        </w:rPr>
        <w:t>W</w:t>
      </w:r>
      <w:r w:rsidR="00A671DF" w:rsidRPr="00DD5764">
        <w:rPr>
          <w:sz w:val="16"/>
          <w:szCs w:val="16"/>
        </w:rPr>
        <w:t>itness statement</w:t>
      </w:r>
      <w:r w:rsidR="00220E68" w:rsidRPr="00DD5764">
        <w:rPr>
          <w:sz w:val="16"/>
          <w:szCs w:val="16"/>
        </w:rPr>
        <w:t xml:space="preserve"> of Dr Oliver Sutherland</w:t>
      </w:r>
      <w:r w:rsidR="00A671DF" w:rsidRPr="00DD5764">
        <w:rPr>
          <w:sz w:val="16"/>
          <w:szCs w:val="16"/>
        </w:rPr>
        <w:t xml:space="preserve"> (</w:t>
      </w:r>
      <w:r w:rsidR="00220E68" w:rsidRPr="00DD5764">
        <w:rPr>
          <w:sz w:val="16"/>
          <w:szCs w:val="16"/>
        </w:rPr>
        <w:t>15 October 2019</w:t>
      </w:r>
      <w:r w:rsidR="00A671DF" w:rsidRPr="00DD5764">
        <w:rPr>
          <w:sz w:val="16"/>
          <w:szCs w:val="16"/>
        </w:rPr>
        <w:t>,</w:t>
      </w:r>
      <w:r w:rsidR="00220E68" w:rsidRPr="00DD5764">
        <w:rPr>
          <w:sz w:val="16"/>
          <w:szCs w:val="16"/>
        </w:rPr>
        <w:t xml:space="preserve"> page 2</w:t>
      </w:r>
      <w:r w:rsidR="00FD12CF" w:rsidRPr="00DD5764">
        <w:rPr>
          <w:sz w:val="16"/>
          <w:szCs w:val="16"/>
        </w:rPr>
        <w:t>)</w:t>
      </w:r>
      <w:r w:rsidR="00220E68" w:rsidRPr="00DD5764">
        <w:rPr>
          <w:sz w:val="16"/>
          <w:szCs w:val="16"/>
        </w:rPr>
        <w:t xml:space="preserve">; Savage, C, Moyle, P, Kus-Harbord, L, Ahuriri-Driscoll, A, Hynds, A, Paipa, K, Leonard, G, Maraki, J &amp; Leonard, J, Hāhā-uri, hāhā-tea: Māori involvement in State </w:t>
      </w:r>
      <w:r w:rsidR="00A671DF">
        <w:rPr>
          <w:sz w:val="16"/>
          <w:szCs w:val="16"/>
        </w:rPr>
        <w:t>c</w:t>
      </w:r>
      <w:r w:rsidR="00A671DF" w:rsidRPr="00DD5764">
        <w:rPr>
          <w:sz w:val="16"/>
          <w:szCs w:val="16"/>
        </w:rPr>
        <w:t>are</w:t>
      </w:r>
      <w:r w:rsidR="00220E68" w:rsidRPr="00DD5764">
        <w:rPr>
          <w:sz w:val="16"/>
          <w:szCs w:val="16"/>
        </w:rPr>
        <w:t xml:space="preserve"> 1950–1999 (Ihi Research, 2021</w:t>
      </w:r>
      <w:r w:rsidR="00A671DF" w:rsidRPr="00DD5764">
        <w:rPr>
          <w:sz w:val="16"/>
          <w:szCs w:val="16"/>
        </w:rPr>
        <w:t>,</w:t>
      </w:r>
      <w:r w:rsidR="00220E68" w:rsidRPr="00DD5764">
        <w:rPr>
          <w:sz w:val="16"/>
          <w:szCs w:val="16"/>
        </w:rPr>
        <w:t xml:space="preserve"> pages 136, 149, 231, 271</w:t>
      </w:r>
      <w:r w:rsidR="005B0D03">
        <w:rPr>
          <w:sz w:val="16"/>
          <w:szCs w:val="16"/>
        </w:rPr>
        <w:t>)</w:t>
      </w:r>
      <w:r w:rsidR="00220E68" w:rsidRPr="00DD5764">
        <w:rPr>
          <w:sz w:val="16"/>
          <w:szCs w:val="16"/>
        </w:rPr>
        <w:t>; Māori Perspective Advisory Committee, Puao-te-ata-tu (day break): The report of the Ministerial Advisory Committee on a Māori perspective for the Department of Social Welfare (Department of Social Welfare, 1988</w:t>
      </w:r>
      <w:r w:rsidR="00A671DF" w:rsidRPr="00DD5764">
        <w:rPr>
          <w:sz w:val="16"/>
          <w:szCs w:val="16"/>
        </w:rPr>
        <w:t>,</w:t>
      </w:r>
      <w:r w:rsidR="00220E68" w:rsidRPr="00DD5764">
        <w:rPr>
          <w:sz w:val="16"/>
          <w:szCs w:val="16"/>
        </w:rPr>
        <w:t xml:space="preserve"> pages 16, 24</w:t>
      </w:r>
      <w:r w:rsidR="005B0D03">
        <w:rPr>
          <w:sz w:val="16"/>
          <w:szCs w:val="16"/>
        </w:rPr>
        <w:t>)</w:t>
      </w:r>
      <w:r w:rsidR="00855A49" w:rsidRPr="00DD5764">
        <w:rPr>
          <w:sz w:val="16"/>
          <w:szCs w:val="16"/>
        </w:rPr>
        <w:t>.</w:t>
      </w:r>
    </w:p>
  </w:footnote>
  <w:footnote w:id="113">
    <w:p w14:paraId="018872C5" w14:textId="7AAAB555"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cs="Arial"/>
          <w:color w:val="auto"/>
          <w:sz w:val="16"/>
          <w:szCs w:val="16"/>
        </w:rPr>
        <w:t xml:space="preserve">Royal Commission of Inquiry into Abuse in Care, </w:t>
      </w:r>
      <w:r w:rsidRPr="00CB4F47">
        <w:rPr>
          <w:rFonts w:cs="Arial"/>
          <w:sz w:val="16"/>
          <w:szCs w:val="16"/>
        </w:rPr>
        <w:t>Stolen lives, marked souls: The Inquiry into the Order of the Brothers of St John of God at Marylands School and Hebron Trust</w:t>
      </w:r>
      <w:r w:rsidRPr="00CB4F47">
        <w:rPr>
          <w:rFonts w:cs="Arial"/>
          <w:color w:val="auto"/>
          <w:sz w:val="16"/>
          <w:szCs w:val="16"/>
        </w:rPr>
        <w:t xml:space="preserve"> (2023</w:t>
      </w:r>
      <w:r w:rsidR="00A671DF" w:rsidRPr="00CB4F47">
        <w:rPr>
          <w:rFonts w:cs="Arial"/>
          <w:color w:val="auto"/>
          <w:sz w:val="16"/>
          <w:szCs w:val="16"/>
        </w:rPr>
        <w:t>,</w:t>
      </w:r>
      <w:r w:rsidRPr="00CB4F47">
        <w:rPr>
          <w:rFonts w:cs="Arial"/>
          <w:color w:val="auto"/>
          <w:sz w:val="16"/>
          <w:szCs w:val="16"/>
        </w:rPr>
        <w:t xml:space="preserve"> pages </w:t>
      </w:r>
      <w:r w:rsidRPr="00CB4F47">
        <w:rPr>
          <w:rFonts w:cs="Arial"/>
          <w:sz w:val="16"/>
          <w:szCs w:val="16"/>
        </w:rPr>
        <w:t>152</w:t>
      </w:r>
      <w:r w:rsidRPr="00CB4F47">
        <w:rPr>
          <w:rFonts w:cs="Arial"/>
          <w:color w:val="auto"/>
          <w:sz w:val="16"/>
          <w:szCs w:val="16"/>
        </w:rPr>
        <w:t>–</w:t>
      </w:r>
      <w:r w:rsidRPr="00CB4F47">
        <w:rPr>
          <w:rFonts w:cs="Arial"/>
          <w:sz w:val="16"/>
          <w:szCs w:val="16"/>
        </w:rPr>
        <w:t>153</w:t>
      </w:r>
      <w:r w:rsidR="002A366F">
        <w:rPr>
          <w:rFonts w:cs="Arial"/>
          <w:sz w:val="16"/>
          <w:szCs w:val="16"/>
        </w:rPr>
        <w:t>)</w:t>
      </w:r>
      <w:r w:rsidRPr="00CB4F47">
        <w:rPr>
          <w:rFonts w:cs="Arial"/>
          <w:sz w:val="16"/>
          <w:szCs w:val="16"/>
        </w:rPr>
        <w:t xml:space="preserve">. </w:t>
      </w:r>
    </w:p>
  </w:footnote>
  <w:footnote w:id="114">
    <w:p w14:paraId="3AE4BD27" w14:textId="26C20D2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Māori Perspective Advisory Committee, Puao-te-ata-tu (day break): The report of the Ministerial Advisory Committee on a Māori perspective for the Department of Social Welfare (Department of Social Welfare, 1988</w:t>
      </w:r>
      <w:r w:rsidR="00A671DF" w:rsidRPr="00CB4F47">
        <w:rPr>
          <w:rFonts w:cs="Arial"/>
          <w:sz w:val="16"/>
          <w:szCs w:val="16"/>
        </w:rPr>
        <w:t>,</w:t>
      </w:r>
      <w:r w:rsidRPr="00CB4F47">
        <w:rPr>
          <w:rFonts w:cs="Arial"/>
          <w:sz w:val="16"/>
          <w:szCs w:val="16"/>
        </w:rPr>
        <w:t xml:space="preserve"> </w:t>
      </w:r>
      <w:r w:rsidR="00A8348E" w:rsidRPr="00CB4F47">
        <w:rPr>
          <w:rFonts w:cs="Arial"/>
          <w:color w:val="auto"/>
          <w:sz w:val="16"/>
          <w:szCs w:val="16"/>
        </w:rPr>
        <w:t>page</w:t>
      </w:r>
      <w:r w:rsidRPr="00CB4F47">
        <w:rPr>
          <w:rFonts w:cs="Arial"/>
          <w:color w:val="auto"/>
          <w:sz w:val="16"/>
          <w:szCs w:val="16"/>
        </w:rPr>
        <w:t xml:space="preserve"> 19</w:t>
      </w:r>
      <w:r w:rsidR="002A366F">
        <w:rPr>
          <w:rFonts w:cs="Arial"/>
          <w:color w:val="auto"/>
          <w:sz w:val="16"/>
          <w:szCs w:val="16"/>
        </w:rPr>
        <w:t>)</w:t>
      </w:r>
      <w:r w:rsidRPr="00CB4F47">
        <w:rPr>
          <w:rFonts w:cs="Arial"/>
          <w:color w:val="auto"/>
          <w:sz w:val="16"/>
          <w:szCs w:val="16"/>
        </w:rPr>
        <w:t>.</w:t>
      </w:r>
    </w:p>
  </w:footnote>
  <w:footnote w:id="115">
    <w:p w14:paraId="74396738" w14:textId="1DCE622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Māori Perspective Advisory Committee, Puao-te-ata-tu (day break): The report of the Ministerial Advisory Committee on a Māori perspective for the Department of Social Welfare (Department of Social Welfare, 1988</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pages 18, 57 and 77</w:t>
      </w:r>
      <w:r w:rsidR="002A366F">
        <w:rPr>
          <w:rFonts w:cs="Arial"/>
          <w:color w:val="auto"/>
          <w:sz w:val="16"/>
          <w:szCs w:val="16"/>
        </w:rPr>
        <w:t>)</w:t>
      </w:r>
      <w:r w:rsidRPr="00CB4F47">
        <w:rPr>
          <w:rFonts w:cs="Arial"/>
          <w:color w:val="auto"/>
          <w:sz w:val="16"/>
          <w:szCs w:val="16"/>
        </w:rPr>
        <w:t>.</w:t>
      </w:r>
    </w:p>
  </w:footnote>
  <w:footnote w:id="116">
    <w:p w14:paraId="5939B851" w14:textId="2F68CB6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Māori Perspective Advisory Committee, Puao-te-ata-tu (day break): The report of the Ministerial Advisory Committee on a Māori perspective for the Department of Social Welfare (Department of Social Welfare, 1988</w:t>
      </w:r>
      <w:r w:rsidR="00A671DF" w:rsidRPr="00CB4F47">
        <w:rPr>
          <w:rFonts w:cs="Arial"/>
          <w:sz w:val="16"/>
          <w:szCs w:val="16"/>
        </w:rPr>
        <w:t>,</w:t>
      </w:r>
      <w:r w:rsidRPr="00CB4F47">
        <w:rPr>
          <w:rFonts w:cs="Arial"/>
          <w:sz w:val="16"/>
          <w:szCs w:val="16"/>
        </w:rPr>
        <w:t xml:space="preserve"> </w:t>
      </w:r>
      <w:r w:rsidR="00A8348E" w:rsidRPr="00CB4F47">
        <w:rPr>
          <w:rFonts w:cs="Arial"/>
          <w:color w:val="auto"/>
          <w:sz w:val="16"/>
          <w:szCs w:val="16"/>
        </w:rPr>
        <w:t xml:space="preserve">page </w:t>
      </w:r>
      <w:r w:rsidRPr="00CB4F47">
        <w:rPr>
          <w:rFonts w:cs="Arial"/>
          <w:color w:val="auto"/>
          <w:sz w:val="16"/>
          <w:szCs w:val="16"/>
        </w:rPr>
        <w:t>77</w:t>
      </w:r>
      <w:r w:rsidR="002A366F">
        <w:rPr>
          <w:rFonts w:cs="Arial"/>
          <w:color w:val="auto"/>
          <w:sz w:val="16"/>
          <w:szCs w:val="16"/>
        </w:rPr>
        <w:t>)</w:t>
      </w:r>
      <w:r w:rsidRPr="00CB4F47">
        <w:rPr>
          <w:rFonts w:cs="Arial"/>
          <w:color w:val="auto"/>
          <w:sz w:val="16"/>
          <w:szCs w:val="16"/>
        </w:rPr>
        <w:t>.</w:t>
      </w:r>
    </w:p>
  </w:footnote>
  <w:footnote w:id="117">
    <w:p w14:paraId="1660E7B3" w14:textId="770B5176"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Royal Commission of Inquiry into Abuse in Care, He Purapura Ora, he Māra Tipu: From redress to Puretumu Torowhānui, Volume 1 (2021</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pages</w:t>
      </w:r>
      <w:r w:rsidRPr="00CB4F47">
        <w:rPr>
          <w:rFonts w:eastAsia="Calibri" w:cs="Arial"/>
          <w:color w:val="auto"/>
          <w:sz w:val="16"/>
          <w:szCs w:val="16"/>
        </w:rPr>
        <w:t xml:space="preserve"> 36</w:t>
      </w:r>
      <w:r w:rsidRPr="00CB4F47">
        <w:rPr>
          <w:rFonts w:cs="Arial"/>
          <w:color w:val="auto"/>
          <w:sz w:val="16"/>
          <w:szCs w:val="16"/>
        </w:rPr>
        <w:t>–</w:t>
      </w:r>
      <w:r w:rsidRPr="00CB4F47">
        <w:rPr>
          <w:rFonts w:eastAsia="Calibri" w:cs="Arial"/>
          <w:color w:val="auto"/>
          <w:sz w:val="16"/>
          <w:szCs w:val="16"/>
        </w:rPr>
        <w:t>39</w:t>
      </w:r>
      <w:r w:rsidR="002A366F">
        <w:rPr>
          <w:rFonts w:eastAsia="Calibri" w:cs="Arial"/>
          <w:color w:val="auto"/>
          <w:sz w:val="16"/>
          <w:szCs w:val="16"/>
        </w:rPr>
        <w:t>)</w:t>
      </w:r>
      <w:r w:rsidRPr="00CB4F47">
        <w:rPr>
          <w:rFonts w:cs="Arial"/>
          <w:color w:val="auto"/>
          <w:sz w:val="16"/>
          <w:szCs w:val="16"/>
        </w:rPr>
        <w:t>; Royal Commission of Inquiry into Abuse in Care, Beautiful children: Inquiry into the Lake Alice child and adolescent unit (2022</w:t>
      </w:r>
      <w:r w:rsidR="00A671DF" w:rsidRPr="00CB4F47">
        <w:rPr>
          <w:rFonts w:cs="Arial"/>
          <w:color w:val="auto"/>
          <w:sz w:val="16"/>
          <w:szCs w:val="16"/>
        </w:rPr>
        <w:t>,</w:t>
      </w:r>
      <w:r w:rsidRPr="00CB4F47">
        <w:rPr>
          <w:rFonts w:eastAsia="BatangChe" w:cs="Arial"/>
          <w:sz w:val="16"/>
          <w:szCs w:val="16"/>
        </w:rPr>
        <w:t xml:space="preserve"> </w:t>
      </w:r>
      <w:r w:rsidRPr="00CB4F47">
        <w:rPr>
          <w:rFonts w:cs="Arial"/>
          <w:color w:val="auto"/>
          <w:sz w:val="16"/>
          <w:szCs w:val="16"/>
        </w:rPr>
        <w:t>pages 136–138</w:t>
      </w:r>
      <w:r w:rsidR="002A366F">
        <w:rPr>
          <w:rFonts w:cs="Arial"/>
          <w:color w:val="auto"/>
          <w:sz w:val="16"/>
          <w:szCs w:val="16"/>
        </w:rPr>
        <w:t>)</w:t>
      </w:r>
      <w:r w:rsidRPr="00CB4F47">
        <w:rPr>
          <w:rFonts w:eastAsia="Calibri" w:cs="Arial"/>
          <w:color w:val="auto"/>
          <w:sz w:val="16"/>
          <w:szCs w:val="16"/>
        </w:rPr>
        <w:t xml:space="preserve">; </w:t>
      </w:r>
      <w:r w:rsidRPr="00CB4F47">
        <w:rPr>
          <w:rFonts w:cs="Arial"/>
          <w:color w:val="auto"/>
          <w:sz w:val="16"/>
          <w:szCs w:val="16"/>
        </w:rPr>
        <w:t xml:space="preserve">Royal Commission of Inquiry into Abuse in Care, </w:t>
      </w:r>
      <w:r w:rsidRPr="00CB4F47">
        <w:rPr>
          <w:rFonts w:cs="Arial"/>
          <w:sz w:val="16"/>
          <w:szCs w:val="16"/>
        </w:rPr>
        <w:t>Stolen lives, marked souls: The Inquiry into the Order of the Brothers of St John of God at Marylands School and Hebron Trust</w:t>
      </w:r>
      <w:r w:rsidRPr="00CB4F47">
        <w:rPr>
          <w:rFonts w:cs="Arial"/>
          <w:color w:val="auto"/>
          <w:sz w:val="16"/>
          <w:szCs w:val="16"/>
        </w:rPr>
        <w:t xml:space="preserve"> (2023</w:t>
      </w:r>
      <w:r w:rsidR="00A671DF" w:rsidRPr="00CB4F47">
        <w:rPr>
          <w:rFonts w:cs="Arial"/>
          <w:color w:val="auto"/>
          <w:sz w:val="16"/>
          <w:szCs w:val="16"/>
        </w:rPr>
        <w:t>,</w:t>
      </w:r>
      <w:r w:rsidRPr="00CB4F47">
        <w:rPr>
          <w:rFonts w:cs="Arial"/>
          <w:sz w:val="16"/>
          <w:szCs w:val="16"/>
        </w:rPr>
        <w:t xml:space="preserve"> page 153</w:t>
      </w:r>
      <w:r w:rsidR="002A366F">
        <w:rPr>
          <w:rFonts w:cs="Arial"/>
          <w:sz w:val="16"/>
          <w:szCs w:val="16"/>
        </w:rPr>
        <w:t>)</w:t>
      </w:r>
      <w:r w:rsidRPr="00CB4F47">
        <w:rPr>
          <w:rFonts w:cs="Arial"/>
          <w:sz w:val="16"/>
          <w:szCs w:val="16"/>
        </w:rPr>
        <w:t xml:space="preserve">. </w:t>
      </w:r>
    </w:p>
  </w:footnote>
  <w:footnote w:id="118">
    <w:p w14:paraId="1789BAD9" w14:textId="77777777" w:rsidR="008A4E4C" w:rsidRPr="00CB4F47" w:rsidRDefault="008A4E4C" w:rsidP="008A4E4C">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Kaiwai, H &amp; Allport, T, Māori with disabilities (Part two): Report commissioned by the Waitangi Tribunal for the Health Services and Outcomes Inquiry (Wai 2575), (2019, page 18</w:t>
      </w:r>
      <w:r>
        <w:rPr>
          <w:rFonts w:cs="Arial"/>
          <w:color w:val="auto"/>
          <w:sz w:val="16"/>
          <w:szCs w:val="16"/>
        </w:rPr>
        <w:t>)</w:t>
      </w:r>
      <w:r w:rsidRPr="00CB4F47">
        <w:rPr>
          <w:rFonts w:cs="Arial"/>
          <w:color w:val="auto"/>
          <w:sz w:val="16"/>
          <w:szCs w:val="16"/>
        </w:rPr>
        <w:t>.</w:t>
      </w:r>
    </w:p>
  </w:footnote>
  <w:footnote w:id="119">
    <w:p w14:paraId="57375D06" w14:textId="77777777" w:rsidR="00DE2789" w:rsidRPr="00CB4F47" w:rsidRDefault="00DE2789" w:rsidP="00DE2789">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Sense: The National Deafblind and Rubella Association website, Ableism and disablism (November 2022), </w:t>
      </w:r>
      <w:hyperlink r:id="rId10" w:history="1">
        <w:r w:rsidRPr="00CB4F47">
          <w:rPr>
            <w:rStyle w:val="Hyperlink"/>
            <w:rFonts w:cs="Arial"/>
            <w:sz w:val="16"/>
            <w:szCs w:val="16"/>
            <w:shd w:val="clear" w:color="auto" w:fill="FFFFFF"/>
          </w:rPr>
          <w:t>https://www.sense.org.uk/information-and-advice/ableism-and-disablism</w:t>
        </w:r>
      </w:hyperlink>
      <w:r w:rsidRPr="00CB4F47">
        <w:rPr>
          <w:rFonts w:cs="Arial"/>
          <w:sz w:val="16"/>
          <w:szCs w:val="16"/>
        </w:rPr>
        <w:t>.</w:t>
      </w:r>
    </w:p>
  </w:footnote>
  <w:footnote w:id="120">
    <w:p w14:paraId="19D1E356" w14:textId="77777777" w:rsidR="008A4E4C" w:rsidRPr="00CB4F47" w:rsidRDefault="008A4E4C" w:rsidP="008A4E4C">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Mirfin-Veitch, B, Tikao, K, Asaka, U, Tuisaula, E, Stace, H, Watene, FR &amp; Frawley, P, Tell me about you: A life story approach to understanding disabled people’s experiences in care (1950–1999), (Donald Beasley Institute, 2022, page 15</w:t>
      </w:r>
      <w:r>
        <w:rPr>
          <w:rFonts w:cs="Arial"/>
          <w:color w:val="auto"/>
          <w:sz w:val="16"/>
          <w:szCs w:val="16"/>
        </w:rPr>
        <w:t>)</w:t>
      </w:r>
      <w:r w:rsidRPr="00CB4F47">
        <w:rPr>
          <w:rFonts w:cs="Arial"/>
          <w:color w:val="auto"/>
          <w:sz w:val="16"/>
          <w:szCs w:val="16"/>
        </w:rPr>
        <w:t xml:space="preserve">. </w:t>
      </w:r>
    </w:p>
  </w:footnote>
  <w:footnote w:id="121">
    <w:p w14:paraId="7C1B9FF0" w14:textId="0E626A72"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 xml:space="preserve">Witness statement of </w:t>
      </w:r>
      <w:r w:rsidR="0071441F">
        <w:rPr>
          <w:rFonts w:cs="Arial"/>
          <w:sz w:val="16"/>
          <w:szCs w:val="16"/>
        </w:rPr>
        <w:t>Dr</w:t>
      </w:r>
      <w:r w:rsidRPr="00CB4F47">
        <w:rPr>
          <w:rFonts w:cs="Arial"/>
          <w:sz w:val="16"/>
          <w:szCs w:val="16"/>
        </w:rPr>
        <w:t xml:space="preserve"> Hilary Stace to support evidence given at the </w:t>
      </w:r>
      <w:r w:rsidR="00A671DF">
        <w:rPr>
          <w:rFonts w:cs="Arial"/>
          <w:sz w:val="16"/>
          <w:szCs w:val="16"/>
        </w:rPr>
        <w:t>Inquiry’s</w:t>
      </w:r>
      <w:r w:rsidR="00A671DF" w:rsidRPr="00CB4F47">
        <w:rPr>
          <w:rFonts w:cs="Arial"/>
          <w:sz w:val="16"/>
          <w:szCs w:val="16"/>
        </w:rPr>
        <w:t xml:space="preserve"> </w:t>
      </w:r>
      <w:r w:rsidRPr="00CB4F47">
        <w:rPr>
          <w:rFonts w:cs="Arial"/>
          <w:sz w:val="16"/>
          <w:szCs w:val="16"/>
        </w:rPr>
        <w:t>Contextual Hearing</w:t>
      </w:r>
      <w:r w:rsidR="000676C4">
        <w:rPr>
          <w:rFonts w:cs="Arial"/>
          <w:sz w:val="16"/>
          <w:szCs w:val="16"/>
        </w:rPr>
        <w:t xml:space="preserve"> (</w:t>
      </w:r>
      <w:r w:rsidR="000676C4" w:rsidRPr="00DD5764">
        <w:rPr>
          <w:rFonts w:cs="Arial"/>
          <w:sz w:val="16"/>
          <w:szCs w:val="16"/>
        </w:rPr>
        <w:t>Royal Commission of Inquiry into Abuse in Care,</w:t>
      </w:r>
      <w:r w:rsidRPr="00CB4F47">
        <w:rPr>
          <w:rFonts w:cs="Arial"/>
          <w:sz w:val="16"/>
          <w:szCs w:val="16"/>
        </w:rPr>
        <w:t xml:space="preserve"> 1 November 2019</w:t>
      </w:r>
      <w:r w:rsidR="00A671DF" w:rsidRPr="00CB4F47">
        <w:rPr>
          <w:rFonts w:cs="Arial"/>
          <w:sz w:val="16"/>
          <w:szCs w:val="16"/>
        </w:rPr>
        <w:t xml:space="preserve">, </w:t>
      </w:r>
      <w:r w:rsidRPr="00CB4F47">
        <w:rPr>
          <w:rFonts w:cs="Arial"/>
          <w:color w:val="auto"/>
          <w:sz w:val="16"/>
          <w:szCs w:val="16"/>
        </w:rPr>
        <w:t>paras 24–37</w:t>
      </w:r>
      <w:r w:rsidR="00713234" w:rsidRPr="00CB4F47" w:rsidDel="00FE6285">
        <w:rPr>
          <w:rFonts w:cs="Arial"/>
          <w:color w:val="auto"/>
          <w:sz w:val="16"/>
          <w:szCs w:val="16"/>
        </w:rPr>
        <w:t>)</w:t>
      </w:r>
      <w:r w:rsidRPr="00CB4F47">
        <w:rPr>
          <w:rFonts w:cs="Arial"/>
          <w:color w:val="auto"/>
          <w:sz w:val="16"/>
          <w:szCs w:val="16"/>
        </w:rPr>
        <w:t>; Moore, A &amp; Tennant, M, Who is responsible for the provision of support services for people with disabilities? A discussion paper commissioned by the National Health Committee</w:t>
      </w:r>
      <w:r w:rsidR="00A671DF" w:rsidRPr="00CB4F47">
        <w:rPr>
          <w:rFonts w:cs="Arial"/>
          <w:color w:val="auto"/>
          <w:sz w:val="16"/>
          <w:szCs w:val="16"/>
        </w:rPr>
        <w:t xml:space="preserve"> (</w:t>
      </w:r>
      <w:r w:rsidRPr="00CB4F47">
        <w:rPr>
          <w:rFonts w:cs="Arial"/>
          <w:color w:val="auto"/>
          <w:sz w:val="16"/>
          <w:szCs w:val="16"/>
        </w:rPr>
        <w:t>1997</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17</w:t>
      </w:r>
      <w:r w:rsidR="00CB44BA">
        <w:rPr>
          <w:rFonts w:cs="Arial"/>
          <w:color w:val="auto"/>
          <w:sz w:val="16"/>
          <w:szCs w:val="16"/>
        </w:rPr>
        <w:t>)</w:t>
      </w:r>
      <w:r w:rsidRPr="00CB4F47">
        <w:rPr>
          <w:rFonts w:cs="Arial"/>
          <w:color w:val="auto"/>
          <w:sz w:val="16"/>
          <w:szCs w:val="16"/>
        </w:rPr>
        <w:t>.</w:t>
      </w:r>
    </w:p>
  </w:footnote>
  <w:footnote w:id="122">
    <w:p w14:paraId="4AD3C1E2" w14:textId="3DEA916D"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Swarbrick, N, Care and carers: Care of people with disabilities (Te Ara – </w:t>
      </w:r>
      <w:r w:rsidR="00A671DF">
        <w:rPr>
          <w:rFonts w:cs="Arial"/>
          <w:color w:val="auto"/>
          <w:sz w:val="16"/>
          <w:szCs w:val="16"/>
        </w:rPr>
        <w:t>T</w:t>
      </w:r>
      <w:r w:rsidR="00A671DF" w:rsidRPr="00CB4F47">
        <w:rPr>
          <w:rFonts w:cs="Arial"/>
          <w:color w:val="auto"/>
          <w:sz w:val="16"/>
          <w:szCs w:val="16"/>
        </w:rPr>
        <w:t xml:space="preserve">he </w:t>
      </w:r>
      <w:r w:rsidR="00A671DF">
        <w:rPr>
          <w:rFonts w:cs="Arial"/>
          <w:color w:val="auto"/>
          <w:sz w:val="16"/>
          <w:szCs w:val="16"/>
        </w:rPr>
        <w:t>Encyclopedia</w:t>
      </w:r>
      <w:r w:rsidRPr="00CB4F47">
        <w:rPr>
          <w:rFonts w:cs="Arial"/>
          <w:color w:val="auto"/>
          <w:sz w:val="16"/>
          <w:szCs w:val="16"/>
        </w:rPr>
        <w:t xml:space="preserve"> of New Zealand 2011</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4</w:t>
      </w:r>
      <w:r w:rsidR="00986118">
        <w:rPr>
          <w:rFonts w:cs="Arial"/>
          <w:color w:val="auto"/>
          <w:sz w:val="16"/>
          <w:szCs w:val="16"/>
        </w:rPr>
        <w:t>)</w:t>
      </w:r>
      <w:r w:rsidR="006C43E8">
        <w:rPr>
          <w:rFonts w:cs="Arial"/>
          <w:color w:val="auto"/>
          <w:sz w:val="16"/>
          <w:szCs w:val="16"/>
        </w:rPr>
        <w:t xml:space="preserve">, </w:t>
      </w:r>
      <w:hyperlink r:id="rId11" w:history="1">
        <w:r w:rsidR="006C43E8" w:rsidRPr="00DD5764">
          <w:rPr>
            <w:rStyle w:val="Hyperlink"/>
            <w:rFonts w:cs="Arial"/>
            <w:sz w:val="16"/>
            <w:szCs w:val="16"/>
          </w:rPr>
          <w:t>http://www.TeAra.govt.nz/en/care-and-carers/page-4</w:t>
        </w:r>
      </w:hyperlink>
      <w:r w:rsidRPr="00CB4F47">
        <w:rPr>
          <w:rFonts w:cs="Arial"/>
          <w:color w:val="auto"/>
          <w:sz w:val="16"/>
          <w:szCs w:val="16"/>
        </w:rPr>
        <w:t>.</w:t>
      </w:r>
    </w:p>
  </w:footnote>
  <w:footnote w:id="123">
    <w:p w14:paraId="38C1D325" w14:textId="42BF684D"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Sullivan, M &amp; Stace, H, A brief history of disability in Aotearoa New Zealand (Office for Disability Issues, 2020</w:t>
      </w:r>
      <w:r w:rsidR="00A671DF" w:rsidRPr="00CB4F47">
        <w:rPr>
          <w:rFonts w:cs="Arial"/>
          <w:sz w:val="16"/>
          <w:szCs w:val="16"/>
        </w:rPr>
        <w:t>,</w:t>
      </w:r>
      <w:r w:rsidRPr="00CB4F47">
        <w:rPr>
          <w:rFonts w:cs="Arial"/>
          <w:sz w:val="16"/>
          <w:szCs w:val="16"/>
        </w:rPr>
        <w:t xml:space="preserve"> </w:t>
      </w:r>
      <w:r w:rsidR="00A8348E" w:rsidRPr="00CB4F47">
        <w:rPr>
          <w:rFonts w:cs="Arial"/>
          <w:color w:val="auto"/>
          <w:sz w:val="16"/>
          <w:szCs w:val="16"/>
        </w:rPr>
        <w:t>page</w:t>
      </w:r>
      <w:r w:rsidR="00A8348E" w:rsidRPr="00CB4F47">
        <w:rPr>
          <w:rFonts w:cs="Arial"/>
          <w:sz w:val="16"/>
          <w:szCs w:val="16"/>
        </w:rPr>
        <w:t xml:space="preserve"> </w:t>
      </w:r>
      <w:r w:rsidRPr="00CB4F47">
        <w:rPr>
          <w:rFonts w:cs="Arial"/>
          <w:sz w:val="16"/>
          <w:szCs w:val="16"/>
        </w:rPr>
        <w:t>18</w:t>
      </w:r>
      <w:r w:rsidR="0034307F">
        <w:rPr>
          <w:rFonts w:cs="Arial"/>
          <w:sz w:val="16"/>
          <w:szCs w:val="16"/>
        </w:rPr>
        <w:t>)</w:t>
      </w:r>
      <w:r w:rsidRPr="00CB4F47">
        <w:rPr>
          <w:rFonts w:cs="Arial"/>
          <w:sz w:val="16"/>
          <w:szCs w:val="16"/>
        </w:rPr>
        <w:t>.</w:t>
      </w:r>
    </w:p>
  </w:footnote>
  <w:footnote w:id="124">
    <w:p w14:paraId="7ECDF653" w14:textId="44111C8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Royal Commission of Inquiry into Abuse in Care, Beautiful children: Inquiry into the Lake Alice child and adolescent unit (2022). </w:t>
      </w:r>
    </w:p>
  </w:footnote>
  <w:footnote w:id="125">
    <w:p w14:paraId="5A53F047" w14:textId="7B23B22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Smiler, K &amp; McKee, </w:t>
      </w:r>
      <w:r w:rsidR="00A671DF" w:rsidRPr="00CB4F47">
        <w:rPr>
          <w:rFonts w:cs="Arial"/>
          <w:color w:val="auto"/>
          <w:sz w:val="16"/>
          <w:szCs w:val="16"/>
        </w:rPr>
        <w:t>RL</w:t>
      </w:r>
      <w:r w:rsidRPr="00CB4F47">
        <w:rPr>
          <w:rFonts w:cs="Arial"/>
          <w:color w:val="auto"/>
          <w:sz w:val="16"/>
          <w:szCs w:val="16"/>
        </w:rPr>
        <w:t>, “Perceptions of Māori deaf identity in New Zealand</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Journal of Deaf Studies and Deaf Education 12(1)</w:t>
      </w:r>
      <w:r w:rsidR="00951C4A">
        <w:rPr>
          <w:rFonts w:cs="Arial"/>
          <w:color w:val="auto"/>
          <w:sz w:val="16"/>
          <w:szCs w:val="16"/>
        </w:rPr>
        <w:t>,</w:t>
      </w:r>
      <w:r w:rsidRPr="00CB4F47">
        <w:rPr>
          <w:rFonts w:cs="Arial"/>
          <w:color w:val="auto"/>
          <w:sz w:val="16"/>
          <w:szCs w:val="16"/>
        </w:rPr>
        <w:t xml:space="preserve"> (2007</w:t>
      </w:r>
      <w:r w:rsidR="00A671DF" w:rsidRPr="00CB4F47">
        <w:rPr>
          <w:rFonts w:cs="Arial"/>
          <w:color w:val="auto"/>
          <w:sz w:val="16"/>
          <w:szCs w:val="16"/>
        </w:rPr>
        <w:t>,</w:t>
      </w:r>
      <w:r w:rsidRPr="00CB4F47">
        <w:rPr>
          <w:rFonts w:cs="Arial"/>
          <w:color w:val="auto"/>
          <w:sz w:val="16"/>
          <w:szCs w:val="16"/>
        </w:rPr>
        <w:t xml:space="preserve"> pages 93–111</w:t>
      </w:r>
      <w:r w:rsidR="0034307F">
        <w:rPr>
          <w:rFonts w:cs="Arial"/>
          <w:color w:val="auto"/>
          <w:sz w:val="16"/>
          <w:szCs w:val="16"/>
        </w:rPr>
        <w:t>)</w:t>
      </w:r>
      <w:r w:rsidRPr="00CB4F47">
        <w:rPr>
          <w:rFonts w:cs="Arial"/>
          <w:color w:val="auto"/>
          <w:sz w:val="16"/>
          <w:szCs w:val="16"/>
        </w:rPr>
        <w:t>.</w:t>
      </w:r>
    </w:p>
  </w:footnote>
  <w:footnote w:id="126">
    <w:p w14:paraId="6135BC64" w14:textId="346205DE" w:rsidR="000E429D" w:rsidRPr="00CB4F47" w:rsidRDefault="000E429D" w:rsidP="00C57877">
      <w:pPr>
        <w:pStyle w:val="FootnoteText"/>
        <w:spacing w:before="0" w:after="0" w:line="20" w:lineRule="atLeast"/>
        <w:jc w:val="left"/>
        <w:rPr>
          <w:rFonts w:cs="Arial"/>
          <w:color w:val="auto"/>
          <w:sz w:val="16"/>
          <w:szCs w:val="16"/>
          <w:u w:val="single"/>
        </w:rPr>
      </w:pPr>
      <w:r w:rsidRPr="00536E67">
        <w:rPr>
          <w:rStyle w:val="StyleFootnoteReferenceFagoFunotenzeichenFagoFunotenzeichen"/>
          <w:sz w:val="16"/>
          <w:szCs w:val="16"/>
        </w:rPr>
        <w:footnoteRef/>
      </w:r>
      <w:r w:rsidRPr="00CB4F47">
        <w:rPr>
          <w:rFonts w:cs="Arial"/>
          <w:color w:val="auto"/>
          <w:sz w:val="16"/>
          <w:szCs w:val="16"/>
        </w:rPr>
        <w:t xml:space="preserve"> McKee, R, People of the </w:t>
      </w:r>
      <w:r w:rsidR="005C2CBA">
        <w:rPr>
          <w:rFonts w:cs="Arial"/>
          <w:color w:val="auto"/>
          <w:sz w:val="16"/>
          <w:szCs w:val="16"/>
        </w:rPr>
        <w:t>e</w:t>
      </w:r>
      <w:r w:rsidRPr="00CB4F47">
        <w:rPr>
          <w:rFonts w:cs="Arial"/>
          <w:color w:val="auto"/>
          <w:sz w:val="16"/>
          <w:szCs w:val="16"/>
        </w:rPr>
        <w:t xml:space="preserve">ye: Stories from the Deaf </w:t>
      </w:r>
      <w:r w:rsidR="005C2CBA">
        <w:rPr>
          <w:rFonts w:cs="Arial"/>
          <w:color w:val="auto"/>
          <w:sz w:val="16"/>
          <w:szCs w:val="16"/>
        </w:rPr>
        <w:t>w</w:t>
      </w:r>
      <w:r w:rsidRPr="00CB4F47">
        <w:rPr>
          <w:rFonts w:cs="Arial"/>
          <w:color w:val="auto"/>
          <w:sz w:val="16"/>
          <w:szCs w:val="16"/>
        </w:rPr>
        <w:t>orld (2001), in Powell</w:t>
      </w:r>
      <w:r w:rsidR="00D617BB">
        <w:rPr>
          <w:rFonts w:cs="Arial"/>
          <w:color w:val="auto"/>
          <w:sz w:val="16"/>
          <w:szCs w:val="16"/>
        </w:rPr>
        <w:t>,</w:t>
      </w:r>
      <w:r w:rsidRPr="00CB4F47">
        <w:rPr>
          <w:rFonts w:cs="Arial"/>
          <w:color w:val="auto"/>
          <w:sz w:val="16"/>
          <w:szCs w:val="16"/>
        </w:rPr>
        <w:t xml:space="preserve"> D &amp; Hyde</w:t>
      </w:r>
      <w:r w:rsidR="00D617BB">
        <w:rPr>
          <w:rFonts w:cs="Arial"/>
          <w:color w:val="auto"/>
          <w:sz w:val="16"/>
          <w:szCs w:val="16"/>
        </w:rPr>
        <w:t>,</w:t>
      </w:r>
      <w:r w:rsidRPr="00CB4F47">
        <w:rPr>
          <w:rFonts w:cs="Arial"/>
          <w:color w:val="auto"/>
          <w:sz w:val="16"/>
          <w:szCs w:val="16"/>
        </w:rPr>
        <w:t xml:space="preserve"> M, “Deaf Education in New Zealand: Where we have been and where we are going</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Deafness &amp; Education International, 16(3)</w:t>
      </w:r>
      <w:r w:rsidR="005C2CBA">
        <w:rPr>
          <w:rFonts w:cs="Arial"/>
          <w:color w:val="auto"/>
          <w:sz w:val="16"/>
          <w:szCs w:val="16"/>
        </w:rPr>
        <w:t>,</w:t>
      </w:r>
      <w:r w:rsidRPr="00CB4F47">
        <w:rPr>
          <w:rFonts w:cs="Arial"/>
          <w:color w:val="auto"/>
          <w:sz w:val="16"/>
          <w:szCs w:val="16"/>
        </w:rPr>
        <w:t xml:space="preserve"> (2014</w:t>
      </w:r>
      <w:r w:rsidR="00A671DF" w:rsidRPr="00CB4F47">
        <w:rPr>
          <w:rFonts w:cs="Arial"/>
          <w:color w:val="auto"/>
          <w:sz w:val="16"/>
          <w:szCs w:val="16"/>
        </w:rPr>
        <w:t>,</w:t>
      </w:r>
      <w:r w:rsidRPr="00CB4F47">
        <w:rPr>
          <w:rFonts w:cs="Arial"/>
          <w:color w:val="auto"/>
          <w:sz w:val="16"/>
          <w:szCs w:val="16"/>
        </w:rPr>
        <w:t xml:space="preserve"> pages 129–145, p</w:t>
      </w:r>
      <w:r w:rsidR="000E454F" w:rsidRPr="00CB4F47">
        <w:rPr>
          <w:rFonts w:cs="Arial"/>
          <w:color w:val="auto"/>
          <w:sz w:val="16"/>
          <w:szCs w:val="16"/>
        </w:rPr>
        <w:t>age</w:t>
      </w:r>
      <w:r w:rsidRPr="00CB4F47">
        <w:rPr>
          <w:rFonts w:cs="Arial"/>
          <w:color w:val="auto"/>
          <w:sz w:val="16"/>
          <w:szCs w:val="16"/>
        </w:rPr>
        <w:t xml:space="preserve"> 130</w:t>
      </w:r>
      <w:r w:rsidR="00D64A39">
        <w:rPr>
          <w:rFonts w:cs="Arial"/>
          <w:color w:val="auto"/>
          <w:sz w:val="16"/>
          <w:szCs w:val="16"/>
        </w:rPr>
        <w:t>)</w:t>
      </w:r>
      <w:r w:rsidRPr="00CB4F47">
        <w:rPr>
          <w:rFonts w:cs="Arial"/>
          <w:color w:val="auto"/>
          <w:sz w:val="16"/>
          <w:szCs w:val="16"/>
        </w:rPr>
        <w:t xml:space="preserve">. </w:t>
      </w:r>
    </w:p>
  </w:footnote>
  <w:footnote w:id="127">
    <w:p w14:paraId="2998F58F" w14:textId="0784F1B3" w:rsidR="000E429D" w:rsidRPr="00CB4F47" w:rsidRDefault="000E429D">
      <w:pPr>
        <w:pStyle w:val="FootnoteText"/>
        <w:rPr>
          <w:sz w:val="16"/>
          <w:szCs w:val="16"/>
        </w:rPr>
      </w:pPr>
      <w:r w:rsidRPr="00536E67">
        <w:rPr>
          <w:rStyle w:val="StyleFootnoteReferenceFagoFunotenzeichenFagoFunotenzeichen"/>
          <w:sz w:val="16"/>
          <w:szCs w:val="16"/>
        </w:rPr>
        <w:footnoteRef/>
      </w:r>
      <w:r w:rsidRPr="00CB4F47">
        <w:rPr>
          <w:sz w:val="16"/>
          <w:szCs w:val="16"/>
        </w:rPr>
        <w:t xml:space="preserve"> </w:t>
      </w:r>
      <w:r w:rsidRPr="00CB4F47">
        <w:rPr>
          <w:rFonts w:cs="Arial"/>
          <w:color w:val="auto"/>
          <w:sz w:val="16"/>
          <w:szCs w:val="16"/>
        </w:rPr>
        <w:t>Powell</w:t>
      </w:r>
      <w:r w:rsidR="008331CA">
        <w:rPr>
          <w:rFonts w:cs="Arial"/>
          <w:color w:val="auto"/>
          <w:sz w:val="16"/>
          <w:szCs w:val="16"/>
        </w:rPr>
        <w:t>,</w:t>
      </w:r>
      <w:r w:rsidRPr="00CB4F47">
        <w:rPr>
          <w:rFonts w:cs="Arial"/>
          <w:color w:val="auto"/>
          <w:sz w:val="16"/>
          <w:szCs w:val="16"/>
        </w:rPr>
        <w:t xml:space="preserve"> D &amp; Hyde</w:t>
      </w:r>
      <w:r w:rsidR="008331CA">
        <w:rPr>
          <w:rFonts w:cs="Arial"/>
          <w:color w:val="auto"/>
          <w:sz w:val="16"/>
          <w:szCs w:val="16"/>
        </w:rPr>
        <w:t>,</w:t>
      </w:r>
      <w:r w:rsidRPr="00CB4F47">
        <w:rPr>
          <w:rFonts w:cs="Arial"/>
          <w:color w:val="auto"/>
          <w:sz w:val="16"/>
          <w:szCs w:val="16"/>
        </w:rPr>
        <w:t xml:space="preserve"> M, “Deaf Education in New Zealand: Where we have been and where we are going</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Deafness &amp; Education International, 16(3)</w:t>
      </w:r>
      <w:r w:rsidR="00951C4A">
        <w:rPr>
          <w:rFonts w:cs="Arial"/>
          <w:color w:val="auto"/>
          <w:sz w:val="16"/>
          <w:szCs w:val="16"/>
        </w:rPr>
        <w:t>,</w:t>
      </w:r>
      <w:r w:rsidRPr="00CB4F47">
        <w:rPr>
          <w:rFonts w:cs="Arial"/>
          <w:color w:val="auto"/>
          <w:sz w:val="16"/>
          <w:szCs w:val="16"/>
        </w:rPr>
        <w:t xml:space="preserve"> (2014</w:t>
      </w:r>
      <w:r w:rsidR="00A671DF" w:rsidRPr="00CB4F47">
        <w:rPr>
          <w:rFonts w:cs="Arial"/>
          <w:color w:val="auto"/>
          <w:sz w:val="16"/>
          <w:szCs w:val="16"/>
        </w:rPr>
        <w:t>,</w:t>
      </w:r>
      <w:r w:rsidRPr="00CB4F47">
        <w:rPr>
          <w:rFonts w:cs="Arial"/>
          <w:color w:val="auto"/>
          <w:sz w:val="16"/>
          <w:szCs w:val="16"/>
        </w:rPr>
        <w:t xml:space="preserve"> pages 129–145, p</w:t>
      </w:r>
      <w:r w:rsidR="00442AAB" w:rsidRPr="00CB4F47">
        <w:rPr>
          <w:rFonts w:cs="Arial"/>
          <w:color w:val="auto"/>
          <w:sz w:val="16"/>
          <w:szCs w:val="16"/>
        </w:rPr>
        <w:t>age</w:t>
      </w:r>
      <w:r w:rsidRPr="00CB4F47">
        <w:rPr>
          <w:rFonts w:cs="Arial"/>
          <w:color w:val="auto"/>
          <w:sz w:val="16"/>
          <w:szCs w:val="16"/>
        </w:rPr>
        <w:t xml:space="preserve"> 130</w:t>
      </w:r>
      <w:r w:rsidR="00D64A39">
        <w:rPr>
          <w:rFonts w:cs="Arial"/>
          <w:color w:val="auto"/>
          <w:sz w:val="16"/>
          <w:szCs w:val="16"/>
        </w:rPr>
        <w:t>)</w:t>
      </w:r>
      <w:r w:rsidRPr="00CB4F47">
        <w:rPr>
          <w:rFonts w:cs="Arial"/>
          <w:color w:val="auto"/>
          <w:sz w:val="16"/>
          <w:szCs w:val="16"/>
        </w:rPr>
        <w:t>.</w:t>
      </w:r>
    </w:p>
  </w:footnote>
  <w:footnote w:id="128">
    <w:p w14:paraId="5C37F787" w14:textId="174D4842" w:rsidR="00A671DF" w:rsidRPr="00CB4F47" w:rsidRDefault="00A671DF"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Hopkins, R, Listening eyes, speaking </w:t>
      </w:r>
      <w:r>
        <w:rPr>
          <w:rFonts w:cs="Arial"/>
          <w:color w:val="auto"/>
          <w:sz w:val="16"/>
          <w:szCs w:val="16"/>
        </w:rPr>
        <w:t>h</w:t>
      </w:r>
      <w:r w:rsidRPr="00CB4F47">
        <w:rPr>
          <w:rFonts w:cs="Arial"/>
          <w:color w:val="auto"/>
          <w:sz w:val="16"/>
          <w:szCs w:val="16"/>
        </w:rPr>
        <w:t>ands: The story of Deaf education in New Zealand (Ministry of Education, 2018).</w:t>
      </w:r>
    </w:p>
  </w:footnote>
  <w:footnote w:id="129">
    <w:p w14:paraId="69FC7B8B" w14:textId="5F89CBB0"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cs="Arial"/>
          <w:color w:val="auto"/>
          <w:sz w:val="16"/>
          <w:szCs w:val="16"/>
        </w:rPr>
        <w:t>Witness statement of Dr Teuila Percival (6 June 2022</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page</w:t>
      </w:r>
      <w:r w:rsidRPr="00CB4F47">
        <w:rPr>
          <w:rFonts w:cs="Arial"/>
          <w:sz w:val="16"/>
          <w:szCs w:val="16"/>
        </w:rPr>
        <w:t xml:space="preserve"> 10</w:t>
      </w:r>
      <w:r w:rsidR="00D64A39">
        <w:rPr>
          <w:rFonts w:cs="Arial"/>
          <w:sz w:val="16"/>
          <w:szCs w:val="16"/>
        </w:rPr>
        <w:t>)</w:t>
      </w:r>
      <w:r w:rsidR="00BB7834" w:rsidRPr="00CB4F47">
        <w:rPr>
          <w:rFonts w:cs="Arial"/>
          <w:sz w:val="16"/>
          <w:szCs w:val="16"/>
        </w:rPr>
        <w:t>.</w:t>
      </w:r>
    </w:p>
  </w:footnote>
  <w:footnote w:id="130">
    <w:p w14:paraId="161C7D7B" w14:textId="3492B28F"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Webb, </w:t>
      </w:r>
      <w:r w:rsidR="00A671DF" w:rsidRPr="00CB4F47">
        <w:rPr>
          <w:rFonts w:cs="Arial"/>
          <w:color w:val="auto"/>
          <w:sz w:val="16"/>
          <w:szCs w:val="16"/>
        </w:rPr>
        <w:t>OJ</w:t>
      </w:r>
      <w:r w:rsidRPr="00CB4F47">
        <w:rPr>
          <w:rFonts w:cs="Arial"/>
          <w:color w:val="auto"/>
          <w:sz w:val="16"/>
          <w:szCs w:val="16"/>
        </w:rPr>
        <w:t xml:space="preserve">, </w:t>
      </w:r>
      <w:r w:rsidR="00D65631" w:rsidRPr="00CB4F47">
        <w:rPr>
          <w:rFonts w:cs="Arial"/>
          <w:color w:val="auto"/>
          <w:sz w:val="16"/>
          <w:szCs w:val="16"/>
        </w:rPr>
        <w:t>The likely impact of prevailing conditions and environments on people now considered to be neurodiverse, between 1950 and 1990</w:t>
      </w:r>
      <w:r w:rsidR="00D65631">
        <w:rPr>
          <w:rFonts w:cs="Arial"/>
          <w:color w:val="auto"/>
          <w:sz w:val="16"/>
          <w:szCs w:val="16"/>
        </w:rPr>
        <w:t xml:space="preserve">, </w:t>
      </w:r>
      <w:r w:rsidR="00D65631" w:rsidRPr="00CB4F47">
        <w:rPr>
          <w:rFonts w:cs="Arial"/>
          <w:color w:val="auto"/>
          <w:sz w:val="16"/>
          <w:szCs w:val="16"/>
        </w:rPr>
        <w:t>Paper prepared for the Royal Commission</w:t>
      </w:r>
      <w:r w:rsidR="00D65631">
        <w:rPr>
          <w:rFonts w:cs="Arial"/>
          <w:color w:val="auto"/>
          <w:sz w:val="16"/>
          <w:szCs w:val="16"/>
        </w:rPr>
        <w:t xml:space="preserve"> of Inquiry into Abuse in Care</w:t>
      </w:r>
      <w:r w:rsidR="00D65631" w:rsidRPr="00CB4F47">
        <w:rPr>
          <w:rFonts w:cs="Arial"/>
          <w:color w:val="auto"/>
          <w:sz w:val="16"/>
          <w:szCs w:val="16"/>
        </w:rPr>
        <w:t xml:space="preserve"> </w:t>
      </w:r>
      <w:r w:rsidR="00A671DF" w:rsidRPr="00CB4F47">
        <w:rPr>
          <w:rFonts w:cs="Arial"/>
          <w:color w:val="auto"/>
          <w:sz w:val="16"/>
          <w:szCs w:val="16"/>
        </w:rPr>
        <w:t>(2022,</w:t>
      </w:r>
      <w:r w:rsidRPr="00CB4F47">
        <w:rPr>
          <w:rFonts w:cs="Arial"/>
          <w:color w:val="auto"/>
          <w:sz w:val="16"/>
          <w:szCs w:val="16"/>
        </w:rPr>
        <w:t xml:space="preserve"> </w:t>
      </w:r>
      <w:r w:rsidR="00A8348E" w:rsidRPr="00CB4F47">
        <w:rPr>
          <w:rFonts w:cs="Arial"/>
          <w:color w:val="auto"/>
          <w:sz w:val="16"/>
          <w:szCs w:val="16"/>
        </w:rPr>
        <w:t>page</w:t>
      </w:r>
      <w:r w:rsidR="00A8348E" w:rsidRPr="00CB4F47">
        <w:rPr>
          <w:rFonts w:cs="Arial"/>
          <w:sz w:val="16"/>
          <w:szCs w:val="16"/>
        </w:rPr>
        <w:t xml:space="preserve"> </w:t>
      </w:r>
      <w:r w:rsidRPr="00CB4F47">
        <w:rPr>
          <w:rFonts w:cs="Arial"/>
          <w:sz w:val="16"/>
          <w:szCs w:val="16"/>
        </w:rPr>
        <w:t>10</w:t>
      </w:r>
      <w:r w:rsidR="00CA5D75">
        <w:rPr>
          <w:rFonts w:cs="Arial"/>
          <w:sz w:val="16"/>
          <w:szCs w:val="16"/>
        </w:rPr>
        <w:t>)</w:t>
      </w:r>
      <w:r w:rsidRPr="00CB4F47">
        <w:rPr>
          <w:rFonts w:cs="Arial"/>
          <w:sz w:val="16"/>
          <w:szCs w:val="16"/>
        </w:rPr>
        <w:t xml:space="preserve">. </w:t>
      </w:r>
    </w:p>
  </w:footnote>
  <w:footnote w:id="131">
    <w:p w14:paraId="402BC67E" w14:textId="295098C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Webb, </w:t>
      </w:r>
      <w:r w:rsidR="00A671DF" w:rsidRPr="00CB4F47">
        <w:rPr>
          <w:rFonts w:cs="Arial"/>
          <w:color w:val="auto"/>
          <w:sz w:val="16"/>
          <w:szCs w:val="16"/>
        </w:rPr>
        <w:t>OJ</w:t>
      </w:r>
      <w:r w:rsidRPr="00CB4F47">
        <w:rPr>
          <w:rFonts w:cs="Arial"/>
          <w:color w:val="auto"/>
          <w:sz w:val="16"/>
          <w:szCs w:val="16"/>
        </w:rPr>
        <w:t xml:space="preserve">, </w:t>
      </w:r>
      <w:r w:rsidR="00FE487E" w:rsidRPr="00CB4F47">
        <w:rPr>
          <w:rFonts w:cs="Arial"/>
          <w:color w:val="auto"/>
          <w:sz w:val="16"/>
          <w:szCs w:val="16"/>
        </w:rPr>
        <w:t>The likely impact of prevailing conditions and environments on people now considered to be neurodiverse, between 1950 and 1990</w:t>
      </w:r>
      <w:r w:rsidR="00FE487E">
        <w:rPr>
          <w:rFonts w:cs="Arial"/>
          <w:color w:val="auto"/>
          <w:sz w:val="16"/>
          <w:szCs w:val="16"/>
        </w:rPr>
        <w:t xml:space="preserve">, </w:t>
      </w:r>
      <w:r w:rsidR="00FE487E" w:rsidRPr="00CB4F47">
        <w:rPr>
          <w:rFonts w:cs="Arial"/>
          <w:color w:val="auto"/>
          <w:sz w:val="16"/>
          <w:szCs w:val="16"/>
        </w:rPr>
        <w:t>Paper prepared for the Royal Commission</w:t>
      </w:r>
      <w:r w:rsidR="00FE487E">
        <w:rPr>
          <w:rFonts w:cs="Arial"/>
          <w:color w:val="auto"/>
          <w:sz w:val="16"/>
          <w:szCs w:val="16"/>
        </w:rPr>
        <w:t xml:space="preserve"> of Inquiry into Abuse in Care</w:t>
      </w:r>
      <w:r w:rsidR="00FE487E" w:rsidRPr="00CB4F47">
        <w:rPr>
          <w:rFonts w:cs="Arial"/>
          <w:color w:val="auto"/>
          <w:sz w:val="16"/>
          <w:szCs w:val="16"/>
        </w:rPr>
        <w:t xml:space="preserve"> </w:t>
      </w:r>
      <w:r w:rsidR="00A671DF" w:rsidRPr="00CB4F47">
        <w:rPr>
          <w:rFonts w:cs="Arial"/>
          <w:color w:val="auto"/>
          <w:sz w:val="16"/>
          <w:szCs w:val="16"/>
        </w:rPr>
        <w:t>(2022,</w:t>
      </w:r>
      <w:r w:rsidRPr="00CB4F47">
        <w:rPr>
          <w:rFonts w:cs="Arial"/>
          <w:color w:val="auto"/>
          <w:sz w:val="16"/>
          <w:szCs w:val="16"/>
        </w:rPr>
        <w:t xml:space="preserve"> pages 8–9</w:t>
      </w:r>
      <w:r w:rsidR="00B00D67">
        <w:rPr>
          <w:rFonts w:cs="Arial"/>
          <w:color w:val="auto"/>
          <w:sz w:val="16"/>
          <w:szCs w:val="16"/>
        </w:rPr>
        <w:t>)</w:t>
      </w:r>
      <w:r w:rsidRPr="00CB4F47">
        <w:rPr>
          <w:rFonts w:cs="Arial"/>
          <w:color w:val="auto"/>
          <w:sz w:val="16"/>
          <w:szCs w:val="16"/>
        </w:rPr>
        <w:t>.</w:t>
      </w:r>
    </w:p>
  </w:footnote>
  <w:footnote w:id="132">
    <w:p w14:paraId="255B0BFE" w14:textId="77777777" w:rsidR="00341C79" w:rsidRPr="00CB4F47" w:rsidRDefault="00341C79" w:rsidP="00341C79">
      <w:pPr>
        <w:pStyle w:val="FootnoteText"/>
        <w:spacing w:before="0" w:after="0" w:line="20" w:lineRule="atLeast"/>
        <w:jc w:val="left"/>
        <w:rPr>
          <w:rFonts w:cs="Arial"/>
          <w:sz w:val="16"/>
          <w:szCs w:val="16"/>
        </w:rPr>
      </w:pPr>
      <w:r w:rsidRPr="00EE5539">
        <w:rPr>
          <w:rStyle w:val="StyleFootnoteReferenceFagoFunotenzeichenFagoFunotenzeichen"/>
          <w:sz w:val="16"/>
          <w:szCs w:val="16"/>
        </w:rPr>
        <w:footnoteRef/>
      </w:r>
      <w:r w:rsidRPr="00CB4F47">
        <w:rPr>
          <w:rFonts w:cs="Arial"/>
          <w:sz w:val="16"/>
          <w:szCs w:val="16"/>
        </w:rPr>
        <w:t xml:space="preserve"> </w:t>
      </w:r>
      <w:r w:rsidRPr="00CB4F47">
        <w:rPr>
          <w:rFonts w:cs="Arial"/>
          <w:color w:val="auto"/>
          <w:sz w:val="16"/>
          <w:szCs w:val="16"/>
        </w:rPr>
        <w:t>Webb, OJ, The likely impact of prevailing conditions and environments on people now considered to be neurodiverse, between 1950 and 1990</w:t>
      </w:r>
      <w:r>
        <w:rPr>
          <w:rFonts w:cs="Arial"/>
          <w:color w:val="auto"/>
          <w:sz w:val="16"/>
          <w:szCs w:val="16"/>
        </w:rPr>
        <w:t xml:space="preserve">, </w:t>
      </w:r>
      <w:r w:rsidRPr="00CB4F47">
        <w:rPr>
          <w:rFonts w:cs="Arial"/>
          <w:color w:val="auto"/>
          <w:sz w:val="16"/>
          <w:szCs w:val="16"/>
        </w:rPr>
        <w:t>Paper prepared for the Royal Commission</w:t>
      </w:r>
      <w:r>
        <w:rPr>
          <w:rFonts w:cs="Arial"/>
          <w:color w:val="auto"/>
          <w:sz w:val="16"/>
          <w:szCs w:val="16"/>
        </w:rPr>
        <w:t xml:space="preserve"> of Inquiry into Abuse in Care</w:t>
      </w:r>
      <w:r w:rsidRPr="00CB4F47">
        <w:rPr>
          <w:rFonts w:cs="Arial"/>
          <w:color w:val="auto"/>
          <w:sz w:val="16"/>
          <w:szCs w:val="16"/>
        </w:rPr>
        <w:t xml:space="preserve"> (2022, page</w:t>
      </w:r>
      <w:r w:rsidRPr="00CB4F47">
        <w:rPr>
          <w:rFonts w:cs="Arial"/>
          <w:sz w:val="16"/>
          <w:szCs w:val="16"/>
        </w:rPr>
        <w:t xml:space="preserve"> 10</w:t>
      </w:r>
      <w:r>
        <w:rPr>
          <w:rFonts w:cs="Arial"/>
          <w:sz w:val="16"/>
          <w:szCs w:val="16"/>
        </w:rPr>
        <w:t>)</w:t>
      </w:r>
      <w:r w:rsidRPr="00CB4F47">
        <w:rPr>
          <w:rFonts w:cs="Arial"/>
          <w:sz w:val="16"/>
          <w:szCs w:val="16"/>
        </w:rPr>
        <w:t>.</w:t>
      </w:r>
    </w:p>
  </w:footnote>
  <w:footnote w:id="133">
    <w:p w14:paraId="6A6AA544" w14:textId="1402367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Webb, </w:t>
      </w:r>
      <w:r w:rsidR="00A671DF" w:rsidRPr="00CB4F47">
        <w:rPr>
          <w:rFonts w:cs="Arial"/>
          <w:color w:val="auto"/>
          <w:sz w:val="16"/>
          <w:szCs w:val="16"/>
        </w:rPr>
        <w:t>OJ</w:t>
      </w:r>
      <w:r w:rsidRPr="00CB4F47">
        <w:rPr>
          <w:rFonts w:cs="Arial"/>
          <w:color w:val="auto"/>
          <w:sz w:val="16"/>
          <w:szCs w:val="16"/>
        </w:rPr>
        <w:t xml:space="preserve">, </w:t>
      </w:r>
      <w:r w:rsidR="00FE487E" w:rsidRPr="00CB4F47">
        <w:rPr>
          <w:rFonts w:cs="Arial"/>
          <w:color w:val="auto"/>
          <w:sz w:val="16"/>
          <w:szCs w:val="16"/>
        </w:rPr>
        <w:t>The likely impact of prevailing conditions and environments on people now considered to be neurodiverse, between 1950 and 1990</w:t>
      </w:r>
      <w:r w:rsidR="00FE487E">
        <w:rPr>
          <w:rFonts w:cs="Arial"/>
          <w:color w:val="auto"/>
          <w:sz w:val="16"/>
          <w:szCs w:val="16"/>
        </w:rPr>
        <w:t xml:space="preserve">, </w:t>
      </w:r>
      <w:r w:rsidR="00FE487E" w:rsidRPr="00CB4F47">
        <w:rPr>
          <w:rFonts w:cs="Arial"/>
          <w:color w:val="auto"/>
          <w:sz w:val="16"/>
          <w:szCs w:val="16"/>
        </w:rPr>
        <w:t>Paper prepared for the Royal Commission</w:t>
      </w:r>
      <w:r w:rsidR="00FE487E">
        <w:rPr>
          <w:rFonts w:cs="Arial"/>
          <w:color w:val="auto"/>
          <w:sz w:val="16"/>
          <w:szCs w:val="16"/>
        </w:rPr>
        <w:t xml:space="preserve"> of Inquiry into Abuse in Care</w:t>
      </w:r>
      <w:r w:rsidR="00FE487E" w:rsidRPr="00CB4F47">
        <w:rPr>
          <w:rFonts w:cs="Arial"/>
          <w:color w:val="auto"/>
          <w:sz w:val="16"/>
          <w:szCs w:val="16"/>
        </w:rPr>
        <w:t xml:space="preserve"> </w:t>
      </w:r>
      <w:r w:rsidR="00A671DF" w:rsidRPr="00CB4F47">
        <w:rPr>
          <w:rFonts w:cs="Arial"/>
          <w:color w:val="auto"/>
          <w:sz w:val="16"/>
          <w:szCs w:val="16"/>
        </w:rPr>
        <w:t>(2022,</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12</w:t>
      </w:r>
      <w:r w:rsidR="00B00D67">
        <w:rPr>
          <w:rFonts w:cs="Arial"/>
          <w:color w:val="auto"/>
          <w:sz w:val="16"/>
          <w:szCs w:val="16"/>
        </w:rPr>
        <w:t>)</w:t>
      </w:r>
      <w:r w:rsidRPr="00CB4F47">
        <w:rPr>
          <w:rFonts w:cs="Arial"/>
          <w:color w:val="auto"/>
          <w:sz w:val="16"/>
          <w:szCs w:val="16"/>
        </w:rPr>
        <w:t>.</w:t>
      </w:r>
    </w:p>
  </w:footnote>
  <w:footnote w:id="134">
    <w:p w14:paraId="18530536" w14:textId="20EB6272"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cs="Arial"/>
          <w:color w:val="auto"/>
          <w:sz w:val="16"/>
          <w:szCs w:val="16"/>
        </w:rPr>
        <w:t>Witness statement of Dr Teuila Percival (6 June 2022</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page</w:t>
      </w:r>
      <w:r w:rsidR="00A8348E" w:rsidRPr="00CB4F47">
        <w:rPr>
          <w:rFonts w:cs="Arial"/>
          <w:sz w:val="16"/>
          <w:szCs w:val="16"/>
        </w:rPr>
        <w:t xml:space="preserve"> </w:t>
      </w:r>
      <w:r w:rsidRPr="00CB4F47">
        <w:rPr>
          <w:rFonts w:cs="Arial"/>
          <w:sz w:val="16"/>
          <w:szCs w:val="16"/>
        </w:rPr>
        <w:t>9</w:t>
      </w:r>
      <w:r w:rsidR="00B00D67">
        <w:rPr>
          <w:rFonts w:cs="Arial"/>
          <w:sz w:val="16"/>
          <w:szCs w:val="16"/>
        </w:rPr>
        <w:t>)</w:t>
      </w:r>
      <w:r w:rsidRPr="00CB4F47">
        <w:rPr>
          <w:rFonts w:cs="Arial"/>
          <w:sz w:val="16"/>
          <w:szCs w:val="16"/>
        </w:rPr>
        <w:t>.</w:t>
      </w:r>
    </w:p>
  </w:footnote>
  <w:footnote w:id="135">
    <w:p w14:paraId="43FBA47C" w14:textId="1EFA3514"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cs="Arial"/>
          <w:color w:val="auto"/>
          <w:sz w:val="16"/>
          <w:szCs w:val="16"/>
        </w:rPr>
        <w:t xml:space="preserve">Witness statement of Dr Teuila Percival </w:t>
      </w:r>
      <w:r w:rsidR="00BA1F8D" w:rsidRPr="00CB4F47">
        <w:rPr>
          <w:rFonts w:cs="Arial"/>
          <w:color w:val="auto"/>
          <w:sz w:val="16"/>
          <w:szCs w:val="16"/>
        </w:rPr>
        <w:t>(</w:t>
      </w:r>
      <w:r w:rsidRPr="00CB4F47">
        <w:rPr>
          <w:rFonts w:cs="Arial"/>
          <w:color w:val="auto"/>
          <w:sz w:val="16"/>
          <w:szCs w:val="16"/>
        </w:rPr>
        <w:t>6 June 2022</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page</w:t>
      </w:r>
      <w:r w:rsidR="00A8348E" w:rsidRPr="00CB4F47">
        <w:rPr>
          <w:rFonts w:cs="Arial"/>
          <w:sz w:val="16"/>
          <w:szCs w:val="16"/>
        </w:rPr>
        <w:t xml:space="preserve"> </w:t>
      </w:r>
      <w:r w:rsidRPr="00CB4F47">
        <w:rPr>
          <w:rFonts w:cs="Arial"/>
          <w:sz w:val="16"/>
          <w:szCs w:val="16"/>
        </w:rPr>
        <w:t>12</w:t>
      </w:r>
      <w:r w:rsidR="00B00D67">
        <w:rPr>
          <w:rFonts w:cs="Arial"/>
          <w:sz w:val="16"/>
          <w:szCs w:val="16"/>
        </w:rPr>
        <w:t>)</w:t>
      </w:r>
      <w:r w:rsidRPr="00CB4F47">
        <w:rPr>
          <w:rFonts w:cs="Arial"/>
          <w:sz w:val="16"/>
          <w:szCs w:val="16"/>
        </w:rPr>
        <w:t>.</w:t>
      </w:r>
    </w:p>
  </w:footnote>
  <w:footnote w:id="136">
    <w:p w14:paraId="5BD9F9CE" w14:textId="0EF30EF0" w:rsidR="00B712E3" w:rsidRDefault="00B712E3">
      <w:pPr>
        <w:pStyle w:val="FootnoteText"/>
      </w:pPr>
      <w:r>
        <w:rPr>
          <w:rStyle w:val="FootnoteReference"/>
        </w:rPr>
        <w:footnoteRef/>
      </w:r>
      <w:r>
        <w:t xml:space="preserve"> </w:t>
      </w:r>
      <w:r w:rsidR="002138B9" w:rsidRPr="001142DD">
        <w:rPr>
          <w:rFonts w:cs="Arial"/>
          <w:color w:val="auto"/>
          <w:sz w:val="16"/>
          <w:szCs w:val="16"/>
        </w:rPr>
        <w:t>Feigin</w:t>
      </w:r>
      <w:r w:rsidR="00DE3794">
        <w:rPr>
          <w:rFonts w:cs="Arial"/>
          <w:color w:val="auto"/>
          <w:sz w:val="16"/>
          <w:szCs w:val="16"/>
        </w:rPr>
        <w:t>,</w:t>
      </w:r>
      <w:r w:rsidR="002138B9" w:rsidRPr="001142DD">
        <w:rPr>
          <w:rFonts w:cs="Arial"/>
          <w:color w:val="auto"/>
          <w:sz w:val="16"/>
          <w:szCs w:val="16"/>
        </w:rPr>
        <w:t xml:space="preserve"> VL, Theadom</w:t>
      </w:r>
      <w:r w:rsidR="00DE3794">
        <w:rPr>
          <w:rFonts w:cs="Arial"/>
          <w:color w:val="auto"/>
          <w:sz w:val="16"/>
          <w:szCs w:val="16"/>
        </w:rPr>
        <w:t>,</w:t>
      </w:r>
      <w:r w:rsidR="002138B9" w:rsidRPr="001142DD">
        <w:rPr>
          <w:rFonts w:cs="Arial"/>
          <w:color w:val="auto"/>
          <w:sz w:val="16"/>
          <w:szCs w:val="16"/>
        </w:rPr>
        <w:t xml:space="preserve"> A, Barker-Collo</w:t>
      </w:r>
      <w:r w:rsidR="00DE3794">
        <w:rPr>
          <w:rFonts w:cs="Arial"/>
          <w:color w:val="auto"/>
          <w:sz w:val="16"/>
          <w:szCs w:val="16"/>
        </w:rPr>
        <w:t>,</w:t>
      </w:r>
      <w:r w:rsidR="002138B9" w:rsidRPr="001142DD">
        <w:rPr>
          <w:rFonts w:cs="Arial"/>
          <w:color w:val="auto"/>
          <w:sz w:val="16"/>
          <w:szCs w:val="16"/>
        </w:rPr>
        <w:t xml:space="preserve"> S, Starkey</w:t>
      </w:r>
      <w:r w:rsidR="00DE3794">
        <w:rPr>
          <w:rFonts w:cs="Arial"/>
          <w:color w:val="auto"/>
          <w:sz w:val="16"/>
          <w:szCs w:val="16"/>
        </w:rPr>
        <w:t>,</w:t>
      </w:r>
      <w:r w:rsidR="002138B9" w:rsidRPr="001142DD">
        <w:rPr>
          <w:rFonts w:cs="Arial"/>
          <w:color w:val="auto"/>
          <w:sz w:val="16"/>
          <w:szCs w:val="16"/>
        </w:rPr>
        <w:t xml:space="preserve"> NJ, McPherson</w:t>
      </w:r>
      <w:r w:rsidR="00DE3794">
        <w:rPr>
          <w:rFonts w:cs="Arial"/>
          <w:color w:val="auto"/>
          <w:sz w:val="16"/>
          <w:szCs w:val="16"/>
        </w:rPr>
        <w:t>,</w:t>
      </w:r>
      <w:r w:rsidR="002138B9" w:rsidRPr="001142DD">
        <w:rPr>
          <w:rFonts w:cs="Arial"/>
          <w:color w:val="auto"/>
          <w:sz w:val="16"/>
          <w:szCs w:val="16"/>
        </w:rPr>
        <w:t xml:space="preserve"> K, Kahan</w:t>
      </w:r>
      <w:r w:rsidR="00DE3794">
        <w:rPr>
          <w:rFonts w:cs="Arial"/>
          <w:color w:val="auto"/>
          <w:sz w:val="16"/>
          <w:szCs w:val="16"/>
        </w:rPr>
        <w:t>,</w:t>
      </w:r>
      <w:r w:rsidR="002138B9" w:rsidRPr="001142DD">
        <w:rPr>
          <w:rFonts w:cs="Arial"/>
          <w:color w:val="auto"/>
          <w:sz w:val="16"/>
          <w:szCs w:val="16"/>
        </w:rPr>
        <w:t xml:space="preserve"> M, Dowell</w:t>
      </w:r>
      <w:r w:rsidR="00DE3794">
        <w:rPr>
          <w:rFonts w:cs="Arial"/>
          <w:color w:val="auto"/>
          <w:sz w:val="16"/>
          <w:szCs w:val="16"/>
        </w:rPr>
        <w:t>,</w:t>
      </w:r>
      <w:r w:rsidR="002138B9" w:rsidRPr="001142DD">
        <w:rPr>
          <w:rFonts w:cs="Arial"/>
          <w:color w:val="auto"/>
          <w:sz w:val="16"/>
          <w:szCs w:val="16"/>
        </w:rPr>
        <w:t xml:space="preserve"> A, Brown</w:t>
      </w:r>
      <w:r w:rsidR="00DE3794">
        <w:rPr>
          <w:rFonts w:cs="Arial"/>
          <w:color w:val="auto"/>
          <w:sz w:val="16"/>
          <w:szCs w:val="16"/>
        </w:rPr>
        <w:t>,</w:t>
      </w:r>
      <w:r w:rsidR="002138B9" w:rsidRPr="001142DD">
        <w:rPr>
          <w:rFonts w:cs="Arial"/>
          <w:color w:val="auto"/>
          <w:sz w:val="16"/>
          <w:szCs w:val="16"/>
        </w:rPr>
        <w:t xml:space="preserve"> P, Parag</w:t>
      </w:r>
      <w:r w:rsidR="00DE3794">
        <w:rPr>
          <w:rFonts w:cs="Arial"/>
          <w:color w:val="auto"/>
          <w:sz w:val="16"/>
          <w:szCs w:val="16"/>
        </w:rPr>
        <w:t>,</w:t>
      </w:r>
      <w:r w:rsidR="002138B9" w:rsidRPr="001142DD">
        <w:rPr>
          <w:rFonts w:cs="Arial"/>
          <w:color w:val="auto"/>
          <w:sz w:val="16"/>
          <w:szCs w:val="16"/>
        </w:rPr>
        <w:t xml:space="preserve"> V, Kydd</w:t>
      </w:r>
      <w:r w:rsidR="00DE3794">
        <w:rPr>
          <w:rFonts w:cs="Arial"/>
          <w:color w:val="auto"/>
          <w:sz w:val="16"/>
          <w:szCs w:val="16"/>
        </w:rPr>
        <w:t>,</w:t>
      </w:r>
      <w:r w:rsidR="002138B9" w:rsidRPr="001142DD">
        <w:rPr>
          <w:rFonts w:cs="Arial"/>
          <w:color w:val="auto"/>
          <w:sz w:val="16"/>
          <w:szCs w:val="16"/>
        </w:rPr>
        <w:t xml:space="preserve"> R, Jones</w:t>
      </w:r>
      <w:r w:rsidR="00DE3794">
        <w:rPr>
          <w:rFonts w:cs="Arial"/>
          <w:color w:val="auto"/>
          <w:sz w:val="16"/>
          <w:szCs w:val="16"/>
        </w:rPr>
        <w:t>,</w:t>
      </w:r>
      <w:r w:rsidR="002138B9" w:rsidRPr="001142DD">
        <w:rPr>
          <w:rFonts w:cs="Arial"/>
          <w:color w:val="auto"/>
          <w:sz w:val="16"/>
          <w:szCs w:val="16"/>
        </w:rPr>
        <w:t xml:space="preserve"> K, Jones</w:t>
      </w:r>
      <w:r w:rsidR="00DE3794">
        <w:rPr>
          <w:rFonts w:cs="Arial"/>
          <w:color w:val="auto"/>
          <w:sz w:val="16"/>
          <w:szCs w:val="16"/>
        </w:rPr>
        <w:t>,</w:t>
      </w:r>
      <w:r w:rsidR="002138B9" w:rsidRPr="001142DD">
        <w:rPr>
          <w:rFonts w:cs="Arial"/>
          <w:color w:val="auto"/>
          <w:sz w:val="16"/>
          <w:szCs w:val="16"/>
        </w:rPr>
        <w:t xml:space="preserve"> A, Ameratunga</w:t>
      </w:r>
      <w:r w:rsidR="00DE3794">
        <w:rPr>
          <w:rFonts w:cs="Arial"/>
          <w:color w:val="auto"/>
          <w:sz w:val="16"/>
          <w:szCs w:val="16"/>
        </w:rPr>
        <w:t>,</w:t>
      </w:r>
      <w:r w:rsidR="002138B9" w:rsidRPr="001142DD">
        <w:rPr>
          <w:rFonts w:cs="Arial"/>
          <w:color w:val="auto"/>
          <w:sz w:val="16"/>
          <w:szCs w:val="16"/>
        </w:rPr>
        <w:t xml:space="preserve"> </w:t>
      </w:r>
      <w:r w:rsidR="002138B9">
        <w:rPr>
          <w:rFonts w:cs="Arial"/>
          <w:color w:val="auto"/>
          <w:sz w:val="16"/>
          <w:szCs w:val="16"/>
        </w:rPr>
        <w:t xml:space="preserve">S &amp; BIONIC Study Group, Incidence of traumatic brain injury in New Zealand: a population-based study, </w:t>
      </w:r>
      <w:r w:rsidR="00576315">
        <w:rPr>
          <w:rFonts w:cs="Arial"/>
          <w:color w:val="auto"/>
          <w:sz w:val="16"/>
          <w:szCs w:val="16"/>
        </w:rPr>
        <w:t xml:space="preserve">The </w:t>
      </w:r>
      <w:r w:rsidR="002138B9">
        <w:rPr>
          <w:rFonts w:cs="Arial"/>
          <w:color w:val="auto"/>
          <w:sz w:val="16"/>
          <w:szCs w:val="16"/>
        </w:rPr>
        <w:t>Lancet Neurology</w:t>
      </w:r>
      <w:r w:rsidR="00CA76C4">
        <w:rPr>
          <w:rFonts w:cs="Arial"/>
          <w:color w:val="auto"/>
          <w:sz w:val="16"/>
          <w:szCs w:val="16"/>
        </w:rPr>
        <w:t>,</w:t>
      </w:r>
      <w:r w:rsidR="00DE3794">
        <w:rPr>
          <w:rFonts w:cs="Arial"/>
          <w:color w:val="auto"/>
          <w:sz w:val="16"/>
          <w:szCs w:val="16"/>
        </w:rPr>
        <w:t xml:space="preserve"> Volume 12:1 (2013, page</w:t>
      </w:r>
      <w:r w:rsidR="007C3142">
        <w:rPr>
          <w:rFonts w:cs="Arial"/>
          <w:color w:val="auto"/>
          <w:sz w:val="16"/>
          <w:szCs w:val="16"/>
        </w:rPr>
        <w:t>s 53–64).</w:t>
      </w:r>
    </w:p>
  </w:footnote>
  <w:footnote w:id="137">
    <w:p w14:paraId="27E207E8" w14:textId="5F80C7C9"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cs="Arial"/>
          <w:color w:val="auto"/>
          <w:sz w:val="16"/>
          <w:szCs w:val="16"/>
        </w:rPr>
        <w:t xml:space="preserve">Witness statement of Dr Teuila </w:t>
      </w:r>
      <w:r w:rsidRPr="00D7126F">
        <w:rPr>
          <w:rFonts w:cs="Arial"/>
          <w:sz w:val="16"/>
          <w:szCs w:val="16"/>
        </w:rPr>
        <w:t xml:space="preserve">Percival </w:t>
      </w:r>
      <w:r w:rsidR="00BA1F8D" w:rsidRPr="00D7126F">
        <w:rPr>
          <w:rFonts w:cs="Arial"/>
          <w:sz w:val="16"/>
          <w:szCs w:val="16"/>
        </w:rPr>
        <w:t>(</w:t>
      </w:r>
      <w:r w:rsidRPr="00D7126F">
        <w:rPr>
          <w:rFonts w:cs="Arial"/>
          <w:sz w:val="16"/>
          <w:szCs w:val="16"/>
        </w:rPr>
        <w:t>6 June 2022</w:t>
      </w:r>
      <w:r w:rsidR="00A671DF" w:rsidRPr="00D7126F">
        <w:rPr>
          <w:rFonts w:cs="Arial"/>
          <w:sz w:val="16"/>
          <w:szCs w:val="16"/>
        </w:rPr>
        <w:t>,</w:t>
      </w:r>
      <w:r w:rsidRPr="00D7126F">
        <w:rPr>
          <w:rFonts w:cs="Arial"/>
          <w:sz w:val="16"/>
          <w:szCs w:val="16"/>
        </w:rPr>
        <w:t xml:space="preserve"> </w:t>
      </w:r>
      <w:r w:rsidR="00A8348E" w:rsidRPr="00D7126F">
        <w:rPr>
          <w:rFonts w:cs="Arial"/>
          <w:sz w:val="16"/>
          <w:szCs w:val="16"/>
        </w:rPr>
        <w:t>page</w:t>
      </w:r>
      <w:r w:rsidR="00A8348E" w:rsidRPr="00CB4F47">
        <w:rPr>
          <w:rFonts w:cs="Arial"/>
          <w:sz w:val="16"/>
          <w:szCs w:val="16"/>
        </w:rPr>
        <w:t xml:space="preserve"> </w:t>
      </w:r>
      <w:r w:rsidRPr="00CB4F47">
        <w:rPr>
          <w:rFonts w:cs="Arial"/>
          <w:sz w:val="16"/>
          <w:szCs w:val="16"/>
        </w:rPr>
        <w:t>12</w:t>
      </w:r>
      <w:r w:rsidR="00B00D67">
        <w:rPr>
          <w:rFonts w:cs="Arial"/>
          <w:sz w:val="16"/>
          <w:szCs w:val="16"/>
        </w:rPr>
        <w:t>)</w:t>
      </w:r>
      <w:r w:rsidRPr="00CB4F47">
        <w:rPr>
          <w:rFonts w:cs="Arial"/>
          <w:sz w:val="16"/>
          <w:szCs w:val="16"/>
        </w:rPr>
        <w:t>.</w:t>
      </w:r>
    </w:p>
  </w:footnote>
  <w:footnote w:id="138">
    <w:p w14:paraId="31E4514A" w14:textId="1328AFB6" w:rsidR="000E429D" w:rsidRPr="00CB4F47" w:rsidRDefault="000E429D" w:rsidP="00C57877">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sz w:val="16"/>
          <w:szCs w:val="16"/>
        </w:rPr>
        <w:t xml:space="preserve"> </w:t>
      </w:r>
      <w:r w:rsidRPr="00D7126F">
        <w:rPr>
          <w:sz w:val="16"/>
          <w:szCs w:val="16"/>
        </w:rPr>
        <w:t>Horspool, N, Crawford, L &amp; Rutherford, L, Traumatic brain injury and the criminal justice system</w:t>
      </w:r>
      <w:r w:rsidR="00A8348E" w:rsidRPr="00D7126F">
        <w:rPr>
          <w:sz w:val="16"/>
          <w:szCs w:val="16"/>
        </w:rPr>
        <w:t xml:space="preserve">: </w:t>
      </w:r>
      <w:r w:rsidRPr="00D7126F">
        <w:rPr>
          <w:sz w:val="16"/>
          <w:szCs w:val="16"/>
        </w:rPr>
        <w:t xml:space="preserve">Crime and </w:t>
      </w:r>
      <w:r w:rsidR="00A671DF" w:rsidRPr="00D7126F">
        <w:rPr>
          <w:sz w:val="16"/>
          <w:szCs w:val="16"/>
        </w:rPr>
        <w:t>justice insights</w:t>
      </w:r>
      <w:r w:rsidRPr="00D7126F">
        <w:rPr>
          <w:sz w:val="16"/>
          <w:szCs w:val="16"/>
        </w:rPr>
        <w:t xml:space="preserve"> (Justice Sector, 2017</w:t>
      </w:r>
      <w:r w:rsidR="00A671DF" w:rsidRPr="00D7126F">
        <w:rPr>
          <w:sz w:val="16"/>
          <w:szCs w:val="16"/>
        </w:rPr>
        <w:t>,</w:t>
      </w:r>
      <w:r w:rsidRPr="00D7126F">
        <w:rPr>
          <w:sz w:val="16"/>
          <w:szCs w:val="16"/>
        </w:rPr>
        <w:t xml:space="preserve"> </w:t>
      </w:r>
      <w:r w:rsidR="00A8348E" w:rsidRPr="00D7126F">
        <w:rPr>
          <w:rFonts w:cs="Arial"/>
          <w:sz w:val="16"/>
          <w:szCs w:val="16"/>
        </w:rPr>
        <w:t>page</w:t>
      </w:r>
      <w:r w:rsidR="00A8348E" w:rsidRPr="00D7126F">
        <w:rPr>
          <w:sz w:val="16"/>
          <w:szCs w:val="16"/>
        </w:rPr>
        <w:t xml:space="preserve"> </w:t>
      </w:r>
      <w:r w:rsidRPr="00D7126F">
        <w:rPr>
          <w:sz w:val="16"/>
          <w:szCs w:val="16"/>
        </w:rPr>
        <w:t>1</w:t>
      </w:r>
      <w:r w:rsidR="00B00D67" w:rsidRPr="00D7126F">
        <w:rPr>
          <w:sz w:val="16"/>
          <w:szCs w:val="16"/>
        </w:rPr>
        <w:t>)</w:t>
      </w:r>
      <w:r w:rsidRPr="00D7126F">
        <w:rPr>
          <w:sz w:val="16"/>
          <w:szCs w:val="16"/>
        </w:rPr>
        <w:t>.</w:t>
      </w:r>
    </w:p>
  </w:footnote>
  <w:footnote w:id="139">
    <w:p w14:paraId="25562779" w14:textId="0E4A634E"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D7126F">
        <w:rPr>
          <w:rFonts w:cs="Arial"/>
          <w:sz w:val="16"/>
          <w:szCs w:val="16"/>
        </w:rPr>
        <w:t xml:space="preserve">Witness statement of Dr Teuila Percival </w:t>
      </w:r>
      <w:r w:rsidR="00BA1F8D" w:rsidRPr="00CB4F47">
        <w:rPr>
          <w:rFonts w:cs="Arial"/>
          <w:color w:val="auto"/>
          <w:sz w:val="16"/>
          <w:szCs w:val="16"/>
        </w:rPr>
        <w:t>(</w:t>
      </w:r>
      <w:r w:rsidRPr="00CB4F47">
        <w:rPr>
          <w:rFonts w:cs="Arial"/>
          <w:color w:val="auto"/>
          <w:sz w:val="16"/>
          <w:szCs w:val="16"/>
        </w:rPr>
        <w:t>6 June 2022</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page</w:t>
      </w:r>
      <w:r w:rsidR="00A8348E" w:rsidRPr="00CB4F47">
        <w:rPr>
          <w:rFonts w:cs="Arial"/>
          <w:sz w:val="16"/>
          <w:szCs w:val="16"/>
        </w:rPr>
        <w:t xml:space="preserve"> </w:t>
      </w:r>
      <w:r w:rsidRPr="00CB4F47">
        <w:rPr>
          <w:rFonts w:cs="Arial"/>
          <w:sz w:val="16"/>
          <w:szCs w:val="16"/>
        </w:rPr>
        <w:t>9</w:t>
      </w:r>
      <w:r w:rsidR="00B00D67">
        <w:rPr>
          <w:rFonts w:cs="Arial"/>
          <w:sz w:val="16"/>
          <w:szCs w:val="16"/>
        </w:rPr>
        <w:t>)</w:t>
      </w:r>
      <w:r w:rsidRPr="00CB4F47">
        <w:rPr>
          <w:rFonts w:cs="Arial"/>
          <w:sz w:val="16"/>
          <w:szCs w:val="16"/>
        </w:rPr>
        <w:t>.</w:t>
      </w:r>
    </w:p>
  </w:footnote>
  <w:footnote w:id="140">
    <w:p w14:paraId="75351EC7" w14:textId="14665626"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Lambie, I, What were they thinking? A discussion paper on brain and behaviour in relation to the justice system in New Zealand (Office of the Prime Minister’s Chief Science Advisor, 2020</w:t>
      </w:r>
      <w:r w:rsidR="00A671DF" w:rsidRPr="00CB4F47">
        <w:rPr>
          <w:rFonts w:cs="Arial"/>
          <w:sz w:val="16"/>
          <w:szCs w:val="16"/>
        </w:rPr>
        <w:t>,</w:t>
      </w:r>
      <w:r w:rsidRPr="00CB4F47">
        <w:rPr>
          <w:rFonts w:cs="Arial"/>
          <w:sz w:val="16"/>
          <w:szCs w:val="16"/>
        </w:rPr>
        <w:t xml:space="preserve"> </w:t>
      </w:r>
      <w:r w:rsidR="00A8348E" w:rsidRPr="00CB4F47">
        <w:rPr>
          <w:rFonts w:cs="Arial"/>
          <w:color w:val="auto"/>
          <w:sz w:val="16"/>
          <w:szCs w:val="16"/>
        </w:rPr>
        <w:t>page</w:t>
      </w:r>
      <w:r w:rsidR="00A8348E" w:rsidRPr="00CB4F47">
        <w:rPr>
          <w:rFonts w:cs="Arial"/>
          <w:sz w:val="16"/>
          <w:szCs w:val="16"/>
        </w:rPr>
        <w:t xml:space="preserve"> </w:t>
      </w:r>
      <w:r w:rsidRPr="00CB4F47">
        <w:rPr>
          <w:rFonts w:cs="Arial"/>
          <w:sz w:val="16"/>
          <w:szCs w:val="16"/>
        </w:rPr>
        <w:t>24</w:t>
      </w:r>
      <w:r w:rsidR="00B00D67">
        <w:rPr>
          <w:rFonts w:cs="Arial"/>
          <w:sz w:val="16"/>
          <w:szCs w:val="16"/>
        </w:rPr>
        <w:t>)</w:t>
      </w:r>
      <w:r w:rsidRPr="00CB4F47">
        <w:rPr>
          <w:rFonts w:cs="Arial"/>
          <w:sz w:val="16"/>
          <w:szCs w:val="16"/>
        </w:rPr>
        <w:t>.</w:t>
      </w:r>
    </w:p>
  </w:footnote>
  <w:footnote w:id="141">
    <w:p w14:paraId="11EA9F9F" w14:textId="687648FF"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Witness statement of Dr Valerie McGinn </w:t>
      </w:r>
      <w:r w:rsidR="00DE2399" w:rsidRPr="00CB4F47">
        <w:rPr>
          <w:rFonts w:cs="Arial"/>
          <w:sz w:val="16"/>
          <w:szCs w:val="16"/>
        </w:rPr>
        <w:t>(</w:t>
      </w:r>
      <w:r w:rsidRPr="00CB4F47">
        <w:rPr>
          <w:rFonts w:cs="Arial"/>
          <w:sz w:val="16"/>
          <w:szCs w:val="16"/>
        </w:rPr>
        <w:t>29 May 2022</w:t>
      </w:r>
      <w:r w:rsidR="00A671DF" w:rsidRPr="00CB4F47">
        <w:rPr>
          <w:rFonts w:cs="Arial"/>
          <w:sz w:val="16"/>
          <w:szCs w:val="16"/>
        </w:rPr>
        <w:t>,</w:t>
      </w:r>
      <w:r w:rsidRPr="00CB4F47">
        <w:rPr>
          <w:rFonts w:cs="Arial"/>
          <w:sz w:val="16"/>
          <w:szCs w:val="16"/>
        </w:rPr>
        <w:t xml:space="preserve"> </w:t>
      </w:r>
      <w:r w:rsidR="00A8348E" w:rsidRPr="00CB4F47">
        <w:rPr>
          <w:rFonts w:cs="Arial"/>
          <w:color w:val="auto"/>
          <w:sz w:val="16"/>
          <w:szCs w:val="16"/>
        </w:rPr>
        <w:t>page</w:t>
      </w:r>
      <w:r w:rsidRPr="00CB4F47">
        <w:rPr>
          <w:rFonts w:cs="Arial"/>
          <w:sz w:val="16"/>
          <w:szCs w:val="16"/>
        </w:rPr>
        <w:t xml:space="preserve"> 6</w:t>
      </w:r>
      <w:r w:rsidR="00B00D67">
        <w:rPr>
          <w:rFonts w:cs="Arial"/>
          <w:sz w:val="16"/>
          <w:szCs w:val="16"/>
        </w:rPr>
        <w:t>)</w:t>
      </w:r>
      <w:r w:rsidRPr="00CB4F47">
        <w:rPr>
          <w:rFonts w:cs="Arial"/>
          <w:sz w:val="16"/>
          <w:szCs w:val="16"/>
        </w:rPr>
        <w:t>.</w:t>
      </w:r>
    </w:p>
  </w:footnote>
  <w:footnote w:id="142">
    <w:p w14:paraId="3C2092DA" w14:textId="23BE8486" w:rsidR="00A97F96" w:rsidRPr="00A97F96" w:rsidRDefault="00A97F96">
      <w:pPr>
        <w:pStyle w:val="FootnoteText"/>
        <w:rPr>
          <w:sz w:val="16"/>
          <w:szCs w:val="16"/>
        </w:rPr>
      </w:pPr>
      <w:r w:rsidRPr="00536E67">
        <w:rPr>
          <w:rStyle w:val="StyleFootnoteReferenceFagoFunotenzeichenFagoFunotenzeichen"/>
          <w:sz w:val="16"/>
          <w:szCs w:val="16"/>
        </w:rPr>
        <w:footnoteRef/>
      </w:r>
      <w:r w:rsidRPr="00A97F96">
        <w:rPr>
          <w:sz w:val="16"/>
          <w:szCs w:val="16"/>
        </w:rPr>
        <w:t xml:space="preserve"> Salmond, </w:t>
      </w:r>
      <w:r w:rsidR="00A671DF">
        <w:rPr>
          <w:sz w:val="16"/>
          <w:szCs w:val="16"/>
        </w:rPr>
        <w:t>A</w:t>
      </w:r>
      <w:r w:rsidRPr="00A97F96">
        <w:rPr>
          <w:sz w:val="16"/>
          <w:szCs w:val="16"/>
        </w:rPr>
        <w:t>, Tears of Rangi: Experiments across worlds (Auckland University Press, 2017</w:t>
      </w:r>
      <w:r w:rsidR="00A671DF" w:rsidRPr="00A97F96">
        <w:rPr>
          <w:sz w:val="16"/>
          <w:szCs w:val="16"/>
        </w:rPr>
        <w:t>,</w:t>
      </w:r>
      <w:r w:rsidRPr="00A97F96">
        <w:rPr>
          <w:sz w:val="16"/>
          <w:szCs w:val="16"/>
        </w:rPr>
        <w:t xml:space="preserve"> pages 388, 390</w:t>
      </w:r>
      <w:r w:rsidR="0032591D">
        <w:rPr>
          <w:sz w:val="16"/>
          <w:szCs w:val="16"/>
        </w:rPr>
        <w:t>)</w:t>
      </w:r>
      <w:r w:rsidRPr="00A97F96">
        <w:rPr>
          <w:sz w:val="16"/>
          <w:szCs w:val="16"/>
        </w:rPr>
        <w:t>.</w:t>
      </w:r>
    </w:p>
  </w:footnote>
  <w:footnote w:id="143">
    <w:p w14:paraId="4C0D463E" w14:textId="77777777" w:rsidR="0096327F" w:rsidRPr="001142DD" w:rsidRDefault="0096327F" w:rsidP="001142DD">
      <w:pPr>
        <w:pStyle w:val="FootnoteText"/>
        <w:spacing w:before="0" w:after="0"/>
        <w:rPr>
          <w:sz w:val="16"/>
          <w:szCs w:val="16"/>
        </w:rPr>
      </w:pPr>
      <w:r>
        <w:rPr>
          <w:rStyle w:val="FootnoteReference"/>
        </w:rPr>
        <w:footnoteRef/>
      </w:r>
      <w:r>
        <w:t xml:space="preserve"> </w:t>
      </w:r>
      <w:r w:rsidRPr="00254E30">
        <w:rPr>
          <w:rFonts w:cs="Arial"/>
          <w:sz w:val="16"/>
          <w:szCs w:val="16"/>
        </w:rPr>
        <w:t>Brookes, B, A, history of New Zealand women (Bridget Williams Books, 2016, page</w:t>
      </w:r>
      <w:r>
        <w:rPr>
          <w:rFonts w:cs="Arial"/>
          <w:sz w:val="16"/>
          <w:szCs w:val="16"/>
        </w:rPr>
        <w:t>s</w:t>
      </w:r>
      <w:r w:rsidRPr="00254E30">
        <w:rPr>
          <w:rFonts w:cs="Arial"/>
          <w:sz w:val="16"/>
          <w:szCs w:val="16"/>
        </w:rPr>
        <w:t xml:space="preserve"> </w:t>
      </w:r>
      <w:r>
        <w:rPr>
          <w:rFonts w:cs="Arial"/>
          <w:sz w:val="16"/>
          <w:szCs w:val="16"/>
        </w:rPr>
        <w:t>16 and 18 – 19)</w:t>
      </w:r>
      <w:r w:rsidRPr="00254E30">
        <w:rPr>
          <w:rFonts w:cs="Arial"/>
          <w:sz w:val="16"/>
          <w:szCs w:val="16"/>
        </w:rPr>
        <w:t>.</w:t>
      </w:r>
    </w:p>
  </w:footnote>
  <w:footnote w:id="144">
    <w:p w14:paraId="534AC8D1" w14:textId="0C69860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Dalley, B, Family matters: Child welfare in </w:t>
      </w:r>
      <w:r w:rsidR="00A671DF">
        <w:rPr>
          <w:rFonts w:cs="Arial"/>
          <w:color w:val="auto"/>
          <w:sz w:val="16"/>
          <w:szCs w:val="16"/>
        </w:rPr>
        <w:t>t</w:t>
      </w:r>
      <w:r w:rsidR="00A671DF" w:rsidRPr="00CB4F47">
        <w:rPr>
          <w:rFonts w:cs="Arial"/>
          <w:color w:val="auto"/>
          <w:sz w:val="16"/>
          <w:szCs w:val="16"/>
        </w:rPr>
        <w:t>wentieth</w:t>
      </w:r>
      <w:r w:rsidRPr="00CB4F47">
        <w:rPr>
          <w:rFonts w:cs="Arial"/>
          <w:color w:val="auto"/>
          <w:sz w:val="16"/>
          <w:szCs w:val="16"/>
        </w:rPr>
        <w:t>-century New Zealand (Auckland University Press, 1998</w:t>
      </w:r>
      <w:r w:rsidR="00A671DF" w:rsidRPr="00CB4F47">
        <w:rPr>
          <w:rFonts w:cs="Arial"/>
          <w:color w:val="auto"/>
          <w:sz w:val="16"/>
          <w:szCs w:val="16"/>
        </w:rPr>
        <w:t>,</w:t>
      </w:r>
      <w:r w:rsidRPr="00CB4F47">
        <w:rPr>
          <w:rFonts w:cs="Arial"/>
          <w:color w:val="auto"/>
          <w:sz w:val="16"/>
          <w:szCs w:val="16"/>
        </w:rPr>
        <w:t xml:space="preserve"> pages 190</w:t>
      </w:r>
      <w:r w:rsidR="00F315BE" w:rsidRPr="00CB4F47">
        <w:rPr>
          <w:rFonts w:cs="Arial"/>
          <w:color w:val="auto"/>
          <w:sz w:val="16"/>
          <w:szCs w:val="16"/>
        </w:rPr>
        <w:t>–</w:t>
      </w:r>
      <w:r w:rsidRPr="00CB4F47">
        <w:rPr>
          <w:rFonts w:cs="Arial"/>
          <w:color w:val="auto"/>
          <w:sz w:val="16"/>
          <w:szCs w:val="16"/>
        </w:rPr>
        <w:t>191</w:t>
      </w:r>
      <w:r w:rsidR="0032591D">
        <w:rPr>
          <w:rFonts w:cs="Arial"/>
          <w:color w:val="auto"/>
          <w:sz w:val="16"/>
          <w:szCs w:val="16"/>
        </w:rPr>
        <w:t>)</w:t>
      </w:r>
      <w:r w:rsidRPr="00CB4F47">
        <w:rPr>
          <w:rFonts w:cs="Arial"/>
          <w:color w:val="auto"/>
          <w:sz w:val="16"/>
          <w:szCs w:val="16"/>
        </w:rPr>
        <w:t>.</w:t>
      </w:r>
    </w:p>
  </w:footnote>
  <w:footnote w:id="145">
    <w:p w14:paraId="6F39138A" w14:textId="7D138F1A" w:rsidR="00A671DF" w:rsidRPr="00CA0B86" w:rsidRDefault="00A671DF" w:rsidP="00FD039C">
      <w:pPr>
        <w:pStyle w:val="FootnoteText"/>
        <w:spacing w:before="0" w:after="0"/>
        <w:rPr>
          <w:sz w:val="16"/>
          <w:szCs w:val="16"/>
        </w:rPr>
      </w:pPr>
      <w:r w:rsidRPr="00536E67">
        <w:rPr>
          <w:rStyle w:val="StyleFootnoteReferenceFagoFunotenzeichenFagoFunotenzeichen"/>
          <w:sz w:val="16"/>
          <w:szCs w:val="16"/>
        </w:rPr>
        <w:footnoteRef/>
      </w:r>
      <w:r w:rsidRPr="00CA0B86">
        <w:rPr>
          <w:sz w:val="16"/>
          <w:szCs w:val="16"/>
        </w:rPr>
        <w:t xml:space="preserve"> Smyth, Helen, Rocking the cradle: contraception, sex and politics in New Zealand (Steele Roberts Ltd, 2000, pages 67</w:t>
      </w:r>
      <w:r>
        <w:rPr>
          <w:sz w:val="16"/>
          <w:szCs w:val="16"/>
        </w:rPr>
        <w:t>–</w:t>
      </w:r>
      <w:r w:rsidRPr="00CA0B86">
        <w:rPr>
          <w:sz w:val="16"/>
          <w:szCs w:val="16"/>
        </w:rPr>
        <w:t>70</w:t>
      </w:r>
      <w:r>
        <w:rPr>
          <w:sz w:val="16"/>
          <w:szCs w:val="16"/>
        </w:rPr>
        <w:t>)</w:t>
      </w:r>
      <w:r w:rsidRPr="003D7BC4">
        <w:rPr>
          <w:sz w:val="16"/>
          <w:szCs w:val="16"/>
        </w:rPr>
        <w:t>.</w:t>
      </w:r>
    </w:p>
  </w:footnote>
  <w:footnote w:id="146">
    <w:p w14:paraId="7BAF9628" w14:textId="7265CEFB" w:rsidR="00A671DF" w:rsidRPr="00CA0B86" w:rsidRDefault="00A671DF" w:rsidP="00FD039C">
      <w:pPr>
        <w:pStyle w:val="FootnoteText"/>
        <w:spacing w:before="0" w:after="0"/>
        <w:rPr>
          <w:sz w:val="16"/>
          <w:szCs w:val="16"/>
        </w:rPr>
      </w:pPr>
      <w:r w:rsidRPr="00536E67">
        <w:rPr>
          <w:rStyle w:val="StyleFootnoteReferenceFagoFunotenzeichenFagoFunotenzeichen"/>
          <w:sz w:val="16"/>
          <w:szCs w:val="16"/>
        </w:rPr>
        <w:footnoteRef/>
      </w:r>
      <w:r w:rsidRPr="00CA0B86">
        <w:rPr>
          <w:sz w:val="16"/>
          <w:szCs w:val="16"/>
        </w:rPr>
        <w:t xml:space="preserve"> Smyth, Helen, Rocking the cradle: contraception, sex and politics in New Zealand (Steele Roberts Ltd, 2000, page 29</w:t>
      </w:r>
      <w:r>
        <w:rPr>
          <w:sz w:val="16"/>
          <w:szCs w:val="16"/>
        </w:rPr>
        <w:t>)</w:t>
      </w:r>
      <w:r w:rsidRPr="003D7BC4">
        <w:rPr>
          <w:sz w:val="16"/>
          <w:szCs w:val="16"/>
        </w:rPr>
        <w:t>.</w:t>
      </w:r>
    </w:p>
  </w:footnote>
  <w:footnote w:id="147">
    <w:p w14:paraId="6A279802" w14:textId="1D90C2EA" w:rsidR="00A671DF" w:rsidRPr="00536E67" w:rsidRDefault="00A671DF" w:rsidP="00FD039C">
      <w:pPr>
        <w:pStyle w:val="FootnoteText"/>
        <w:spacing w:before="0" w:after="0"/>
        <w:rPr>
          <w:sz w:val="16"/>
          <w:szCs w:val="16"/>
        </w:rPr>
      </w:pPr>
      <w:r w:rsidRPr="00536E67">
        <w:rPr>
          <w:rStyle w:val="StyleFootnoteReferenceFagoFunotenzeichenFagoFunotenzeichen"/>
          <w:sz w:val="16"/>
          <w:szCs w:val="16"/>
        </w:rPr>
        <w:footnoteRef/>
      </w:r>
      <w:r w:rsidRPr="00CA0B86">
        <w:rPr>
          <w:sz w:val="16"/>
          <w:szCs w:val="16"/>
        </w:rPr>
        <w:t xml:space="preserve"> </w:t>
      </w:r>
      <w:r w:rsidRPr="00254E30">
        <w:rPr>
          <w:rFonts w:cs="Arial"/>
          <w:sz w:val="16"/>
          <w:szCs w:val="16"/>
        </w:rPr>
        <w:t>Brookes, B, A history of New Zealand women (Bridget Williams Books, 2016, page</w:t>
      </w:r>
      <w:r>
        <w:rPr>
          <w:rFonts w:cs="Arial"/>
          <w:sz w:val="16"/>
          <w:szCs w:val="16"/>
        </w:rPr>
        <w:t>s</w:t>
      </w:r>
      <w:r w:rsidRPr="00254E30">
        <w:rPr>
          <w:rFonts w:cs="Arial"/>
          <w:sz w:val="16"/>
          <w:szCs w:val="16"/>
        </w:rPr>
        <w:t xml:space="preserve"> 309</w:t>
      </w:r>
      <w:r>
        <w:rPr>
          <w:rFonts w:cs="Arial"/>
          <w:sz w:val="16"/>
          <w:szCs w:val="16"/>
        </w:rPr>
        <w:t>, 425)</w:t>
      </w:r>
      <w:r w:rsidRPr="00254E30">
        <w:rPr>
          <w:rFonts w:cs="Arial"/>
          <w:sz w:val="16"/>
          <w:szCs w:val="16"/>
        </w:rPr>
        <w:t>.</w:t>
      </w:r>
    </w:p>
  </w:footnote>
  <w:footnote w:id="148">
    <w:p w14:paraId="0BFF7C2A" w14:textId="5592478D" w:rsidR="00A671DF" w:rsidRPr="00536E67" w:rsidRDefault="00A671DF" w:rsidP="00FD039C">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CB4F47">
        <w:rPr>
          <w:rFonts w:cs="Arial"/>
          <w:sz w:val="16"/>
          <w:szCs w:val="16"/>
        </w:rPr>
        <w:t>Brookes, B, A history of New Zealand women (Bridget Williams Books, 2016,</w:t>
      </w:r>
      <w:r>
        <w:rPr>
          <w:rFonts w:cs="Arial"/>
          <w:sz w:val="16"/>
          <w:szCs w:val="16"/>
        </w:rPr>
        <w:t xml:space="preserve"> page 386)</w:t>
      </w:r>
      <w:r w:rsidRPr="003D7BC4">
        <w:rPr>
          <w:rFonts w:cs="Arial"/>
          <w:sz w:val="16"/>
          <w:szCs w:val="16"/>
        </w:rPr>
        <w:t>.</w:t>
      </w:r>
    </w:p>
  </w:footnote>
  <w:footnote w:id="149">
    <w:p w14:paraId="5BD3C408" w14:textId="14A04D47" w:rsidR="00B86101" w:rsidRDefault="00B86101">
      <w:pPr>
        <w:pStyle w:val="FootnoteText"/>
      </w:pPr>
      <w:r>
        <w:rPr>
          <w:rStyle w:val="FootnoteReference"/>
        </w:rPr>
        <w:footnoteRef/>
      </w:r>
      <w:r>
        <w:t xml:space="preserve"> </w:t>
      </w:r>
      <w:r w:rsidRPr="001142DD">
        <w:rPr>
          <w:rFonts w:cs="Arial"/>
          <w:sz w:val="16"/>
          <w:szCs w:val="16"/>
        </w:rPr>
        <w:t>Dann, C, Up from under: women and liberation in New Zealand 1970–1985</w:t>
      </w:r>
      <w:r w:rsidR="004F13E1" w:rsidRPr="001142DD">
        <w:rPr>
          <w:rFonts w:cs="Arial"/>
          <w:sz w:val="16"/>
          <w:szCs w:val="16"/>
        </w:rPr>
        <w:t xml:space="preserve"> (Allan and </w:t>
      </w:r>
      <w:r w:rsidR="00056FB2" w:rsidRPr="00056FB2">
        <w:rPr>
          <w:rFonts w:cs="Arial"/>
          <w:sz w:val="16"/>
          <w:szCs w:val="16"/>
        </w:rPr>
        <w:t>Unwin</w:t>
      </w:r>
      <w:r w:rsidR="00E56E6B">
        <w:rPr>
          <w:rFonts w:cs="Arial"/>
          <w:sz w:val="16"/>
          <w:szCs w:val="16"/>
        </w:rPr>
        <w:t>,</w:t>
      </w:r>
      <w:r w:rsidR="0003720E" w:rsidRPr="001142DD">
        <w:rPr>
          <w:rFonts w:cs="Arial"/>
          <w:sz w:val="16"/>
          <w:szCs w:val="16"/>
        </w:rPr>
        <w:t xml:space="preserve"> 1985, pages </w:t>
      </w:r>
      <w:r w:rsidR="00A93A3E" w:rsidRPr="001142DD">
        <w:rPr>
          <w:rFonts w:cs="Arial"/>
          <w:sz w:val="16"/>
          <w:szCs w:val="16"/>
        </w:rPr>
        <w:t xml:space="preserve">5, 8–9, </w:t>
      </w:r>
      <w:r w:rsidR="00AB3A12" w:rsidRPr="001142DD">
        <w:rPr>
          <w:rFonts w:cs="Arial"/>
          <w:sz w:val="16"/>
          <w:szCs w:val="16"/>
        </w:rPr>
        <w:t xml:space="preserve">10, </w:t>
      </w:r>
      <w:r w:rsidR="004701CB" w:rsidRPr="001142DD">
        <w:rPr>
          <w:rFonts w:cs="Arial"/>
          <w:sz w:val="16"/>
          <w:szCs w:val="16"/>
        </w:rPr>
        <w:t>14</w:t>
      </w:r>
      <w:r w:rsidR="00A93A3E" w:rsidRPr="001142DD">
        <w:rPr>
          <w:rFonts w:cs="Arial"/>
          <w:sz w:val="16"/>
          <w:szCs w:val="16"/>
        </w:rPr>
        <w:t>).</w:t>
      </w:r>
      <w:r w:rsidR="004701CB">
        <w:t xml:space="preserve"> </w:t>
      </w:r>
    </w:p>
  </w:footnote>
  <w:footnote w:id="150">
    <w:p w14:paraId="6C740AF5" w14:textId="1BE9CD9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00F6182F" w:rsidRPr="00CB4F47">
        <w:rPr>
          <w:rFonts w:cs="Arial"/>
          <w:color w:val="auto"/>
          <w:sz w:val="16"/>
          <w:szCs w:val="16"/>
        </w:rPr>
        <w:t>I</w:t>
      </w:r>
      <w:r w:rsidRPr="00CB4F47">
        <w:rPr>
          <w:rFonts w:cs="Arial"/>
          <w:color w:val="auto"/>
          <w:sz w:val="16"/>
          <w:szCs w:val="16"/>
        </w:rPr>
        <w:t>ncluded in the Diagnostic and Statistical Manual of Mental Disorders (DSM) until 1973.</w:t>
      </w:r>
    </w:p>
  </w:footnote>
  <w:footnote w:id="151">
    <w:p w14:paraId="46CFE71F" w14:textId="0EB56D5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Bennett, J &amp; Brickell, C, Surveilling the mind and body: Medicalising and de-medicalising homosexuality in 1970s New Zealand (Cambridge University Press, 2018</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199</w:t>
      </w:r>
      <w:r w:rsidR="00A53241">
        <w:rPr>
          <w:rFonts w:cs="Arial"/>
          <w:color w:val="auto"/>
          <w:sz w:val="16"/>
          <w:szCs w:val="16"/>
        </w:rPr>
        <w:t>)</w:t>
      </w:r>
      <w:r w:rsidRPr="00CB4F47">
        <w:rPr>
          <w:rFonts w:cs="Arial"/>
          <w:color w:val="auto"/>
          <w:sz w:val="16"/>
          <w:szCs w:val="16"/>
        </w:rPr>
        <w:t>.</w:t>
      </w:r>
    </w:p>
  </w:footnote>
  <w:footnote w:id="152">
    <w:p w14:paraId="2173A9FA" w14:textId="07B75513"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Human Rights Act 1993.</w:t>
      </w:r>
    </w:p>
  </w:footnote>
  <w:footnote w:id="153">
    <w:p w14:paraId="755EB9DB" w14:textId="000299B8" w:rsidR="000E429D" w:rsidRPr="00CB4F47" w:rsidRDefault="000E429D" w:rsidP="001356B0">
      <w:pPr>
        <w:spacing w:before="0" w:after="0" w:line="20" w:lineRule="atLeast"/>
        <w:rPr>
          <w:rFonts w:ascii="Arial" w:hAnsi="Arial" w:cs="Arial"/>
          <w:color w:val="auto"/>
          <w:sz w:val="16"/>
          <w:szCs w:val="16"/>
        </w:rPr>
      </w:pPr>
      <w:r w:rsidRPr="00536E67">
        <w:rPr>
          <w:rStyle w:val="StyleFootnoteReferenceFagoFunotenzeichenFagoFunotenzeichen"/>
          <w:sz w:val="16"/>
          <w:szCs w:val="16"/>
        </w:rPr>
        <w:footnoteRef/>
      </w:r>
      <w:r w:rsidRPr="00CB4F47">
        <w:rPr>
          <w:rStyle w:val="FootnoteReference"/>
          <w:rFonts w:ascii="Arial" w:hAnsi="Arial"/>
          <w:color w:val="auto"/>
          <w:sz w:val="16"/>
          <w:szCs w:val="16"/>
        </w:rPr>
        <w:t xml:space="preserve"> </w:t>
      </w:r>
      <w:r w:rsidRPr="00CB4F47">
        <w:rPr>
          <w:rFonts w:ascii="Arial" w:hAnsi="Arial" w:cs="Arial"/>
          <w:color w:val="auto"/>
          <w:sz w:val="16"/>
          <w:szCs w:val="16"/>
        </w:rPr>
        <w:t>Ausubel, D, The fern and the tiki: an American view of New Zealand national character, social attitudes and race relations (Holt, Rinehart and Winston Inc, 1960</w:t>
      </w:r>
      <w:r w:rsidR="00A671DF" w:rsidRPr="00CB4F47">
        <w:rPr>
          <w:rFonts w:ascii="Arial" w:hAnsi="Arial" w:cs="Arial"/>
          <w:color w:val="auto"/>
          <w:sz w:val="16"/>
          <w:szCs w:val="16"/>
        </w:rPr>
        <w:t>,</w:t>
      </w:r>
      <w:r w:rsidRPr="00CB4F47">
        <w:rPr>
          <w:rFonts w:ascii="Arial" w:hAnsi="Arial" w:cs="Arial"/>
          <w:color w:val="auto"/>
          <w:sz w:val="16"/>
          <w:szCs w:val="16"/>
        </w:rPr>
        <w:t xml:space="preserve"> </w:t>
      </w:r>
      <w:r w:rsidR="00A8348E" w:rsidRPr="00CB4F47">
        <w:rPr>
          <w:rFonts w:ascii="Arial" w:hAnsi="Arial" w:cs="Arial"/>
          <w:color w:val="auto"/>
          <w:sz w:val="16"/>
          <w:szCs w:val="16"/>
        </w:rPr>
        <w:t xml:space="preserve">page </w:t>
      </w:r>
      <w:r w:rsidRPr="00CB4F47">
        <w:rPr>
          <w:rFonts w:ascii="Arial" w:hAnsi="Arial" w:cs="Arial"/>
          <w:color w:val="auto"/>
          <w:sz w:val="16"/>
          <w:szCs w:val="16"/>
        </w:rPr>
        <w:t>42</w:t>
      </w:r>
      <w:r w:rsidR="00A53241">
        <w:rPr>
          <w:rFonts w:ascii="Arial" w:hAnsi="Arial" w:cs="Arial"/>
          <w:color w:val="auto"/>
          <w:sz w:val="16"/>
          <w:szCs w:val="16"/>
        </w:rPr>
        <w:t>)</w:t>
      </w:r>
      <w:r w:rsidRPr="00CB4F47">
        <w:rPr>
          <w:rFonts w:ascii="Arial" w:hAnsi="Arial" w:cs="Arial"/>
          <w:color w:val="auto"/>
          <w:sz w:val="16"/>
          <w:szCs w:val="16"/>
        </w:rPr>
        <w:t>.</w:t>
      </w:r>
    </w:p>
  </w:footnote>
  <w:footnote w:id="154">
    <w:p w14:paraId="4E0CF321" w14:textId="04FE62E9" w:rsidR="000E429D" w:rsidRPr="00CB4F47" w:rsidRDefault="000E429D" w:rsidP="001356B0">
      <w:pPr>
        <w:pStyle w:val="FootnoteText"/>
        <w:spacing w:before="0" w:after="0" w:line="20" w:lineRule="atLeast"/>
        <w:jc w:val="left"/>
        <w:rPr>
          <w:rFonts w:eastAsia="Calibri"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Ausubel, D, The fern and the tiki: an American view of New Zealand national character, social attitudes and race relations (Holt, Rinehart and Winston Inc, 1960</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page</w:t>
      </w:r>
      <w:r w:rsidR="00A8348E" w:rsidRPr="00CB4F47">
        <w:rPr>
          <w:rFonts w:eastAsia="Calibri" w:cs="Arial"/>
          <w:color w:val="auto"/>
          <w:sz w:val="16"/>
          <w:szCs w:val="16"/>
        </w:rPr>
        <w:t xml:space="preserve"> </w:t>
      </w:r>
      <w:r w:rsidRPr="00CB4F47">
        <w:rPr>
          <w:rFonts w:eastAsia="Calibri" w:cs="Arial"/>
          <w:color w:val="auto"/>
          <w:sz w:val="16"/>
          <w:szCs w:val="16"/>
        </w:rPr>
        <w:t>54</w:t>
      </w:r>
      <w:r w:rsidR="00BD3604">
        <w:rPr>
          <w:rFonts w:eastAsia="Calibri" w:cs="Arial"/>
          <w:color w:val="auto"/>
          <w:sz w:val="16"/>
          <w:szCs w:val="16"/>
        </w:rPr>
        <w:t>)</w:t>
      </w:r>
      <w:r w:rsidRPr="00CB4F47">
        <w:rPr>
          <w:rFonts w:eastAsia="Calibri" w:cs="Arial"/>
          <w:color w:val="auto"/>
          <w:sz w:val="16"/>
          <w:szCs w:val="16"/>
        </w:rPr>
        <w:t>.</w:t>
      </w:r>
    </w:p>
  </w:footnote>
  <w:footnote w:id="155">
    <w:p w14:paraId="61D81A78" w14:textId="62E725F4" w:rsidR="000E429D" w:rsidRPr="00CB4F47" w:rsidRDefault="000E429D" w:rsidP="001356B0">
      <w:pPr>
        <w:pStyle w:val="FootnoteText"/>
        <w:spacing w:before="0" w:after="0" w:line="20" w:lineRule="atLeast"/>
        <w:jc w:val="left"/>
        <w:rPr>
          <w:rFonts w:eastAsia="Calibri" w:cs="Arial"/>
          <w:color w:val="auto"/>
          <w:sz w:val="16"/>
          <w:szCs w:val="16"/>
        </w:rPr>
      </w:pPr>
      <w:r w:rsidRPr="00536E67">
        <w:rPr>
          <w:rStyle w:val="StyleFootnoteReferenceFagoFunotenzeichenFagoFunotenzeichen"/>
          <w:sz w:val="16"/>
          <w:szCs w:val="16"/>
        </w:rPr>
        <w:footnoteRef/>
      </w:r>
      <w:r w:rsidRPr="00CB4F47">
        <w:rPr>
          <w:rFonts w:eastAsia="Calibri" w:cs="Arial"/>
          <w:color w:val="auto"/>
          <w:sz w:val="16"/>
          <w:szCs w:val="16"/>
        </w:rPr>
        <w:t xml:space="preserve"> Ausubel, D, The fern and the tiki: an American view of New Zealand national character, social attitudes and race relations (Holt, Rinehart and Winston Inc, 1960</w:t>
      </w:r>
      <w:r w:rsidR="00A671DF">
        <w:rPr>
          <w:rFonts w:eastAsia="Calibri" w:cs="Arial"/>
          <w:color w:val="auto"/>
          <w:sz w:val="16"/>
          <w:szCs w:val="16"/>
        </w:rPr>
        <w:t>,</w:t>
      </w:r>
      <w:r w:rsidRPr="00CB4F47">
        <w:rPr>
          <w:rFonts w:eastAsia="Calibri" w:cs="Arial"/>
          <w:color w:val="auto"/>
          <w:sz w:val="16"/>
          <w:szCs w:val="16"/>
        </w:rPr>
        <w:t xml:space="preserve"> </w:t>
      </w:r>
      <w:r w:rsidRPr="00CB4F47">
        <w:rPr>
          <w:rFonts w:cs="Arial"/>
          <w:color w:val="auto"/>
          <w:sz w:val="16"/>
          <w:szCs w:val="16"/>
        </w:rPr>
        <w:t>pages</w:t>
      </w:r>
      <w:r w:rsidRPr="00CB4F47">
        <w:rPr>
          <w:rFonts w:eastAsia="Calibri" w:cs="Arial"/>
          <w:color w:val="auto"/>
          <w:sz w:val="16"/>
          <w:szCs w:val="16"/>
        </w:rPr>
        <w:t xml:space="preserve"> 54</w:t>
      </w:r>
      <w:r w:rsidRPr="00CB4F47">
        <w:rPr>
          <w:rFonts w:cs="Arial"/>
          <w:color w:val="auto"/>
          <w:sz w:val="16"/>
          <w:szCs w:val="16"/>
        </w:rPr>
        <w:t>–</w:t>
      </w:r>
      <w:r w:rsidRPr="00CB4F47">
        <w:rPr>
          <w:rFonts w:eastAsia="Calibri" w:cs="Arial"/>
          <w:color w:val="auto"/>
          <w:sz w:val="16"/>
          <w:szCs w:val="16"/>
        </w:rPr>
        <w:t>55</w:t>
      </w:r>
      <w:r w:rsidR="00BD3604">
        <w:rPr>
          <w:rFonts w:eastAsia="Calibri" w:cs="Arial"/>
          <w:color w:val="auto"/>
          <w:sz w:val="16"/>
          <w:szCs w:val="16"/>
        </w:rPr>
        <w:t>)</w:t>
      </w:r>
      <w:r w:rsidRPr="00CB4F47">
        <w:rPr>
          <w:rFonts w:eastAsia="Calibri" w:cs="Arial"/>
          <w:color w:val="auto"/>
          <w:sz w:val="16"/>
          <w:szCs w:val="16"/>
        </w:rPr>
        <w:t>.</w:t>
      </w:r>
    </w:p>
  </w:footnote>
  <w:footnote w:id="156">
    <w:p w14:paraId="34D38401" w14:textId="0DC0A160" w:rsidR="000E429D" w:rsidRPr="00CB4F47" w:rsidRDefault="000E429D" w:rsidP="001E1D95">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Crimes Act 1961, s</w:t>
      </w:r>
      <w:r w:rsidR="00A8348E" w:rsidRPr="00CB4F47">
        <w:rPr>
          <w:rFonts w:cs="Arial"/>
          <w:color w:val="auto"/>
          <w:sz w:val="16"/>
          <w:szCs w:val="16"/>
        </w:rPr>
        <w:t>ection</w:t>
      </w:r>
      <w:r w:rsidRPr="00CB4F47">
        <w:rPr>
          <w:rFonts w:cs="Arial"/>
          <w:color w:val="auto"/>
          <w:sz w:val="16"/>
          <w:szCs w:val="16"/>
        </w:rPr>
        <w:t xml:space="preserve"> 21.</w:t>
      </w:r>
    </w:p>
  </w:footnote>
  <w:footnote w:id="157">
    <w:p w14:paraId="317BE31F" w14:textId="3BBFFCAC" w:rsidR="000E429D" w:rsidRPr="00CB4F47" w:rsidRDefault="000E429D" w:rsidP="001E1D95">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Crimes Act 1961, s</w:t>
      </w:r>
      <w:r w:rsidR="00A8348E" w:rsidRPr="00CB4F47">
        <w:rPr>
          <w:rFonts w:cs="Arial"/>
          <w:color w:val="auto"/>
          <w:sz w:val="16"/>
          <w:szCs w:val="16"/>
        </w:rPr>
        <w:t>ection</w:t>
      </w:r>
      <w:r w:rsidRPr="00CB4F47">
        <w:rPr>
          <w:rFonts w:cs="Arial"/>
          <w:color w:val="auto"/>
          <w:sz w:val="16"/>
          <w:szCs w:val="16"/>
        </w:rPr>
        <w:t xml:space="preserve"> 22(1).</w:t>
      </w:r>
    </w:p>
  </w:footnote>
  <w:footnote w:id="158">
    <w:p w14:paraId="2611C0B8" w14:textId="6A92356D"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Maxwell, G, Youth offenders: Treatment of young offenders, 1840 to 1980s (Te Ara – </w:t>
      </w:r>
      <w:r w:rsidR="00A671DF">
        <w:rPr>
          <w:rFonts w:cs="Arial"/>
          <w:color w:val="auto"/>
          <w:sz w:val="16"/>
          <w:szCs w:val="16"/>
        </w:rPr>
        <w:t>T</w:t>
      </w:r>
      <w:r w:rsidR="00A671DF" w:rsidRPr="00CB4F47">
        <w:rPr>
          <w:rFonts w:cs="Arial"/>
          <w:color w:val="auto"/>
          <w:sz w:val="16"/>
          <w:szCs w:val="16"/>
        </w:rPr>
        <w:t xml:space="preserve">he </w:t>
      </w:r>
      <w:r w:rsidR="00A671DF">
        <w:rPr>
          <w:rFonts w:cs="Arial"/>
          <w:color w:val="auto"/>
          <w:sz w:val="16"/>
          <w:szCs w:val="16"/>
        </w:rPr>
        <w:t>Encyclopedia</w:t>
      </w:r>
      <w:r w:rsidRPr="00CB4F47">
        <w:rPr>
          <w:rFonts w:cs="Arial"/>
          <w:color w:val="auto"/>
          <w:sz w:val="16"/>
          <w:szCs w:val="16"/>
        </w:rPr>
        <w:t xml:space="preserve"> of New Zealand, 2011</w:t>
      </w:r>
      <w:r w:rsidR="00A671DF">
        <w:rPr>
          <w:rFonts w:cs="Arial"/>
          <w:color w:val="auto"/>
          <w:sz w:val="16"/>
          <w:szCs w:val="16"/>
        </w:rPr>
        <w:t>,</w:t>
      </w:r>
      <w:r w:rsidR="00992103">
        <w:rPr>
          <w:rFonts w:cs="Arial"/>
          <w:color w:val="auto"/>
          <w:sz w:val="16"/>
          <w:szCs w:val="16"/>
        </w:rPr>
        <w:t xml:space="preserve"> page 2</w:t>
      </w:r>
      <w:r w:rsidR="00717014">
        <w:rPr>
          <w:rFonts w:cs="Arial"/>
          <w:color w:val="auto"/>
          <w:sz w:val="16"/>
          <w:szCs w:val="16"/>
        </w:rPr>
        <w:t xml:space="preserve">), </w:t>
      </w:r>
      <w:hyperlink r:id="rId12" w:history="1">
        <w:r w:rsidR="00717014" w:rsidRPr="00DD5764">
          <w:rPr>
            <w:rStyle w:val="Hyperlink"/>
            <w:rFonts w:cs="Arial"/>
            <w:sz w:val="16"/>
            <w:szCs w:val="16"/>
          </w:rPr>
          <w:t>http://www.TeAra.govt.nz/en/youth-offenders/page-2</w:t>
        </w:r>
      </w:hyperlink>
      <w:r w:rsidR="00A671DF">
        <w:rPr>
          <w:rFonts w:cs="Arial"/>
          <w:color w:val="auto"/>
          <w:sz w:val="16"/>
          <w:szCs w:val="16"/>
        </w:rPr>
        <w:t>.</w:t>
      </w:r>
    </w:p>
  </w:footnote>
  <w:footnote w:id="159">
    <w:p w14:paraId="3269827A" w14:textId="7C279E5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00C24791" w:rsidRPr="00CB4F47">
        <w:rPr>
          <w:rFonts w:cs="Arial"/>
          <w:color w:val="auto"/>
          <w:sz w:val="16"/>
          <w:szCs w:val="16"/>
        </w:rPr>
        <w:t>V</w:t>
      </w:r>
      <w:r w:rsidRPr="00CB4F47">
        <w:rPr>
          <w:rFonts w:cs="Arial"/>
          <w:color w:val="auto"/>
          <w:sz w:val="16"/>
          <w:szCs w:val="16"/>
        </w:rPr>
        <w:t>on Dadelszen, J, Sexual abuse study: an examination of the histories of sexual abuse among girls currently in the care of the Department of Social Welfare (</w:t>
      </w:r>
      <w:r w:rsidR="00756B31">
        <w:rPr>
          <w:rFonts w:cs="Arial"/>
          <w:color w:val="auto"/>
          <w:sz w:val="16"/>
          <w:szCs w:val="16"/>
        </w:rPr>
        <w:t xml:space="preserve">Department of Social Welfare, </w:t>
      </w:r>
      <w:r w:rsidRPr="00CB4F47">
        <w:rPr>
          <w:rFonts w:cs="Arial"/>
          <w:color w:val="auto"/>
          <w:sz w:val="16"/>
          <w:szCs w:val="16"/>
        </w:rPr>
        <w:t>1987).</w:t>
      </w:r>
    </w:p>
  </w:footnote>
  <w:footnote w:id="160">
    <w:p w14:paraId="14BF635B" w14:textId="14F162C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Dalley, B, Family </w:t>
      </w:r>
      <w:r w:rsidR="00A671DF">
        <w:rPr>
          <w:rFonts w:cs="Arial"/>
          <w:color w:val="auto"/>
          <w:sz w:val="16"/>
          <w:szCs w:val="16"/>
        </w:rPr>
        <w:t>m</w:t>
      </w:r>
      <w:r w:rsidR="00A671DF" w:rsidRPr="00CB4F47">
        <w:rPr>
          <w:rFonts w:cs="Arial"/>
          <w:color w:val="auto"/>
          <w:sz w:val="16"/>
          <w:szCs w:val="16"/>
        </w:rPr>
        <w:t>atters</w:t>
      </w:r>
      <w:r w:rsidRPr="00CB4F47">
        <w:rPr>
          <w:rFonts w:cs="Arial"/>
          <w:color w:val="auto"/>
          <w:sz w:val="16"/>
          <w:szCs w:val="16"/>
        </w:rPr>
        <w:t xml:space="preserve">: Child </w:t>
      </w:r>
      <w:r w:rsidR="007C3E93">
        <w:rPr>
          <w:rFonts w:cs="Arial"/>
          <w:color w:val="auto"/>
          <w:sz w:val="16"/>
          <w:szCs w:val="16"/>
        </w:rPr>
        <w:t>w</w:t>
      </w:r>
      <w:r w:rsidR="007C3E93" w:rsidRPr="00CB4F47">
        <w:rPr>
          <w:rFonts w:cs="Arial"/>
          <w:color w:val="auto"/>
          <w:sz w:val="16"/>
          <w:szCs w:val="16"/>
        </w:rPr>
        <w:t xml:space="preserve">elfare </w:t>
      </w:r>
      <w:r w:rsidRPr="00CB4F47">
        <w:rPr>
          <w:rFonts w:cs="Arial"/>
          <w:color w:val="auto"/>
          <w:sz w:val="16"/>
          <w:szCs w:val="16"/>
        </w:rPr>
        <w:t xml:space="preserve">in </w:t>
      </w:r>
      <w:r w:rsidR="00A671DF">
        <w:rPr>
          <w:rFonts w:cs="Arial"/>
          <w:color w:val="auto"/>
          <w:sz w:val="16"/>
          <w:szCs w:val="16"/>
        </w:rPr>
        <w:t>t</w:t>
      </w:r>
      <w:r w:rsidR="00A671DF" w:rsidRPr="00CB4F47">
        <w:rPr>
          <w:rFonts w:cs="Arial"/>
          <w:color w:val="auto"/>
          <w:sz w:val="16"/>
          <w:szCs w:val="16"/>
        </w:rPr>
        <w:t>wentieth</w:t>
      </w:r>
      <w:r w:rsidRPr="00CB4F47">
        <w:rPr>
          <w:rFonts w:cs="Arial"/>
          <w:color w:val="auto"/>
          <w:sz w:val="16"/>
          <w:szCs w:val="16"/>
        </w:rPr>
        <w:t>-century New Zealand (Auckland University Press, 1998</w:t>
      </w:r>
      <w:r w:rsidR="00A671DF" w:rsidRPr="00CB4F47">
        <w:rPr>
          <w:rFonts w:cs="Arial"/>
          <w:color w:val="auto"/>
          <w:sz w:val="16"/>
          <w:szCs w:val="16"/>
        </w:rPr>
        <w:t>,</w:t>
      </w:r>
      <w:r w:rsidRPr="00CB4F47">
        <w:rPr>
          <w:rFonts w:cs="Arial"/>
          <w:color w:val="auto"/>
          <w:sz w:val="16"/>
          <w:szCs w:val="16"/>
        </w:rPr>
        <w:t xml:space="preserve"> pages 190–191</w:t>
      </w:r>
      <w:r w:rsidR="00131994">
        <w:rPr>
          <w:rFonts w:cs="Arial"/>
          <w:color w:val="auto"/>
          <w:sz w:val="16"/>
          <w:szCs w:val="16"/>
        </w:rPr>
        <w:t>)</w:t>
      </w:r>
      <w:r w:rsidRPr="00CB4F47">
        <w:rPr>
          <w:rFonts w:cs="Arial"/>
          <w:color w:val="auto"/>
          <w:sz w:val="16"/>
          <w:szCs w:val="16"/>
        </w:rPr>
        <w:t>.</w:t>
      </w:r>
    </w:p>
  </w:footnote>
  <w:footnote w:id="161">
    <w:p w14:paraId="4291CFEE" w14:textId="0E3B90C4" w:rsidR="000E429D" w:rsidRPr="00CB4F47" w:rsidRDefault="000E429D" w:rsidP="00B76E8C">
      <w:pPr>
        <w:pStyle w:val="FootnoteText"/>
        <w:spacing w:line="20" w:lineRule="atLeast"/>
        <w:jc w:val="left"/>
        <w:rPr>
          <w:rFonts w:cs="Arial"/>
          <w:sz w:val="16"/>
          <w:szCs w:val="16"/>
          <w:lang w:val="mi-NZ"/>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cs="Arial"/>
          <w:color w:val="262626"/>
          <w:sz w:val="16"/>
          <w:szCs w:val="16"/>
        </w:rPr>
        <w:t xml:space="preserve">Rashbrook, M &amp; Wilkinson, A, Cracks in the </w:t>
      </w:r>
      <w:r w:rsidR="00A671DF">
        <w:rPr>
          <w:rFonts w:cs="Arial"/>
          <w:color w:val="262626"/>
          <w:sz w:val="16"/>
          <w:szCs w:val="16"/>
        </w:rPr>
        <w:t>d</w:t>
      </w:r>
      <w:r w:rsidR="00A671DF" w:rsidRPr="00CB4F47">
        <w:rPr>
          <w:rFonts w:cs="Arial"/>
          <w:color w:val="262626"/>
          <w:sz w:val="16"/>
          <w:szCs w:val="16"/>
        </w:rPr>
        <w:t>am</w:t>
      </w:r>
      <w:r w:rsidRPr="00CB4F47">
        <w:rPr>
          <w:rFonts w:cs="Arial"/>
          <w:color w:val="262626"/>
          <w:sz w:val="16"/>
          <w:szCs w:val="16"/>
        </w:rPr>
        <w:t>: The social and economic forces behind the placement of children into care (2019</w:t>
      </w:r>
      <w:r w:rsidR="00A671DF" w:rsidRPr="00CB4F47">
        <w:rPr>
          <w:rFonts w:cs="Arial"/>
          <w:color w:val="262626"/>
          <w:sz w:val="16"/>
          <w:szCs w:val="16"/>
        </w:rPr>
        <w:t>,</w:t>
      </w:r>
      <w:r w:rsidRPr="00CB4F47">
        <w:rPr>
          <w:rFonts w:cs="Arial"/>
          <w:color w:val="262626"/>
          <w:sz w:val="16"/>
          <w:szCs w:val="16"/>
        </w:rPr>
        <w:t xml:space="preserve"> </w:t>
      </w:r>
      <w:r w:rsidRPr="00CB4F47">
        <w:rPr>
          <w:rFonts w:cs="Arial"/>
          <w:color w:val="auto"/>
          <w:sz w:val="16"/>
          <w:szCs w:val="16"/>
        </w:rPr>
        <w:t xml:space="preserve">pages </w:t>
      </w:r>
      <w:r w:rsidRPr="00CB4F47">
        <w:rPr>
          <w:rFonts w:cs="Arial"/>
          <w:color w:val="262626"/>
          <w:sz w:val="16"/>
          <w:szCs w:val="16"/>
        </w:rPr>
        <w:t>4</w:t>
      </w:r>
      <w:r w:rsidRPr="00CB4F47">
        <w:rPr>
          <w:rFonts w:cs="Arial"/>
          <w:color w:val="auto"/>
          <w:sz w:val="16"/>
          <w:szCs w:val="16"/>
        </w:rPr>
        <w:t>–</w:t>
      </w:r>
      <w:r w:rsidRPr="00CB4F47">
        <w:rPr>
          <w:rFonts w:cs="Arial"/>
          <w:color w:val="262626"/>
          <w:sz w:val="16"/>
          <w:szCs w:val="16"/>
        </w:rPr>
        <w:t>5</w:t>
      </w:r>
      <w:r w:rsidR="00131994">
        <w:rPr>
          <w:rFonts w:cs="Arial"/>
          <w:color w:val="262626"/>
          <w:sz w:val="16"/>
          <w:szCs w:val="16"/>
        </w:rPr>
        <w:t>)</w:t>
      </w:r>
      <w:r w:rsidRPr="00CB4F47">
        <w:rPr>
          <w:rFonts w:cs="Arial"/>
          <w:color w:val="262626"/>
          <w:sz w:val="16"/>
          <w:szCs w:val="16"/>
        </w:rPr>
        <w:t>.</w:t>
      </w:r>
    </w:p>
  </w:footnote>
  <w:footnote w:id="162">
    <w:p w14:paraId="3D12C2F7" w14:textId="782953E8" w:rsidR="000E429D" w:rsidRPr="00CB4F47" w:rsidRDefault="000E429D" w:rsidP="003F327E">
      <w:pPr>
        <w:keepLines w:val="0"/>
        <w:pBdr>
          <w:bottom w:val="single" w:sz="6" w:space="1" w:color="auto"/>
        </w:pBdr>
        <w:spacing w:before="0" w:after="0"/>
        <w:rPr>
          <w:sz w:val="16"/>
          <w:szCs w:val="16"/>
        </w:rPr>
      </w:pPr>
      <w:r w:rsidRPr="00536E67">
        <w:rPr>
          <w:rStyle w:val="StyleFootnoteReferenceFagoFunotenzeichenFagoFunotenzeichen"/>
          <w:sz w:val="16"/>
          <w:szCs w:val="16"/>
        </w:rPr>
        <w:footnoteRef/>
      </w:r>
      <w:r w:rsidRPr="00CB4F47">
        <w:rPr>
          <w:rStyle w:val="FootnoteReference"/>
          <w:rFonts w:ascii="Arial" w:hAnsi="Arial"/>
          <w:color w:val="000000" w:themeColor="text1"/>
          <w:sz w:val="16"/>
          <w:szCs w:val="16"/>
        </w:rPr>
        <w:t xml:space="preserve"> </w:t>
      </w:r>
      <w:r w:rsidRPr="00CB4F47">
        <w:rPr>
          <w:rFonts w:ascii="Arial" w:hAnsi="Arial" w:cs="Arial"/>
          <w:sz w:val="16"/>
          <w:szCs w:val="16"/>
        </w:rPr>
        <w:t xml:space="preserve">Beddoe, L, </w:t>
      </w:r>
      <w:r w:rsidR="009D18A1">
        <w:rPr>
          <w:rFonts w:ascii="Arial" w:hAnsi="Arial" w:cs="Arial"/>
          <w:sz w:val="16"/>
          <w:szCs w:val="16"/>
        </w:rPr>
        <w:t>"</w:t>
      </w:r>
      <w:r w:rsidRPr="00CB4F47">
        <w:rPr>
          <w:rFonts w:ascii="Arial" w:hAnsi="Arial" w:cs="Arial"/>
          <w:sz w:val="16"/>
          <w:szCs w:val="16"/>
        </w:rPr>
        <w:t>Feral families, troubled families: The spectre of the underclass in New Zealand,</w:t>
      </w:r>
      <w:r w:rsidR="009D18A1">
        <w:rPr>
          <w:rFonts w:ascii="Arial" w:hAnsi="Arial" w:cs="Arial"/>
          <w:sz w:val="16"/>
          <w:szCs w:val="16"/>
        </w:rPr>
        <w:t>"</w:t>
      </w:r>
      <w:r w:rsidRPr="00CB4F47">
        <w:rPr>
          <w:rFonts w:ascii="Arial" w:hAnsi="Arial" w:cs="Arial"/>
          <w:sz w:val="16"/>
          <w:szCs w:val="16"/>
        </w:rPr>
        <w:t xml:space="preserve"> New Zealand Sociology</w:t>
      </w:r>
      <w:r w:rsidR="00574DFE">
        <w:rPr>
          <w:rFonts w:ascii="Arial" w:hAnsi="Arial" w:cs="Arial"/>
          <w:sz w:val="16"/>
          <w:szCs w:val="16"/>
        </w:rPr>
        <w:t>,</w:t>
      </w:r>
      <w:r w:rsidRPr="00CB4F47">
        <w:rPr>
          <w:rFonts w:ascii="Arial" w:hAnsi="Arial" w:cs="Arial"/>
          <w:sz w:val="16"/>
          <w:szCs w:val="16"/>
        </w:rPr>
        <w:t xml:space="preserve"> Volume 29</w:t>
      </w:r>
      <w:r w:rsidR="00CF04E0">
        <w:rPr>
          <w:rFonts w:ascii="Arial" w:hAnsi="Arial" w:cs="Arial"/>
          <w:sz w:val="16"/>
          <w:szCs w:val="16"/>
        </w:rPr>
        <w:t>,</w:t>
      </w:r>
      <w:r w:rsidRPr="00CB4F47">
        <w:rPr>
          <w:rFonts w:ascii="Arial" w:hAnsi="Arial" w:cs="Arial"/>
          <w:sz w:val="16"/>
          <w:szCs w:val="16"/>
        </w:rPr>
        <w:t xml:space="preserve"> Issue 3</w:t>
      </w:r>
      <w:r w:rsidR="00CF04E0">
        <w:rPr>
          <w:rFonts w:ascii="Arial" w:hAnsi="Arial" w:cs="Arial"/>
          <w:sz w:val="16"/>
          <w:szCs w:val="16"/>
        </w:rPr>
        <w:t xml:space="preserve"> (</w:t>
      </w:r>
      <w:r w:rsidRPr="00CB4F47">
        <w:rPr>
          <w:rFonts w:ascii="Arial" w:hAnsi="Arial" w:cs="Arial"/>
          <w:sz w:val="16"/>
          <w:szCs w:val="16"/>
        </w:rPr>
        <w:t xml:space="preserve">2014, </w:t>
      </w:r>
      <w:r w:rsidRPr="00CB4F47">
        <w:rPr>
          <w:rFonts w:ascii="Arial" w:hAnsi="Arial" w:cs="Arial"/>
          <w:color w:val="auto"/>
          <w:sz w:val="16"/>
          <w:szCs w:val="16"/>
        </w:rPr>
        <w:t>pages</w:t>
      </w:r>
      <w:r w:rsidRPr="00CB4F47">
        <w:rPr>
          <w:rFonts w:ascii="Arial" w:hAnsi="Arial" w:cs="Arial"/>
          <w:sz w:val="16"/>
          <w:szCs w:val="16"/>
        </w:rPr>
        <w:t xml:space="preserve"> 52–53</w:t>
      </w:r>
      <w:r w:rsidR="00131994">
        <w:rPr>
          <w:rFonts w:ascii="Arial" w:hAnsi="Arial" w:cs="Arial"/>
          <w:sz w:val="16"/>
          <w:szCs w:val="16"/>
        </w:rPr>
        <w:t>)</w:t>
      </w:r>
      <w:r w:rsidRPr="00CB4F47">
        <w:rPr>
          <w:rFonts w:asciiTheme="minorHAnsi" w:hAnsiTheme="minorHAnsi"/>
          <w:sz w:val="16"/>
          <w:szCs w:val="16"/>
        </w:rPr>
        <w:t>.</w:t>
      </w:r>
    </w:p>
  </w:footnote>
  <w:footnote w:id="163">
    <w:p w14:paraId="5C5323DD" w14:textId="74C7A2B1" w:rsidR="000E429D" w:rsidRPr="00CB4F47" w:rsidRDefault="000E429D" w:rsidP="00C57877">
      <w:pPr>
        <w:pStyle w:val="FootnoteText"/>
        <w:spacing w:line="20" w:lineRule="atLeast"/>
        <w:jc w:val="left"/>
        <w:rPr>
          <w:rFonts w:cs="Arial"/>
          <w:sz w:val="16"/>
          <w:szCs w:val="16"/>
          <w:lang w:val="mi-NZ"/>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cs="Arial"/>
          <w:color w:val="262626"/>
          <w:sz w:val="16"/>
          <w:szCs w:val="16"/>
        </w:rPr>
        <w:t xml:space="preserve">Rashbrook, M &amp; Wilkinson, A, Cracks in the </w:t>
      </w:r>
      <w:r w:rsidR="00A671DF">
        <w:rPr>
          <w:rFonts w:cs="Arial"/>
          <w:color w:val="262626"/>
          <w:sz w:val="16"/>
          <w:szCs w:val="16"/>
        </w:rPr>
        <w:t>d</w:t>
      </w:r>
      <w:r w:rsidR="00A671DF" w:rsidRPr="00CB4F47">
        <w:rPr>
          <w:rFonts w:cs="Arial"/>
          <w:color w:val="262626"/>
          <w:sz w:val="16"/>
          <w:szCs w:val="16"/>
        </w:rPr>
        <w:t>am</w:t>
      </w:r>
      <w:r w:rsidRPr="00CB4F47">
        <w:rPr>
          <w:rFonts w:cs="Arial"/>
          <w:color w:val="262626"/>
          <w:sz w:val="16"/>
          <w:szCs w:val="16"/>
        </w:rPr>
        <w:t>: The social and economic forces behind the placement of children into care (2019</w:t>
      </w:r>
      <w:r w:rsidR="00A671DF" w:rsidRPr="00CB4F47">
        <w:rPr>
          <w:rFonts w:cs="Arial"/>
          <w:color w:val="262626"/>
          <w:sz w:val="16"/>
          <w:szCs w:val="16"/>
        </w:rPr>
        <w:t>,</w:t>
      </w:r>
      <w:r w:rsidRPr="00CB4F47">
        <w:rPr>
          <w:rFonts w:cs="Arial"/>
          <w:color w:val="262626"/>
          <w:sz w:val="16"/>
          <w:szCs w:val="16"/>
        </w:rPr>
        <w:t xml:space="preserve"> </w:t>
      </w:r>
      <w:r w:rsidR="00A8348E" w:rsidRPr="00CB4F47">
        <w:rPr>
          <w:rFonts w:cs="Arial"/>
          <w:color w:val="auto"/>
          <w:sz w:val="16"/>
          <w:szCs w:val="16"/>
        </w:rPr>
        <w:t>page</w:t>
      </w:r>
      <w:r w:rsidR="00A8348E" w:rsidRPr="00CB4F47">
        <w:rPr>
          <w:rFonts w:cs="Arial"/>
          <w:color w:val="262626"/>
          <w:sz w:val="16"/>
          <w:szCs w:val="16"/>
        </w:rPr>
        <w:t xml:space="preserve"> </w:t>
      </w:r>
      <w:r w:rsidRPr="00CB4F47">
        <w:rPr>
          <w:rFonts w:cs="Arial"/>
          <w:color w:val="262626"/>
          <w:sz w:val="16"/>
          <w:szCs w:val="16"/>
        </w:rPr>
        <w:t>6</w:t>
      </w:r>
      <w:r w:rsidR="00DF6EAA">
        <w:rPr>
          <w:rFonts w:cs="Arial"/>
          <w:color w:val="262626"/>
          <w:sz w:val="16"/>
          <w:szCs w:val="16"/>
        </w:rPr>
        <w:t>)</w:t>
      </w:r>
      <w:r w:rsidRPr="00CB4F47">
        <w:rPr>
          <w:rFonts w:cs="Arial"/>
          <w:color w:val="262626"/>
          <w:sz w:val="16"/>
          <w:szCs w:val="16"/>
        </w:rPr>
        <w:t>.</w:t>
      </w:r>
    </w:p>
  </w:footnote>
  <w:footnote w:id="164">
    <w:p w14:paraId="7C93CE97" w14:textId="3B91F26F" w:rsidR="000E429D" w:rsidRPr="00CB4F47" w:rsidRDefault="000E429D" w:rsidP="00C57877">
      <w:pPr>
        <w:pStyle w:val="FootnoteText"/>
        <w:spacing w:line="20" w:lineRule="atLeast"/>
        <w:jc w:val="left"/>
        <w:rPr>
          <w:rFonts w:cs="Arial"/>
          <w:sz w:val="16"/>
          <w:szCs w:val="16"/>
          <w:lang w:val="mi-NZ"/>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cs="Arial"/>
          <w:color w:val="262626"/>
          <w:sz w:val="16"/>
          <w:szCs w:val="16"/>
        </w:rPr>
        <w:t xml:space="preserve">Rashbrook, M &amp; Wilkinson, A, Cracks in the </w:t>
      </w:r>
      <w:r w:rsidR="00A671DF">
        <w:rPr>
          <w:rFonts w:cs="Arial"/>
          <w:color w:val="262626"/>
          <w:sz w:val="16"/>
          <w:szCs w:val="16"/>
        </w:rPr>
        <w:t>d</w:t>
      </w:r>
      <w:r w:rsidR="00A671DF" w:rsidRPr="00CB4F47">
        <w:rPr>
          <w:rFonts w:cs="Arial"/>
          <w:color w:val="262626"/>
          <w:sz w:val="16"/>
          <w:szCs w:val="16"/>
        </w:rPr>
        <w:t>am</w:t>
      </w:r>
      <w:r w:rsidRPr="00CB4F47">
        <w:rPr>
          <w:rFonts w:cs="Arial"/>
          <w:color w:val="262626"/>
          <w:sz w:val="16"/>
          <w:szCs w:val="16"/>
        </w:rPr>
        <w:t xml:space="preserve">: The social and economic forces behind the placement of children into care </w:t>
      </w:r>
      <w:r w:rsidR="00F6182F" w:rsidRPr="00CB4F47">
        <w:rPr>
          <w:rFonts w:cs="Arial"/>
          <w:color w:val="262626"/>
          <w:sz w:val="16"/>
          <w:szCs w:val="16"/>
        </w:rPr>
        <w:t>(</w:t>
      </w:r>
      <w:r w:rsidR="00374AC0">
        <w:rPr>
          <w:rFonts w:cs="Arial"/>
          <w:color w:val="262626"/>
          <w:sz w:val="16"/>
          <w:szCs w:val="16"/>
        </w:rPr>
        <w:t xml:space="preserve">2019, </w:t>
      </w:r>
      <w:r w:rsidR="00A8348E" w:rsidRPr="00CB4F47">
        <w:rPr>
          <w:rFonts w:cs="Arial"/>
          <w:color w:val="auto"/>
          <w:sz w:val="16"/>
          <w:szCs w:val="16"/>
        </w:rPr>
        <w:t>page</w:t>
      </w:r>
      <w:r w:rsidR="00A8348E" w:rsidRPr="00CB4F47">
        <w:rPr>
          <w:rFonts w:cs="Arial"/>
          <w:color w:val="262626"/>
          <w:sz w:val="16"/>
          <w:szCs w:val="16"/>
        </w:rPr>
        <w:t xml:space="preserve"> </w:t>
      </w:r>
      <w:r w:rsidRPr="00CB4F47">
        <w:rPr>
          <w:rFonts w:cs="Arial"/>
          <w:color w:val="262626"/>
          <w:sz w:val="16"/>
          <w:szCs w:val="16"/>
        </w:rPr>
        <w:t>6</w:t>
      </w:r>
      <w:r w:rsidR="00F6182F" w:rsidRPr="00CB4F47">
        <w:rPr>
          <w:rFonts w:cs="Arial"/>
          <w:color w:val="262626"/>
          <w:sz w:val="16"/>
          <w:szCs w:val="16"/>
        </w:rPr>
        <w:t>)</w:t>
      </w:r>
      <w:r w:rsidRPr="00CB4F47">
        <w:rPr>
          <w:rFonts w:cs="Arial"/>
          <w:color w:val="262626"/>
          <w:sz w:val="16"/>
          <w:szCs w:val="16"/>
        </w:rPr>
        <w:t xml:space="preserve">; Hyslop, I &amp; Keddell, E, </w:t>
      </w:r>
      <w:r w:rsidR="00CC0532" w:rsidRPr="00CB4F47">
        <w:rPr>
          <w:rFonts w:cs="Arial"/>
          <w:color w:val="262626"/>
          <w:sz w:val="16"/>
          <w:szCs w:val="16"/>
        </w:rPr>
        <w:t>Changes needed to the current system of child protection and care in Aotearoa</w:t>
      </w:r>
      <w:r w:rsidR="00CC0532">
        <w:rPr>
          <w:rFonts w:cs="Arial"/>
          <w:color w:val="262626"/>
          <w:sz w:val="16"/>
          <w:szCs w:val="16"/>
        </w:rPr>
        <w:t>,</w:t>
      </w:r>
      <w:r w:rsidR="00CC0532" w:rsidRPr="00CB4F47">
        <w:rPr>
          <w:rFonts w:cs="Arial"/>
          <w:color w:val="262626"/>
          <w:sz w:val="16"/>
          <w:szCs w:val="16"/>
        </w:rPr>
        <w:t xml:space="preserve"> </w:t>
      </w:r>
      <w:r w:rsidRPr="00CB4F47">
        <w:rPr>
          <w:rFonts w:cs="Arial"/>
          <w:color w:val="262626"/>
          <w:sz w:val="16"/>
          <w:szCs w:val="16"/>
        </w:rPr>
        <w:t>Expert opinion</w:t>
      </w:r>
      <w:r w:rsidR="00494AC7">
        <w:rPr>
          <w:rFonts w:cs="Arial"/>
          <w:color w:val="262626"/>
          <w:sz w:val="16"/>
          <w:szCs w:val="16"/>
        </w:rPr>
        <w:t xml:space="preserve"> prepared for the Royal Commission of Inquiry into Abuse in Care</w:t>
      </w:r>
      <w:r w:rsidRPr="00CB4F47">
        <w:rPr>
          <w:rFonts w:cs="Arial"/>
          <w:color w:val="262626"/>
          <w:sz w:val="16"/>
          <w:szCs w:val="16"/>
        </w:rPr>
        <w:t xml:space="preserve"> </w:t>
      </w:r>
      <w:r w:rsidR="00816FBF" w:rsidRPr="00CB4F47">
        <w:rPr>
          <w:rFonts w:cs="Arial"/>
          <w:color w:val="262626"/>
          <w:sz w:val="16"/>
          <w:szCs w:val="16"/>
        </w:rPr>
        <w:t>(</w:t>
      </w:r>
      <w:r w:rsidRPr="00CB4F47">
        <w:rPr>
          <w:rFonts w:cs="Arial"/>
          <w:color w:val="262626"/>
          <w:sz w:val="16"/>
          <w:szCs w:val="16"/>
        </w:rPr>
        <w:t>7 June 2022</w:t>
      </w:r>
      <w:r w:rsidR="00A671DF" w:rsidRPr="00CB4F47">
        <w:rPr>
          <w:rFonts w:cs="Arial"/>
          <w:color w:val="262626"/>
          <w:sz w:val="16"/>
          <w:szCs w:val="16"/>
        </w:rPr>
        <w:t>,</w:t>
      </w:r>
      <w:r w:rsidRPr="00CB4F47">
        <w:rPr>
          <w:rFonts w:cs="Arial"/>
          <w:color w:val="262626"/>
          <w:sz w:val="16"/>
          <w:szCs w:val="16"/>
        </w:rPr>
        <w:t xml:space="preserve"> </w:t>
      </w:r>
      <w:r w:rsidR="00A8348E" w:rsidRPr="00CB4F47">
        <w:rPr>
          <w:rFonts w:cs="Arial"/>
          <w:color w:val="auto"/>
          <w:sz w:val="16"/>
          <w:szCs w:val="16"/>
        </w:rPr>
        <w:t>page</w:t>
      </w:r>
      <w:r w:rsidR="00A8348E" w:rsidRPr="00CB4F47">
        <w:rPr>
          <w:rFonts w:cs="Arial"/>
          <w:color w:val="262626"/>
          <w:sz w:val="16"/>
          <w:szCs w:val="16"/>
        </w:rPr>
        <w:t xml:space="preserve"> </w:t>
      </w:r>
      <w:r w:rsidRPr="00CB4F47">
        <w:rPr>
          <w:rFonts w:cs="Arial"/>
          <w:color w:val="262626"/>
          <w:sz w:val="16"/>
          <w:szCs w:val="16"/>
        </w:rPr>
        <w:t>8</w:t>
      </w:r>
      <w:r w:rsidR="00374AC0">
        <w:rPr>
          <w:rFonts w:cs="Arial"/>
          <w:color w:val="262626"/>
          <w:sz w:val="16"/>
          <w:szCs w:val="16"/>
        </w:rPr>
        <w:t>)</w:t>
      </w:r>
      <w:r w:rsidRPr="00CB4F47">
        <w:rPr>
          <w:rFonts w:cs="Arial"/>
          <w:color w:val="262626"/>
          <w:sz w:val="16"/>
          <w:szCs w:val="16"/>
        </w:rPr>
        <w:t>.</w:t>
      </w:r>
    </w:p>
  </w:footnote>
  <w:footnote w:id="165">
    <w:p w14:paraId="6679FC20" w14:textId="17FF285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McCreanor, T, Rankine J, Moewaka Barnes, A, Borell, B, Nairn, R &amp; McManus A-L, “The association of crime stories and Māori in Aotearoa New Zealand print media</w:t>
      </w:r>
      <w:r w:rsidR="00367549">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Sites: New Series 11(1) </w:t>
      </w:r>
      <w:r w:rsidRPr="00CB4F47">
        <w:rPr>
          <w:rFonts w:cs="Arial"/>
          <w:color w:val="000000"/>
          <w:sz w:val="16"/>
          <w:szCs w:val="16"/>
        </w:rPr>
        <w:t>(</w:t>
      </w:r>
      <w:r w:rsidRPr="00CB4F47">
        <w:rPr>
          <w:rFonts w:cs="Arial"/>
          <w:color w:val="auto"/>
          <w:sz w:val="16"/>
          <w:szCs w:val="16"/>
        </w:rPr>
        <w:t>2014</w:t>
      </w:r>
      <w:r w:rsidR="00A671DF" w:rsidRPr="00CB4F47">
        <w:rPr>
          <w:rFonts w:cs="Arial"/>
          <w:color w:val="000000"/>
          <w:sz w:val="16"/>
          <w:szCs w:val="16"/>
        </w:rPr>
        <w:t>,</w:t>
      </w:r>
      <w:r w:rsidRPr="00CB4F47">
        <w:rPr>
          <w:rFonts w:cs="Arial"/>
          <w:color w:val="auto"/>
          <w:sz w:val="16"/>
          <w:szCs w:val="16"/>
        </w:rPr>
        <w:t xml:space="preserve"> pages 121–144, p</w:t>
      </w:r>
      <w:r w:rsidR="0000388E" w:rsidRPr="00CB4F47">
        <w:rPr>
          <w:rFonts w:cs="Arial"/>
          <w:color w:val="auto"/>
          <w:sz w:val="16"/>
          <w:szCs w:val="16"/>
        </w:rPr>
        <w:t>age</w:t>
      </w:r>
      <w:r w:rsidRPr="00CB4F47">
        <w:rPr>
          <w:rFonts w:cs="Arial"/>
          <w:color w:val="auto"/>
          <w:sz w:val="16"/>
          <w:szCs w:val="16"/>
        </w:rPr>
        <w:t xml:space="preserve"> 123</w:t>
      </w:r>
      <w:r w:rsidR="00374AC0">
        <w:rPr>
          <w:rFonts w:cs="Arial"/>
          <w:color w:val="auto"/>
          <w:sz w:val="16"/>
          <w:szCs w:val="16"/>
        </w:rPr>
        <w:t>)</w:t>
      </w:r>
      <w:r w:rsidRPr="00CB4F47">
        <w:rPr>
          <w:rFonts w:cs="Arial"/>
          <w:color w:val="auto"/>
          <w:sz w:val="16"/>
          <w:szCs w:val="16"/>
        </w:rPr>
        <w:t>.</w:t>
      </w:r>
    </w:p>
  </w:footnote>
  <w:footnote w:id="166">
    <w:p w14:paraId="70CA5294" w14:textId="32BC17C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Health of Maori children: Shorter expectation of life</w:t>
      </w:r>
      <w:r w:rsidR="00367549">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w:t>
      </w:r>
      <w:r w:rsidRPr="00CB4F47" w:rsidDel="00262BF6">
        <w:rPr>
          <w:rFonts w:cs="Arial"/>
          <w:color w:val="auto"/>
          <w:sz w:val="16"/>
          <w:szCs w:val="16"/>
        </w:rPr>
        <w:t xml:space="preserve"> </w:t>
      </w:r>
      <w:r w:rsidR="009C0DD3" w:rsidRPr="00CB4F47">
        <w:rPr>
          <w:rFonts w:cs="Arial"/>
          <w:color w:val="auto"/>
          <w:sz w:val="16"/>
          <w:szCs w:val="16"/>
        </w:rPr>
        <w:t>(</w:t>
      </w:r>
      <w:r w:rsidRPr="00CB4F47">
        <w:rPr>
          <w:rFonts w:cs="Arial"/>
          <w:color w:val="auto"/>
          <w:sz w:val="16"/>
          <w:szCs w:val="16"/>
        </w:rPr>
        <w:t>5 April 1952</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w:t>
      </w:r>
      <w:r w:rsidR="00CD4D72">
        <w:rPr>
          <w:rFonts w:cs="Arial"/>
          <w:color w:val="auto"/>
          <w:sz w:val="16"/>
          <w:szCs w:val="16"/>
        </w:rPr>
        <w:t>)</w:t>
      </w:r>
      <w:r w:rsidRPr="00CB4F47">
        <w:rPr>
          <w:rFonts w:cs="Arial"/>
          <w:color w:val="auto"/>
          <w:sz w:val="16"/>
          <w:szCs w:val="16"/>
        </w:rPr>
        <w:t>.</w:t>
      </w:r>
    </w:p>
  </w:footnote>
  <w:footnote w:id="167">
    <w:p w14:paraId="4B7611FB" w14:textId="74E91CA2"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McCreanor, T, Rankine J, Moewaka Barnes, A, Borell, B, Nairn, R &amp; McManus A-L, “The association of crime stories and Māori in Aotearoa New Zealand print media</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Sites: New Series 11(1) </w:t>
      </w:r>
      <w:r w:rsidRPr="00CB4F47">
        <w:rPr>
          <w:rFonts w:cs="Arial"/>
          <w:color w:val="000000"/>
          <w:sz w:val="16"/>
          <w:szCs w:val="16"/>
        </w:rPr>
        <w:t>(</w:t>
      </w:r>
      <w:r w:rsidRPr="00CB4F47">
        <w:rPr>
          <w:rFonts w:cs="Arial"/>
          <w:color w:val="auto"/>
          <w:sz w:val="16"/>
          <w:szCs w:val="16"/>
        </w:rPr>
        <w:t>2014</w:t>
      </w:r>
      <w:r w:rsidR="00A671DF" w:rsidRPr="00CB4F47">
        <w:rPr>
          <w:rFonts w:cs="Arial"/>
          <w:color w:val="000000"/>
          <w:sz w:val="16"/>
          <w:szCs w:val="16"/>
        </w:rPr>
        <w:t>,</w:t>
      </w:r>
      <w:r w:rsidRPr="00CB4F47">
        <w:rPr>
          <w:rFonts w:cs="Arial"/>
          <w:color w:val="auto"/>
          <w:sz w:val="16"/>
          <w:szCs w:val="16"/>
        </w:rPr>
        <w:t xml:space="preserve"> pages 121–144</w:t>
      </w:r>
      <w:r w:rsidRPr="00CB4F47">
        <w:rPr>
          <w:rFonts w:cs="Arial"/>
          <w:color w:val="000000"/>
          <w:sz w:val="16"/>
          <w:szCs w:val="16"/>
        </w:rPr>
        <w:t xml:space="preserve">, </w:t>
      </w:r>
      <w:r w:rsidRPr="00CB4F47">
        <w:rPr>
          <w:rFonts w:cs="Arial"/>
          <w:color w:val="auto"/>
          <w:sz w:val="16"/>
          <w:szCs w:val="16"/>
        </w:rPr>
        <w:t>p</w:t>
      </w:r>
      <w:r w:rsidR="00DB7F8D" w:rsidRPr="00CB4F47">
        <w:rPr>
          <w:rFonts w:cs="Arial"/>
          <w:color w:val="auto"/>
          <w:sz w:val="16"/>
          <w:szCs w:val="16"/>
        </w:rPr>
        <w:t>age</w:t>
      </w:r>
      <w:r w:rsidRPr="00CB4F47">
        <w:rPr>
          <w:rFonts w:cs="Arial"/>
          <w:color w:val="auto"/>
          <w:sz w:val="16"/>
          <w:szCs w:val="16"/>
        </w:rPr>
        <w:t xml:space="preserve"> 125</w:t>
      </w:r>
      <w:r w:rsidR="00CD4D72">
        <w:rPr>
          <w:rFonts w:cs="Arial"/>
          <w:color w:val="auto"/>
          <w:sz w:val="16"/>
          <w:szCs w:val="16"/>
        </w:rPr>
        <w:t>)</w:t>
      </w:r>
      <w:r w:rsidRPr="00CB4F47">
        <w:rPr>
          <w:rFonts w:cs="Arial"/>
          <w:color w:val="auto"/>
          <w:sz w:val="16"/>
          <w:szCs w:val="16"/>
        </w:rPr>
        <w:t>.</w:t>
      </w:r>
    </w:p>
  </w:footnote>
  <w:footnote w:id="168">
    <w:p w14:paraId="0B9CA48D" w14:textId="021284FE"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Rankine, J, Nairn, R, Moewaka Barnes,A, Gregory, M, Kaiwai, H, Borell, B &amp; McCreanor, T, Media &amp; Te Tiriti o Waitangi 2007 (Tamaki Makaurau/Auckland: Kupu Taea: Media and Te Tiriti Project, 2008</w:t>
      </w:r>
      <w:r w:rsidR="00A671DF" w:rsidRPr="00CB4F47">
        <w:rPr>
          <w:rFonts w:cs="Arial"/>
          <w:sz w:val="16"/>
          <w:szCs w:val="16"/>
        </w:rPr>
        <w:t>,</w:t>
      </w:r>
      <w:r w:rsidRPr="00CB4F47">
        <w:rPr>
          <w:rFonts w:cs="Arial"/>
          <w:sz w:val="16"/>
          <w:szCs w:val="16"/>
        </w:rPr>
        <w:t xml:space="preserve"> </w:t>
      </w:r>
      <w:r w:rsidR="00A8348E" w:rsidRPr="00CB4F47">
        <w:rPr>
          <w:rFonts w:cs="Arial"/>
          <w:color w:val="auto"/>
          <w:sz w:val="16"/>
          <w:szCs w:val="16"/>
        </w:rPr>
        <w:t>page</w:t>
      </w:r>
      <w:r w:rsidR="00A8348E" w:rsidRPr="00CB4F47">
        <w:rPr>
          <w:rFonts w:cs="Arial"/>
          <w:sz w:val="16"/>
          <w:szCs w:val="16"/>
        </w:rPr>
        <w:t xml:space="preserve"> </w:t>
      </w:r>
      <w:r w:rsidRPr="00CB4F47">
        <w:rPr>
          <w:rFonts w:cs="Arial"/>
          <w:sz w:val="16"/>
          <w:szCs w:val="16"/>
        </w:rPr>
        <w:t>10</w:t>
      </w:r>
      <w:r w:rsidR="00CD4D72">
        <w:rPr>
          <w:rFonts w:cs="Arial"/>
          <w:sz w:val="16"/>
          <w:szCs w:val="16"/>
        </w:rPr>
        <w:t>)</w:t>
      </w:r>
      <w:r w:rsidRPr="00CB4F47">
        <w:rPr>
          <w:rFonts w:cs="Arial"/>
          <w:sz w:val="16"/>
          <w:szCs w:val="16"/>
        </w:rPr>
        <w:t xml:space="preserve">. </w:t>
      </w:r>
    </w:p>
  </w:footnote>
  <w:footnote w:id="169">
    <w:p w14:paraId="6DC6B1D7" w14:textId="45D775B9" w:rsidR="00A412DE" w:rsidRDefault="00A412DE">
      <w:pPr>
        <w:pStyle w:val="FootnoteText"/>
      </w:pPr>
      <w:r>
        <w:rPr>
          <w:rStyle w:val="FootnoteReference"/>
        </w:rPr>
        <w:footnoteRef/>
      </w:r>
      <w:r>
        <w:t xml:space="preserve"> </w:t>
      </w:r>
      <w:r w:rsidR="00350C29" w:rsidRPr="001142DD">
        <w:rPr>
          <w:sz w:val="16"/>
          <w:szCs w:val="18"/>
        </w:rPr>
        <w:t>Hokowhitu, B, Tack</w:t>
      </w:r>
      <w:r w:rsidR="004F7F6F">
        <w:rPr>
          <w:sz w:val="16"/>
          <w:szCs w:val="18"/>
        </w:rPr>
        <w:t>l</w:t>
      </w:r>
      <w:r w:rsidR="00350C29" w:rsidRPr="001142DD">
        <w:rPr>
          <w:sz w:val="16"/>
          <w:szCs w:val="18"/>
        </w:rPr>
        <w:t>ing M</w:t>
      </w:r>
      <w:r w:rsidR="004F7F6F">
        <w:rPr>
          <w:sz w:val="16"/>
          <w:szCs w:val="18"/>
        </w:rPr>
        <w:t>ā</w:t>
      </w:r>
      <w:r w:rsidR="00350C29" w:rsidRPr="001142DD">
        <w:rPr>
          <w:sz w:val="16"/>
          <w:szCs w:val="18"/>
        </w:rPr>
        <w:t xml:space="preserve">ori </w:t>
      </w:r>
      <w:r w:rsidR="004F7F6F">
        <w:rPr>
          <w:sz w:val="16"/>
          <w:szCs w:val="18"/>
        </w:rPr>
        <w:t>M</w:t>
      </w:r>
      <w:r w:rsidR="00350C29" w:rsidRPr="001142DD">
        <w:rPr>
          <w:sz w:val="16"/>
          <w:szCs w:val="18"/>
        </w:rPr>
        <w:t xml:space="preserve">asculinity: </w:t>
      </w:r>
      <w:r w:rsidR="004F7F6F">
        <w:rPr>
          <w:sz w:val="16"/>
          <w:szCs w:val="18"/>
        </w:rPr>
        <w:t>A</w:t>
      </w:r>
      <w:r w:rsidR="00350C29" w:rsidRPr="001142DD">
        <w:rPr>
          <w:sz w:val="16"/>
          <w:szCs w:val="18"/>
        </w:rPr>
        <w:t xml:space="preserve"> </w:t>
      </w:r>
      <w:r w:rsidR="002659E1">
        <w:rPr>
          <w:sz w:val="16"/>
          <w:szCs w:val="18"/>
        </w:rPr>
        <w:t>C</w:t>
      </w:r>
      <w:r w:rsidR="00350C29" w:rsidRPr="001142DD">
        <w:rPr>
          <w:sz w:val="16"/>
          <w:szCs w:val="18"/>
        </w:rPr>
        <w:t xml:space="preserve">olonial </w:t>
      </w:r>
      <w:r w:rsidR="002659E1">
        <w:rPr>
          <w:sz w:val="16"/>
          <w:szCs w:val="18"/>
        </w:rPr>
        <w:t>G</w:t>
      </w:r>
      <w:r w:rsidR="00350C29" w:rsidRPr="001142DD">
        <w:rPr>
          <w:sz w:val="16"/>
          <w:szCs w:val="18"/>
        </w:rPr>
        <w:t xml:space="preserve">enealogy of </w:t>
      </w:r>
      <w:r w:rsidR="002659E1">
        <w:rPr>
          <w:sz w:val="16"/>
          <w:szCs w:val="18"/>
        </w:rPr>
        <w:t>Savager</w:t>
      </w:r>
      <w:r w:rsidR="00350C29" w:rsidRPr="001142DD">
        <w:rPr>
          <w:sz w:val="16"/>
          <w:szCs w:val="18"/>
        </w:rPr>
        <w:t xml:space="preserve">y and </w:t>
      </w:r>
      <w:r w:rsidR="002659E1">
        <w:rPr>
          <w:sz w:val="16"/>
          <w:szCs w:val="18"/>
        </w:rPr>
        <w:t>S</w:t>
      </w:r>
      <w:r w:rsidR="00350C29" w:rsidRPr="001142DD">
        <w:rPr>
          <w:sz w:val="16"/>
          <w:szCs w:val="18"/>
        </w:rPr>
        <w:t xml:space="preserve">port, </w:t>
      </w:r>
      <w:r w:rsidR="00D44DFA" w:rsidRPr="001142DD">
        <w:rPr>
          <w:sz w:val="16"/>
          <w:szCs w:val="18"/>
        </w:rPr>
        <w:t>The Contemporary Pacific</w:t>
      </w:r>
      <w:r w:rsidR="002659E1">
        <w:rPr>
          <w:sz w:val="16"/>
          <w:szCs w:val="18"/>
        </w:rPr>
        <w:t>, Volume 4:2</w:t>
      </w:r>
      <w:r w:rsidR="00D44DFA" w:rsidRPr="001142DD">
        <w:rPr>
          <w:sz w:val="16"/>
          <w:szCs w:val="18"/>
        </w:rPr>
        <w:t xml:space="preserve"> (2004, page</w:t>
      </w:r>
      <w:r w:rsidR="005B0EFE" w:rsidRPr="001142DD">
        <w:rPr>
          <w:sz w:val="16"/>
          <w:szCs w:val="18"/>
        </w:rPr>
        <w:t>s 264–265)</w:t>
      </w:r>
      <w:r w:rsidR="006320E2" w:rsidRPr="001142DD">
        <w:rPr>
          <w:sz w:val="16"/>
          <w:szCs w:val="18"/>
        </w:rPr>
        <w:t>.</w:t>
      </w:r>
      <w:r w:rsidR="00D44DFA" w:rsidRPr="001142DD">
        <w:rPr>
          <w:sz w:val="16"/>
          <w:szCs w:val="18"/>
        </w:rPr>
        <w:t xml:space="preserve"> </w:t>
      </w:r>
    </w:p>
  </w:footnote>
  <w:footnote w:id="170">
    <w:p w14:paraId="7B92306F" w14:textId="4C92DD8C" w:rsidR="009A5464" w:rsidRPr="00CB4F47" w:rsidRDefault="009A5464">
      <w:pPr>
        <w:pStyle w:val="FootnoteText"/>
        <w:rPr>
          <w:sz w:val="16"/>
          <w:szCs w:val="16"/>
        </w:rPr>
      </w:pPr>
      <w:r w:rsidRPr="00536E67">
        <w:rPr>
          <w:rStyle w:val="StyleFootnoteReferenceFagoFunotenzeichenFagoFunotenzeichen"/>
          <w:sz w:val="16"/>
          <w:szCs w:val="16"/>
        </w:rPr>
        <w:footnoteRef/>
      </w:r>
      <w:r w:rsidRPr="00CB4F47">
        <w:rPr>
          <w:sz w:val="16"/>
          <w:szCs w:val="16"/>
        </w:rPr>
        <w:t xml:space="preserve"> </w:t>
      </w:r>
      <w:r w:rsidR="00160AC3" w:rsidRPr="00CB4F47">
        <w:rPr>
          <w:rFonts w:cs="Arial"/>
          <w:sz w:val="16"/>
          <w:szCs w:val="16"/>
        </w:rPr>
        <w:t>Beddoe, L, Feral families, troubled families: The spectre of the underclass in New Zealand, New Zealand Sociology</w:t>
      </w:r>
      <w:r w:rsidR="00A54B82">
        <w:rPr>
          <w:rFonts w:cs="Arial"/>
          <w:sz w:val="16"/>
          <w:szCs w:val="16"/>
        </w:rPr>
        <w:t>,</w:t>
      </w:r>
      <w:r w:rsidR="00160AC3" w:rsidRPr="00CB4F47">
        <w:rPr>
          <w:rFonts w:cs="Arial"/>
          <w:sz w:val="16"/>
          <w:szCs w:val="16"/>
        </w:rPr>
        <w:t xml:space="preserve"> Volume 29</w:t>
      </w:r>
      <w:r w:rsidR="00A54B82">
        <w:rPr>
          <w:rFonts w:cs="Arial"/>
          <w:sz w:val="16"/>
          <w:szCs w:val="16"/>
        </w:rPr>
        <w:t>,</w:t>
      </w:r>
      <w:r w:rsidR="00160AC3" w:rsidRPr="00CB4F47">
        <w:rPr>
          <w:rFonts w:cs="Arial"/>
          <w:sz w:val="16"/>
          <w:szCs w:val="16"/>
        </w:rPr>
        <w:t xml:space="preserve"> Issue 3</w:t>
      </w:r>
      <w:r w:rsidR="00A54B82">
        <w:rPr>
          <w:rFonts w:cs="Arial"/>
          <w:sz w:val="16"/>
          <w:szCs w:val="16"/>
        </w:rPr>
        <w:t xml:space="preserve"> (</w:t>
      </w:r>
      <w:r w:rsidR="00160AC3" w:rsidRPr="00CB4F47">
        <w:rPr>
          <w:rFonts w:cs="Arial"/>
          <w:sz w:val="16"/>
          <w:szCs w:val="16"/>
        </w:rPr>
        <w:t>2014</w:t>
      </w:r>
      <w:r w:rsidR="00A671DF" w:rsidRPr="00CB4F47">
        <w:rPr>
          <w:rFonts w:cs="Arial"/>
          <w:sz w:val="16"/>
          <w:szCs w:val="16"/>
        </w:rPr>
        <w:t>,</w:t>
      </w:r>
      <w:r w:rsidR="00160AC3" w:rsidRPr="00CB4F47">
        <w:rPr>
          <w:rFonts w:cs="Arial"/>
          <w:sz w:val="16"/>
          <w:szCs w:val="16"/>
        </w:rPr>
        <w:t xml:space="preserve"> </w:t>
      </w:r>
      <w:r w:rsidR="00160AC3" w:rsidRPr="00CB4F47">
        <w:rPr>
          <w:rFonts w:cs="Arial"/>
          <w:color w:val="auto"/>
          <w:sz w:val="16"/>
          <w:szCs w:val="16"/>
        </w:rPr>
        <w:t xml:space="preserve">page </w:t>
      </w:r>
      <w:r w:rsidR="00160AC3" w:rsidRPr="00CB4F47">
        <w:rPr>
          <w:rFonts w:cs="Arial"/>
          <w:sz w:val="16"/>
          <w:szCs w:val="16"/>
        </w:rPr>
        <w:t>53</w:t>
      </w:r>
      <w:r w:rsidR="00CD4D72">
        <w:rPr>
          <w:rFonts w:cs="Arial"/>
          <w:sz w:val="16"/>
          <w:szCs w:val="16"/>
        </w:rPr>
        <w:t>)</w:t>
      </w:r>
      <w:r w:rsidR="00160AC3" w:rsidRPr="00CB4F47">
        <w:rPr>
          <w:rFonts w:asciiTheme="minorHAnsi" w:hAnsiTheme="minorHAnsi"/>
          <w:sz w:val="16"/>
          <w:szCs w:val="16"/>
        </w:rPr>
        <w:t>.</w:t>
      </w:r>
    </w:p>
  </w:footnote>
  <w:footnote w:id="171">
    <w:p w14:paraId="1B50A8D2" w14:textId="14D4C60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Goodger, K</w:t>
      </w:r>
      <w:r w:rsidR="00A671DF">
        <w:rPr>
          <w:rFonts w:cs="Arial"/>
          <w:color w:val="auto"/>
          <w:sz w:val="16"/>
          <w:szCs w:val="16"/>
        </w:rPr>
        <w:t>,</w:t>
      </w:r>
      <w:r w:rsidRPr="00CB4F47">
        <w:rPr>
          <w:rFonts w:cs="Arial"/>
          <w:color w:val="auto"/>
          <w:sz w:val="16"/>
          <w:szCs w:val="16"/>
        </w:rPr>
        <w:t xml:space="preserve"> “Maintaining sole parent families in New Zealand: An historical review</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Social Policy Journal of New Zealand, Issue 10 (June 1988</w:t>
      </w:r>
      <w:r w:rsidR="00A671DF" w:rsidRPr="00CB4F47">
        <w:rPr>
          <w:rFonts w:cs="Arial"/>
          <w:color w:val="000000"/>
          <w:sz w:val="16"/>
          <w:szCs w:val="16"/>
          <w:shd w:val="clear" w:color="auto" w:fill="FFFFFF"/>
        </w:rPr>
        <w:t>,</w:t>
      </w:r>
      <w:r w:rsidRPr="00CB4F47">
        <w:rPr>
          <w:rFonts w:cs="Arial"/>
          <w:color w:val="000000"/>
          <w:sz w:val="16"/>
          <w:szCs w:val="16"/>
          <w:shd w:val="clear" w:color="auto" w:fill="FFFFFF"/>
        </w:rPr>
        <w:t xml:space="preserve"> </w:t>
      </w:r>
      <w:r w:rsidR="00A8348E" w:rsidRPr="00CB4F47">
        <w:rPr>
          <w:rFonts w:cs="Arial"/>
          <w:color w:val="auto"/>
          <w:sz w:val="16"/>
          <w:szCs w:val="16"/>
        </w:rPr>
        <w:t xml:space="preserve">page </w:t>
      </w:r>
      <w:r w:rsidRPr="00CB4F47">
        <w:rPr>
          <w:rFonts w:cs="Arial"/>
          <w:color w:val="auto"/>
          <w:sz w:val="16"/>
          <w:szCs w:val="16"/>
        </w:rPr>
        <w:t>15</w:t>
      </w:r>
      <w:r w:rsidR="00CD4D72">
        <w:rPr>
          <w:rFonts w:cs="Arial"/>
          <w:color w:val="auto"/>
          <w:sz w:val="16"/>
          <w:szCs w:val="16"/>
        </w:rPr>
        <w:t>)</w:t>
      </w:r>
      <w:r w:rsidRPr="00CB4F47">
        <w:rPr>
          <w:rFonts w:cs="Arial"/>
          <w:color w:val="auto"/>
          <w:sz w:val="16"/>
          <w:szCs w:val="16"/>
        </w:rPr>
        <w:t>.</w:t>
      </w:r>
    </w:p>
  </w:footnote>
  <w:footnote w:id="172">
    <w:p w14:paraId="00695124" w14:textId="421D40C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Goodger, K, “Maintaining sole parent families in New Zealand</w:t>
      </w:r>
      <w:r w:rsidR="00EB03B7" w:rsidRPr="00CB4F47">
        <w:rPr>
          <w:rFonts w:cs="Arial"/>
          <w:color w:val="auto"/>
          <w:sz w:val="16"/>
          <w:szCs w:val="16"/>
        </w:rPr>
        <w:t>: An historical review</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Social Policy Journal of New Zealand, Issue 10 </w:t>
      </w:r>
      <w:r w:rsidRPr="00CB4F47">
        <w:rPr>
          <w:rFonts w:cs="Arial"/>
          <w:color w:val="000000"/>
          <w:sz w:val="16"/>
          <w:szCs w:val="16"/>
          <w:shd w:val="clear" w:color="auto" w:fill="FFFFFF"/>
        </w:rPr>
        <w:t>(</w:t>
      </w:r>
      <w:r w:rsidRPr="00CB4F47">
        <w:rPr>
          <w:rFonts w:cs="Arial"/>
          <w:color w:val="auto"/>
          <w:sz w:val="16"/>
          <w:szCs w:val="16"/>
        </w:rPr>
        <w:t>June 1988</w:t>
      </w:r>
      <w:r w:rsidR="00A671DF" w:rsidRPr="00CB4F47">
        <w:rPr>
          <w:rFonts w:cs="Arial"/>
          <w:color w:val="000000"/>
          <w:sz w:val="16"/>
          <w:szCs w:val="16"/>
          <w:shd w:val="clear" w:color="auto" w:fill="FFFFFF"/>
        </w:rPr>
        <w:t>,</w:t>
      </w:r>
      <w:r w:rsidRPr="00CB4F47">
        <w:rPr>
          <w:rFonts w:cs="Arial"/>
          <w:color w:val="000000"/>
          <w:sz w:val="16"/>
          <w:szCs w:val="16"/>
          <w:shd w:val="clear" w:color="auto" w:fill="FFFFFF"/>
        </w:rPr>
        <w:t xml:space="preserve"> </w:t>
      </w:r>
      <w:r w:rsidRPr="00CB4F47">
        <w:rPr>
          <w:rFonts w:cs="Arial"/>
          <w:color w:val="auto"/>
          <w:sz w:val="16"/>
          <w:szCs w:val="16"/>
        </w:rPr>
        <w:t>pages 15–16</w:t>
      </w:r>
      <w:r w:rsidR="00CD4D72">
        <w:rPr>
          <w:rFonts w:cs="Arial"/>
          <w:color w:val="auto"/>
          <w:sz w:val="16"/>
          <w:szCs w:val="16"/>
        </w:rPr>
        <w:t>)</w:t>
      </w:r>
      <w:r w:rsidRPr="00CB4F47">
        <w:rPr>
          <w:rFonts w:cs="Arial"/>
          <w:color w:val="auto"/>
          <w:sz w:val="16"/>
          <w:szCs w:val="16"/>
        </w:rPr>
        <w:t>.</w:t>
      </w:r>
    </w:p>
  </w:footnote>
  <w:footnote w:id="173">
    <w:p w14:paraId="635A852D" w14:textId="2F3F576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Brown, K, “</w:t>
      </w:r>
      <w:r w:rsidRPr="00CB4F47">
        <w:rPr>
          <w:rFonts w:cs="Arial"/>
          <w:sz w:val="16"/>
          <w:szCs w:val="16"/>
        </w:rPr>
        <w:t>Pregnant teenagers</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(18 December 1981</w:t>
      </w:r>
      <w:r w:rsidR="00A671DF"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12</w:t>
      </w:r>
      <w:r w:rsidR="00DA4D6A" w:rsidRPr="00CB4F47" w:rsidDel="00046BBC">
        <w:rPr>
          <w:rFonts w:cs="Arial"/>
          <w:color w:val="auto"/>
          <w:sz w:val="16"/>
          <w:szCs w:val="16"/>
        </w:rPr>
        <w:t>)</w:t>
      </w:r>
      <w:r w:rsidRPr="00CB4F47">
        <w:rPr>
          <w:rFonts w:cs="Arial"/>
          <w:color w:val="auto"/>
          <w:sz w:val="16"/>
          <w:szCs w:val="16"/>
        </w:rPr>
        <w:t>; “</w:t>
      </w:r>
      <w:r w:rsidRPr="00CB4F47">
        <w:rPr>
          <w:rFonts w:cs="Arial"/>
          <w:sz w:val="16"/>
          <w:szCs w:val="16"/>
        </w:rPr>
        <w:t>Effects of the DPB</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(15 December 1984</w:t>
      </w:r>
      <w:r w:rsidR="00A671DF" w:rsidRPr="00CB4F47">
        <w:rPr>
          <w:rFonts w:cs="Arial"/>
          <w:color w:val="auto"/>
          <w:sz w:val="16"/>
          <w:szCs w:val="16"/>
        </w:rPr>
        <w:t>,</w:t>
      </w:r>
      <w:r w:rsidR="008070A9">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18</w:t>
      </w:r>
      <w:r w:rsidR="00027079" w:rsidRPr="00CB4F47" w:rsidDel="008070A9">
        <w:rPr>
          <w:rFonts w:cs="Arial"/>
          <w:color w:val="auto"/>
          <w:sz w:val="16"/>
          <w:szCs w:val="16"/>
        </w:rPr>
        <w:t>)</w:t>
      </w:r>
      <w:r w:rsidRPr="00CB4F47">
        <w:rPr>
          <w:rFonts w:cs="Arial"/>
          <w:color w:val="auto"/>
          <w:sz w:val="16"/>
          <w:szCs w:val="16"/>
        </w:rPr>
        <w:t>; “</w:t>
      </w:r>
      <w:r w:rsidRPr="00CB4F47">
        <w:rPr>
          <w:rFonts w:cs="Arial"/>
          <w:sz w:val="16"/>
          <w:szCs w:val="16"/>
        </w:rPr>
        <w:t>Benefit cost deplored</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(23 May 1977</w:t>
      </w:r>
      <w:r w:rsidR="00A671DF"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w:t>
      </w:r>
      <w:r w:rsidR="00027079" w:rsidRPr="00CB4F47" w:rsidDel="008070A9">
        <w:rPr>
          <w:rFonts w:cs="Arial"/>
          <w:color w:val="auto"/>
          <w:sz w:val="16"/>
          <w:szCs w:val="16"/>
        </w:rPr>
        <w:t>)</w:t>
      </w:r>
      <w:r w:rsidRPr="00CB4F47">
        <w:rPr>
          <w:rFonts w:cs="Arial"/>
          <w:color w:val="auto"/>
          <w:sz w:val="16"/>
          <w:szCs w:val="16"/>
        </w:rPr>
        <w:t>; “</w:t>
      </w:r>
      <w:r w:rsidRPr="00CB4F47">
        <w:rPr>
          <w:rFonts w:cs="Arial"/>
          <w:sz w:val="16"/>
          <w:szCs w:val="16"/>
        </w:rPr>
        <w:t>Spending must be pared</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(23 May 1977</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w:t>
      </w:r>
      <w:r w:rsidR="001B14B6">
        <w:rPr>
          <w:rFonts w:cs="Arial"/>
          <w:color w:val="auto"/>
          <w:sz w:val="16"/>
          <w:szCs w:val="16"/>
        </w:rPr>
        <w:t>)</w:t>
      </w:r>
      <w:r w:rsidRPr="00CB4F47">
        <w:rPr>
          <w:rFonts w:cs="Arial"/>
          <w:color w:val="auto"/>
          <w:sz w:val="16"/>
          <w:szCs w:val="16"/>
        </w:rPr>
        <w:t>.</w:t>
      </w:r>
    </w:p>
  </w:footnote>
  <w:footnote w:id="174">
    <w:p w14:paraId="22B40AE8" w14:textId="2DFC6FE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Swain, D, “Children, families, law and social policy in Aotearoa New Zealand</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Journal of Comparative Family Studies, 18(2) (1987</w:t>
      </w:r>
      <w:r w:rsidR="00A671DF" w:rsidRPr="00CB4F47">
        <w:rPr>
          <w:rFonts w:cs="Arial"/>
          <w:color w:val="auto"/>
          <w:sz w:val="16"/>
          <w:szCs w:val="16"/>
        </w:rPr>
        <w:t>,</w:t>
      </w:r>
      <w:r w:rsidR="00A671DF" w:rsidRPr="00CB4F47">
        <w:rPr>
          <w:rFonts w:cs="Arial"/>
          <w:color w:val="000000"/>
          <w:sz w:val="16"/>
          <w:szCs w:val="16"/>
          <w:shd w:val="clear" w:color="auto" w:fill="FFFFFF"/>
        </w:rPr>
        <w:t xml:space="preserve"> </w:t>
      </w:r>
      <w:r w:rsidRPr="00CB4F47">
        <w:rPr>
          <w:rFonts w:cs="Arial"/>
          <w:color w:val="auto"/>
          <w:sz w:val="16"/>
          <w:szCs w:val="16"/>
        </w:rPr>
        <w:t>pages 175–206, p</w:t>
      </w:r>
      <w:r w:rsidR="00DB7F8D" w:rsidRPr="00CB4F47">
        <w:rPr>
          <w:rFonts w:cs="Arial"/>
          <w:color w:val="auto"/>
          <w:sz w:val="16"/>
          <w:szCs w:val="16"/>
        </w:rPr>
        <w:t>age</w:t>
      </w:r>
      <w:r w:rsidRPr="00CB4F47">
        <w:rPr>
          <w:rFonts w:cs="Arial"/>
          <w:color w:val="auto"/>
          <w:sz w:val="16"/>
          <w:szCs w:val="16"/>
        </w:rPr>
        <w:t xml:space="preserve"> 195</w:t>
      </w:r>
      <w:r w:rsidR="0043015B" w:rsidRPr="00CB4F47" w:rsidDel="008616F2">
        <w:rPr>
          <w:rFonts w:cs="Arial"/>
          <w:color w:val="auto"/>
          <w:sz w:val="16"/>
          <w:szCs w:val="16"/>
        </w:rPr>
        <w:t>)</w:t>
      </w:r>
      <w:r w:rsidRPr="00CB4F47">
        <w:rPr>
          <w:rFonts w:cs="Arial"/>
          <w:color w:val="auto"/>
          <w:sz w:val="16"/>
          <w:szCs w:val="16"/>
        </w:rPr>
        <w:t>; Saville-Smith, K, “Women and the state</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Cox, S (ed)</w:t>
      </w:r>
      <w:r w:rsidR="00B808E0">
        <w:rPr>
          <w:rFonts w:cs="Arial"/>
          <w:color w:val="auto"/>
          <w:sz w:val="16"/>
          <w:szCs w:val="16"/>
        </w:rPr>
        <w:t>,</w:t>
      </w:r>
      <w:r w:rsidRPr="00CB4F47">
        <w:rPr>
          <w:rFonts w:cs="Arial"/>
          <w:color w:val="auto"/>
          <w:sz w:val="16"/>
          <w:szCs w:val="16"/>
        </w:rPr>
        <w:t xml:space="preserve"> Public and private worlds: Women in contemporary New Zealand (Allen and Unwin, 1987</w:t>
      </w:r>
      <w:r w:rsidR="00A671DF"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206</w:t>
      </w:r>
      <w:r w:rsidR="0043015B" w:rsidRPr="00CB4F47" w:rsidDel="008616F2">
        <w:rPr>
          <w:rFonts w:cs="Arial"/>
          <w:color w:val="auto"/>
          <w:sz w:val="16"/>
          <w:szCs w:val="16"/>
        </w:rPr>
        <w:t>)</w:t>
      </w:r>
      <w:r w:rsidRPr="00CB4F47">
        <w:rPr>
          <w:rFonts w:cs="Arial"/>
          <w:color w:val="auto"/>
          <w:sz w:val="16"/>
          <w:szCs w:val="16"/>
        </w:rPr>
        <w:t>; “</w:t>
      </w:r>
      <w:r w:rsidRPr="00CB4F47">
        <w:rPr>
          <w:rFonts w:cs="Arial"/>
          <w:sz w:val="16"/>
          <w:szCs w:val="16"/>
        </w:rPr>
        <w:t>Minister defends counselling</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(15 July 1977</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4</w:t>
      </w:r>
      <w:r w:rsidR="001B14B6">
        <w:rPr>
          <w:rFonts w:cs="Arial"/>
          <w:color w:val="auto"/>
          <w:sz w:val="16"/>
          <w:szCs w:val="16"/>
        </w:rPr>
        <w:t>)</w:t>
      </w:r>
      <w:r w:rsidRPr="00CB4F47">
        <w:rPr>
          <w:rFonts w:cs="Arial"/>
          <w:color w:val="auto"/>
          <w:sz w:val="16"/>
          <w:szCs w:val="16"/>
        </w:rPr>
        <w:t>; “</w:t>
      </w:r>
      <w:r w:rsidRPr="00CB4F47">
        <w:rPr>
          <w:rFonts w:cs="Arial"/>
          <w:sz w:val="16"/>
          <w:szCs w:val="16"/>
        </w:rPr>
        <w:t>Mr Walker promises to prevent abuses</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(24 March 1977</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4</w:t>
      </w:r>
      <w:r w:rsidR="001B14B6">
        <w:rPr>
          <w:rFonts w:cs="Arial"/>
          <w:color w:val="auto"/>
          <w:sz w:val="16"/>
          <w:szCs w:val="16"/>
        </w:rPr>
        <w:t>)</w:t>
      </w:r>
      <w:r w:rsidRPr="00CB4F47">
        <w:rPr>
          <w:rFonts w:cs="Arial"/>
          <w:color w:val="auto"/>
          <w:sz w:val="16"/>
          <w:szCs w:val="16"/>
        </w:rPr>
        <w:t>.</w:t>
      </w:r>
    </w:p>
  </w:footnote>
  <w:footnote w:id="175">
    <w:p w14:paraId="70133C4C" w14:textId="7F40FE5D"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Mr Walker promises to prevent abuses</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w:t>
      </w:r>
      <w:r w:rsidR="00E64110" w:rsidRPr="00CB4F47">
        <w:rPr>
          <w:rFonts w:cs="Arial"/>
          <w:color w:val="auto"/>
          <w:sz w:val="16"/>
          <w:szCs w:val="16"/>
        </w:rPr>
        <w:t>(</w:t>
      </w:r>
      <w:r w:rsidRPr="00CB4F47">
        <w:rPr>
          <w:rFonts w:cs="Arial"/>
          <w:color w:val="auto"/>
          <w:sz w:val="16"/>
          <w:szCs w:val="16"/>
        </w:rPr>
        <w:t>24 March 1977</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4</w:t>
      </w:r>
      <w:r w:rsidR="001B14B6">
        <w:rPr>
          <w:rFonts w:cs="Arial"/>
          <w:color w:val="auto"/>
          <w:sz w:val="16"/>
          <w:szCs w:val="16"/>
        </w:rPr>
        <w:t>)</w:t>
      </w:r>
      <w:r w:rsidRPr="00CB4F47">
        <w:rPr>
          <w:rFonts w:cs="Arial"/>
          <w:color w:val="auto"/>
          <w:sz w:val="16"/>
          <w:szCs w:val="16"/>
        </w:rPr>
        <w:t>; “</w:t>
      </w:r>
      <w:r w:rsidRPr="00CB4F47">
        <w:rPr>
          <w:rFonts w:cs="Arial"/>
          <w:sz w:val="16"/>
          <w:szCs w:val="16"/>
        </w:rPr>
        <w:t>Illegal benefit admissions</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w:t>
      </w:r>
      <w:r w:rsidRPr="00CB4F47" w:rsidDel="001B14B6">
        <w:rPr>
          <w:rFonts w:cs="Arial"/>
          <w:color w:val="auto"/>
          <w:sz w:val="16"/>
          <w:szCs w:val="16"/>
        </w:rPr>
        <w:t xml:space="preserve"> </w:t>
      </w:r>
      <w:r w:rsidRPr="00CB4F47">
        <w:rPr>
          <w:rFonts w:cs="Arial"/>
          <w:color w:val="auto"/>
          <w:sz w:val="16"/>
          <w:szCs w:val="16"/>
        </w:rPr>
        <w:t>(27 March 1976</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w:t>
      </w:r>
      <w:r w:rsidR="001B14B6">
        <w:rPr>
          <w:rFonts w:cs="Arial"/>
          <w:color w:val="auto"/>
          <w:sz w:val="16"/>
          <w:szCs w:val="16"/>
        </w:rPr>
        <w:t>)</w:t>
      </w:r>
      <w:r w:rsidRPr="00CB4F47">
        <w:rPr>
          <w:rFonts w:cs="Arial"/>
          <w:color w:val="auto"/>
          <w:sz w:val="16"/>
          <w:szCs w:val="16"/>
        </w:rPr>
        <w:t>; “</w:t>
      </w:r>
      <w:r w:rsidRPr="00CB4F47">
        <w:rPr>
          <w:rFonts w:cs="Arial"/>
          <w:sz w:val="16"/>
          <w:szCs w:val="16"/>
        </w:rPr>
        <w:t>Police will not prosecute</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(25 May 1976</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12</w:t>
      </w:r>
      <w:r w:rsidR="001B14B6">
        <w:rPr>
          <w:rFonts w:cs="Arial"/>
          <w:color w:val="auto"/>
          <w:sz w:val="16"/>
          <w:szCs w:val="16"/>
        </w:rPr>
        <w:t>)</w:t>
      </w:r>
      <w:r w:rsidRPr="00CB4F47">
        <w:rPr>
          <w:rFonts w:cs="Arial"/>
          <w:color w:val="auto"/>
          <w:sz w:val="16"/>
          <w:szCs w:val="16"/>
        </w:rPr>
        <w:t>.</w:t>
      </w:r>
    </w:p>
  </w:footnote>
  <w:footnote w:id="176">
    <w:p w14:paraId="2CFD1D88" w14:textId="4444C50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Spending must be pared</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(23 May 1977</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2</w:t>
      </w:r>
      <w:r w:rsidR="00CD28E9">
        <w:rPr>
          <w:rFonts w:cs="Arial"/>
          <w:color w:val="auto"/>
          <w:sz w:val="16"/>
          <w:szCs w:val="16"/>
        </w:rPr>
        <w:t>)</w:t>
      </w:r>
      <w:r w:rsidRPr="00CB4F47">
        <w:rPr>
          <w:rFonts w:cs="Arial"/>
          <w:color w:val="auto"/>
          <w:sz w:val="16"/>
          <w:szCs w:val="16"/>
        </w:rPr>
        <w:t>.</w:t>
      </w:r>
    </w:p>
  </w:footnote>
  <w:footnote w:id="177">
    <w:p w14:paraId="0562AFDE" w14:textId="00D80FD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Mr Walker promises to prevent abuses</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(24 March 1977</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4</w:t>
      </w:r>
      <w:r w:rsidR="00545861">
        <w:rPr>
          <w:rFonts w:cs="Arial"/>
          <w:color w:val="auto"/>
          <w:sz w:val="16"/>
          <w:szCs w:val="16"/>
        </w:rPr>
        <w:t>)</w:t>
      </w:r>
      <w:r w:rsidRPr="00CB4F47">
        <w:rPr>
          <w:rFonts w:cs="Arial"/>
          <w:color w:val="auto"/>
          <w:sz w:val="16"/>
          <w:szCs w:val="16"/>
        </w:rPr>
        <w:t>.</w:t>
      </w:r>
    </w:p>
  </w:footnote>
  <w:footnote w:id="178">
    <w:p w14:paraId="360199BC" w14:textId="15D2215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Mr Walker promises to prevent abuses</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The Press (24 March 1977</w:t>
      </w:r>
      <w:r w:rsidR="00A671DF" w:rsidRPr="00CB4F47">
        <w:rPr>
          <w:rFonts w:cs="Arial"/>
          <w:color w:val="auto"/>
          <w:sz w:val="16"/>
          <w:szCs w:val="16"/>
        </w:rPr>
        <w:t>,</w:t>
      </w:r>
      <w:r w:rsidRPr="00CB4F47">
        <w:rPr>
          <w:rFonts w:cs="Arial"/>
          <w:color w:val="auto"/>
          <w:sz w:val="16"/>
          <w:szCs w:val="16"/>
        </w:rPr>
        <w:t xml:space="preserve"> </w:t>
      </w:r>
      <w:r w:rsidR="00A8348E" w:rsidRPr="00CB4F47">
        <w:rPr>
          <w:rFonts w:cs="Arial"/>
          <w:color w:val="auto"/>
          <w:sz w:val="16"/>
          <w:szCs w:val="16"/>
        </w:rPr>
        <w:t xml:space="preserve">page </w:t>
      </w:r>
      <w:r w:rsidRPr="00CB4F47">
        <w:rPr>
          <w:rFonts w:cs="Arial"/>
          <w:color w:val="auto"/>
          <w:sz w:val="16"/>
          <w:szCs w:val="16"/>
        </w:rPr>
        <w:t>4</w:t>
      </w:r>
      <w:r w:rsidR="00545861">
        <w:rPr>
          <w:rFonts w:cs="Arial"/>
          <w:color w:val="auto"/>
          <w:sz w:val="16"/>
          <w:szCs w:val="16"/>
        </w:rPr>
        <w:t>)</w:t>
      </w:r>
      <w:r w:rsidRPr="00CB4F47">
        <w:rPr>
          <w:rFonts w:cs="Arial"/>
          <w:color w:val="auto"/>
          <w:sz w:val="16"/>
          <w:szCs w:val="16"/>
        </w:rPr>
        <w:t>.</w:t>
      </w:r>
    </w:p>
  </w:footnote>
  <w:footnote w:id="179">
    <w:p w14:paraId="5367F9A2" w14:textId="3B7152C0" w:rsidR="002068A3" w:rsidRPr="00DD5764" w:rsidRDefault="002068A3">
      <w:pPr>
        <w:pStyle w:val="FootnoteText"/>
        <w:rPr>
          <w:sz w:val="16"/>
          <w:szCs w:val="16"/>
        </w:rPr>
      </w:pPr>
      <w:r w:rsidRPr="00536E67">
        <w:rPr>
          <w:rStyle w:val="StyleFootnoteReferenceFagoFunotenzeichenFagoFunotenzeichen"/>
          <w:sz w:val="16"/>
          <w:szCs w:val="16"/>
        </w:rPr>
        <w:footnoteRef/>
      </w:r>
      <w:r w:rsidRPr="00DD5764">
        <w:rPr>
          <w:sz w:val="16"/>
          <w:szCs w:val="16"/>
        </w:rPr>
        <w:t xml:space="preserve"> Berenston-Shaw, </w:t>
      </w:r>
      <w:r w:rsidR="00A671DF">
        <w:rPr>
          <w:sz w:val="16"/>
          <w:szCs w:val="16"/>
        </w:rPr>
        <w:t>J</w:t>
      </w:r>
      <w:r w:rsidRPr="00DD5764">
        <w:rPr>
          <w:sz w:val="16"/>
          <w:szCs w:val="16"/>
        </w:rPr>
        <w:t>, Telling a new story about child poverty in New Zealand, report prepared for the Policy Observatory (Auckland University Press, 2018</w:t>
      </w:r>
      <w:r w:rsidR="00A671DF" w:rsidRPr="00DD5764">
        <w:rPr>
          <w:sz w:val="16"/>
          <w:szCs w:val="16"/>
        </w:rPr>
        <w:t>,</w:t>
      </w:r>
      <w:r w:rsidRPr="00DD5764">
        <w:rPr>
          <w:sz w:val="16"/>
          <w:szCs w:val="16"/>
        </w:rPr>
        <w:t xml:space="preserve"> page 5</w:t>
      </w:r>
      <w:r w:rsidR="00545861">
        <w:rPr>
          <w:sz w:val="16"/>
          <w:szCs w:val="16"/>
        </w:rPr>
        <w:t>)</w:t>
      </w:r>
      <w:r w:rsidRPr="00DD5764">
        <w:rPr>
          <w:sz w:val="16"/>
          <w:szCs w:val="16"/>
        </w:rPr>
        <w:t>.</w:t>
      </w:r>
    </w:p>
  </w:footnote>
  <w:footnote w:id="180">
    <w:p w14:paraId="4D4411AD" w14:textId="29B37D4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Nairn, R, Coverdale, J &amp; Claasen, D, “From source material to news story in New Zealand print media: a prospective study of the stigmatizing processes in depicting mental illness</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Australian and New Zealand Journal of Psychiatry, 35(5), (2001</w:t>
      </w:r>
      <w:r w:rsidR="00A671DF" w:rsidRPr="00CB4F47">
        <w:rPr>
          <w:rFonts w:cs="Arial"/>
          <w:color w:val="auto"/>
          <w:sz w:val="16"/>
          <w:szCs w:val="16"/>
        </w:rPr>
        <w:t>,</w:t>
      </w:r>
      <w:r w:rsidRPr="00CB4F47">
        <w:rPr>
          <w:rFonts w:cs="Arial"/>
          <w:color w:val="auto"/>
          <w:sz w:val="16"/>
          <w:szCs w:val="16"/>
        </w:rPr>
        <w:t xml:space="preserve"> pages 654–659, p</w:t>
      </w:r>
      <w:r w:rsidR="00DB7F8D" w:rsidRPr="00CB4F47">
        <w:rPr>
          <w:rFonts w:cs="Arial"/>
          <w:color w:val="auto"/>
          <w:sz w:val="16"/>
          <w:szCs w:val="16"/>
        </w:rPr>
        <w:t>age</w:t>
      </w:r>
      <w:r w:rsidRPr="00CB4F47">
        <w:rPr>
          <w:rFonts w:cs="Arial"/>
          <w:color w:val="auto"/>
          <w:sz w:val="16"/>
          <w:szCs w:val="16"/>
        </w:rPr>
        <w:t xml:space="preserve"> 654</w:t>
      </w:r>
      <w:r w:rsidR="00094391">
        <w:rPr>
          <w:rFonts w:cs="Arial"/>
          <w:color w:val="auto"/>
          <w:sz w:val="16"/>
          <w:szCs w:val="16"/>
        </w:rPr>
        <w:t>)</w:t>
      </w:r>
      <w:r w:rsidRPr="00CB4F47">
        <w:rPr>
          <w:rFonts w:cs="Arial"/>
          <w:color w:val="auto"/>
          <w:sz w:val="16"/>
          <w:szCs w:val="16"/>
        </w:rPr>
        <w:t>.</w:t>
      </w:r>
    </w:p>
  </w:footnote>
  <w:footnote w:id="181">
    <w:p w14:paraId="47670AC4" w14:textId="485DF74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Nairn, R, Coverdale, J &amp; Claasen, D, “From source material to news story in New Zealand print media: a prospective study of the stigmatizing processes in depicting mental illness</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Australian and New Zealand Journal of Psychiatry, 35(5) (2001</w:t>
      </w:r>
      <w:r w:rsidR="00A671DF" w:rsidRPr="00CB4F47">
        <w:rPr>
          <w:rFonts w:cs="Arial"/>
          <w:color w:val="auto"/>
          <w:sz w:val="16"/>
          <w:szCs w:val="16"/>
        </w:rPr>
        <w:t>)</w:t>
      </w:r>
      <w:r w:rsidRPr="00CB4F47">
        <w:rPr>
          <w:rFonts w:cs="Arial"/>
          <w:color w:val="auto"/>
          <w:sz w:val="16"/>
          <w:szCs w:val="16"/>
        </w:rPr>
        <w:t xml:space="preserve"> pages 654–659, p</w:t>
      </w:r>
      <w:r w:rsidR="00DB7F8D" w:rsidRPr="00CB4F47">
        <w:rPr>
          <w:rFonts w:cs="Arial"/>
          <w:color w:val="auto"/>
          <w:sz w:val="16"/>
          <w:szCs w:val="16"/>
        </w:rPr>
        <w:t>age</w:t>
      </w:r>
      <w:r w:rsidRPr="00CB4F47">
        <w:rPr>
          <w:rFonts w:cs="Arial"/>
          <w:color w:val="auto"/>
          <w:sz w:val="16"/>
          <w:szCs w:val="16"/>
        </w:rPr>
        <w:t xml:space="preserve"> 654</w:t>
      </w:r>
      <w:r w:rsidR="00094391">
        <w:rPr>
          <w:rFonts w:cs="Arial"/>
          <w:color w:val="auto"/>
          <w:sz w:val="16"/>
          <w:szCs w:val="16"/>
        </w:rPr>
        <w:t>)</w:t>
      </w:r>
      <w:r w:rsidRPr="00CB4F47">
        <w:rPr>
          <w:rFonts w:cs="Arial"/>
          <w:color w:val="auto"/>
          <w:sz w:val="16"/>
          <w:szCs w:val="16"/>
        </w:rPr>
        <w:t>.</w:t>
      </w:r>
    </w:p>
  </w:footnote>
  <w:footnote w:id="182">
    <w:p w14:paraId="5714D0C7" w14:textId="7AAFB31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Nairn, R, “Does the use of psychiatrists as sources of information improve media depictions of mental illness? A pilot study</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Australian and New Zealand Journal of Psychiatry, 33(4), (1999</w:t>
      </w:r>
      <w:r w:rsidR="00A671DF" w:rsidRPr="00CB4F47">
        <w:rPr>
          <w:rFonts w:cs="Arial"/>
          <w:color w:val="000000"/>
          <w:sz w:val="16"/>
          <w:szCs w:val="16"/>
        </w:rPr>
        <w:t xml:space="preserve">, </w:t>
      </w:r>
      <w:r w:rsidRPr="00CB4F47">
        <w:rPr>
          <w:rFonts w:cs="Arial"/>
          <w:color w:val="auto"/>
          <w:sz w:val="16"/>
          <w:szCs w:val="16"/>
        </w:rPr>
        <w:t>pages 583–589, p</w:t>
      </w:r>
      <w:r w:rsidR="00DB7F8D" w:rsidRPr="00CB4F47">
        <w:rPr>
          <w:rFonts w:cs="Arial"/>
          <w:color w:val="auto"/>
          <w:sz w:val="16"/>
          <w:szCs w:val="16"/>
        </w:rPr>
        <w:t>age</w:t>
      </w:r>
      <w:r w:rsidRPr="00CB4F47">
        <w:rPr>
          <w:rFonts w:cs="Arial"/>
          <w:color w:val="auto"/>
          <w:sz w:val="16"/>
          <w:szCs w:val="16"/>
        </w:rPr>
        <w:t> 584</w:t>
      </w:r>
      <w:r w:rsidR="005D45D6" w:rsidRPr="00CB4F47">
        <w:rPr>
          <w:rFonts w:cs="Arial"/>
          <w:color w:val="auto"/>
          <w:sz w:val="16"/>
          <w:szCs w:val="16"/>
        </w:rPr>
        <w:t>)</w:t>
      </w:r>
      <w:r w:rsidRPr="00CB4F47">
        <w:rPr>
          <w:rFonts w:cs="Arial"/>
          <w:color w:val="auto"/>
          <w:sz w:val="16"/>
          <w:szCs w:val="16"/>
        </w:rPr>
        <w:t>.</w:t>
      </w:r>
    </w:p>
  </w:footnote>
  <w:footnote w:id="183">
    <w:p w14:paraId="549A3862" w14:textId="57E3B95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Mason, K, Report of the Ministerial Inquiry to the Minister of Health Hon Jenny Shipley – Inquiry under section 47 of the Health and Disability Services Act 1993 in respect of certain mental health services (Information Centre, Ministry of Health, 1996</w:t>
      </w:r>
      <w:r w:rsidR="00A671DF" w:rsidRPr="00CB4F47">
        <w:rPr>
          <w:rFonts w:cs="Arial"/>
          <w:color w:val="auto"/>
          <w:sz w:val="16"/>
          <w:szCs w:val="16"/>
        </w:rPr>
        <w:t xml:space="preserve">, </w:t>
      </w:r>
      <w:r w:rsidR="00757E71" w:rsidRPr="00CB4F47">
        <w:rPr>
          <w:rFonts w:cs="Arial"/>
          <w:color w:val="auto"/>
          <w:sz w:val="16"/>
          <w:szCs w:val="16"/>
        </w:rPr>
        <w:t>page</w:t>
      </w:r>
      <w:r w:rsidR="00757E71" w:rsidRPr="00CB4F47">
        <w:rPr>
          <w:rStyle w:val="normaltextrun"/>
          <w:rFonts w:cs="Arial"/>
          <w:color w:val="auto"/>
          <w:sz w:val="16"/>
          <w:szCs w:val="16"/>
          <w:shd w:val="clear" w:color="auto" w:fill="FFFFFF"/>
        </w:rPr>
        <w:t xml:space="preserve"> </w:t>
      </w:r>
      <w:r w:rsidRPr="00CB4F47">
        <w:rPr>
          <w:rStyle w:val="normaltextrun"/>
          <w:rFonts w:cs="Arial"/>
          <w:color w:val="auto"/>
          <w:sz w:val="16"/>
          <w:szCs w:val="16"/>
          <w:shd w:val="clear" w:color="auto" w:fill="FFFFFF"/>
        </w:rPr>
        <w:t>163</w:t>
      </w:r>
      <w:r w:rsidR="00C7186C" w:rsidRPr="00CB4F47">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w:t>
      </w:r>
    </w:p>
  </w:footnote>
  <w:footnote w:id="184">
    <w:p w14:paraId="6C3CFC6B" w14:textId="485EAE87" w:rsidR="00287617" w:rsidRDefault="00287617">
      <w:pPr>
        <w:pStyle w:val="FootnoteText"/>
      </w:pPr>
      <w:r>
        <w:rPr>
          <w:rStyle w:val="FootnoteReference"/>
        </w:rPr>
        <w:footnoteRef/>
      </w:r>
      <w:r>
        <w:t xml:space="preserve"> </w:t>
      </w:r>
      <w:r w:rsidR="00EF4FEC" w:rsidRPr="00EF4FEC">
        <w:t>Witness statement, Deborah Morris-Jenkins (21 June 2022).</w:t>
      </w:r>
    </w:p>
  </w:footnote>
  <w:footnote w:id="185">
    <w:p w14:paraId="1AC3BECF" w14:textId="735A4F73" w:rsidR="00B935CD" w:rsidRDefault="00B935CD">
      <w:pPr>
        <w:pStyle w:val="FootnoteText"/>
      </w:pPr>
      <w:r>
        <w:rPr>
          <w:rStyle w:val="FootnoteReference"/>
        </w:rPr>
        <w:footnoteRef/>
      </w:r>
      <w:r>
        <w:t xml:space="preserve"> </w:t>
      </w:r>
      <w:r w:rsidRPr="00B935CD">
        <w:t>Witness statement, Ms OF (21 November 2022</w:t>
      </w:r>
      <w:r>
        <w:t xml:space="preserve">). </w:t>
      </w:r>
    </w:p>
  </w:footnote>
  <w:footnote w:id="186">
    <w:p w14:paraId="4EBEF2D0" w14:textId="41F9189D"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Mathew, </w:t>
      </w:r>
      <w:r w:rsidR="00A671DF" w:rsidRPr="00CB4F47">
        <w:rPr>
          <w:rFonts w:cs="Arial"/>
          <w:color w:val="auto"/>
          <w:sz w:val="16"/>
          <w:szCs w:val="16"/>
        </w:rPr>
        <w:t>HC</w:t>
      </w:r>
      <w:r w:rsidRPr="00CB4F47">
        <w:rPr>
          <w:rFonts w:cs="Arial"/>
          <w:color w:val="auto"/>
          <w:sz w:val="16"/>
          <w:szCs w:val="16"/>
        </w:rPr>
        <w:t>, The institutional care of dependent children in New Zealand (New Zealand Council for Educational Research, 1942</w:t>
      </w:r>
      <w:r w:rsidR="00A671DF" w:rsidRPr="00CB4F47">
        <w:rPr>
          <w:rFonts w:cs="Arial"/>
          <w:color w:val="auto"/>
          <w:sz w:val="16"/>
          <w:szCs w:val="16"/>
        </w:rPr>
        <w:t xml:space="preserve">, </w:t>
      </w:r>
      <w:r w:rsidR="00757E71" w:rsidRPr="00CB4F47">
        <w:rPr>
          <w:rFonts w:cs="Arial"/>
          <w:color w:val="auto"/>
          <w:sz w:val="16"/>
          <w:szCs w:val="16"/>
        </w:rPr>
        <w:t xml:space="preserve">page </w:t>
      </w:r>
      <w:r w:rsidRPr="00CB4F47">
        <w:rPr>
          <w:rFonts w:cs="Arial"/>
          <w:color w:val="auto"/>
          <w:sz w:val="16"/>
          <w:szCs w:val="16"/>
        </w:rPr>
        <w:t>83</w:t>
      </w:r>
      <w:r w:rsidR="00A14DEB" w:rsidRPr="00CB4F47">
        <w:rPr>
          <w:rFonts w:cs="Arial"/>
          <w:color w:val="auto"/>
          <w:sz w:val="16"/>
          <w:szCs w:val="16"/>
        </w:rPr>
        <w:t>)</w:t>
      </w:r>
      <w:r w:rsidRPr="00CB4F47">
        <w:rPr>
          <w:rFonts w:cs="Arial"/>
          <w:color w:val="auto"/>
          <w:sz w:val="16"/>
          <w:szCs w:val="16"/>
        </w:rPr>
        <w:t>.</w:t>
      </w:r>
    </w:p>
  </w:footnote>
  <w:footnote w:id="187">
    <w:p w14:paraId="0E75F972" w14:textId="3C47E53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Mathew, </w:t>
      </w:r>
      <w:r w:rsidR="00A671DF" w:rsidRPr="00CB4F47">
        <w:rPr>
          <w:rFonts w:cs="Arial"/>
          <w:color w:val="auto"/>
          <w:sz w:val="16"/>
          <w:szCs w:val="16"/>
        </w:rPr>
        <w:t>HC</w:t>
      </w:r>
      <w:r w:rsidRPr="00CB4F47">
        <w:rPr>
          <w:rFonts w:cs="Arial"/>
          <w:color w:val="auto"/>
          <w:sz w:val="16"/>
          <w:szCs w:val="16"/>
        </w:rPr>
        <w:t>, The institutional care of dependent children in New Zealand (New Zealand Council for Educational Research, 1942</w:t>
      </w:r>
      <w:r w:rsidR="00A671DF" w:rsidRPr="00CB4F47">
        <w:rPr>
          <w:rFonts w:cs="Arial"/>
          <w:color w:val="auto"/>
          <w:sz w:val="16"/>
          <w:szCs w:val="16"/>
        </w:rPr>
        <w:t xml:space="preserve">, </w:t>
      </w:r>
      <w:r w:rsidR="00757E71" w:rsidRPr="00CB4F47">
        <w:rPr>
          <w:rFonts w:cs="Arial"/>
          <w:color w:val="auto"/>
          <w:sz w:val="16"/>
          <w:szCs w:val="16"/>
        </w:rPr>
        <w:t xml:space="preserve">page </w:t>
      </w:r>
      <w:r w:rsidRPr="00CB4F47">
        <w:rPr>
          <w:rFonts w:cs="Arial"/>
          <w:color w:val="auto"/>
          <w:sz w:val="16"/>
          <w:szCs w:val="16"/>
        </w:rPr>
        <w:t>85</w:t>
      </w:r>
      <w:r w:rsidR="00A14DEB" w:rsidRPr="00CB4F47">
        <w:rPr>
          <w:rFonts w:cs="Arial"/>
          <w:color w:val="auto"/>
          <w:sz w:val="16"/>
          <w:szCs w:val="16"/>
        </w:rPr>
        <w:t>)</w:t>
      </w:r>
      <w:r w:rsidRPr="00CB4F47">
        <w:rPr>
          <w:rFonts w:cs="Arial"/>
          <w:color w:val="auto"/>
          <w:sz w:val="16"/>
          <w:szCs w:val="16"/>
        </w:rPr>
        <w:t>.</w:t>
      </w:r>
    </w:p>
  </w:footnote>
  <w:footnote w:id="188">
    <w:p w14:paraId="215A5BC9" w14:textId="4177078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Gassin, T, Māori Mental Health – A report commissioned by the Waitangi Tribunal for the Health Services and Outcomes Kaupapa Inquiry (</w:t>
      </w:r>
      <w:r w:rsidR="00374434" w:rsidRPr="00CB4F47">
        <w:rPr>
          <w:rFonts w:cs="Arial"/>
          <w:color w:val="auto"/>
          <w:sz w:val="16"/>
          <w:szCs w:val="16"/>
        </w:rPr>
        <w:t>W</w:t>
      </w:r>
      <w:r w:rsidR="00374434">
        <w:rPr>
          <w:rFonts w:cs="Arial"/>
          <w:color w:val="auto"/>
          <w:sz w:val="16"/>
          <w:szCs w:val="16"/>
        </w:rPr>
        <w:t>ai</w:t>
      </w:r>
      <w:r w:rsidR="00374434" w:rsidRPr="00CB4F47">
        <w:rPr>
          <w:rFonts w:cs="Arial"/>
          <w:color w:val="auto"/>
          <w:sz w:val="16"/>
          <w:szCs w:val="16"/>
        </w:rPr>
        <w:t xml:space="preserve"> </w:t>
      </w:r>
      <w:r w:rsidRPr="00CB4F47">
        <w:rPr>
          <w:rFonts w:cs="Arial"/>
          <w:color w:val="auto"/>
          <w:sz w:val="16"/>
          <w:szCs w:val="16"/>
        </w:rPr>
        <w:t>2575, B26), (Waitangi Tribunal, 2019</w:t>
      </w:r>
      <w:r w:rsidR="00A671DF" w:rsidRPr="00CB4F47">
        <w:rPr>
          <w:rFonts w:cs="Arial"/>
          <w:color w:val="auto"/>
          <w:sz w:val="16"/>
          <w:szCs w:val="16"/>
        </w:rPr>
        <w:t xml:space="preserve">, </w:t>
      </w:r>
      <w:r w:rsidR="00757E71" w:rsidRPr="00CB4F47">
        <w:rPr>
          <w:rFonts w:cs="Arial"/>
          <w:color w:val="auto"/>
          <w:sz w:val="16"/>
          <w:szCs w:val="16"/>
        </w:rPr>
        <w:t xml:space="preserve">page </w:t>
      </w:r>
      <w:r w:rsidRPr="00CB4F47">
        <w:rPr>
          <w:rFonts w:cs="Arial"/>
          <w:color w:val="auto"/>
          <w:sz w:val="16"/>
          <w:szCs w:val="16"/>
        </w:rPr>
        <w:t>6</w:t>
      </w:r>
      <w:r w:rsidR="00A14DEB" w:rsidRPr="00CB4F47">
        <w:rPr>
          <w:rFonts w:cs="Arial"/>
          <w:color w:val="auto"/>
          <w:sz w:val="16"/>
          <w:szCs w:val="16"/>
        </w:rPr>
        <w:t>)</w:t>
      </w:r>
      <w:r w:rsidRPr="00CB4F47">
        <w:rPr>
          <w:rFonts w:cs="Arial"/>
          <w:color w:val="auto"/>
          <w:sz w:val="16"/>
          <w:szCs w:val="16"/>
        </w:rPr>
        <w:t>.</w:t>
      </w:r>
    </w:p>
  </w:footnote>
  <w:footnote w:id="189">
    <w:p w14:paraId="227FEE3C" w14:textId="0E695FB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Gassin, T, Māori Mental Health – A report commissioned by the Waitangi Tribunal for the Health Services and Outcomes Kaupapa Inquiry (</w:t>
      </w:r>
      <w:r w:rsidR="00A671DF" w:rsidRPr="00CB4F47">
        <w:rPr>
          <w:rFonts w:cs="Arial"/>
          <w:color w:val="auto"/>
          <w:sz w:val="16"/>
          <w:szCs w:val="16"/>
        </w:rPr>
        <w:t>W</w:t>
      </w:r>
      <w:r w:rsidR="00A671DF">
        <w:rPr>
          <w:rFonts w:cs="Arial"/>
          <w:color w:val="auto"/>
          <w:sz w:val="16"/>
          <w:szCs w:val="16"/>
        </w:rPr>
        <w:t>ai</w:t>
      </w:r>
      <w:r w:rsidRPr="00CB4F47">
        <w:rPr>
          <w:rFonts w:cs="Arial"/>
          <w:color w:val="auto"/>
          <w:sz w:val="16"/>
          <w:szCs w:val="16"/>
        </w:rPr>
        <w:t xml:space="preserve"> 2575, B26), (Waitangi Tribunal, 2019</w:t>
      </w:r>
      <w:r w:rsidR="00A671DF" w:rsidRPr="00CB4F47">
        <w:rPr>
          <w:rFonts w:cs="Arial"/>
          <w:color w:val="auto"/>
          <w:sz w:val="16"/>
          <w:szCs w:val="16"/>
        </w:rPr>
        <w:t xml:space="preserve">, </w:t>
      </w:r>
      <w:r w:rsidR="00757E71" w:rsidRPr="00CB4F47">
        <w:rPr>
          <w:rFonts w:cs="Arial"/>
          <w:color w:val="auto"/>
          <w:sz w:val="16"/>
          <w:szCs w:val="16"/>
        </w:rPr>
        <w:t xml:space="preserve">page </w:t>
      </w:r>
      <w:r w:rsidRPr="00CB4F47">
        <w:rPr>
          <w:rFonts w:cs="Arial"/>
          <w:color w:val="auto"/>
          <w:sz w:val="16"/>
          <w:szCs w:val="16"/>
        </w:rPr>
        <w:t>6</w:t>
      </w:r>
      <w:r w:rsidR="00A14DEB" w:rsidRPr="00CB4F47">
        <w:rPr>
          <w:rFonts w:cs="Arial"/>
          <w:color w:val="auto"/>
          <w:sz w:val="16"/>
          <w:szCs w:val="16"/>
        </w:rPr>
        <w:t>)</w:t>
      </w:r>
      <w:r w:rsidRPr="00CB4F47">
        <w:rPr>
          <w:rFonts w:cs="Arial"/>
          <w:color w:val="auto"/>
          <w:sz w:val="16"/>
          <w:szCs w:val="16"/>
        </w:rPr>
        <w:t>.</w:t>
      </w:r>
    </w:p>
  </w:footnote>
  <w:footnote w:id="190">
    <w:p w14:paraId="20E340D3" w14:textId="7B8927B2"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Gassin, T, Māori Mental Health – A report commissioned by the Waitangi Tribunal for the Health Services and Outcomes Kaupapa Inquiry (</w:t>
      </w:r>
      <w:r w:rsidR="00A671DF" w:rsidRPr="00CB4F47">
        <w:rPr>
          <w:rFonts w:cs="Arial"/>
          <w:color w:val="auto"/>
          <w:sz w:val="16"/>
          <w:szCs w:val="16"/>
        </w:rPr>
        <w:t>W</w:t>
      </w:r>
      <w:r w:rsidR="00A671DF">
        <w:rPr>
          <w:rFonts w:cs="Arial"/>
          <w:color w:val="auto"/>
          <w:sz w:val="16"/>
          <w:szCs w:val="16"/>
        </w:rPr>
        <w:t>ai</w:t>
      </w:r>
      <w:r w:rsidRPr="00CB4F47">
        <w:rPr>
          <w:rFonts w:cs="Arial"/>
          <w:color w:val="auto"/>
          <w:sz w:val="16"/>
          <w:szCs w:val="16"/>
        </w:rPr>
        <w:t xml:space="preserve"> 2575, B26), (Waitangi Tribunal, 2019</w:t>
      </w:r>
      <w:r w:rsidR="00A671DF" w:rsidRPr="00CB4F47">
        <w:rPr>
          <w:rFonts w:cs="Arial"/>
          <w:color w:val="auto"/>
          <w:sz w:val="16"/>
          <w:szCs w:val="16"/>
        </w:rPr>
        <w:t xml:space="preserve">, </w:t>
      </w:r>
      <w:r w:rsidR="00757E71" w:rsidRPr="00CB4F47">
        <w:rPr>
          <w:rFonts w:cs="Arial"/>
          <w:color w:val="auto"/>
          <w:sz w:val="16"/>
          <w:szCs w:val="16"/>
        </w:rPr>
        <w:t xml:space="preserve">page </w:t>
      </w:r>
      <w:r w:rsidRPr="00CB4F47">
        <w:rPr>
          <w:rFonts w:cs="Arial"/>
          <w:color w:val="auto"/>
          <w:sz w:val="16"/>
          <w:szCs w:val="16"/>
        </w:rPr>
        <w:t>6</w:t>
      </w:r>
      <w:r w:rsidR="007B2CBC" w:rsidRPr="00CB4F47">
        <w:rPr>
          <w:rFonts w:cs="Arial"/>
          <w:color w:val="auto"/>
          <w:sz w:val="16"/>
          <w:szCs w:val="16"/>
        </w:rPr>
        <w:t>)</w:t>
      </w:r>
      <w:r w:rsidRPr="00CB4F47">
        <w:rPr>
          <w:rFonts w:cs="Arial"/>
          <w:color w:val="auto"/>
          <w:sz w:val="16"/>
          <w:szCs w:val="16"/>
        </w:rPr>
        <w:t>.</w:t>
      </w:r>
    </w:p>
  </w:footnote>
  <w:footnote w:id="191">
    <w:p w14:paraId="493AAE00" w14:textId="4C3A610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Cram, F, Te Huia, B, Te Huia, T, Williams, M &amp; Williams, N, Oranga and Māori Health Inequities 1769</w:t>
      </w:r>
      <w:r w:rsidR="00A671DF">
        <w:rPr>
          <w:rFonts w:cs="Arial"/>
          <w:color w:val="auto"/>
          <w:sz w:val="16"/>
          <w:szCs w:val="16"/>
        </w:rPr>
        <w:t>–</w:t>
      </w:r>
      <w:r w:rsidRPr="00CB4F47">
        <w:rPr>
          <w:rFonts w:cs="Arial"/>
          <w:color w:val="auto"/>
          <w:sz w:val="16"/>
          <w:szCs w:val="16"/>
        </w:rPr>
        <w:t xml:space="preserve">1992: A </w:t>
      </w:r>
      <w:r w:rsidR="00F059CA">
        <w:rPr>
          <w:rFonts w:cs="Arial"/>
          <w:color w:val="auto"/>
          <w:sz w:val="16"/>
          <w:szCs w:val="16"/>
        </w:rPr>
        <w:t>r</w:t>
      </w:r>
      <w:r w:rsidRPr="00CB4F47">
        <w:rPr>
          <w:rFonts w:cs="Arial"/>
          <w:color w:val="auto"/>
          <w:sz w:val="16"/>
          <w:szCs w:val="16"/>
        </w:rPr>
        <w:t xml:space="preserve">eport commissioned by the Ministry of Health for stage two of the Waitangi Tribunal’s Health Services and Outcomes Kaupapa Inquiry </w:t>
      </w:r>
      <w:r w:rsidRPr="00120E85">
        <w:rPr>
          <w:rFonts w:cs="Arial"/>
          <w:sz w:val="16"/>
          <w:szCs w:val="16"/>
        </w:rPr>
        <w:t>(</w:t>
      </w:r>
      <w:r w:rsidR="00F30AE0" w:rsidRPr="00120E85">
        <w:rPr>
          <w:rFonts w:cs="Arial"/>
          <w:sz w:val="16"/>
          <w:szCs w:val="16"/>
        </w:rPr>
        <w:t>Wai 2575, B25),</w:t>
      </w:r>
      <w:r w:rsidR="00F30AE0" w:rsidRPr="00120E85">
        <w:rPr>
          <w:rFonts w:cs="Arial"/>
          <w:sz w:val="16"/>
          <w:szCs w:val="16"/>
          <w:shd w:val="clear" w:color="auto" w:fill="FFFFFF"/>
        </w:rPr>
        <w:t xml:space="preserve"> </w:t>
      </w:r>
      <w:r w:rsidRPr="00CB4F47">
        <w:rPr>
          <w:rFonts w:cs="Arial"/>
          <w:color w:val="auto"/>
          <w:sz w:val="16"/>
          <w:szCs w:val="16"/>
        </w:rPr>
        <w:t>(Waitangi Tribunal, 2019</w:t>
      </w:r>
      <w:r w:rsidR="00A671DF" w:rsidRPr="00CB4F47">
        <w:rPr>
          <w:rFonts w:cs="Arial"/>
          <w:color w:val="auto"/>
          <w:sz w:val="16"/>
          <w:szCs w:val="16"/>
        </w:rPr>
        <w:t xml:space="preserve">, </w:t>
      </w:r>
      <w:r w:rsidR="00757E71" w:rsidRPr="00CB4F47">
        <w:rPr>
          <w:rFonts w:cs="Arial"/>
          <w:color w:val="auto"/>
          <w:sz w:val="16"/>
          <w:szCs w:val="16"/>
        </w:rPr>
        <w:t xml:space="preserve">page </w:t>
      </w:r>
      <w:r w:rsidRPr="00CB4F47">
        <w:rPr>
          <w:rFonts w:cs="Arial"/>
          <w:color w:val="auto"/>
          <w:sz w:val="16"/>
          <w:szCs w:val="16"/>
        </w:rPr>
        <w:t>31</w:t>
      </w:r>
      <w:r w:rsidR="007B2CBC" w:rsidRPr="00CB4F47">
        <w:rPr>
          <w:rFonts w:cs="Arial"/>
          <w:color w:val="auto"/>
          <w:sz w:val="16"/>
          <w:szCs w:val="16"/>
        </w:rPr>
        <w:t>)</w:t>
      </w:r>
      <w:r w:rsidRPr="00CB4F47">
        <w:rPr>
          <w:rFonts w:cs="Arial"/>
          <w:color w:val="auto"/>
          <w:sz w:val="16"/>
          <w:szCs w:val="16"/>
        </w:rPr>
        <w:t>.</w:t>
      </w:r>
    </w:p>
  </w:footnote>
  <w:footnote w:id="192">
    <w:p w14:paraId="6B321D8C" w14:textId="76A950E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Lange, R, Te hauora Māori i mua – </w:t>
      </w:r>
      <w:r w:rsidR="00500980">
        <w:rPr>
          <w:rFonts w:cs="Arial"/>
          <w:color w:val="auto"/>
          <w:sz w:val="16"/>
          <w:szCs w:val="16"/>
        </w:rPr>
        <w:t>H</w:t>
      </w:r>
      <w:r w:rsidRPr="00CB4F47">
        <w:rPr>
          <w:rFonts w:cs="Arial"/>
          <w:color w:val="auto"/>
          <w:sz w:val="16"/>
          <w:szCs w:val="16"/>
        </w:rPr>
        <w:t>istory of Māori health</w:t>
      </w:r>
      <w:r w:rsidR="00600F9F">
        <w:rPr>
          <w:rFonts w:cs="Arial"/>
          <w:color w:val="auto"/>
          <w:sz w:val="16"/>
          <w:szCs w:val="16"/>
        </w:rPr>
        <w:t>:</w:t>
      </w:r>
      <w:r w:rsidRPr="00CB4F47" w:rsidDel="00600F9F">
        <w:rPr>
          <w:rFonts w:cs="Arial"/>
          <w:color w:val="auto"/>
          <w:sz w:val="16"/>
          <w:szCs w:val="16"/>
        </w:rPr>
        <w:t xml:space="preserve"> </w:t>
      </w:r>
      <w:r w:rsidRPr="00CB4F47">
        <w:rPr>
          <w:rFonts w:cs="Arial"/>
          <w:color w:val="auto"/>
          <w:sz w:val="16"/>
          <w:szCs w:val="16"/>
        </w:rPr>
        <w:t xml:space="preserve">Health improves, 1900 to 1920 (Te Ara </w:t>
      </w:r>
      <w:r w:rsidR="00A671DF">
        <w:rPr>
          <w:rFonts w:cs="Arial"/>
          <w:color w:val="auto"/>
          <w:sz w:val="16"/>
          <w:szCs w:val="16"/>
        </w:rPr>
        <w:t>–</w:t>
      </w:r>
      <w:r w:rsidR="00A671DF" w:rsidRPr="00CB4F47">
        <w:rPr>
          <w:rFonts w:cs="Arial"/>
          <w:color w:val="auto"/>
          <w:sz w:val="16"/>
          <w:szCs w:val="16"/>
        </w:rPr>
        <w:t xml:space="preserve"> </w:t>
      </w:r>
      <w:r w:rsidR="00A671DF">
        <w:rPr>
          <w:rFonts w:cs="Arial"/>
          <w:color w:val="auto"/>
          <w:sz w:val="16"/>
          <w:szCs w:val="16"/>
        </w:rPr>
        <w:t>T</w:t>
      </w:r>
      <w:r w:rsidR="00A671DF" w:rsidRPr="00CB4F47">
        <w:rPr>
          <w:rFonts w:cs="Arial"/>
          <w:color w:val="auto"/>
          <w:sz w:val="16"/>
          <w:szCs w:val="16"/>
        </w:rPr>
        <w:t xml:space="preserve">he </w:t>
      </w:r>
      <w:r w:rsidR="00A671DF">
        <w:rPr>
          <w:rFonts w:cs="Arial"/>
          <w:color w:val="auto"/>
          <w:sz w:val="16"/>
          <w:szCs w:val="16"/>
        </w:rPr>
        <w:t>Encyclopedia</w:t>
      </w:r>
      <w:r w:rsidRPr="00CB4F47">
        <w:rPr>
          <w:rFonts w:cs="Arial"/>
          <w:color w:val="auto"/>
          <w:sz w:val="16"/>
          <w:szCs w:val="16"/>
        </w:rPr>
        <w:t xml:space="preserve"> of New Zealand, 2011</w:t>
      </w:r>
      <w:r w:rsidR="00443249">
        <w:rPr>
          <w:rFonts w:cs="Arial"/>
          <w:color w:val="auto"/>
          <w:sz w:val="16"/>
          <w:szCs w:val="16"/>
        </w:rPr>
        <w:t>, page 3</w:t>
      </w:r>
      <w:r w:rsidRPr="00CB4F47">
        <w:rPr>
          <w:rFonts w:cs="Arial"/>
          <w:color w:val="auto"/>
          <w:sz w:val="16"/>
          <w:szCs w:val="16"/>
        </w:rPr>
        <w:t>)</w:t>
      </w:r>
      <w:r w:rsidR="00443249">
        <w:rPr>
          <w:rFonts w:cs="Arial"/>
          <w:color w:val="auto"/>
          <w:sz w:val="16"/>
          <w:szCs w:val="16"/>
        </w:rPr>
        <w:t xml:space="preserve">, </w:t>
      </w:r>
      <w:hyperlink r:id="rId13" w:history="1">
        <w:r w:rsidR="00443249" w:rsidRPr="00443249">
          <w:rPr>
            <w:rStyle w:val="Hyperlink"/>
            <w:rFonts w:cs="Arial"/>
            <w:sz w:val="16"/>
            <w:szCs w:val="16"/>
          </w:rPr>
          <w:t>https://teara.govt.nz/en/te-hauora-maori-i-mua-history-of-maori-health/page-3</w:t>
        </w:r>
      </w:hyperlink>
      <w:r w:rsidRPr="00CB4F47">
        <w:rPr>
          <w:rFonts w:cs="Arial"/>
          <w:color w:val="auto"/>
          <w:sz w:val="16"/>
          <w:szCs w:val="16"/>
        </w:rPr>
        <w:t>.</w:t>
      </w:r>
    </w:p>
  </w:footnote>
  <w:footnote w:id="193">
    <w:p w14:paraId="7CA4851B" w14:textId="5892E9A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Lange, R, Te hauora Māori i mua – </w:t>
      </w:r>
      <w:r w:rsidR="00500980">
        <w:rPr>
          <w:rFonts w:cs="Arial"/>
          <w:color w:val="auto"/>
          <w:sz w:val="16"/>
          <w:szCs w:val="16"/>
        </w:rPr>
        <w:t>H</w:t>
      </w:r>
      <w:r w:rsidRPr="00CB4F47">
        <w:rPr>
          <w:rFonts w:cs="Arial"/>
          <w:color w:val="auto"/>
          <w:sz w:val="16"/>
          <w:szCs w:val="16"/>
        </w:rPr>
        <w:t>istory of Māori health</w:t>
      </w:r>
      <w:r w:rsidR="00600F9F">
        <w:rPr>
          <w:rFonts w:cs="Arial"/>
          <w:color w:val="auto"/>
          <w:sz w:val="16"/>
          <w:szCs w:val="16"/>
        </w:rPr>
        <w:t>:</w:t>
      </w:r>
      <w:r w:rsidRPr="00CB4F47" w:rsidDel="00600F9F">
        <w:rPr>
          <w:rFonts w:cs="Arial"/>
          <w:color w:val="auto"/>
          <w:sz w:val="16"/>
          <w:szCs w:val="16"/>
        </w:rPr>
        <w:t xml:space="preserve"> </w:t>
      </w:r>
      <w:r w:rsidRPr="00CB4F47">
        <w:rPr>
          <w:rFonts w:cs="Arial"/>
          <w:color w:val="auto"/>
          <w:sz w:val="16"/>
          <w:szCs w:val="16"/>
        </w:rPr>
        <w:t xml:space="preserve">Health improves, 1900 to 1920 (Te Ara </w:t>
      </w:r>
      <w:r w:rsidR="00A671DF">
        <w:rPr>
          <w:rFonts w:cs="Arial"/>
          <w:color w:val="auto"/>
          <w:sz w:val="16"/>
          <w:szCs w:val="16"/>
        </w:rPr>
        <w:t>–</w:t>
      </w:r>
      <w:r w:rsidR="00A671DF" w:rsidRPr="00CB4F47">
        <w:rPr>
          <w:rFonts w:cs="Arial"/>
          <w:color w:val="auto"/>
          <w:sz w:val="16"/>
          <w:szCs w:val="16"/>
        </w:rPr>
        <w:t xml:space="preserve"> </w:t>
      </w:r>
      <w:r w:rsidR="00A671DF">
        <w:rPr>
          <w:rFonts w:cs="Arial"/>
          <w:color w:val="auto"/>
          <w:sz w:val="16"/>
          <w:szCs w:val="16"/>
        </w:rPr>
        <w:t>T</w:t>
      </w:r>
      <w:r w:rsidR="00A671DF" w:rsidRPr="00CB4F47">
        <w:rPr>
          <w:rFonts w:cs="Arial"/>
          <w:color w:val="auto"/>
          <w:sz w:val="16"/>
          <w:szCs w:val="16"/>
        </w:rPr>
        <w:t xml:space="preserve">he </w:t>
      </w:r>
      <w:r w:rsidR="00A671DF">
        <w:rPr>
          <w:rFonts w:cs="Arial"/>
          <w:color w:val="auto"/>
          <w:sz w:val="16"/>
          <w:szCs w:val="16"/>
        </w:rPr>
        <w:t>Encyclopedia</w:t>
      </w:r>
      <w:r w:rsidRPr="00CB4F47">
        <w:rPr>
          <w:rFonts w:cs="Arial"/>
          <w:color w:val="auto"/>
          <w:sz w:val="16"/>
          <w:szCs w:val="16"/>
        </w:rPr>
        <w:t xml:space="preserve"> of New Zealand, 2011</w:t>
      </w:r>
      <w:r w:rsidR="00443249">
        <w:rPr>
          <w:rFonts w:cs="Arial"/>
          <w:color w:val="auto"/>
          <w:sz w:val="16"/>
          <w:szCs w:val="16"/>
        </w:rPr>
        <w:t>, page 3</w:t>
      </w:r>
      <w:r w:rsidRPr="00CB4F47">
        <w:rPr>
          <w:rFonts w:cs="Arial"/>
          <w:color w:val="auto"/>
          <w:sz w:val="16"/>
          <w:szCs w:val="16"/>
        </w:rPr>
        <w:t>)</w:t>
      </w:r>
      <w:r w:rsidR="00443249">
        <w:rPr>
          <w:rFonts w:cs="Arial"/>
          <w:color w:val="auto"/>
          <w:sz w:val="16"/>
          <w:szCs w:val="16"/>
        </w:rPr>
        <w:t xml:space="preserve">, </w:t>
      </w:r>
      <w:hyperlink r:id="rId14" w:history="1">
        <w:r w:rsidR="00443249" w:rsidRPr="00443249">
          <w:rPr>
            <w:rStyle w:val="Hyperlink"/>
            <w:rFonts w:cs="Arial"/>
            <w:sz w:val="16"/>
            <w:szCs w:val="16"/>
          </w:rPr>
          <w:t>https://teara.govt.nz/en/te-hauora-maori-i-mua-history-of-maori-health/page-3</w:t>
        </w:r>
      </w:hyperlink>
      <w:r w:rsidRPr="00CB4F47">
        <w:rPr>
          <w:rFonts w:cs="Arial"/>
          <w:color w:val="auto"/>
          <w:sz w:val="16"/>
          <w:szCs w:val="16"/>
        </w:rPr>
        <w:t>.</w:t>
      </w:r>
    </w:p>
  </w:footnote>
  <w:footnote w:id="194">
    <w:p w14:paraId="4E9369C0" w14:textId="6A1D777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15"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16"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17"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 xml:space="preserve">, </w:t>
      </w:r>
      <w:r w:rsidR="00757E71" w:rsidRPr="00CB4F47">
        <w:rPr>
          <w:rFonts w:cs="Arial"/>
          <w:color w:val="auto"/>
          <w:sz w:val="16"/>
          <w:szCs w:val="16"/>
        </w:rPr>
        <w:t xml:space="preserve">page </w:t>
      </w:r>
      <w:r w:rsidRPr="00CB4F47">
        <w:rPr>
          <w:rFonts w:cs="Arial"/>
          <w:color w:val="auto"/>
          <w:sz w:val="16"/>
          <w:szCs w:val="16"/>
        </w:rPr>
        <w:t>2</w:t>
      </w:r>
      <w:r w:rsidR="007B2CBC" w:rsidRPr="00CB4F47">
        <w:rPr>
          <w:rFonts w:cs="Arial"/>
          <w:color w:val="auto"/>
          <w:sz w:val="16"/>
          <w:szCs w:val="16"/>
        </w:rPr>
        <w:t>)</w:t>
      </w:r>
      <w:r w:rsidRPr="00CB4F47">
        <w:rPr>
          <w:rFonts w:cs="Arial"/>
          <w:color w:val="auto"/>
          <w:sz w:val="16"/>
          <w:szCs w:val="16"/>
        </w:rPr>
        <w:t>.</w:t>
      </w:r>
    </w:p>
  </w:footnote>
  <w:footnote w:id="195">
    <w:p w14:paraId="454E0F81" w14:textId="3F87DF74" w:rsidR="00375BCC" w:rsidRDefault="00375BCC">
      <w:pPr>
        <w:pStyle w:val="FootnoteText"/>
      </w:pPr>
      <w:r>
        <w:rPr>
          <w:rStyle w:val="FootnoteReference"/>
        </w:rPr>
        <w:footnoteRef/>
      </w:r>
      <w:r>
        <w:t xml:space="preserve"> </w:t>
      </w:r>
      <w:r w:rsidR="00A44631" w:rsidRPr="001142DD">
        <w:rPr>
          <w:sz w:val="16"/>
          <w:szCs w:val="18"/>
        </w:rPr>
        <w:t>Night</w:t>
      </w:r>
      <w:r w:rsidR="00393060">
        <w:rPr>
          <w:sz w:val="16"/>
          <w:szCs w:val="18"/>
        </w:rPr>
        <w:t>i</w:t>
      </w:r>
      <w:r w:rsidR="00A44631" w:rsidRPr="001142DD">
        <w:rPr>
          <w:sz w:val="16"/>
          <w:szCs w:val="18"/>
        </w:rPr>
        <w:t xml:space="preserve">ngale, RB, Maori at work: the shaping of a Maori workforce within the New Zealand state 1935–1975, Doctoral </w:t>
      </w:r>
      <w:r w:rsidR="00393060">
        <w:rPr>
          <w:sz w:val="16"/>
          <w:szCs w:val="18"/>
        </w:rPr>
        <w:t>T</w:t>
      </w:r>
      <w:r w:rsidR="00A44631" w:rsidRPr="001142DD">
        <w:rPr>
          <w:sz w:val="16"/>
          <w:szCs w:val="18"/>
        </w:rPr>
        <w:t>hesis</w:t>
      </w:r>
      <w:r w:rsidR="00393060">
        <w:rPr>
          <w:sz w:val="16"/>
          <w:szCs w:val="18"/>
        </w:rPr>
        <w:t>,</w:t>
      </w:r>
      <w:r w:rsidR="00A44631" w:rsidRPr="001142DD">
        <w:rPr>
          <w:sz w:val="16"/>
          <w:szCs w:val="18"/>
        </w:rPr>
        <w:t xml:space="preserve"> </w:t>
      </w:r>
      <w:r w:rsidR="005F6CE7" w:rsidRPr="001142DD">
        <w:rPr>
          <w:sz w:val="16"/>
          <w:szCs w:val="18"/>
        </w:rPr>
        <w:t xml:space="preserve">Massey </w:t>
      </w:r>
      <w:r w:rsidR="00393060">
        <w:rPr>
          <w:sz w:val="16"/>
          <w:szCs w:val="18"/>
        </w:rPr>
        <w:t>University (</w:t>
      </w:r>
      <w:r w:rsidR="005F6CE7" w:rsidRPr="001142DD">
        <w:rPr>
          <w:sz w:val="16"/>
          <w:szCs w:val="18"/>
        </w:rPr>
        <w:t>2007, page</w:t>
      </w:r>
      <w:r w:rsidR="0059063F" w:rsidRPr="001142DD">
        <w:rPr>
          <w:sz w:val="16"/>
          <w:szCs w:val="18"/>
        </w:rPr>
        <w:t>s</w:t>
      </w:r>
      <w:r w:rsidR="00A47853" w:rsidRPr="001142DD">
        <w:rPr>
          <w:sz w:val="16"/>
          <w:szCs w:val="18"/>
        </w:rPr>
        <w:t xml:space="preserve"> 135</w:t>
      </w:r>
      <w:r w:rsidR="0059063F" w:rsidRPr="001142DD">
        <w:rPr>
          <w:sz w:val="16"/>
          <w:szCs w:val="18"/>
        </w:rPr>
        <w:t xml:space="preserve"> and 137)</w:t>
      </w:r>
      <w:r w:rsidR="00393060">
        <w:rPr>
          <w:sz w:val="16"/>
          <w:szCs w:val="18"/>
        </w:rPr>
        <w:t>.</w:t>
      </w:r>
    </w:p>
  </w:footnote>
  <w:footnote w:id="196">
    <w:p w14:paraId="084CB7DB" w14:textId="52933745" w:rsidR="000E429D" w:rsidRPr="00CB4F47" w:rsidRDefault="000E429D" w:rsidP="00C57877">
      <w:pPr>
        <w:keepLines w:val="0"/>
        <w:spacing w:before="0" w:after="0" w:line="20" w:lineRule="atLeast"/>
        <w:rPr>
          <w:rFonts w:ascii="Arial" w:hAnsi="Arial" w:cs="Arial"/>
          <w:color w:val="auto"/>
          <w:sz w:val="16"/>
          <w:szCs w:val="16"/>
        </w:rPr>
      </w:pPr>
      <w:r w:rsidRPr="00536E67">
        <w:rPr>
          <w:rStyle w:val="StyleFootnoteReferenceFagoFunotenzeichenFagoFunotenzeichen"/>
          <w:sz w:val="16"/>
          <w:szCs w:val="16"/>
        </w:rPr>
        <w:footnoteRef/>
      </w:r>
      <w:r w:rsidRPr="00CB4F47">
        <w:rPr>
          <w:rFonts w:ascii="Arial" w:hAnsi="Arial" w:cs="Arial"/>
          <w:color w:val="auto"/>
          <w:sz w:val="16"/>
          <w:szCs w:val="16"/>
        </w:rPr>
        <w:t xml:space="preserve"> Williams, M, Panguru and the city: Kainga Tahi, Kainga Rua (Bridget Williams Books, 2014</w:t>
      </w:r>
      <w:r w:rsidR="00A671DF" w:rsidRPr="00CB4F47">
        <w:rPr>
          <w:rFonts w:ascii="Arial" w:hAnsi="Arial" w:cs="Arial"/>
          <w:color w:val="auto"/>
          <w:sz w:val="16"/>
          <w:szCs w:val="16"/>
        </w:rPr>
        <w:t xml:space="preserve">, </w:t>
      </w:r>
      <w:r w:rsidRPr="00CB4F47">
        <w:rPr>
          <w:rFonts w:ascii="Arial" w:hAnsi="Arial" w:cs="Arial"/>
          <w:color w:val="auto"/>
          <w:sz w:val="16"/>
          <w:szCs w:val="16"/>
        </w:rPr>
        <w:t>pages</w:t>
      </w:r>
      <w:r w:rsidRPr="00CB4F47">
        <w:rPr>
          <w:rFonts w:cs="Arial"/>
          <w:color w:val="auto"/>
          <w:sz w:val="16"/>
          <w:szCs w:val="16"/>
        </w:rPr>
        <w:t xml:space="preserve"> </w:t>
      </w:r>
      <w:r w:rsidRPr="00CB4F47">
        <w:rPr>
          <w:rFonts w:ascii="Arial" w:hAnsi="Arial" w:cs="Arial"/>
          <w:color w:val="auto"/>
          <w:sz w:val="16"/>
          <w:szCs w:val="16"/>
        </w:rPr>
        <w:t>162–163</w:t>
      </w:r>
      <w:r w:rsidR="007B2CBC" w:rsidRPr="00CB4F47">
        <w:rPr>
          <w:rFonts w:ascii="Arial" w:hAnsi="Arial" w:cs="Arial"/>
          <w:color w:val="auto"/>
          <w:sz w:val="16"/>
          <w:szCs w:val="16"/>
        </w:rPr>
        <w:t>)</w:t>
      </w:r>
      <w:r w:rsidRPr="00CB4F47">
        <w:rPr>
          <w:rFonts w:ascii="Arial" w:hAnsi="Arial" w:cs="Arial"/>
          <w:color w:val="auto"/>
          <w:sz w:val="16"/>
          <w:szCs w:val="16"/>
        </w:rPr>
        <w:t>.</w:t>
      </w:r>
    </w:p>
  </w:footnote>
  <w:footnote w:id="197">
    <w:p w14:paraId="0235FC84" w14:textId="282A8E1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18"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19"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20"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 xml:space="preserve">, </w:t>
      </w:r>
      <w:r w:rsidR="00757E71" w:rsidRPr="00CB4F47">
        <w:rPr>
          <w:rFonts w:cs="Arial"/>
          <w:color w:val="auto"/>
          <w:sz w:val="16"/>
          <w:szCs w:val="16"/>
        </w:rPr>
        <w:t xml:space="preserve">page </w:t>
      </w:r>
      <w:r w:rsidRPr="00CB4F47">
        <w:rPr>
          <w:rFonts w:cs="Arial"/>
          <w:color w:val="auto"/>
          <w:sz w:val="16"/>
          <w:szCs w:val="16"/>
        </w:rPr>
        <w:t>2</w:t>
      </w:r>
      <w:r w:rsidR="007B2CBC" w:rsidRPr="00CB4F47">
        <w:rPr>
          <w:rFonts w:cs="Arial"/>
          <w:color w:val="auto"/>
          <w:sz w:val="16"/>
          <w:szCs w:val="16"/>
        </w:rPr>
        <w:t>)</w:t>
      </w:r>
      <w:r w:rsidRPr="00CB4F47">
        <w:rPr>
          <w:rFonts w:cs="Arial"/>
          <w:color w:val="auto"/>
          <w:sz w:val="16"/>
          <w:szCs w:val="16"/>
        </w:rPr>
        <w:t>.</w:t>
      </w:r>
    </w:p>
  </w:footnote>
  <w:footnote w:id="198">
    <w:p w14:paraId="6C251104" w14:textId="171A2C7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Armitage, A, Comparing the policy of Aboriginal assimilation: Australia, Canada, and New Zealand (</w:t>
      </w:r>
      <w:r w:rsidR="00E46912">
        <w:rPr>
          <w:rFonts w:cs="Arial"/>
          <w:color w:val="auto"/>
          <w:sz w:val="16"/>
          <w:szCs w:val="16"/>
        </w:rPr>
        <w:t>University of British Columbia</w:t>
      </w:r>
      <w:r w:rsidR="00E46912" w:rsidRPr="00CB4F47">
        <w:rPr>
          <w:rFonts w:cs="Arial"/>
          <w:color w:val="auto"/>
          <w:sz w:val="16"/>
          <w:szCs w:val="16"/>
        </w:rPr>
        <w:t xml:space="preserve"> </w:t>
      </w:r>
      <w:r w:rsidRPr="00CB4F47">
        <w:rPr>
          <w:rFonts w:cs="Arial"/>
          <w:color w:val="auto"/>
          <w:sz w:val="16"/>
          <w:szCs w:val="16"/>
        </w:rPr>
        <w:t>Press, 1995</w:t>
      </w:r>
      <w:r w:rsidR="00A671DF" w:rsidRPr="00CB4F47">
        <w:rPr>
          <w:rFonts w:cs="Arial"/>
          <w:color w:val="auto"/>
          <w:sz w:val="16"/>
          <w:szCs w:val="16"/>
        </w:rPr>
        <w:t xml:space="preserve">, </w:t>
      </w:r>
      <w:r w:rsidR="00757E71" w:rsidRPr="00CB4F47">
        <w:rPr>
          <w:rFonts w:cs="Arial"/>
          <w:color w:val="auto"/>
          <w:sz w:val="16"/>
          <w:szCs w:val="16"/>
        </w:rPr>
        <w:t xml:space="preserve">page </w:t>
      </w:r>
      <w:r w:rsidRPr="00CB4F47">
        <w:rPr>
          <w:rFonts w:cs="Arial"/>
          <w:color w:val="auto"/>
          <w:sz w:val="16"/>
          <w:szCs w:val="16"/>
        </w:rPr>
        <w:t>241</w:t>
      </w:r>
      <w:r w:rsidR="000A2629" w:rsidRPr="00CB4F47">
        <w:rPr>
          <w:rFonts w:cs="Arial"/>
          <w:color w:val="auto"/>
          <w:sz w:val="16"/>
          <w:szCs w:val="16"/>
        </w:rPr>
        <w:t>)</w:t>
      </w:r>
      <w:r w:rsidRPr="00CB4F47">
        <w:rPr>
          <w:rFonts w:cs="Arial"/>
          <w:color w:val="auto"/>
          <w:sz w:val="16"/>
          <w:szCs w:val="16"/>
        </w:rPr>
        <w:t>.</w:t>
      </w:r>
    </w:p>
  </w:footnote>
  <w:footnote w:id="199">
    <w:p w14:paraId="650AC814" w14:textId="6229B78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Armitage, A, Comparing the policy of Aboriginal assimilation: Australia, Canada, and New Zealand (</w:t>
      </w:r>
      <w:r w:rsidR="00E46912">
        <w:rPr>
          <w:rFonts w:cs="Arial"/>
          <w:color w:val="auto"/>
          <w:sz w:val="16"/>
          <w:szCs w:val="16"/>
        </w:rPr>
        <w:t>University of British Columbia</w:t>
      </w:r>
      <w:r w:rsidR="00E46912" w:rsidRPr="00CB4F47">
        <w:rPr>
          <w:rFonts w:cs="Arial"/>
          <w:color w:val="auto"/>
          <w:sz w:val="16"/>
          <w:szCs w:val="16"/>
        </w:rPr>
        <w:t xml:space="preserve"> </w:t>
      </w:r>
      <w:r w:rsidRPr="00CB4F47">
        <w:rPr>
          <w:rFonts w:cs="Arial"/>
          <w:color w:val="auto"/>
          <w:sz w:val="16"/>
          <w:szCs w:val="16"/>
        </w:rPr>
        <w:t>Press, 1995</w:t>
      </w:r>
      <w:r w:rsidR="00A671DF" w:rsidRPr="00CB4F47">
        <w:rPr>
          <w:rFonts w:cs="Arial"/>
          <w:color w:val="auto"/>
          <w:sz w:val="16"/>
          <w:szCs w:val="16"/>
        </w:rPr>
        <w:t xml:space="preserve">, </w:t>
      </w:r>
      <w:r w:rsidR="00757E71" w:rsidRPr="00CB4F47">
        <w:rPr>
          <w:rFonts w:cs="Arial"/>
          <w:color w:val="auto"/>
          <w:sz w:val="16"/>
          <w:szCs w:val="16"/>
        </w:rPr>
        <w:t xml:space="preserve">page </w:t>
      </w:r>
      <w:r w:rsidRPr="00CB4F47">
        <w:rPr>
          <w:rFonts w:cs="Arial"/>
          <w:color w:val="auto"/>
          <w:sz w:val="16"/>
          <w:szCs w:val="16"/>
        </w:rPr>
        <w:t>241</w:t>
      </w:r>
      <w:r w:rsidR="000A2629" w:rsidRPr="00CB4F47">
        <w:rPr>
          <w:rFonts w:cs="Arial"/>
          <w:color w:val="auto"/>
          <w:sz w:val="16"/>
          <w:szCs w:val="16"/>
        </w:rPr>
        <w:t>)</w:t>
      </w:r>
      <w:r w:rsidRPr="00CB4F47">
        <w:rPr>
          <w:rFonts w:cs="Arial"/>
          <w:color w:val="auto"/>
          <w:sz w:val="16"/>
          <w:szCs w:val="16"/>
        </w:rPr>
        <w:t>.</w:t>
      </w:r>
    </w:p>
  </w:footnote>
  <w:footnote w:id="200">
    <w:p w14:paraId="69AAA152" w14:textId="619B179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21"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22"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23"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 xml:space="preserve">, </w:t>
      </w:r>
      <w:r w:rsidRPr="00CB4F47">
        <w:rPr>
          <w:rFonts w:cs="Arial"/>
          <w:color w:val="auto"/>
          <w:sz w:val="16"/>
          <w:szCs w:val="16"/>
        </w:rPr>
        <w:t>pages 12–13</w:t>
      </w:r>
      <w:r w:rsidR="000A2629" w:rsidRPr="00CB4F47">
        <w:rPr>
          <w:rFonts w:cs="Arial"/>
          <w:color w:val="auto"/>
          <w:sz w:val="16"/>
          <w:szCs w:val="16"/>
        </w:rPr>
        <w:t>)</w:t>
      </w:r>
      <w:r w:rsidRPr="00CB4F47">
        <w:rPr>
          <w:rFonts w:cs="Arial"/>
          <w:color w:val="auto"/>
          <w:sz w:val="16"/>
          <w:szCs w:val="16"/>
        </w:rPr>
        <w:t>.</w:t>
      </w:r>
    </w:p>
  </w:footnote>
  <w:footnote w:id="201">
    <w:p w14:paraId="51FBC2DF" w14:textId="02824E2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24"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25"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26"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 xml:space="preserve">, </w:t>
      </w:r>
      <w:r w:rsidR="00F50DFC" w:rsidRPr="00CB4F47">
        <w:rPr>
          <w:rFonts w:cs="Arial"/>
          <w:color w:val="auto"/>
          <w:sz w:val="16"/>
          <w:szCs w:val="16"/>
        </w:rPr>
        <w:t xml:space="preserve">page </w:t>
      </w:r>
      <w:r w:rsidRPr="00CB4F47">
        <w:rPr>
          <w:rFonts w:cs="Arial"/>
          <w:color w:val="auto"/>
          <w:sz w:val="16"/>
          <w:szCs w:val="16"/>
        </w:rPr>
        <w:t>1</w:t>
      </w:r>
      <w:r w:rsidR="000A2629" w:rsidRPr="00CB4F47">
        <w:rPr>
          <w:rFonts w:cs="Arial"/>
          <w:color w:val="auto"/>
          <w:sz w:val="16"/>
          <w:szCs w:val="16"/>
        </w:rPr>
        <w:t>)</w:t>
      </w:r>
      <w:r w:rsidRPr="00CB4F47">
        <w:rPr>
          <w:rFonts w:cs="Arial"/>
          <w:color w:val="auto"/>
          <w:sz w:val="16"/>
          <w:szCs w:val="16"/>
        </w:rPr>
        <w:t>.</w:t>
      </w:r>
    </w:p>
  </w:footnote>
  <w:footnote w:id="202">
    <w:p w14:paraId="426FB70F" w14:textId="616E24A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27"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28"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29"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 xml:space="preserve">, </w:t>
      </w:r>
      <w:r w:rsidR="00F50DFC" w:rsidRPr="00CB4F47">
        <w:rPr>
          <w:rFonts w:cs="Arial"/>
          <w:color w:val="auto"/>
          <w:sz w:val="16"/>
          <w:szCs w:val="16"/>
        </w:rPr>
        <w:t xml:space="preserve">page </w:t>
      </w:r>
      <w:r w:rsidRPr="00CB4F47">
        <w:rPr>
          <w:rFonts w:cs="Arial"/>
          <w:color w:val="auto"/>
          <w:sz w:val="16"/>
          <w:szCs w:val="16"/>
        </w:rPr>
        <w:t>13</w:t>
      </w:r>
      <w:r w:rsidR="000A2629" w:rsidRPr="00CB4F47">
        <w:rPr>
          <w:rFonts w:cs="Arial"/>
          <w:color w:val="auto"/>
          <w:sz w:val="16"/>
          <w:szCs w:val="16"/>
        </w:rPr>
        <w:t>)</w:t>
      </w:r>
      <w:r w:rsidRPr="00CB4F47">
        <w:rPr>
          <w:rFonts w:cs="Arial"/>
          <w:color w:val="auto"/>
          <w:sz w:val="16"/>
          <w:szCs w:val="16"/>
        </w:rPr>
        <w:t>.</w:t>
      </w:r>
    </w:p>
  </w:footnote>
  <w:footnote w:id="203">
    <w:p w14:paraId="52CE9051" w14:textId="4796B88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30"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31"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32" w:history="1">
        <w:r w:rsidRPr="00CB4F47">
          <w:rPr>
            <w:rFonts w:cs="Arial"/>
            <w:color w:val="auto"/>
            <w:sz w:val="16"/>
            <w:szCs w:val="16"/>
          </w:rPr>
          <w:t>Victoria University Press</w:t>
        </w:r>
      </w:hyperlink>
      <w:r w:rsidRPr="00CB4F47">
        <w:rPr>
          <w:rFonts w:cs="Arial"/>
          <w:color w:val="auto"/>
          <w:sz w:val="16"/>
          <w:szCs w:val="16"/>
        </w:rPr>
        <w:t>, 2009</w:t>
      </w:r>
      <w:r w:rsidR="00A671DF" w:rsidRPr="00D7126F">
        <w:rPr>
          <w:rFonts w:cs="Arial"/>
          <w:color w:val="auto"/>
          <w:sz w:val="16"/>
          <w:szCs w:val="16"/>
        </w:rPr>
        <w:t>, page</w:t>
      </w:r>
      <w:r w:rsidR="00F50DFC" w:rsidRPr="00CB4F47">
        <w:rPr>
          <w:rFonts w:cs="Arial"/>
          <w:color w:val="auto"/>
          <w:sz w:val="16"/>
          <w:szCs w:val="16"/>
        </w:rPr>
        <w:t xml:space="preserve"> </w:t>
      </w:r>
      <w:r w:rsidRPr="00CB4F47">
        <w:rPr>
          <w:rFonts w:cs="Arial"/>
          <w:color w:val="auto"/>
          <w:sz w:val="16"/>
          <w:szCs w:val="16"/>
        </w:rPr>
        <w:t>17</w:t>
      </w:r>
      <w:r w:rsidR="0066317F" w:rsidRPr="00CB4F47">
        <w:rPr>
          <w:rFonts w:cs="Arial"/>
          <w:color w:val="auto"/>
          <w:sz w:val="16"/>
          <w:szCs w:val="16"/>
        </w:rPr>
        <w:t>)</w:t>
      </w:r>
      <w:r w:rsidRPr="00CB4F47">
        <w:rPr>
          <w:rFonts w:cs="Arial"/>
          <w:color w:val="auto"/>
          <w:sz w:val="16"/>
          <w:szCs w:val="16"/>
        </w:rPr>
        <w:t>.</w:t>
      </w:r>
    </w:p>
  </w:footnote>
  <w:footnote w:id="204">
    <w:p w14:paraId="7BB3BC27" w14:textId="5A944725" w:rsidR="000E429D" w:rsidRPr="00CB4F47" w:rsidRDefault="000E429D" w:rsidP="00C57877">
      <w:pPr>
        <w:pStyle w:val="FootnoteText"/>
        <w:spacing w:before="0" w:after="0" w:line="20" w:lineRule="atLeast"/>
        <w:jc w:val="left"/>
        <w:rPr>
          <w:rFonts w:cs="Arial"/>
          <w:color w:val="1F546B" w:themeColor="text2"/>
          <w:sz w:val="16"/>
          <w:szCs w:val="16"/>
          <w:u w:val="single"/>
        </w:rPr>
      </w:pPr>
      <w:r w:rsidRPr="00536E67">
        <w:rPr>
          <w:rStyle w:val="StyleFootnoteReferenceFagoFunotenzeichenFagoFunotenzeichen"/>
          <w:sz w:val="16"/>
          <w:szCs w:val="16"/>
        </w:rPr>
        <w:footnoteRef/>
      </w:r>
      <w:r w:rsidRPr="00CB4F47">
        <w:rPr>
          <w:rFonts w:cs="Arial"/>
          <w:color w:val="auto"/>
          <w:sz w:val="16"/>
          <w:szCs w:val="16"/>
        </w:rPr>
        <w:t xml:space="preserve"> </w:t>
      </w:r>
      <w:r w:rsidRPr="00D7126F">
        <w:rPr>
          <w:rFonts w:cs="Arial"/>
          <w:color w:val="auto"/>
          <w:sz w:val="16"/>
          <w:szCs w:val="16"/>
        </w:rPr>
        <w:t>Māori Women’s Welfare League</w:t>
      </w:r>
      <w:r w:rsidR="00AB3247" w:rsidRPr="00D7126F">
        <w:rPr>
          <w:rFonts w:cs="Arial"/>
          <w:color w:val="auto"/>
          <w:sz w:val="16"/>
          <w:szCs w:val="16"/>
        </w:rPr>
        <w:t xml:space="preserve"> website</w:t>
      </w:r>
      <w:r w:rsidRPr="00D7126F">
        <w:rPr>
          <w:rFonts w:cs="Arial"/>
          <w:color w:val="auto"/>
          <w:sz w:val="16"/>
          <w:szCs w:val="16"/>
        </w:rPr>
        <w:t>, About us</w:t>
      </w:r>
      <w:r w:rsidR="00A671DF" w:rsidRPr="00D7126F">
        <w:rPr>
          <w:rFonts w:cs="Arial"/>
          <w:color w:val="auto"/>
          <w:sz w:val="16"/>
          <w:szCs w:val="16"/>
        </w:rPr>
        <w:t xml:space="preserve"> (</w:t>
      </w:r>
      <w:r w:rsidRPr="00D7126F">
        <w:rPr>
          <w:rFonts w:cs="Arial"/>
          <w:color w:val="auto"/>
          <w:sz w:val="16"/>
          <w:szCs w:val="16"/>
        </w:rPr>
        <w:t xml:space="preserve">2023), </w:t>
      </w:r>
      <w:hyperlink r:id="rId33" w:history="1">
        <w:r w:rsidRPr="00D7126F">
          <w:rPr>
            <w:rStyle w:val="Hyperlink"/>
            <w:rFonts w:cs="Arial"/>
            <w:sz w:val="16"/>
            <w:szCs w:val="16"/>
          </w:rPr>
          <w:t>https://www.mwwl.org.nz/about</w:t>
        </w:r>
      </w:hyperlink>
      <w:r w:rsidR="00633880">
        <w:rPr>
          <w:rFonts w:cs="Arial"/>
          <w:color w:val="auto"/>
          <w:sz w:val="16"/>
          <w:szCs w:val="16"/>
        </w:rPr>
        <w:t xml:space="preserve">; </w:t>
      </w:r>
      <w:r w:rsidR="00CF3B7E" w:rsidRPr="00CF3B7E">
        <w:rPr>
          <w:rFonts w:cs="Arial"/>
          <w:sz w:val="16"/>
          <w:szCs w:val="16"/>
        </w:rPr>
        <w:t xml:space="preserve"> </w:t>
      </w:r>
      <w:r w:rsidR="00CF3B7E" w:rsidRPr="00CB4F47">
        <w:rPr>
          <w:rFonts w:cs="Arial"/>
          <w:sz w:val="16"/>
          <w:szCs w:val="16"/>
        </w:rPr>
        <w:t xml:space="preserve">Brookes, B, </w:t>
      </w:r>
      <w:r w:rsidR="00CF3B7E" w:rsidRPr="00F84707">
        <w:rPr>
          <w:rFonts w:cs="Arial"/>
          <w:sz w:val="16"/>
          <w:szCs w:val="16"/>
        </w:rPr>
        <w:t>A history</w:t>
      </w:r>
      <w:r w:rsidR="00CF3B7E" w:rsidRPr="00CB4F47">
        <w:rPr>
          <w:rFonts w:cs="Arial"/>
          <w:sz w:val="16"/>
          <w:szCs w:val="16"/>
        </w:rPr>
        <w:t xml:space="preserve"> of New Zealand women (Bridget Williams Books, 2016, </w:t>
      </w:r>
      <w:r w:rsidR="00CF3B7E" w:rsidRPr="00CB4F47">
        <w:rPr>
          <w:rFonts w:cs="Arial"/>
          <w:color w:val="auto"/>
          <w:sz w:val="16"/>
          <w:szCs w:val="16"/>
        </w:rPr>
        <w:t>page</w:t>
      </w:r>
      <w:r w:rsidR="00CF3B7E" w:rsidRPr="00CB4F47">
        <w:rPr>
          <w:rFonts w:cs="Arial"/>
          <w:sz w:val="16"/>
          <w:szCs w:val="16"/>
        </w:rPr>
        <w:t xml:space="preserve"> </w:t>
      </w:r>
      <w:r w:rsidR="00CF3B7E">
        <w:rPr>
          <w:rFonts w:cs="Arial"/>
          <w:sz w:val="16"/>
          <w:szCs w:val="16"/>
        </w:rPr>
        <w:t>289)</w:t>
      </w:r>
      <w:r w:rsidR="00CF3B7E" w:rsidRPr="00CB4F47">
        <w:rPr>
          <w:rFonts w:cs="Arial"/>
          <w:sz w:val="16"/>
          <w:szCs w:val="16"/>
        </w:rPr>
        <w:t>.</w:t>
      </w:r>
    </w:p>
  </w:footnote>
  <w:footnote w:id="205">
    <w:p w14:paraId="666DBF6E" w14:textId="7A98EC4A" w:rsidR="000E429D" w:rsidRPr="00CB4F47" w:rsidDel="00740BDC" w:rsidRDefault="000E429D" w:rsidP="00C57877">
      <w:pPr>
        <w:pStyle w:val="ListParagraph"/>
        <w:numPr>
          <w:ilvl w:val="0"/>
          <w:numId w:val="0"/>
        </w:numPr>
        <w:spacing w:before="0" w:after="0" w:line="20" w:lineRule="atLeast"/>
        <w:rPr>
          <w:rFonts w:ascii="Arial" w:hAnsi="Arial" w:cs="Arial"/>
          <w:color w:val="auto"/>
          <w:sz w:val="16"/>
          <w:szCs w:val="16"/>
        </w:rPr>
      </w:pPr>
      <w:r w:rsidRPr="00536E67" w:rsidDel="00740BDC">
        <w:rPr>
          <w:rStyle w:val="StyleFootnoteReferenceFagoFunotenzeichenFagoFunotenzeichen"/>
          <w:sz w:val="16"/>
          <w:szCs w:val="16"/>
        </w:rPr>
        <w:footnoteRef/>
      </w:r>
      <w:r w:rsidRPr="00CB4F47">
        <w:rPr>
          <w:rFonts w:ascii="Arial" w:hAnsi="Arial" w:cs="Arial"/>
          <w:color w:val="auto"/>
          <w:sz w:val="16"/>
          <w:szCs w:val="16"/>
        </w:rPr>
        <w:t xml:space="preserve"> Tennant, M, “Disability in New Zealand: An historical survey” New Zealand Journal of Disability Studies, 2 (1996</w:t>
      </w:r>
      <w:r w:rsidR="00A671DF" w:rsidRPr="00CB4F47">
        <w:rPr>
          <w:rFonts w:ascii="Arial" w:hAnsi="Arial" w:cs="Arial"/>
          <w:color w:val="auto"/>
          <w:sz w:val="16"/>
          <w:szCs w:val="16"/>
        </w:rPr>
        <w:t xml:space="preserve">, </w:t>
      </w:r>
      <w:r w:rsidRPr="00CB4F47">
        <w:rPr>
          <w:rFonts w:ascii="Arial" w:hAnsi="Arial" w:cs="Arial"/>
          <w:color w:val="auto"/>
          <w:sz w:val="16"/>
          <w:szCs w:val="16"/>
        </w:rPr>
        <w:t xml:space="preserve">pages 3–33, pages </w:t>
      </w:r>
      <w:r w:rsidRPr="00CB4F47" w:rsidDel="00740BDC">
        <w:rPr>
          <w:rFonts w:ascii="Arial" w:hAnsi="Arial" w:cs="Arial"/>
          <w:color w:val="auto"/>
          <w:sz w:val="16"/>
          <w:szCs w:val="16"/>
        </w:rPr>
        <w:t>12</w:t>
      </w:r>
      <w:r w:rsidRPr="00CB4F47">
        <w:rPr>
          <w:rFonts w:ascii="Arial" w:hAnsi="Arial" w:cs="Arial"/>
          <w:color w:val="auto"/>
          <w:sz w:val="16"/>
          <w:szCs w:val="16"/>
        </w:rPr>
        <w:t>–</w:t>
      </w:r>
      <w:r w:rsidRPr="00CB4F47" w:rsidDel="00740BDC">
        <w:rPr>
          <w:rFonts w:ascii="Arial" w:hAnsi="Arial" w:cs="Arial"/>
          <w:color w:val="auto"/>
          <w:sz w:val="16"/>
          <w:szCs w:val="16"/>
        </w:rPr>
        <w:t>14</w:t>
      </w:r>
      <w:r w:rsidR="0066317F" w:rsidRPr="00CB4F47">
        <w:rPr>
          <w:rFonts w:ascii="Arial" w:hAnsi="Arial" w:cs="Arial"/>
          <w:color w:val="auto"/>
          <w:sz w:val="16"/>
          <w:szCs w:val="16"/>
        </w:rPr>
        <w:t>)</w:t>
      </w:r>
      <w:r w:rsidRPr="00CB4F47" w:rsidDel="00740BDC">
        <w:rPr>
          <w:rFonts w:ascii="Arial" w:hAnsi="Arial" w:cs="Arial"/>
          <w:color w:val="auto"/>
          <w:sz w:val="16"/>
          <w:szCs w:val="16"/>
        </w:rPr>
        <w:t>.</w:t>
      </w:r>
    </w:p>
  </w:footnote>
  <w:footnote w:id="206">
    <w:p w14:paraId="1B55CDEF" w14:textId="18F642A3"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Tennant, M, “Disability in New Zealand: An historical survey” New Zealand Journal of Disability Studies, 2 (1996</w:t>
      </w:r>
      <w:r w:rsidR="00A671DF" w:rsidRPr="00CB4F47">
        <w:rPr>
          <w:rFonts w:cs="Arial"/>
          <w:color w:val="auto"/>
          <w:sz w:val="16"/>
          <w:szCs w:val="16"/>
        </w:rPr>
        <w:t xml:space="preserve">, </w:t>
      </w:r>
      <w:r w:rsidRPr="00CB4F47">
        <w:rPr>
          <w:rFonts w:cs="Arial"/>
          <w:color w:val="auto"/>
          <w:sz w:val="16"/>
          <w:szCs w:val="16"/>
        </w:rPr>
        <w:t>pages 3–33, p</w:t>
      </w:r>
      <w:r w:rsidR="00965417" w:rsidRPr="00CB4F47">
        <w:rPr>
          <w:rFonts w:cs="Arial"/>
          <w:color w:val="auto"/>
          <w:sz w:val="16"/>
          <w:szCs w:val="16"/>
        </w:rPr>
        <w:t>age</w:t>
      </w:r>
      <w:r w:rsidRPr="00CB4F47">
        <w:rPr>
          <w:rFonts w:cs="Arial"/>
          <w:color w:val="auto"/>
          <w:sz w:val="16"/>
          <w:szCs w:val="16"/>
        </w:rPr>
        <w:t xml:space="preserve"> 14</w:t>
      </w:r>
      <w:r w:rsidR="0066317F" w:rsidRPr="00CB4F47">
        <w:rPr>
          <w:rFonts w:cs="Arial"/>
          <w:color w:val="auto"/>
          <w:sz w:val="16"/>
          <w:szCs w:val="16"/>
        </w:rPr>
        <w:t>)</w:t>
      </w:r>
      <w:r w:rsidRPr="00CB4F47">
        <w:rPr>
          <w:rFonts w:cs="Arial"/>
          <w:color w:val="auto"/>
          <w:sz w:val="16"/>
          <w:szCs w:val="16"/>
        </w:rPr>
        <w:t>.</w:t>
      </w:r>
    </w:p>
  </w:footnote>
  <w:footnote w:id="207">
    <w:p w14:paraId="6FF4FF70" w14:textId="541343B3" w:rsidR="000E429D" w:rsidRPr="00CB4F47" w:rsidRDefault="000E429D" w:rsidP="002F3A8B">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color w:val="FF0000"/>
          <w:sz w:val="16"/>
          <w:szCs w:val="16"/>
        </w:rPr>
        <w:t xml:space="preserve"> </w:t>
      </w:r>
      <w:r w:rsidRPr="00CB4F47">
        <w:rPr>
          <w:color w:val="auto"/>
          <w:sz w:val="16"/>
          <w:szCs w:val="16"/>
        </w:rPr>
        <w:t>Education Act 1914, sections 127–129</w:t>
      </w:r>
      <w:r w:rsidR="00B8348D" w:rsidRPr="00CB4F47">
        <w:rPr>
          <w:color w:val="auto"/>
          <w:sz w:val="16"/>
          <w:szCs w:val="16"/>
        </w:rPr>
        <w:t>.</w:t>
      </w:r>
    </w:p>
  </w:footnote>
  <w:footnote w:id="208">
    <w:p w14:paraId="48D317EC" w14:textId="4768B4BD" w:rsidR="000E429D" w:rsidRPr="00CB4F47" w:rsidRDefault="000E429D" w:rsidP="002F3A8B">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Goodyear, R, Sunshine and </w:t>
      </w:r>
      <w:r w:rsidR="00C546F4">
        <w:rPr>
          <w:rFonts w:cs="Arial"/>
          <w:sz w:val="16"/>
          <w:szCs w:val="16"/>
        </w:rPr>
        <w:t>f</w:t>
      </w:r>
      <w:r w:rsidR="00C546F4" w:rsidRPr="00CB4F47">
        <w:rPr>
          <w:rFonts w:cs="Arial"/>
          <w:sz w:val="16"/>
          <w:szCs w:val="16"/>
        </w:rPr>
        <w:t xml:space="preserve">resh </w:t>
      </w:r>
      <w:r w:rsidR="00A671DF">
        <w:rPr>
          <w:rFonts w:cs="Arial"/>
          <w:sz w:val="16"/>
          <w:szCs w:val="16"/>
        </w:rPr>
        <w:t>a</w:t>
      </w:r>
      <w:r w:rsidR="00A671DF" w:rsidRPr="00CB4F47">
        <w:rPr>
          <w:rFonts w:cs="Arial"/>
          <w:sz w:val="16"/>
          <w:szCs w:val="16"/>
        </w:rPr>
        <w:t>ir</w:t>
      </w:r>
      <w:r w:rsidRPr="00CB4F47">
        <w:rPr>
          <w:rFonts w:cs="Arial"/>
          <w:sz w:val="16"/>
          <w:szCs w:val="16"/>
        </w:rPr>
        <w:t>: An oral history of childhood and family life in interwar New Zealand</w:t>
      </w:r>
      <w:r w:rsidR="00713658">
        <w:rPr>
          <w:rFonts w:cs="Arial"/>
          <w:sz w:val="16"/>
          <w:szCs w:val="16"/>
        </w:rPr>
        <w:t>, Doctoral</w:t>
      </w:r>
      <w:r w:rsidRPr="00CB4F47" w:rsidDel="00713658">
        <w:rPr>
          <w:rFonts w:cs="Arial"/>
          <w:sz w:val="16"/>
          <w:szCs w:val="16"/>
        </w:rPr>
        <w:t xml:space="preserve"> </w:t>
      </w:r>
      <w:r w:rsidR="00A671DF">
        <w:rPr>
          <w:rFonts w:cs="Arial"/>
          <w:sz w:val="16"/>
          <w:szCs w:val="16"/>
        </w:rPr>
        <w:t>T</w:t>
      </w:r>
      <w:r w:rsidR="00A671DF" w:rsidRPr="00CB4F47">
        <w:rPr>
          <w:rFonts w:cs="Arial"/>
          <w:sz w:val="16"/>
          <w:szCs w:val="16"/>
        </w:rPr>
        <w:t xml:space="preserve">hesis, </w:t>
      </w:r>
      <w:r w:rsidRPr="00CB4F47">
        <w:rPr>
          <w:rFonts w:cs="Arial"/>
          <w:sz w:val="16"/>
          <w:szCs w:val="16"/>
        </w:rPr>
        <w:t>University of Otago</w:t>
      </w:r>
      <w:r w:rsidR="00941727">
        <w:rPr>
          <w:rFonts w:cs="Arial"/>
          <w:sz w:val="16"/>
          <w:szCs w:val="16"/>
        </w:rPr>
        <w:t xml:space="preserve"> </w:t>
      </w:r>
      <w:r w:rsidR="00A671DF">
        <w:rPr>
          <w:rFonts w:cs="Arial"/>
          <w:sz w:val="16"/>
          <w:szCs w:val="16"/>
        </w:rPr>
        <w:t>(</w:t>
      </w:r>
      <w:r w:rsidRPr="00CB4F47">
        <w:rPr>
          <w:rFonts w:cs="Arial"/>
          <w:sz w:val="16"/>
          <w:szCs w:val="16"/>
        </w:rPr>
        <w:t>1998</w:t>
      </w:r>
      <w:r w:rsidR="00A671DF" w:rsidRPr="00CB4F47">
        <w:rPr>
          <w:rFonts w:cs="Arial"/>
          <w:sz w:val="16"/>
          <w:szCs w:val="16"/>
        </w:rPr>
        <w:t xml:space="preserve">, </w:t>
      </w:r>
      <w:r w:rsidR="00F50DFC" w:rsidRPr="00CB4F47">
        <w:rPr>
          <w:rFonts w:cs="Arial"/>
          <w:color w:val="auto"/>
          <w:sz w:val="16"/>
          <w:szCs w:val="16"/>
        </w:rPr>
        <w:t>page</w:t>
      </w:r>
      <w:r w:rsidR="00F50DFC" w:rsidRPr="00CB4F47">
        <w:rPr>
          <w:rFonts w:cs="Arial"/>
          <w:sz w:val="16"/>
          <w:szCs w:val="16"/>
        </w:rPr>
        <w:t xml:space="preserve"> </w:t>
      </w:r>
      <w:r w:rsidRPr="00CB4F47">
        <w:rPr>
          <w:rFonts w:cs="Arial"/>
          <w:sz w:val="16"/>
          <w:szCs w:val="16"/>
        </w:rPr>
        <w:t>5</w:t>
      </w:r>
      <w:r w:rsidR="00804786" w:rsidRPr="00CB4F47">
        <w:rPr>
          <w:rFonts w:cs="Arial"/>
          <w:sz w:val="16"/>
          <w:szCs w:val="16"/>
        </w:rPr>
        <w:t>)</w:t>
      </w:r>
      <w:r w:rsidRPr="00CB4F47">
        <w:rPr>
          <w:rFonts w:cs="Arial"/>
          <w:sz w:val="16"/>
          <w:szCs w:val="16"/>
        </w:rPr>
        <w:t>.</w:t>
      </w:r>
    </w:p>
  </w:footnote>
  <w:footnote w:id="209">
    <w:p w14:paraId="7115A3FF" w14:textId="7572F3D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Pomare, M, Mental defectives and sexual offenders report: Report of the Committee of Inquiry appointed by the Hon Sir Maui Pomare</w:t>
      </w:r>
      <w:r w:rsidR="000E434C">
        <w:rPr>
          <w:rFonts w:cs="Arial"/>
          <w:color w:val="auto"/>
          <w:sz w:val="16"/>
          <w:szCs w:val="16"/>
        </w:rPr>
        <w:t>,</w:t>
      </w:r>
      <w:r w:rsidRPr="00CB4F47">
        <w:rPr>
          <w:rFonts w:cs="Arial"/>
          <w:color w:val="auto"/>
          <w:sz w:val="16"/>
          <w:szCs w:val="16"/>
        </w:rPr>
        <w:t xml:space="preserve"> Appendix to the Journals of the House of Representatives, 1925 Session I, H-31A</w:t>
      </w:r>
      <w:r w:rsidRPr="00CB4F47">
        <w:rPr>
          <w:rFonts w:cs="Arial"/>
          <w:color w:val="auto"/>
          <w:sz w:val="16"/>
          <w:szCs w:val="16"/>
          <w:shd w:val="clear" w:color="auto" w:fill="FFFFFF"/>
        </w:rPr>
        <w:t>.</w:t>
      </w:r>
    </w:p>
  </w:footnote>
  <w:footnote w:id="210">
    <w:p w14:paraId="598F6832" w14:textId="2C91C66D" w:rsidR="0003251F" w:rsidRPr="00CB4F47" w:rsidRDefault="0003251F">
      <w:pPr>
        <w:pStyle w:val="FootnoteText"/>
        <w:rPr>
          <w:sz w:val="16"/>
          <w:szCs w:val="16"/>
        </w:rPr>
      </w:pPr>
      <w:r w:rsidRPr="00536E67">
        <w:rPr>
          <w:rStyle w:val="StyleFootnoteReferenceFagoFunotenzeichenFagoFunotenzeichen"/>
          <w:sz w:val="16"/>
          <w:szCs w:val="16"/>
        </w:rPr>
        <w:footnoteRef/>
      </w:r>
      <w:r w:rsidRPr="00CB4F47">
        <w:rPr>
          <w:sz w:val="16"/>
          <w:szCs w:val="16"/>
        </w:rPr>
        <w:t xml:space="preserve"> </w:t>
      </w:r>
      <w:r w:rsidR="007116AD" w:rsidRPr="00CB4F47">
        <w:rPr>
          <w:rFonts w:cs="Arial"/>
          <w:sz w:val="16"/>
          <w:szCs w:val="16"/>
        </w:rPr>
        <w:t>Witness statement of</w:t>
      </w:r>
      <w:r w:rsidR="00883D6C">
        <w:rPr>
          <w:rFonts w:cs="Arial"/>
          <w:sz w:val="16"/>
          <w:szCs w:val="16"/>
        </w:rPr>
        <w:t xml:space="preserve"> Dr</w:t>
      </w:r>
      <w:r w:rsidR="007116AD" w:rsidRPr="00CB4F47">
        <w:rPr>
          <w:rFonts w:cs="Arial"/>
          <w:sz w:val="16"/>
          <w:szCs w:val="16"/>
        </w:rPr>
        <w:t xml:space="preserve"> Hilary Stace </w:t>
      </w:r>
      <w:r w:rsidR="007116AD" w:rsidRPr="00CB4F47" w:rsidDel="00860ABD">
        <w:rPr>
          <w:rFonts w:cs="Arial"/>
          <w:sz w:val="16"/>
          <w:szCs w:val="16"/>
        </w:rPr>
        <w:t>(</w:t>
      </w:r>
      <w:r w:rsidR="007116AD" w:rsidRPr="00CB4F47">
        <w:rPr>
          <w:rFonts w:cs="Arial"/>
          <w:sz w:val="16"/>
          <w:szCs w:val="16"/>
        </w:rPr>
        <w:t>1 November 2019</w:t>
      </w:r>
      <w:r w:rsidR="00A671DF" w:rsidRPr="00CB4F47">
        <w:rPr>
          <w:rFonts w:cs="Arial"/>
          <w:sz w:val="16"/>
          <w:szCs w:val="16"/>
        </w:rPr>
        <w:t xml:space="preserve">, </w:t>
      </w:r>
      <w:r w:rsidR="007116AD" w:rsidRPr="00CB4F47">
        <w:rPr>
          <w:rFonts w:cs="Arial"/>
          <w:color w:val="auto"/>
          <w:sz w:val="16"/>
          <w:szCs w:val="16"/>
        </w:rPr>
        <w:t>para</w:t>
      </w:r>
      <w:r w:rsidR="00C50C4B" w:rsidRPr="00CB4F47">
        <w:rPr>
          <w:rFonts w:cs="Arial"/>
          <w:color w:val="auto"/>
          <w:sz w:val="16"/>
          <w:szCs w:val="16"/>
        </w:rPr>
        <w:t xml:space="preserve"> </w:t>
      </w:r>
      <w:r w:rsidR="00341D46" w:rsidRPr="00CB4F47">
        <w:rPr>
          <w:rFonts w:cs="Arial"/>
          <w:color w:val="auto"/>
          <w:sz w:val="16"/>
          <w:szCs w:val="16"/>
        </w:rPr>
        <w:t>17</w:t>
      </w:r>
      <w:r w:rsidR="000D7512" w:rsidRPr="00CB4F47">
        <w:rPr>
          <w:rFonts w:cs="Arial"/>
          <w:color w:val="auto"/>
          <w:sz w:val="16"/>
          <w:szCs w:val="16"/>
        </w:rPr>
        <w:t>)</w:t>
      </w:r>
      <w:r w:rsidR="00341D46" w:rsidRPr="00CB4F47">
        <w:rPr>
          <w:rFonts w:cs="Arial"/>
          <w:color w:val="auto"/>
          <w:sz w:val="16"/>
          <w:szCs w:val="16"/>
        </w:rPr>
        <w:t xml:space="preserve">; </w:t>
      </w:r>
      <w:r w:rsidR="00924F1A" w:rsidRPr="00CB4F47">
        <w:rPr>
          <w:rFonts w:cs="Arial"/>
          <w:color w:val="auto"/>
          <w:sz w:val="16"/>
          <w:szCs w:val="16"/>
        </w:rPr>
        <w:t xml:space="preserve">Turda, </w:t>
      </w:r>
      <w:r w:rsidR="00A671DF">
        <w:rPr>
          <w:rFonts w:cs="Arial"/>
          <w:color w:val="auto"/>
          <w:sz w:val="16"/>
          <w:szCs w:val="16"/>
        </w:rPr>
        <w:t>M</w:t>
      </w:r>
      <w:r w:rsidR="00924F1A" w:rsidRPr="00CB4F47">
        <w:rPr>
          <w:rFonts w:cs="Arial"/>
          <w:color w:val="auto"/>
          <w:sz w:val="16"/>
          <w:szCs w:val="16"/>
        </w:rPr>
        <w:t xml:space="preserve">, </w:t>
      </w:r>
      <w:r w:rsidR="00AB2486" w:rsidRPr="00CB4F47">
        <w:rPr>
          <w:rFonts w:cs="Arial"/>
          <w:color w:val="auto"/>
          <w:sz w:val="16"/>
          <w:szCs w:val="16"/>
        </w:rPr>
        <w:t>“</w:t>
      </w:r>
      <w:r w:rsidR="00924F1A" w:rsidRPr="00CB4F47">
        <w:rPr>
          <w:rFonts w:cs="Arial"/>
          <w:color w:val="auto"/>
          <w:sz w:val="16"/>
          <w:szCs w:val="16"/>
        </w:rPr>
        <w:t>Legacies of Eugen</w:t>
      </w:r>
      <w:r w:rsidR="00BA701B" w:rsidRPr="00CB4F47">
        <w:rPr>
          <w:rFonts w:cs="Arial"/>
          <w:color w:val="auto"/>
          <w:sz w:val="16"/>
          <w:szCs w:val="16"/>
        </w:rPr>
        <w:t xml:space="preserve">ics: </w:t>
      </w:r>
      <w:r w:rsidR="005173DB" w:rsidRPr="00CB4F47">
        <w:rPr>
          <w:rFonts w:cs="Arial"/>
          <w:color w:val="auto"/>
          <w:sz w:val="16"/>
          <w:szCs w:val="16"/>
        </w:rPr>
        <w:t>confronting the past, forging a future</w:t>
      </w:r>
      <w:r w:rsidR="0018795C">
        <w:rPr>
          <w:rFonts w:cs="Arial"/>
          <w:color w:val="auto"/>
          <w:sz w:val="16"/>
          <w:szCs w:val="16"/>
        </w:rPr>
        <w:t>,</w:t>
      </w:r>
      <w:r w:rsidR="00AB2486" w:rsidRPr="00CB4F47">
        <w:rPr>
          <w:rFonts w:cs="Arial"/>
          <w:color w:val="auto"/>
          <w:sz w:val="16"/>
          <w:szCs w:val="16"/>
        </w:rPr>
        <w:t xml:space="preserve">” </w:t>
      </w:r>
      <w:r w:rsidR="00FC170C" w:rsidRPr="00CB4F47">
        <w:rPr>
          <w:rFonts w:cs="Arial"/>
          <w:color w:val="auto"/>
          <w:sz w:val="16"/>
          <w:szCs w:val="16"/>
        </w:rPr>
        <w:t xml:space="preserve">Ethic </w:t>
      </w:r>
      <w:r w:rsidR="005C4E57" w:rsidRPr="00CB4F47">
        <w:rPr>
          <w:rFonts w:cs="Arial"/>
          <w:color w:val="auto"/>
          <w:sz w:val="16"/>
          <w:szCs w:val="16"/>
        </w:rPr>
        <w:t>and Racial Studies</w:t>
      </w:r>
      <w:r w:rsidR="00C052AD" w:rsidRPr="00CB4F47">
        <w:rPr>
          <w:rFonts w:cs="Arial"/>
          <w:color w:val="auto"/>
          <w:sz w:val="16"/>
          <w:szCs w:val="16"/>
        </w:rPr>
        <w:t>, Vol</w:t>
      </w:r>
      <w:r w:rsidR="00DD4C02">
        <w:rPr>
          <w:rFonts w:cs="Arial"/>
          <w:color w:val="auto"/>
          <w:sz w:val="16"/>
          <w:szCs w:val="16"/>
        </w:rPr>
        <w:t>ume</w:t>
      </w:r>
      <w:r w:rsidR="00C052AD" w:rsidRPr="00CB4F47">
        <w:rPr>
          <w:rFonts w:cs="Arial"/>
          <w:color w:val="auto"/>
          <w:sz w:val="16"/>
          <w:szCs w:val="16"/>
        </w:rPr>
        <w:t xml:space="preserve"> 45, No 13</w:t>
      </w:r>
      <w:r w:rsidR="00581B48" w:rsidRPr="00CB4F47">
        <w:rPr>
          <w:rFonts w:cs="Arial"/>
          <w:color w:val="auto"/>
          <w:sz w:val="16"/>
          <w:szCs w:val="16"/>
        </w:rPr>
        <w:t xml:space="preserve"> </w:t>
      </w:r>
      <w:r w:rsidR="005C4E57" w:rsidRPr="00CB4F47">
        <w:rPr>
          <w:rFonts w:cs="Arial"/>
          <w:color w:val="auto"/>
          <w:sz w:val="16"/>
          <w:szCs w:val="16"/>
        </w:rPr>
        <w:t>(Taylor and Francis, 2022</w:t>
      </w:r>
      <w:r w:rsidR="00A671DF" w:rsidRPr="00CB4F47">
        <w:rPr>
          <w:rFonts w:cs="Arial"/>
          <w:color w:val="auto"/>
          <w:sz w:val="16"/>
          <w:szCs w:val="16"/>
        </w:rPr>
        <w:t xml:space="preserve">, </w:t>
      </w:r>
      <w:r w:rsidR="005C4E57" w:rsidRPr="00CB4F47">
        <w:rPr>
          <w:rFonts w:cs="Arial"/>
          <w:color w:val="auto"/>
          <w:sz w:val="16"/>
          <w:szCs w:val="16"/>
        </w:rPr>
        <w:t>p</w:t>
      </w:r>
      <w:r w:rsidR="00581B48" w:rsidRPr="00CB4F47">
        <w:rPr>
          <w:rFonts w:cs="Arial"/>
          <w:color w:val="auto"/>
          <w:sz w:val="16"/>
          <w:szCs w:val="16"/>
        </w:rPr>
        <w:t>age</w:t>
      </w:r>
      <w:r w:rsidR="005C4E57" w:rsidRPr="00CB4F47">
        <w:rPr>
          <w:rFonts w:cs="Arial"/>
          <w:color w:val="auto"/>
          <w:sz w:val="16"/>
          <w:szCs w:val="16"/>
        </w:rPr>
        <w:t xml:space="preserve"> </w:t>
      </w:r>
      <w:r w:rsidR="00581B48" w:rsidRPr="00CB4F47">
        <w:rPr>
          <w:rFonts w:cs="Arial"/>
          <w:color w:val="auto"/>
          <w:sz w:val="16"/>
          <w:szCs w:val="16"/>
        </w:rPr>
        <w:t>2474</w:t>
      </w:r>
      <w:r w:rsidR="000D7512" w:rsidRPr="00CB4F47">
        <w:rPr>
          <w:rFonts w:cs="Arial"/>
          <w:color w:val="auto"/>
          <w:sz w:val="16"/>
          <w:szCs w:val="16"/>
        </w:rPr>
        <w:t>)</w:t>
      </w:r>
      <w:r w:rsidR="00F12A69" w:rsidRPr="00CB4F47">
        <w:rPr>
          <w:rFonts w:cs="Arial"/>
          <w:color w:val="auto"/>
          <w:sz w:val="16"/>
          <w:szCs w:val="16"/>
        </w:rPr>
        <w:t>.</w:t>
      </w:r>
    </w:p>
  </w:footnote>
  <w:footnote w:id="211">
    <w:p w14:paraId="3CE554BC" w14:textId="6D6BF2B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Beatson, P, “The seven impaired samurai: Life options for the disabled</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New Zealand Journal of Disability Studies, No 4 (1996</w:t>
      </w:r>
      <w:r w:rsidR="00A671DF" w:rsidRPr="00CB4F47">
        <w:rPr>
          <w:rFonts w:cs="Arial"/>
          <w:color w:val="auto"/>
          <w:sz w:val="16"/>
          <w:szCs w:val="16"/>
        </w:rPr>
        <w:t xml:space="preserve">, </w:t>
      </w:r>
      <w:r w:rsidR="00F50DFC" w:rsidRPr="00CB4F47">
        <w:rPr>
          <w:rFonts w:cs="Arial"/>
          <w:color w:val="auto"/>
          <w:sz w:val="16"/>
          <w:szCs w:val="16"/>
        </w:rPr>
        <w:t xml:space="preserve">page </w:t>
      </w:r>
      <w:r w:rsidRPr="00CB4F47">
        <w:rPr>
          <w:rFonts w:cs="Arial"/>
          <w:color w:val="auto"/>
          <w:sz w:val="16"/>
          <w:szCs w:val="16"/>
        </w:rPr>
        <w:t>10</w:t>
      </w:r>
      <w:r w:rsidR="00CF3BCF">
        <w:rPr>
          <w:rFonts w:cs="Arial"/>
          <w:color w:val="auto"/>
          <w:sz w:val="16"/>
          <w:szCs w:val="16"/>
        </w:rPr>
        <w:t>)</w:t>
      </w:r>
      <w:r w:rsidRPr="00CB4F47">
        <w:rPr>
          <w:rFonts w:cs="Arial"/>
          <w:color w:val="auto"/>
          <w:sz w:val="16"/>
          <w:szCs w:val="16"/>
        </w:rPr>
        <w:t xml:space="preserve">. </w:t>
      </w:r>
    </w:p>
  </w:footnote>
  <w:footnote w:id="212">
    <w:p w14:paraId="44F07D19" w14:textId="38BC2112"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color w:val="auto"/>
          <w:sz w:val="16"/>
          <w:szCs w:val="16"/>
          <w:shd w:val="clear" w:color="auto" w:fill="F9F7F4"/>
        </w:rPr>
        <w:t>Derby, M, Veterans’ assistance</w:t>
      </w:r>
      <w:r w:rsidR="00600F9F">
        <w:rPr>
          <w:rFonts w:cs="Arial"/>
          <w:color w:val="auto"/>
          <w:sz w:val="16"/>
          <w:szCs w:val="16"/>
          <w:shd w:val="clear" w:color="auto" w:fill="F9F7F4"/>
        </w:rPr>
        <w:t>:</w:t>
      </w:r>
      <w:r w:rsidRPr="00CB4F47" w:rsidDel="00925CCE">
        <w:rPr>
          <w:rFonts w:cs="Arial"/>
          <w:color w:val="auto"/>
          <w:sz w:val="16"/>
          <w:szCs w:val="16"/>
          <w:shd w:val="clear" w:color="auto" w:fill="F9F7F4"/>
        </w:rPr>
        <w:t xml:space="preserve"> </w:t>
      </w:r>
      <w:r w:rsidRPr="00CB4F47">
        <w:rPr>
          <w:rFonts w:cs="Arial"/>
          <w:color w:val="auto"/>
          <w:sz w:val="16"/>
          <w:szCs w:val="16"/>
          <w:shd w:val="clear" w:color="auto" w:fill="F9F7F4"/>
        </w:rPr>
        <w:t>Economic rehabilitation (</w:t>
      </w:r>
      <w:r w:rsidR="006405A4" w:rsidRPr="00CB4F47">
        <w:rPr>
          <w:rFonts w:cs="Arial"/>
          <w:color w:val="auto"/>
          <w:sz w:val="16"/>
          <w:szCs w:val="16"/>
          <w:shd w:val="clear" w:color="auto" w:fill="F9F7F4"/>
        </w:rPr>
        <w:t xml:space="preserve">Te Ara – </w:t>
      </w:r>
      <w:r w:rsidR="00230E7B">
        <w:rPr>
          <w:rFonts w:cs="Arial"/>
          <w:color w:val="auto"/>
          <w:sz w:val="16"/>
          <w:szCs w:val="16"/>
          <w:shd w:val="clear" w:color="auto" w:fill="F9F7F4"/>
        </w:rPr>
        <w:t>T</w:t>
      </w:r>
      <w:r w:rsidR="006405A4" w:rsidRPr="00CB4F47">
        <w:rPr>
          <w:rFonts w:cs="Arial"/>
          <w:color w:val="auto"/>
          <w:sz w:val="16"/>
          <w:szCs w:val="16"/>
          <w:shd w:val="clear" w:color="auto" w:fill="F9F7F4"/>
        </w:rPr>
        <w:t xml:space="preserve">he </w:t>
      </w:r>
      <w:r w:rsidR="00A671DF">
        <w:rPr>
          <w:rFonts w:cs="Arial"/>
          <w:color w:val="auto"/>
          <w:sz w:val="16"/>
          <w:szCs w:val="16"/>
          <w:shd w:val="clear" w:color="auto" w:fill="F9F7F4"/>
        </w:rPr>
        <w:t>Encyclopaedia</w:t>
      </w:r>
      <w:r w:rsidR="006405A4" w:rsidRPr="00CB4F47">
        <w:rPr>
          <w:rFonts w:cs="Arial"/>
          <w:color w:val="auto"/>
          <w:sz w:val="16"/>
          <w:szCs w:val="16"/>
          <w:shd w:val="clear" w:color="auto" w:fill="F9F7F4"/>
        </w:rPr>
        <w:t xml:space="preserve"> of New Zealand,</w:t>
      </w:r>
      <w:r w:rsidR="006405A4">
        <w:rPr>
          <w:rFonts w:cs="Arial"/>
          <w:color w:val="auto"/>
          <w:sz w:val="16"/>
          <w:szCs w:val="16"/>
          <w:shd w:val="clear" w:color="auto" w:fill="F9F7F4"/>
        </w:rPr>
        <w:t xml:space="preserve"> </w:t>
      </w:r>
      <w:r w:rsidRPr="00CB4F47">
        <w:rPr>
          <w:rFonts w:cs="Arial"/>
          <w:color w:val="auto"/>
          <w:sz w:val="16"/>
          <w:szCs w:val="16"/>
          <w:shd w:val="clear" w:color="auto" w:fill="F9F7F4"/>
        </w:rPr>
        <w:t>20 June 2012</w:t>
      </w:r>
      <w:r w:rsidR="00A671DF">
        <w:rPr>
          <w:rFonts w:cs="Arial"/>
          <w:color w:val="auto"/>
          <w:sz w:val="16"/>
          <w:szCs w:val="16"/>
          <w:shd w:val="clear" w:color="auto" w:fill="F9F7F4"/>
        </w:rPr>
        <w:t>,</w:t>
      </w:r>
      <w:r w:rsidR="00925CCE">
        <w:rPr>
          <w:rFonts w:cs="Arial"/>
          <w:color w:val="auto"/>
          <w:sz w:val="16"/>
          <w:szCs w:val="16"/>
          <w:shd w:val="clear" w:color="auto" w:fill="F9F7F4"/>
        </w:rPr>
        <w:t xml:space="preserve"> page 2</w:t>
      </w:r>
      <w:r w:rsidR="00177BD7">
        <w:rPr>
          <w:rFonts w:cs="Arial"/>
          <w:color w:val="auto"/>
          <w:sz w:val="16"/>
          <w:szCs w:val="16"/>
          <w:shd w:val="clear" w:color="auto" w:fill="F9F7F4"/>
        </w:rPr>
        <w:t>)</w:t>
      </w:r>
      <w:r w:rsidR="00A4196E">
        <w:rPr>
          <w:rFonts w:cs="Arial"/>
          <w:color w:val="auto"/>
          <w:sz w:val="16"/>
          <w:szCs w:val="16"/>
          <w:shd w:val="clear" w:color="auto" w:fill="F9F7F4"/>
        </w:rPr>
        <w:t xml:space="preserve">, </w:t>
      </w:r>
      <w:hyperlink r:id="rId34" w:history="1">
        <w:r w:rsidR="00A4196E" w:rsidRPr="00A4196E">
          <w:rPr>
            <w:rStyle w:val="Hyperlink"/>
            <w:rFonts w:cs="Arial"/>
            <w:sz w:val="16"/>
            <w:szCs w:val="16"/>
            <w:shd w:val="clear" w:color="auto" w:fill="F9F7F4"/>
          </w:rPr>
          <w:t>https://teara.govt.nz/en/veterans-assistance/page-2</w:t>
        </w:r>
      </w:hyperlink>
      <w:r w:rsidR="00A671DF">
        <w:rPr>
          <w:rFonts w:cs="Arial"/>
          <w:color w:val="auto"/>
          <w:sz w:val="16"/>
          <w:szCs w:val="16"/>
          <w:shd w:val="clear" w:color="auto" w:fill="F9F7F4"/>
        </w:rPr>
        <w:t>.</w:t>
      </w:r>
    </w:p>
  </w:footnote>
  <w:footnote w:id="213">
    <w:p w14:paraId="1B147D3C" w14:textId="66A974A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 xml:space="preserve">Salesa, </w:t>
      </w:r>
      <w:r w:rsidR="00A671DF" w:rsidRPr="00CB4F47">
        <w:rPr>
          <w:rFonts w:eastAsia="Calibri" w:cs="Arial"/>
          <w:color w:val="auto"/>
          <w:sz w:val="16"/>
          <w:szCs w:val="16"/>
        </w:rPr>
        <w:t>DA</w:t>
      </w:r>
      <w:r w:rsidRPr="00CB4F47">
        <w:rPr>
          <w:rFonts w:eastAsia="Calibri" w:cs="Arial"/>
          <w:color w:val="auto"/>
          <w:sz w:val="16"/>
          <w:szCs w:val="16"/>
        </w:rPr>
        <w:t>, “Pacific destiny: New Zealand’s overseas empire 1840</w:t>
      </w:r>
      <w:r w:rsidR="00177BD7">
        <w:rPr>
          <w:rFonts w:eastAsia="Calibri" w:cs="Arial"/>
          <w:color w:val="auto"/>
          <w:sz w:val="16"/>
          <w:szCs w:val="16"/>
        </w:rPr>
        <w:t>–</w:t>
      </w:r>
      <w:r w:rsidRPr="00CB4F47">
        <w:rPr>
          <w:rFonts w:eastAsia="Calibri" w:cs="Arial"/>
          <w:color w:val="auto"/>
          <w:sz w:val="16"/>
          <w:szCs w:val="16"/>
        </w:rPr>
        <w:t xml:space="preserve">1945,” in </w:t>
      </w:r>
      <w:r w:rsidRPr="00CB4F47">
        <w:rPr>
          <w:rFonts w:cs="Arial"/>
          <w:color w:val="262626" w:themeColor="text1" w:themeTint="D9"/>
          <w:sz w:val="16"/>
          <w:szCs w:val="16"/>
        </w:rPr>
        <w:t>Mallon, S, Māhina-Tuai, K &amp; Salesa, D</w:t>
      </w:r>
      <w:r w:rsidRPr="00CB4F47">
        <w:rPr>
          <w:rFonts w:eastAsia="Calibri" w:cs="Arial"/>
          <w:color w:val="auto"/>
          <w:sz w:val="16"/>
          <w:szCs w:val="16"/>
        </w:rPr>
        <w:t xml:space="preserve"> (eds</w:t>
      </w:r>
      <w:r w:rsidR="00A671DF" w:rsidRPr="00CB4F47">
        <w:rPr>
          <w:rFonts w:eastAsia="Calibri" w:cs="Arial"/>
          <w:color w:val="auto"/>
          <w:sz w:val="16"/>
          <w:szCs w:val="16"/>
        </w:rPr>
        <w:t>)</w:t>
      </w:r>
      <w:r w:rsidRPr="00CB4F47">
        <w:rPr>
          <w:rFonts w:eastAsia="Calibri" w:cs="Arial"/>
          <w:color w:val="auto"/>
          <w:sz w:val="16"/>
          <w:szCs w:val="16"/>
        </w:rPr>
        <w:t xml:space="preserve"> Tangata o le Moana: New Zealand and the people of the Pacific (Te Papa Press, 2012</w:t>
      </w:r>
      <w:r w:rsidR="00A671DF" w:rsidRPr="00D7126F">
        <w:rPr>
          <w:rFonts w:eastAsia="Calibri" w:cs="Arial"/>
          <w:color w:val="auto"/>
          <w:sz w:val="16"/>
          <w:szCs w:val="16"/>
        </w:rPr>
        <w:t xml:space="preserve">, </w:t>
      </w:r>
      <w:r w:rsidRPr="00CB4F47">
        <w:rPr>
          <w:rFonts w:cs="Arial"/>
          <w:color w:val="auto"/>
          <w:sz w:val="16"/>
          <w:szCs w:val="16"/>
        </w:rPr>
        <w:t>pages</w:t>
      </w:r>
      <w:r w:rsidRPr="00CB4F47">
        <w:rPr>
          <w:rFonts w:eastAsia="Calibri" w:cs="Arial"/>
          <w:color w:val="auto"/>
          <w:sz w:val="16"/>
          <w:szCs w:val="16"/>
        </w:rPr>
        <w:t xml:space="preserve"> 97–121</w:t>
      </w:r>
      <w:r w:rsidR="00CF3BCF">
        <w:rPr>
          <w:rFonts w:eastAsia="Calibri" w:cs="Arial"/>
          <w:color w:val="auto"/>
          <w:sz w:val="16"/>
          <w:szCs w:val="16"/>
        </w:rPr>
        <w:t>)</w:t>
      </w:r>
      <w:r w:rsidRPr="00CB4F47">
        <w:rPr>
          <w:rFonts w:eastAsia="Calibri" w:cs="Arial"/>
          <w:color w:val="auto"/>
          <w:sz w:val="16"/>
          <w:szCs w:val="16"/>
        </w:rPr>
        <w:t xml:space="preserve">. </w:t>
      </w:r>
    </w:p>
  </w:footnote>
  <w:footnote w:id="214">
    <w:p w14:paraId="67357861" w14:textId="6D5CC412"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001A309D">
        <w:rPr>
          <w:rFonts w:cs="Arial"/>
          <w:sz w:val="16"/>
          <w:szCs w:val="16"/>
        </w:rPr>
        <w:t xml:space="preserve">The Governor General of New Zealand, </w:t>
      </w:r>
      <w:r w:rsidR="001A309D" w:rsidRPr="00CB4F47">
        <w:rPr>
          <w:rFonts w:cs="Arial"/>
          <w:sz w:val="16"/>
          <w:szCs w:val="16"/>
        </w:rPr>
        <w:t>New Zealand’s Constitution (</w:t>
      </w:r>
      <w:r w:rsidR="001A309D">
        <w:rPr>
          <w:rFonts w:cs="Arial"/>
          <w:sz w:val="16"/>
          <w:szCs w:val="16"/>
        </w:rPr>
        <w:t xml:space="preserve">accessed </w:t>
      </w:r>
      <w:r w:rsidR="001A309D" w:rsidRPr="00CB4F47">
        <w:rPr>
          <w:rFonts w:cs="Arial"/>
          <w:sz w:val="16"/>
          <w:szCs w:val="16"/>
        </w:rPr>
        <w:t>2023</w:t>
      </w:r>
      <w:r w:rsidR="002E151A">
        <w:rPr>
          <w:rFonts w:cs="Arial"/>
          <w:sz w:val="16"/>
          <w:szCs w:val="16"/>
        </w:rPr>
        <w:t>)</w:t>
      </w:r>
      <w:r w:rsidR="001A309D">
        <w:rPr>
          <w:rFonts w:cs="Arial"/>
          <w:sz w:val="16"/>
          <w:szCs w:val="16"/>
        </w:rPr>
        <w:t xml:space="preserve">, </w:t>
      </w:r>
      <w:hyperlink r:id="rId35" w:history="1">
        <w:r w:rsidR="001A309D" w:rsidRPr="002E151A">
          <w:rPr>
            <w:rStyle w:val="Hyperlink"/>
            <w:rFonts w:cs="Arial"/>
            <w:sz w:val="16"/>
            <w:szCs w:val="16"/>
          </w:rPr>
          <w:t>https://gg.govt.nz/office-governor-general/roles-and-functions-governor-general/constitutional-role</w:t>
        </w:r>
        <w:bookmarkStart w:id="287" w:name="_Hlt165016105"/>
        <w:bookmarkStart w:id="288" w:name="_Hlt165016106"/>
        <w:r w:rsidR="001A309D" w:rsidRPr="002E151A">
          <w:rPr>
            <w:rStyle w:val="Hyperlink"/>
            <w:rFonts w:cs="Arial"/>
            <w:sz w:val="16"/>
            <w:szCs w:val="16"/>
          </w:rPr>
          <w:t>/</w:t>
        </w:r>
        <w:bookmarkEnd w:id="287"/>
        <w:bookmarkEnd w:id="288"/>
        <w:r w:rsidR="001A309D" w:rsidRPr="002E151A">
          <w:rPr>
            <w:rStyle w:val="Hyperlink"/>
            <w:rFonts w:cs="Arial"/>
            <w:sz w:val="16"/>
            <w:szCs w:val="16"/>
          </w:rPr>
          <w:t>constitution/constitution</w:t>
        </w:r>
      </w:hyperlink>
      <w:r w:rsidRPr="00D7126F">
        <w:rPr>
          <w:rFonts w:cs="Arial"/>
          <w:sz w:val="16"/>
          <w:szCs w:val="16"/>
        </w:rPr>
        <w:t>.</w:t>
      </w:r>
    </w:p>
  </w:footnote>
  <w:footnote w:id="215">
    <w:p w14:paraId="09580E0A" w14:textId="4AC655F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 xml:space="preserve">Salesa, </w:t>
      </w:r>
      <w:r w:rsidR="00A671DF" w:rsidRPr="00CB4F47">
        <w:rPr>
          <w:rFonts w:eastAsia="Calibri" w:cs="Arial"/>
          <w:color w:val="auto"/>
          <w:sz w:val="16"/>
          <w:szCs w:val="16"/>
        </w:rPr>
        <w:t>DA</w:t>
      </w:r>
      <w:r w:rsidRPr="00CB4F47">
        <w:rPr>
          <w:rFonts w:eastAsia="Calibri" w:cs="Arial"/>
          <w:color w:val="auto"/>
          <w:sz w:val="16"/>
          <w:szCs w:val="16"/>
        </w:rPr>
        <w:t>, “Pacific destiny: New Zealand’s overseas empire 1840</w:t>
      </w:r>
      <w:r w:rsidR="00A671DF">
        <w:rPr>
          <w:rFonts w:eastAsia="Calibri" w:cs="Arial"/>
          <w:color w:val="auto"/>
          <w:sz w:val="16"/>
          <w:szCs w:val="16"/>
        </w:rPr>
        <w:t>–</w:t>
      </w:r>
      <w:r w:rsidRPr="00CB4F47">
        <w:rPr>
          <w:rFonts w:eastAsia="Calibri" w:cs="Arial"/>
          <w:color w:val="auto"/>
          <w:sz w:val="16"/>
          <w:szCs w:val="16"/>
        </w:rPr>
        <w:t xml:space="preserve">1945,” in </w:t>
      </w:r>
      <w:r w:rsidRPr="00CB4F47">
        <w:rPr>
          <w:rFonts w:cs="Arial"/>
          <w:color w:val="262626" w:themeColor="text1" w:themeTint="D9"/>
          <w:sz w:val="16"/>
          <w:szCs w:val="16"/>
        </w:rPr>
        <w:t>Mallon, S, Māhina-Tuai, K &amp; Salesa, D</w:t>
      </w:r>
      <w:r w:rsidRPr="00CB4F47">
        <w:rPr>
          <w:rFonts w:eastAsia="Calibri" w:cs="Arial"/>
          <w:color w:val="auto"/>
          <w:sz w:val="16"/>
          <w:szCs w:val="16"/>
        </w:rPr>
        <w:t xml:space="preserve"> (eds</w:t>
      </w:r>
      <w:r w:rsidR="00A671DF" w:rsidRPr="00CB4F47">
        <w:rPr>
          <w:rFonts w:eastAsia="Calibri" w:cs="Arial"/>
          <w:color w:val="auto"/>
          <w:sz w:val="16"/>
          <w:szCs w:val="16"/>
        </w:rPr>
        <w:t>)</w:t>
      </w:r>
      <w:r w:rsidRPr="00CB4F47">
        <w:rPr>
          <w:rFonts w:eastAsia="Calibri" w:cs="Arial"/>
          <w:color w:val="auto"/>
          <w:sz w:val="16"/>
          <w:szCs w:val="16"/>
        </w:rPr>
        <w:t xml:space="preserve"> Tangata o le Moana: New Zealand and the people of the Pacific (Te Papa Press, 2012</w:t>
      </w:r>
      <w:r w:rsidR="00A671DF" w:rsidRPr="00D7126F">
        <w:rPr>
          <w:rFonts w:eastAsia="Calibri" w:cs="Arial"/>
          <w:color w:val="auto"/>
          <w:sz w:val="16"/>
          <w:szCs w:val="16"/>
        </w:rPr>
        <w:t xml:space="preserve">, </w:t>
      </w:r>
      <w:r w:rsidRPr="00CB4F47">
        <w:rPr>
          <w:rFonts w:cs="Arial"/>
          <w:color w:val="auto"/>
          <w:sz w:val="16"/>
          <w:szCs w:val="16"/>
        </w:rPr>
        <w:t>pages</w:t>
      </w:r>
      <w:r w:rsidRPr="00CB4F47">
        <w:rPr>
          <w:rFonts w:eastAsia="Calibri" w:cs="Arial"/>
          <w:color w:val="auto"/>
          <w:sz w:val="16"/>
          <w:szCs w:val="16"/>
        </w:rPr>
        <w:t xml:space="preserve"> 97–121</w:t>
      </w:r>
      <w:r w:rsidR="00CF3BCF">
        <w:rPr>
          <w:rFonts w:eastAsia="Calibri" w:cs="Arial"/>
          <w:color w:val="auto"/>
          <w:sz w:val="16"/>
          <w:szCs w:val="16"/>
        </w:rPr>
        <w:t>)</w:t>
      </w:r>
      <w:r w:rsidRPr="00CB4F47">
        <w:rPr>
          <w:rFonts w:eastAsia="Calibri" w:cs="Arial"/>
          <w:color w:val="auto"/>
          <w:sz w:val="16"/>
          <w:szCs w:val="16"/>
        </w:rPr>
        <w:t>.</w:t>
      </w:r>
    </w:p>
  </w:footnote>
  <w:footnote w:id="216">
    <w:p w14:paraId="121F3F39" w14:textId="4DB69E8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Fraenkel, J, Pacific Islands and New Zealand</w:t>
      </w:r>
      <w:r w:rsidR="00600F9F">
        <w:rPr>
          <w:rFonts w:cs="Arial"/>
          <w:color w:val="auto"/>
          <w:sz w:val="16"/>
          <w:szCs w:val="16"/>
        </w:rPr>
        <w:t>:</w:t>
      </w:r>
      <w:r w:rsidRPr="00CB4F47" w:rsidDel="00600F9F">
        <w:rPr>
          <w:rFonts w:cs="Arial"/>
          <w:color w:val="auto"/>
          <w:sz w:val="16"/>
          <w:szCs w:val="16"/>
        </w:rPr>
        <w:t xml:space="preserve"> </w:t>
      </w:r>
      <w:r w:rsidRPr="00CB4F47">
        <w:rPr>
          <w:rFonts w:cs="Arial"/>
          <w:color w:val="auto"/>
          <w:sz w:val="16"/>
          <w:szCs w:val="16"/>
        </w:rPr>
        <w:t>Cook Islands, Niue, Tokelau and Nauru (</w:t>
      </w:r>
      <w:r w:rsidR="003A1C76" w:rsidRPr="00CB4F47">
        <w:rPr>
          <w:rFonts w:cs="Arial"/>
          <w:color w:val="auto"/>
          <w:sz w:val="16"/>
          <w:szCs w:val="16"/>
        </w:rPr>
        <w:t xml:space="preserve">Te Ara – </w:t>
      </w:r>
      <w:r w:rsidR="00230E7B">
        <w:rPr>
          <w:rFonts w:cs="Arial"/>
          <w:color w:val="auto"/>
          <w:sz w:val="16"/>
          <w:szCs w:val="16"/>
        </w:rPr>
        <w:t>T</w:t>
      </w:r>
      <w:r w:rsidR="003A1C76" w:rsidRPr="00CB4F47">
        <w:rPr>
          <w:rFonts w:cs="Arial"/>
          <w:color w:val="auto"/>
          <w:sz w:val="16"/>
          <w:szCs w:val="16"/>
        </w:rPr>
        <w:t xml:space="preserve">he Encyclopedia of New </w:t>
      </w:r>
      <w:r w:rsidR="00A671DF" w:rsidRPr="00D7126F">
        <w:rPr>
          <w:rFonts w:cs="Arial"/>
          <w:color w:val="auto"/>
          <w:sz w:val="16"/>
          <w:szCs w:val="16"/>
        </w:rPr>
        <w:t>Zealand</w:t>
      </w:r>
      <w:r w:rsidRPr="00CB4F47">
        <w:rPr>
          <w:rFonts w:cs="Arial"/>
          <w:color w:val="auto"/>
          <w:sz w:val="16"/>
          <w:szCs w:val="16"/>
        </w:rPr>
        <w:t>, 2012</w:t>
      </w:r>
      <w:r w:rsidR="00AB2048">
        <w:rPr>
          <w:rFonts w:cs="Arial"/>
          <w:color w:val="auto"/>
          <w:sz w:val="16"/>
          <w:szCs w:val="16"/>
        </w:rPr>
        <w:t>, page 5</w:t>
      </w:r>
      <w:r w:rsidRPr="00CB4F47">
        <w:rPr>
          <w:rFonts w:cs="Arial"/>
          <w:color w:val="auto"/>
          <w:sz w:val="16"/>
          <w:szCs w:val="16"/>
        </w:rPr>
        <w:t>)</w:t>
      </w:r>
      <w:r w:rsidR="00AB2048">
        <w:rPr>
          <w:rFonts w:cs="Arial"/>
          <w:color w:val="auto"/>
          <w:sz w:val="16"/>
          <w:szCs w:val="16"/>
        </w:rPr>
        <w:t xml:space="preserve">, </w:t>
      </w:r>
      <w:hyperlink r:id="rId36" w:history="1">
        <w:r w:rsidR="00AB2048" w:rsidRPr="00AB2048">
          <w:rPr>
            <w:rStyle w:val="Hyperlink"/>
            <w:rFonts w:cs="Arial"/>
            <w:sz w:val="16"/>
            <w:szCs w:val="16"/>
          </w:rPr>
          <w:t>https://teara.govt.nz/en/pacific-islands-and-new-zealand/page-5</w:t>
        </w:r>
      </w:hyperlink>
      <w:r w:rsidRPr="00CB4F47">
        <w:rPr>
          <w:rFonts w:cs="Arial"/>
          <w:color w:val="auto"/>
          <w:sz w:val="16"/>
          <w:szCs w:val="16"/>
        </w:rPr>
        <w:t>.</w:t>
      </w:r>
    </w:p>
  </w:footnote>
  <w:footnote w:id="217">
    <w:p w14:paraId="64F4064A" w14:textId="7A4B0B90" w:rsidR="000E429D" w:rsidRPr="00D7126F" w:rsidRDefault="000E429D" w:rsidP="00C57877">
      <w:pPr>
        <w:pStyle w:val="FootnoteText"/>
        <w:spacing w:before="0" w:after="0" w:line="20" w:lineRule="atLeast"/>
        <w:jc w:val="left"/>
        <w:rPr>
          <w:rFonts w:cs="Arial"/>
          <w:color w:val="auto"/>
          <w:sz w:val="16"/>
          <w:szCs w:val="16"/>
          <w:u w:val="single"/>
        </w:rPr>
      </w:pPr>
      <w:r w:rsidRPr="00536E67">
        <w:rPr>
          <w:rStyle w:val="StyleFootnoteReferenceFagoFunotenzeichenFagoFunotenzeichen"/>
          <w:sz w:val="16"/>
          <w:szCs w:val="16"/>
        </w:rPr>
        <w:footnoteRef/>
      </w:r>
      <w:r w:rsidRPr="00CB4F47">
        <w:rPr>
          <w:rFonts w:cs="Arial"/>
          <w:color w:val="auto"/>
          <w:sz w:val="16"/>
          <w:szCs w:val="16"/>
        </w:rPr>
        <w:t xml:space="preserve"> </w:t>
      </w:r>
      <w:r w:rsidRPr="00D7126F">
        <w:rPr>
          <w:rFonts w:cs="Arial"/>
          <w:color w:val="auto"/>
          <w:sz w:val="16"/>
          <w:szCs w:val="16"/>
        </w:rPr>
        <w:t>Parliamentary Counsel Office, Letters patent constituting the Office of Governor-General of New Zealand (1983).</w:t>
      </w:r>
    </w:p>
  </w:footnote>
  <w:footnote w:id="218">
    <w:p w14:paraId="79F515BB" w14:textId="2310885D" w:rsidR="000E429D" w:rsidRPr="00CB4F47" w:rsidRDefault="000E429D" w:rsidP="002F3A8B">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D7126F">
        <w:rPr>
          <w:rFonts w:cs="Arial"/>
          <w:color w:val="262626" w:themeColor="text1" w:themeTint="D9"/>
          <w:sz w:val="16"/>
          <w:szCs w:val="16"/>
        </w:rPr>
        <w:t xml:space="preserve"> M</w:t>
      </w:r>
      <w:r w:rsidRPr="00D7126F">
        <w:rPr>
          <w:rFonts w:cs="Arial"/>
          <w:sz w:val="16"/>
          <w:szCs w:val="16"/>
        </w:rPr>
        <w:t>inistry for Culture and Heritage, Black Saturday</w:t>
      </w:r>
      <w:r w:rsidR="00703DB5">
        <w:rPr>
          <w:rFonts w:cs="Arial"/>
          <w:sz w:val="16"/>
          <w:szCs w:val="16"/>
        </w:rPr>
        <w:t xml:space="preserve"> – New Zealand in Samoa</w:t>
      </w:r>
      <w:r w:rsidRPr="00D7126F">
        <w:rPr>
          <w:rFonts w:cs="Arial"/>
          <w:sz w:val="16"/>
          <w:szCs w:val="16"/>
        </w:rPr>
        <w:t xml:space="preserve"> (</w:t>
      </w:r>
      <w:r w:rsidR="005048A8">
        <w:rPr>
          <w:rFonts w:cs="Arial"/>
          <w:sz w:val="16"/>
          <w:szCs w:val="16"/>
        </w:rPr>
        <w:t xml:space="preserve">accessed </w:t>
      </w:r>
      <w:r w:rsidRPr="00D7126F">
        <w:rPr>
          <w:rFonts w:cs="Arial"/>
          <w:sz w:val="16"/>
          <w:szCs w:val="16"/>
        </w:rPr>
        <w:t>2020)</w:t>
      </w:r>
      <w:r w:rsidR="00310753">
        <w:rPr>
          <w:rFonts w:cs="Arial"/>
          <w:sz w:val="16"/>
          <w:szCs w:val="16"/>
        </w:rPr>
        <w:t xml:space="preserve">, </w:t>
      </w:r>
      <w:r w:rsidR="009C6096" w:rsidRPr="009C6096">
        <w:rPr>
          <w:rFonts w:cs="Arial"/>
          <w:sz w:val="16"/>
          <w:szCs w:val="16"/>
        </w:rPr>
        <w:t>https://nzhistory.govt.nz/black-saturday-nz-police-open-fire-on-mau-protestors-in-apia-nine-samoans-killed</w:t>
      </w:r>
      <w:r w:rsidRPr="00D7126F">
        <w:rPr>
          <w:rFonts w:cs="Arial"/>
          <w:sz w:val="16"/>
          <w:szCs w:val="16"/>
        </w:rPr>
        <w:t>.</w:t>
      </w:r>
    </w:p>
  </w:footnote>
  <w:footnote w:id="219">
    <w:p w14:paraId="4A4FAF9A" w14:textId="7EB82094" w:rsidR="000E429D" w:rsidRPr="00CB4F47" w:rsidRDefault="000E429D" w:rsidP="00C57877">
      <w:pPr>
        <w:pStyle w:val="Paranumbers"/>
        <w:numPr>
          <w:ilvl w:val="0"/>
          <w:numId w:val="0"/>
        </w:numPr>
        <w:spacing w:before="0" w:line="20" w:lineRule="atLeast"/>
        <w:rPr>
          <w:rFonts w:ascii="Arial" w:hAnsi="Arial" w:cs="Arial"/>
          <w:color w:val="262626" w:themeColor="text1" w:themeTint="D9"/>
          <w:sz w:val="16"/>
          <w:szCs w:val="16"/>
        </w:rPr>
      </w:pPr>
      <w:r w:rsidRPr="00536E67">
        <w:rPr>
          <w:rStyle w:val="StyleFootnoteReferenceFagoFunotenzeichenFagoFunotenzeichen"/>
          <w:sz w:val="16"/>
          <w:szCs w:val="16"/>
        </w:rPr>
        <w:footnoteRef/>
      </w:r>
      <w:r w:rsidRPr="00CB4F47">
        <w:rPr>
          <w:rFonts w:ascii="Arial" w:hAnsi="Arial" w:cs="Arial"/>
          <w:color w:val="000000" w:themeColor="text1"/>
          <w:sz w:val="16"/>
          <w:szCs w:val="16"/>
        </w:rPr>
        <w:t xml:space="preserve"> </w:t>
      </w:r>
      <w:r w:rsidRPr="00CB4F47">
        <w:rPr>
          <w:rStyle w:val="FootnoteReference"/>
          <w:rFonts w:ascii="Arial" w:hAnsi="Arial"/>
          <w:color w:val="000000" w:themeColor="text1"/>
          <w:sz w:val="16"/>
          <w:szCs w:val="16"/>
          <w:shd w:val="clear" w:color="auto" w:fill="auto"/>
          <w:vertAlign w:val="baseline"/>
        </w:rPr>
        <w:t>Ministry of Foreign Affairs and Trade</w:t>
      </w:r>
      <w:r w:rsidR="005141B3">
        <w:rPr>
          <w:rFonts w:ascii="Arial" w:hAnsi="Arial"/>
          <w:color w:val="000000" w:themeColor="text1"/>
          <w:sz w:val="16"/>
          <w:szCs w:val="16"/>
          <w:shd w:val="clear" w:color="auto" w:fill="auto"/>
        </w:rPr>
        <w:t xml:space="preserve"> website</w:t>
      </w:r>
      <w:r w:rsidRPr="00CB4F47">
        <w:rPr>
          <w:rFonts w:ascii="Arial" w:hAnsi="Arial" w:cs="Arial"/>
          <w:color w:val="000000" w:themeColor="text1"/>
          <w:sz w:val="16"/>
          <w:szCs w:val="16"/>
          <w:shd w:val="clear" w:color="auto" w:fill="auto"/>
        </w:rPr>
        <w:t>,</w:t>
      </w:r>
      <w:r w:rsidRPr="00CB4F47">
        <w:rPr>
          <w:rStyle w:val="FootnoteReference"/>
          <w:rFonts w:ascii="Arial" w:hAnsi="Arial"/>
          <w:color w:val="000000" w:themeColor="text1"/>
          <w:sz w:val="16"/>
          <w:szCs w:val="16"/>
          <w:shd w:val="clear" w:color="auto" w:fill="auto"/>
          <w:vertAlign w:val="baseline"/>
        </w:rPr>
        <w:t xml:space="preserve"> Apia: Our story (</w:t>
      </w:r>
      <w:r w:rsidR="00ED7AAC">
        <w:rPr>
          <w:rFonts w:ascii="Arial" w:hAnsi="Arial"/>
          <w:color w:val="000000" w:themeColor="text1"/>
          <w:sz w:val="16"/>
          <w:szCs w:val="16"/>
          <w:shd w:val="clear" w:color="auto" w:fill="auto"/>
        </w:rPr>
        <w:t>accessed 2022</w:t>
      </w:r>
      <w:r w:rsidRPr="00CB4F47">
        <w:rPr>
          <w:rStyle w:val="FootnoteReference"/>
          <w:rFonts w:ascii="Arial" w:hAnsi="Arial"/>
          <w:color w:val="000000" w:themeColor="text1"/>
          <w:sz w:val="16"/>
          <w:szCs w:val="16"/>
          <w:shd w:val="clear" w:color="auto" w:fill="auto"/>
          <w:vertAlign w:val="baseline"/>
        </w:rPr>
        <w:t>)</w:t>
      </w:r>
      <w:r w:rsidR="00ED7AAC">
        <w:rPr>
          <w:rFonts w:ascii="Arial" w:hAnsi="Arial"/>
          <w:color w:val="000000" w:themeColor="text1"/>
          <w:sz w:val="16"/>
          <w:szCs w:val="16"/>
          <w:shd w:val="clear" w:color="auto" w:fill="auto"/>
        </w:rPr>
        <w:t>,</w:t>
      </w:r>
      <w:r w:rsidR="00436A7F">
        <w:rPr>
          <w:rFonts w:ascii="Arial" w:hAnsi="Arial"/>
          <w:color w:val="000000" w:themeColor="text1"/>
          <w:sz w:val="16"/>
          <w:szCs w:val="16"/>
          <w:shd w:val="clear" w:color="auto" w:fill="auto"/>
        </w:rPr>
        <w:t xml:space="preserve"> </w:t>
      </w:r>
      <w:hyperlink r:id="rId37" w:history="1">
        <w:r w:rsidR="00436A7F" w:rsidRPr="00436A7F">
          <w:rPr>
            <w:rStyle w:val="Hyperlink"/>
            <w:rFonts w:ascii="Arial" w:hAnsi="Arial"/>
            <w:sz w:val="16"/>
            <w:szCs w:val="16"/>
            <w:shd w:val="clear" w:color="auto" w:fill="auto"/>
          </w:rPr>
          <w:t>https://www.mfat.govt.nz/en/about-us/mfat75/75-our-story/apia/</w:t>
        </w:r>
      </w:hyperlink>
      <w:r w:rsidR="00A671DF" w:rsidRPr="00D7126F">
        <w:rPr>
          <w:rFonts w:ascii="Arial" w:hAnsi="Arial" w:cs="Arial"/>
          <w:color w:val="000000" w:themeColor="text1"/>
          <w:sz w:val="16"/>
          <w:szCs w:val="16"/>
          <w:shd w:val="clear" w:color="auto" w:fill="auto"/>
        </w:rPr>
        <w:t>;</w:t>
      </w:r>
      <w:r w:rsidRPr="00CB4F47">
        <w:rPr>
          <w:rFonts w:ascii="Arial" w:hAnsi="Arial" w:cs="Arial"/>
          <w:color w:val="000000" w:themeColor="text1"/>
          <w:sz w:val="16"/>
          <w:szCs w:val="16"/>
        </w:rPr>
        <w:t xml:space="preserve"> Anae, M, “All power to the people: Overstayers, </w:t>
      </w:r>
      <w:r w:rsidR="00710E7E">
        <w:rPr>
          <w:rFonts w:ascii="Arial" w:hAnsi="Arial" w:cs="Arial"/>
          <w:color w:val="000000" w:themeColor="text1"/>
          <w:sz w:val="16"/>
          <w:szCs w:val="16"/>
        </w:rPr>
        <w:t>D</w:t>
      </w:r>
      <w:r w:rsidRPr="00CB4F47">
        <w:rPr>
          <w:rFonts w:ascii="Arial" w:hAnsi="Arial" w:cs="Arial"/>
          <w:color w:val="000000" w:themeColor="text1"/>
          <w:sz w:val="16"/>
          <w:szCs w:val="16"/>
        </w:rPr>
        <w:t xml:space="preserve">awn </w:t>
      </w:r>
      <w:r w:rsidR="00710E7E">
        <w:rPr>
          <w:rFonts w:ascii="Arial" w:hAnsi="Arial" w:cs="Arial"/>
          <w:color w:val="000000" w:themeColor="text1"/>
          <w:sz w:val="16"/>
          <w:szCs w:val="16"/>
        </w:rPr>
        <w:t>R</w:t>
      </w:r>
      <w:r w:rsidRPr="00CB4F47">
        <w:rPr>
          <w:rFonts w:ascii="Arial" w:hAnsi="Arial" w:cs="Arial"/>
          <w:color w:val="000000" w:themeColor="text1"/>
          <w:sz w:val="16"/>
          <w:szCs w:val="16"/>
        </w:rPr>
        <w:t>aids and the Polynesian Panthers” in Mallon, S, Māhina-Tuai, K &amp; Salesa, D (eds</w:t>
      </w:r>
      <w:r w:rsidR="00A671DF" w:rsidRPr="00CB4F47">
        <w:rPr>
          <w:rFonts w:ascii="Arial" w:hAnsi="Arial" w:cs="Arial"/>
          <w:color w:val="000000" w:themeColor="text1"/>
          <w:sz w:val="16"/>
          <w:szCs w:val="16"/>
        </w:rPr>
        <w:t>)</w:t>
      </w:r>
      <w:r w:rsidR="00A671DF">
        <w:rPr>
          <w:rFonts w:ascii="Arial" w:hAnsi="Arial" w:cs="Arial"/>
          <w:color w:val="000000" w:themeColor="text1"/>
          <w:sz w:val="16"/>
          <w:szCs w:val="16"/>
        </w:rPr>
        <w:t>,</w:t>
      </w:r>
      <w:r w:rsidRPr="00CB4F47">
        <w:rPr>
          <w:rFonts w:ascii="Arial" w:hAnsi="Arial" w:cs="Arial"/>
          <w:color w:val="000000" w:themeColor="text1"/>
          <w:sz w:val="16"/>
          <w:szCs w:val="16"/>
        </w:rPr>
        <w:t xml:space="preserve"> Tangata o le Moana</w:t>
      </w:r>
      <w:r w:rsidR="003C710B" w:rsidRPr="00120E85">
        <w:rPr>
          <w:rFonts w:ascii="Arial" w:hAnsi="Arial" w:cs="Arial"/>
          <w:color w:val="000000" w:themeColor="text1"/>
          <w:sz w:val="16"/>
          <w:szCs w:val="16"/>
        </w:rPr>
        <w:t xml:space="preserve">: New Zealand and the </w:t>
      </w:r>
      <w:r w:rsidR="00711632" w:rsidRPr="00F86F60">
        <w:rPr>
          <w:rFonts w:ascii="Arial" w:hAnsi="Arial" w:cs="Arial"/>
          <w:color w:val="000000" w:themeColor="text1"/>
          <w:sz w:val="16"/>
          <w:szCs w:val="16"/>
        </w:rPr>
        <w:t>p</w:t>
      </w:r>
      <w:r w:rsidR="003C710B" w:rsidRPr="00120E85">
        <w:rPr>
          <w:rFonts w:ascii="Arial" w:hAnsi="Arial" w:cs="Arial"/>
          <w:color w:val="000000" w:themeColor="text1"/>
          <w:sz w:val="16"/>
          <w:szCs w:val="16"/>
        </w:rPr>
        <w:t>eople of the Pacific</w:t>
      </w:r>
      <w:r w:rsidRPr="00CB4F47">
        <w:rPr>
          <w:rFonts w:ascii="Arial" w:hAnsi="Arial" w:cs="Arial"/>
          <w:color w:val="000000" w:themeColor="text1"/>
          <w:sz w:val="16"/>
          <w:szCs w:val="16"/>
        </w:rPr>
        <w:t xml:space="preserve"> (Te Papa Press, 2012</w:t>
      </w:r>
      <w:r w:rsidR="00A671DF" w:rsidRPr="00CB4F47">
        <w:rPr>
          <w:rFonts w:ascii="Arial" w:hAnsi="Arial" w:cs="Arial"/>
          <w:color w:val="000000" w:themeColor="text1"/>
          <w:sz w:val="16"/>
          <w:szCs w:val="16"/>
        </w:rPr>
        <w:t xml:space="preserve">, </w:t>
      </w:r>
      <w:r w:rsidRPr="00CB4F47">
        <w:rPr>
          <w:rFonts w:ascii="Arial" w:hAnsi="Arial" w:cs="Arial"/>
          <w:sz w:val="16"/>
          <w:szCs w:val="16"/>
        </w:rPr>
        <w:t xml:space="preserve">pages </w:t>
      </w:r>
      <w:r w:rsidRPr="00CB4F47">
        <w:rPr>
          <w:rFonts w:ascii="Arial" w:hAnsi="Arial" w:cs="Arial"/>
          <w:color w:val="000000" w:themeColor="text1"/>
          <w:sz w:val="16"/>
          <w:szCs w:val="16"/>
        </w:rPr>
        <w:t>221</w:t>
      </w:r>
      <w:r w:rsidRPr="00CB4F47">
        <w:rPr>
          <w:rFonts w:ascii="Arial" w:eastAsia="Calibri" w:hAnsi="Arial" w:cs="Arial"/>
          <w:color w:val="000000" w:themeColor="text1"/>
          <w:sz w:val="16"/>
          <w:szCs w:val="16"/>
        </w:rPr>
        <w:t>–</w:t>
      </w:r>
      <w:r w:rsidRPr="00CB4F47">
        <w:rPr>
          <w:rFonts w:ascii="Arial" w:hAnsi="Arial" w:cs="Arial"/>
          <w:color w:val="000000" w:themeColor="text1"/>
          <w:sz w:val="16"/>
          <w:szCs w:val="16"/>
        </w:rPr>
        <w:t>239</w:t>
      </w:r>
      <w:r w:rsidR="00911FC2">
        <w:rPr>
          <w:rFonts w:ascii="Arial" w:hAnsi="Arial" w:cs="Arial"/>
          <w:color w:val="000000" w:themeColor="text1"/>
          <w:sz w:val="16"/>
          <w:szCs w:val="16"/>
        </w:rPr>
        <w:t>)</w:t>
      </w:r>
      <w:r w:rsidRPr="00CB4F47">
        <w:rPr>
          <w:rFonts w:ascii="Arial" w:hAnsi="Arial" w:cs="Arial"/>
          <w:color w:val="000000" w:themeColor="text1"/>
          <w:sz w:val="16"/>
          <w:szCs w:val="16"/>
        </w:rPr>
        <w:t>.</w:t>
      </w:r>
    </w:p>
  </w:footnote>
  <w:footnote w:id="220">
    <w:p w14:paraId="68DA35D9" w14:textId="7011B43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Pacific Peoples also notably participated in the New Zealand armed forces in both </w:t>
      </w:r>
      <w:r w:rsidR="00A671DF">
        <w:rPr>
          <w:rFonts w:cs="Arial"/>
          <w:color w:val="auto"/>
          <w:sz w:val="16"/>
          <w:szCs w:val="16"/>
        </w:rPr>
        <w:t>WWI</w:t>
      </w:r>
      <w:r w:rsidRPr="00CB4F47" w:rsidDel="00E55FB1">
        <w:rPr>
          <w:rFonts w:cs="Arial"/>
          <w:color w:val="auto"/>
          <w:sz w:val="16"/>
          <w:szCs w:val="16"/>
        </w:rPr>
        <w:t xml:space="preserve"> and </w:t>
      </w:r>
      <w:r w:rsidR="00A671DF">
        <w:rPr>
          <w:rFonts w:cs="Arial"/>
          <w:color w:val="auto"/>
          <w:sz w:val="16"/>
          <w:szCs w:val="16"/>
        </w:rPr>
        <w:t>II</w:t>
      </w:r>
      <w:r w:rsidRPr="00CB4F47">
        <w:rPr>
          <w:rFonts w:cs="Arial"/>
          <w:color w:val="auto"/>
          <w:sz w:val="16"/>
          <w:szCs w:val="16"/>
        </w:rPr>
        <w:t xml:space="preserve">, and some of these veterans returned and settled in New Zealand, as discussed by Māhina-Tuai, K, </w:t>
      </w:r>
      <w:r w:rsidR="00A671DF">
        <w:rPr>
          <w:rFonts w:cs="Arial"/>
          <w:color w:val="auto"/>
          <w:sz w:val="16"/>
          <w:szCs w:val="16"/>
        </w:rPr>
        <w:t>“</w:t>
      </w:r>
      <w:r w:rsidRPr="00CB4F47">
        <w:rPr>
          <w:rFonts w:cs="Arial"/>
          <w:color w:val="auto"/>
          <w:sz w:val="16"/>
          <w:szCs w:val="16"/>
        </w:rPr>
        <w:t>FIA (Forgotten in action</w:t>
      </w:r>
      <w:r w:rsidR="00A671DF" w:rsidRPr="00CB4F47">
        <w:rPr>
          <w:rFonts w:cs="Arial"/>
          <w:color w:val="auto"/>
          <w:sz w:val="16"/>
          <w:szCs w:val="16"/>
        </w:rPr>
        <w:t>)</w:t>
      </w:r>
      <w:r w:rsidR="00A671DF">
        <w:rPr>
          <w:rFonts w:cs="Arial"/>
          <w:color w:val="auto"/>
          <w:sz w:val="16"/>
          <w:szCs w:val="16"/>
        </w:rPr>
        <w:t>”</w:t>
      </w:r>
      <w:r w:rsidRPr="00CB4F47">
        <w:rPr>
          <w:rFonts w:cs="Arial"/>
          <w:color w:val="auto"/>
          <w:sz w:val="16"/>
          <w:szCs w:val="16"/>
        </w:rPr>
        <w:t xml:space="preserve"> in </w:t>
      </w:r>
      <w:r w:rsidRPr="00CB4F47">
        <w:rPr>
          <w:rFonts w:cs="Arial"/>
          <w:color w:val="262626" w:themeColor="text1" w:themeTint="D9"/>
          <w:sz w:val="16"/>
          <w:szCs w:val="16"/>
        </w:rPr>
        <w:t>Mallon, S, Māhina-Tuai, K &amp; Salesa, D (eds</w:t>
      </w:r>
      <w:r w:rsidR="00A671DF" w:rsidRPr="00CB4F47">
        <w:rPr>
          <w:rFonts w:cs="Arial"/>
          <w:color w:val="262626" w:themeColor="text1" w:themeTint="D9"/>
          <w:sz w:val="16"/>
          <w:szCs w:val="16"/>
        </w:rPr>
        <w:t>)</w:t>
      </w:r>
      <w:r w:rsidR="00A671DF">
        <w:rPr>
          <w:rFonts w:cs="Arial"/>
          <w:color w:val="262626" w:themeColor="text1" w:themeTint="D9"/>
          <w:sz w:val="16"/>
          <w:szCs w:val="16"/>
        </w:rPr>
        <w:t>,</w:t>
      </w:r>
      <w:r w:rsidRPr="00CB4F47">
        <w:rPr>
          <w:rFonts w:cs="Arial"/>
          <w:color w:val="auto"/>
          <w:sz w:val="16"/>
          <w:szCs w:val="16"/>
        </w:rPr>
        <w:t xml:space="preserve"> Tangata o le </w:t>
      </w:r>
      <w:r w:rsidR="00A671DF">
        <w:rPr>
          <w:rFonts w:cs="Arial"/>
          <w:color w:val="auto"/>
          <w:sz w:val="16"/>
          <w:szCs w:val="16"/>
        </w:rPr>
        <w:t>M</w:t>
      </w:r>
      <w:r w:rsidR="00A671DF" w:rsidRPr="00CB4F47">
        <w:rPr>
          <w:rFonts w:cs="Arial"/>
          <w:color w:val="auto"/>
          <w:sz w:val="16"/>
          <w:szCs w:val="16"/>
        </w:rPr>
        <w:t>oana</w:t>
      </w:r>
      <w:r w:rsidRPr="00CB4F47">
        <w:rPr>
          <w:rFonts w:cs="Arial"/>
          <w:color w:val="auto"/>
          <w:sz w:val="16"/>
          <w:szCs w:val="16"/>
        </w:rPr>
        <w:t>: New Zealand and the people of the Pacific (Te Papa Press, 2012).</w:t>
      </w:r>
    </w:p>
  </w:footnote>
  <w:footnote w:id="221">
    <w:p w14:paraId="1650B448" w14:textId="312F9C3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Salesa, D, Island time: New </w:t>
      </w:r>
      <w:r w:rsidR="00A671DF" w:rsidRPr="00CB4F47">
        <w:rPr>
          <w:rFonts w:cs="Arial"/>
          <w:color w:val="auto"/>
          <w:sz w:val="16"/>
          <w:szCs w:val="16"/>
        </w:rPr>
        <w:t>Zealand</w:t>
      </w:r>
      <w:r w:rsidR="00A671DF">
        <w:rPr>
          <w:rFonts w:cs="Arial"/>
          <w:color w:val="auto"/>
          <w:sz w:val="16"/>
          <w:szCs w:val="16"/>
        </w:rPr>
        <w:t>’</w:t>
      </w:r>
      <w:r w:rsidR="00A671DF" w:rsidRPr="00CB4F47">
        <w:rPr>
          <w:rFonts w:cs="Arial"/>
          <w:color w:val="auto"/>
          <w:sz w:val="16"/>
          <w:szCs w:val="16"/>
        </w:rPr>
        <w:t>s</w:t>
      </w:r>
      <w:r w:rsidRPr="00CB4F47">
        <w:rPr>
          <w:rFonts w:cs="Arial"/>
          <w:color w:val="auto"/>
          <w:sz w:val="16"/>
          <w:szCs w:val="16"/>
        </w:rPr>
        <w:t xml:space="preserve"> Pacific futures (Bridget Williams Books, 2017</w:t>
      </w:r>
      <w:r w:rsidR="00A671DF"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12</w:t>
      </w:r>
      <w:r w:rsidR="00911FC2">
        <w:rPr>
          <w:rFonts w:cs="Arial"/>
          <w:color w:val="auto"/>
          <w:sz w:val="16"/>
          <w:szCs w:val="16"/>
        </w:rPr>
        <w:t>)</w:t>
      </w:r>
      <w:r w:rsidRPr="00CB4F47">
        <w:rPr>
          <w:rFonts w:cs="Arial"/>
          <w:color w:val="auto"/>
          <w:sz w:val="16"/>
          <w:szCs w:val="16"/>
        </w:rPr>
        <w:t>.</w:t>
      </w:r>
    </w:p>
  </w:footnote>
  <w:footnote w:id="222">
    <w:p w14:paraId="61735B49" w14:textId="027F402D" w:rsidR="004C6956" w:rsidRPr="00DD5764" w:rsidRDefault="004C6956">
      <w:pPr>
        <w:pStyle w:val="FootnoteText"/>
        <w:rPr>
          <w:sz w:val="16"/>
          <w:szCs w:val="16"/>
        </w:rPr>
      </w:pPr>
      <w:r w:rsidRPr="00536E67">
        <w:rPr>
          <w:rStyle w:val="StyleFootnoteReferenceFagoFunotenzeichenFagoFunotenzeichen"/>
          <w:sz w:val="16"/>
          <w:szCs w:val="16"/>
        </w:rPr>
        <w:footnoteRef/>
      </w:r>
      <w:r>
        <w:rPr>
          <w:sz w:val="16"/>
          <w:szCs w:val="16"/>
        </w:rPr>
        <w:t xml:space="preserve"> </w:t>
      </w:r>
      <w:r w:rsidRPr="00DD5764">
        <w:rPr>
          <w:sz w:val="16"/>
          <w:szCs w:val="16"/>
        </w:rPr>
        <w:t xml:space="preserve">Māhina-Tuai, K, </w:t>
      </w:r>
      <w:r w:rsidR="00A671DF">
        <w:rPr>
          <w:sz w:val="16"/>
          <w:szCs w:val="16"/>
        </w:rPr>
        <w:t>“</w:t>
      </w:r>
      <w:r w:rsidRPr="00DD5764">
        <w:rPr>
          <w:sz w:val="16"/>
          <w:szCs w:val="16"/>
        </w:rPr>
        <w:t>FIA (Forgotten in action</w:t>
      </w:r>
      <w:r w:rsidR="00A671DF" w:rsidRPr="00DD5764">
        <w:rPr>
          <w:sz w:val="16"/>
          <w:szCs w:val="16"/>
        </w:rPr>
        <w:t>),</w:t>
      </w:r>
      <w:r w:rsidR="00A671DF">
        <w:rPr>
          <w:sz w:val="16"/>
          <w:szCs w:val="16"/>
        </w:rPr>
        <w:t>”</w:t>
      </w:r>
      <w:r w:rsidRPr="00DD5764">
        <w:rPr>
          <w:sz w:val="16"/>
          <w:szCs w:val="16"/>
        </w:rPr>
        <w:t xml:space="preserve"> in Mallon, S, Māhina-Tuai, K &amp; Salesa, D (eds</w:t>
      </w:r>
      <w:r w:rsidR="00A671DF" w:rsidRPr="00DD5764">
        <w:rPr>
          <w:sz w:val="16"/>
          <w:szCs w:val="16"/>
        </w:rPr>
        <w:t>)</w:t>
      </w:r>
      <w:r w:rsidRPr="00DD5764">
        <w:rPr>
          <w:sz w:val="16"/>
          <w:szCs w:val="16"/>
        </w:rPr>
        <w:t xml:space="preserve"> Tangata o le </w:t>
      </w:r>
      <w:r w:rsidR="00A671DF">
        <w:rPr>
          <w:sz w:val="16"/>
          <w:szCs w:val="16"/>
        </w:rPr>
        <w:t>M</w:t>
      </w:r>
      <w:r w:rsidR="00A671DF" w:rsidRPr="00DD5764">
        <w:rPr>
          <w:sz w:val="16"/>
          <w:szCs w:val="16"/>
        </w:rPr>
        <w:t>oana</w:t>
      </w:r>
      <w:r w:rsidRPr="00DD5764">
        <w:rPr>
          <w:sz w:val="16"/>
          <w:szCs w:val="16"/>
        </w:rPr>
        <w:t xml:space="preserve">: New Zealand and the people of the Pacific (Te Papa Press, 2012).  </w:t>
      </w:r>
    </w:p>
  </w:footnote>
  <w:footnote w:id="223">
    <w:p w14:paraId="3120E30F" w14:textId="462B2075" w:rsidR="000E429D" w:rsidRPr="00CB4F47" w:rsidDel="00616387" w:rsidRDefault="000E429D" w:rsidP="00C57877">
      <w:pPr>
        <w:pStyle w:val="FootnoteText"/>
        <w:spacing w:before="0" w:after="0" w:line="20" w:lineRule="atLeast"/>
        <w:jc w:val="left"/>
        <w:rPr>
          <w:rFonts w:cs="Arial"/>
          <w:color w:val="auto"/>
          <w:sz w:val="16"/>
          <w:szCs w:val="16"/>
        </w:rPr>
      </w:pPr>
      <w:r w:rsidRPr="00536E67" w:rsidDel="00616387">
        <w:rPr>
          <w:rStyle w:val="StyleFootnoteReferenceFagoFunotenzeichenFagoFunotenzeichen"/>
          <w:sz w:val="16"/>
          <w:szCs w:val="16"/>
        </w:rPr>
        <w:footnoteRef/>
      </w:r>
      <w:r w:rsidRPr="00CB4F47" w:rsidDel="00616387">
        <w:rPr>
          <w:rFonts w:cs="Arial"/>
          <w:color w:val="auto"/>
          <w:sz w:val="16"/>
          <w:szCs w:val="16"/>
        </w:rPr>
        <w:t xml:space="preserve"> </w:t>
      </w:r>
      <w:r w:rsidRPr="00CB4F47" w:rsidDel="00616387">
        <w:rPr>
          <w:rFonts w:eastAsia="Calibri" w:cs="Arial"/>
          <w:color w:val="auto"/>
          <w:sz w:val="16"/>
          <w:szCs w:val="16"/>
        </w:rPr>
        <w:t>Māhina-Tuai, K, “A land of milk and honey? Education and employment migration schemes in the Postwar Era</w:t>
      </w:r>
      <w:r w:rsidR="00A671DF" w:rsidDel="00616387">
        <w:rPr>
          <w:rFonts w:eastAsia="Calibri" w:cs="Arial"/>
          <w:color w:val="auto"/>
          <w:sz w:val="16"/>
          <w:szCs w:val="16"/>
        </w:rPr>
        <w:t>,</w:t>
      </w:r>
      <w:r w:rsidR="00A671DF" w:rsidRPr="00CB4F47" w:rsidDel="00616387">
        <w:rPr>
          <w:rFonts w:eastAsia="Calibri" w:cs="Arial"/>
          <w:color w:val="auto"/>
          <w:sz w:val="16"/>
          <w:szCs w:val="16"/>
        </w:rPr>
        <w:t>”</w:t>
      </w:r>
      <w:r w:rsidRPr="00CB4F47" w:rsidDel="00616387">
        <w:rPr>
          <w:rFonts w:eastAsia="Calibri" w:cs="Arial"/>
          <w:color w:val="auto"/>
          <w:sz w:val="16"/>
          <w:szCs w:val="16"/>
        </w:rPr>
        <w:t xml:space="preserve"> in </w:t>
      </w:r>
      <w:r w:rsidRPr="00CB4F47" w:rsidDel="00616387">
        <w:rPr>
          <w:rFonts w:cs="Arial"/>
          <w:color w:val="262626" w:themeColor="text1" w:themeTint="D9"/>
          <w:sz w:val="16"/>
          <w:szCs w:val="16"/>
        </w:rPr>
        <w:t xml:space="preserve">Mallon, S, Māhina-Tuai, K &amp; Salesa, D </w:t>
      </w:r>
      <w:r w:rsidRPr="00CB4F47" w:rsidDel="00616387">
        <w:rPr>
          <w:rFonts w:eastAsia="Calibri" w:cs="Arial"/>
          <w:color w:val="auto"/>
          <w:sz w:val="16"/>
          <w:szCs w:val="16"/>
        </w:rPr>
        <w:t>(eds</w:t>
      </w:r>
      <w:r w:rsidR="00A671DF" w:rsidRPr="00CB4F47" w:rsidDel="00616387">
        <w:rPr>
          <w:rFonts w:eastAsia="Calibri" w:cs="Arial"/>
          <w:color w:val="auto"/>
          <w:sz w:val="16"/>
          <w:szCs w:val="16"/>
        </w:rPr>
        <w:t>)</w:t>
      </w:r>
      <w:r w:rsidR="00A671DF" w:rsidDel="00616387">
        <w:rPr>
          <w:rFonts w:eastAsia="Calibri" w:cs="Arial"/>
          <w:color w:val="auto"/>
          <w:sz w:val="16"/>
          <w:szCs w:val="16"/>
        </w:rPr>
        <w:t>,</w:t>
      </w:r>
      <w:r w:rsidRPr="00CB4F47" w:rsidDel="00616387">
        <w:rPr>
          <w:rFonts w:eastAsia="Calibri" w:cs="Arial"/>
          <w:color w:val="auto"/>
          <w:sz w:val="16"/>
          <w:szCs w:val="16"/>
        </w:rPr>
        <w:t xml:space="preserve"> Tangata o le Moana: New Zealand and the people of the Pacific (Te Papa Press, 2012</w:t>
      </w:r>
      <w:r w:rsidR="00A671DF" w:rsidRPr="00CB4F47" w:rsidDel="00616387">
        <w:rPr>
          <w:rFonts w:eastAsia="Calibri" w:cs="Arial"/>
          <w:color w:val="auto"/>
          <w:sz w:val="16"/>
          <w:szCs w:val="16"/>
        </w:rPr>
        <w:t xml:space="preserve">, </w:t>
      </w:r>
      <w:r w:rsidR="00C32E74" w:rsidRPr="00CB4F47" w:rsidDel="00616387">
        <w:rPr>
          <w:rFonts w:cs="Arial"/>
          <w:color w:val="auto"/>
          <w:sz w:val="16"/>
          <w:szCs w:val="16"/>
        </w:rPr>
        <w:t>page</w:t>
      </w:r>
      <w:r w:rsidRPr="00CB4F47" w:rsidDel="00616387">
        <w:rPr>
          <w:rFonts w:cs="Arial"/>
          <w:color w:val="auto"/>
          <w:sz w:val="16"/>
          <w:szCs w:val="16"/>
        </w:rPr>
        <w:t xml:space="preserve"> 177</w:t>
      </w:r>
      <w:r w:rsidR="002703DE" w:rsidDel="00616387">
        <w:rPr>
          <w:rFonts w:cs="Arial"/>
          <w:color w:val="auto"/>
          <w:sz w:val="16"/>
          <w:szCs w:val="16"/>
        </w:rPr>
        <w:t>)</w:t>
      </w:r>
      <w:r w:rsidRPr="00CB4F47" w:rsidDel="00616387">
        <w:rPr>
          <w:rFonts w:cs="Arial"/>
          <w:color w:val="auto"/>
          <w:sz w:val="16"/>
          <w:szCs w:val="16"/>
        </w:rPr>
        <w:t>.</w:t>
      </w:r>
    </w:p>
  </w:footnote>
  <w:footnote w:id="224">
    <w:p w14:paraId="5DF19FF1" w14:textId="7CDB803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00A671DF" w:rsidRPr="00CB4F47">
        <w:rPr>
          <w:rFonts w:cs="Arial"/>
          <w:color w:val="auto"/>
          <w:sz w:val="16"/>
          <w:szCs w:val="16"/>
        </w:rPr>
        <w:t xml:space="preserve"> Black, R, “The changing value of the child – A review of the literature regarding social perceptions of sick and dying children</w:t>
      </w:r>
      <w:r w:rsidR="00A671DF">
        <w:rPr>
          <w:rFonts w:cs="Arial"/>
          <w:color w:val="auto"/>
          <w:sz w:val="16"/>
          <w:szCs w:val="16"/>
        </w:rPr>
        <w:t>,</w:t>
      </w:r>
      <w:r w:rsidR="00A671DF" w:rsidRPr="003D7BC4">
        <w:rPr>
          <w:rFonts w:cs="Arial"/>
          <w:color w:val="auto"/>
          <w:sz w:val="16"/>
          <w:szCs w:val="16"/>
        </w:rPr>
        <w:t>”</w:t>
      </w:r>
      <w:r w:rsidR="00A671DF" w:rsidRPr="00CB4F47">
        <w:rPr>
          <w:rFonts w:cs="Arial"/>
          <w:color w:val="auto"/>
          <w:sz w:val="16"/>
          <w:szCs w:val="16"/>
        </w:rPr>
        <w:t xml:space="preserve"> Sociology Compass, 7/9 (2013</w:t>
      </w:r>
      <w:r w:rsidR="00A671DF" w:rsidRPr="00CB4F47">
        <w:rPr>
          <w:rFonts w:cs="Arial"/>
          <w:color w:val="000000"/>
          <w:sz w:val="16"/>
          <w:szCs w:val="16"/>
          <w:shd w:val="clear" w:color="auto" w:fill="FFFFFF"/>
        </w:rPr>
        <w:t xml:space="preserve">, </w:t>
      </w:r>
      <w:r w:rsidR="00A671DF" w:rsidRPr="00CB4F47">
        <w:rPr>
          <w:rFonts w:cs="Arial"/>
          <w:color w:val="auto"/>
          <w:sz w:val="16"/>
          <w:szCs w:val="16"/>
        </w:rPr>
        <w:t>pages 738–750, page 741</w:t>
      </w:r>
      <w:r w:rsidR="00A671DF">
        <w:rPr>
          <w:rFonts w:cs="Arial"/>
          <w:color w:val="auto"/>
          <w:sz w:val="16"/>
          <w:szCs w:val="16"/>
        </w:rPr>
        <w:t>)</w:t>
      </w:r>
      <w:r w:rsidR="00A671DF" w:rsidRPr="003D7BC4">
        <w:rPr>
          <w:rFonts w:cs="Arial"/>
          <w:color w:val="auto"/>
          <w:sz w:val="16"/>
          <w:szCs w:val="16"/>
        </w:rPr>
        <w:t>;</w:t>
      </w:r>
      <w:r w:rsidR="00A671DF" w:rsidRPr="00CB4F47">
        <w:rPr>
          <w:rFonts w:cs="Arial"/>
          <w:color w:val="auto"/>
          <w:sz w:val="16"/>
          <w:szCs w:val="16"/>
        </w:rPr>
        <w:t xml:space="preserve"> Melling, J, Adair, R &amp; Forsythe, B, “A proper lunatic for two years: Pauper lunatic children in Victorian and Edwardian England, Child admissions to the Devon County asylum, 1845–1914</w:t>
      </w:r>
      <w:r w:rsidR="00A671DF">
        <w:rPr>
          <w:rFonts w:cs="Arial"/>
          <w:color w:val="auto"/>
          <w:sz w:val="16"/>
          <w:szCs w:val="16"/>
        </w:rPr>
        <w:t>,</w:t>
      </w:r>
      <w:r w:rsidR="00A671DF" w:rsidRPr="003D7BC4">
        <w:rPr>
          <w:rFonts w:cs="Arial"/>
          <w:color w:val="auto"/>
          <w:sz w:val="16"/>
          <w:szCs w:val="16"/>
        </w:rPr>
        <w:t>”</w:t>
      </w:r>
      <w:r w:rsidR="00A671DF" w:rsidRPr="00CB4F47">
        <w:rPr>
          <w:rFonts w:cs="Arial"/>
          <w:color w:val="auto"/>
          <w:sz w:val="16"/>
          <w:szCs w:val="16"/>
        </w:rPr>
        <w:t xml:space="preserve"> Journal of Social History (1997</w:t>
      </w:r>
      <w:r w:rsidR="00A671DF">
        <w:rPr>
          <w:rFonts w:cs="Arial"/>
          <w:color w:val="000000"/>
          <w:sz w:val="16"/>
          <w:szCs w:val="16"/>
        </w:rPr>
        <w:t>,</w:t>
      </w:r>
      <w:r w:rsidR="00A671DF" w:rsidRPr="00CB4F47">
        <w:rPr>
          <w:rFonts w:cs="Arial"/>
          <w:color w:val="000000"/>
          <w:sz w:val="16"/>
          <w:szCs w:val="16"/>
        </w:rPr>
        <w:t xml:space="preserve"> </w:t>
      </w:r>
      <w:r w:rsidR="00A671DF" w:rsidRPr="00CB4F47">
        <w:rPr>
          <w:rFonts w:cs="Arial"/>
          <w:color w:val="auto"/>
          <w:sz w:val="16"/>
          <w:szCs w:val="16"/>
        </w:rPr>
        <w:t>pages 371–405</w:t>
      </w:r>
      <w:r w:rsidR="00A671DF" w:rsidRPr="00CB4F47">
        <w:rPr>
          <w:rFonts w:cs="Arial"/>
          <w:color w:val="000000"/>
          <w:sz w:val="16"/>
          <w:szCs w:val="16"/>
        </w:rPr>
        <w:t xml:space="preserve">, </w:t>
      </w:r>
      <w:r w:rsidR="00A671DF" w:rsidRPr="00CB4F47">
        <w:rPr>
          <w:rFonts w:cs="Arial"/>
          <w:color w:val="auto"/>
          <w:sz w:val="16"/>
          <w:szCs w:val="16"/>
        </w:rPr>
        <w:t>page 371</w:t>
      </w:r>
      <w:r w:rsidR="00A671DF">
        <w:rPr>
          <w:rFonts w:cs="Arial"/>
          <w:color w:val="auto"/>
          <w:sz w:val="16"/>
          <w:szCs w:val="16"/>
        </w:rPr>
        <w:t>)</w:t>
      </w:r>
      <w:r w:rsidR="00A671DF" w:rsidRPr="003D7BC4">
        <w:rPr>
          <w:rFonts w:cs="Arial"/>
          <w:color w:val="auto"/>
          <w:sz w:val="16"/>
          <w:szCs w:val="16"/>
        </w:rPr>
        <w:t>;</w:t>
      </w:r>
      <w:r w:rsidR="00A671DF" w:rsidRPr="00CB4F47">
        <w:rPr>
          <w:rFonts w:cs="Arial"/>
          <w:color w:val="auto"/>
          <w:sz w:val="16"/>
          <w:szCs w:val="16"/>
        </w:rPr>
        <w:t xml:space="preserve"> Gavin, A &amp; Humphries, A, </w:t>
      </w:r>
      <w:r w:rsidR="00A671DF">
        <w:rPr>
          <w:rFonts w:cs="Arial"/>
          <w:color w:val="auto"/>
          <w:sz w:val="16"/>
          <w:szCs w:val="16"/>
        </w:rPr>
        <w:t>W</w:t>
      </w:r>
      <w:r w:rsidR="00A671DF" w:rsidRPr="00CB4F47">
        <w:rPr>
          <w:rFonts w:cs="Arial"/>
          <w:color w:val="auto"/>
          <w:sz w:val="16"/>
          <w:szCs w:val="16"/>
        </w:rPr>
        <w:t>orlds enough and time: The cult of childhood in Edwardian fiction (Palgrave Macmillan, London, 2009, page 1</w:t>
      </w:r>
      <w:r w:rsidR="00A671DF">
        <w:rPr>
          <w:rFonts w:cs="Arial"/>
          <w:color w:val="auto"/>
          <w:sz w:val="16"/>
          <w:szCs w:val="16"/>
        </w:rPr>
        <w:t>)</w:t>
      </w:r>
      <w:r w:rsidR="00A671DF" w:rsidRPr="003D7BC4">
        <w:rPr>
          <w:rFonts w:cs="Arial"/>
          <w:color w:val="auto"/>
          <w:sz w:val="16"/>
          <w:szCs w:val="16"/>
        </w:rPr>
        <w:t>;</w:t>
      </w:r>
      <w:r w:rsidR="00A671DF" w:rsidRPr="00CB4F47">
        <w:rPr>
          <w:rFonts w:cs="Arial"/>
          <w:color w:val="auto"/>
          <w:sz w:val="16"/>
          <w:szCs w:val="16"/>
        </w:rPr>
        <w:t xml:space="preserve"> Pollock, K “Childhood</w:t>
      </w:r>
      <w:r w:rsidR="00A671DF">
        <w:rPr>
          <w:rFonts w:cs="Arial"/>
          <w:color w:val="auto"/>
          <w:sz w:val="16"/>
          <w:szCs w:val="16"/>
        </w:rPr>
        <w:t>,</w:t>
      </w:r>
      <w:r w:rsidR="00A671DF" w:rsidRPr="003D7BC4">
        <w:rPr>
          <w:rFonts w:cs="Arial"/>
          <w:color w:val="auto"/>
          <w:sz w:val="16"/>
          <w:szCs w:val="16"/>
        </w:rPr>
        <w:t>”</w:t>
      </w:r>
      <w:r w:rsidR="00A671DF" w:rsidRPr="00CB4F47">
        <w:rPr>
          <w:rFonts w:cs="Arial"/>
          <w:color w:val="auto"/>
          <w:sz w:val="16"/>
          <w:szCs w:val="16"/>
        </w:rPr>
        <w:t xml:space="preserve"> (Te Ara </w:t>
      </w:r>
      <w:r w:rsidR="00A741D9">
        <w:rPr>
          <w:rFonts w:cs="Arial"/>
          <w:color w:val="auto"/>
          <w:sz w:val="16"/>
          <w:szCs w:val="16"/>
        </w:rPr>
        <w:t xml:space="preserve">– The </w:t>
      </w:r>
      <w:r w:rsidR="00A671DF">
        <w:rPr>
          <w:rFonts w:cs="Arial"/>
          <w:color w:val="auto"/>
          <w:sz w:val="16"/>
          <w:szCs w:val="16"/>
        </w:rPr>
        <w:t xml:space="preserve">Encyclopaedia </w:t>
      </w:r>
      <w:r w:rsidR="00A671DF" w:rsidRPr="00CB4F47">
        <w:rPr>
          <w:rFonts w:cs="Arial"/>
          <w:color w:val="auto"/>
          <w:sz w:val="16"/>
          <w:szCs w:val="16"/>
        </w:rPr>
        <w:t>of New Zealand, 2011)</w:t>
      </w:r>
      <w:r w:rsidR="00A671DF" w:rsidRPr="00764CA0">
        <w:rPr>
          <w:rFonts w:cs="Arial"/>
          <w:color w:val="auto"/>
          <w:sz w:val="16"/>
          <w:szCs w:val="16"/>
        </w:rPr>
        <w:t xml:space="preserve">, </w:t>
      </w:r>
      <w:hyperlink r:id="rId38" w:history="1">
        <w:r w:rsidR="00A671DF" w:rsidRPr="00A741D9">
          <w:rPr>
            <w:rStyle w:val="Hyperlink"/>
            <w:rFonts w:cs="Arial"/>
            <w:sz w:val="16"/>
            <w:szCs w:val="16"/>
          </w:rPr>
          <w:t>https://teara.govt.nz/en/childhood</w:t>
        </w:r>
      </w:hyperlink>
      <w:r w:rsidR="00A671DF" w:rsidRPr="00764CA0">
        <w:rPr>
          <w:rFonts w:cs="Arial"/>
          <w:color w:val="auto"/>
          <w:sz w:val="16"/>
          <w:szCs w:val="16"/>
        </w:rPr>
        <w:t>.</w:t>
      </w:r>
    </w:p>
  </w:footnote>
  <w:footnote w:id="225">
    <w:p w14:paraId="1D7E8680" w14:textId="326EB97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Cargo, T, The impact on attachment when mokopuna are removed from whānau, hapū and iwi, and placed in foster care </w:t>
      </w:r>
      <w:r w:rsidRPr="0099653A">
        <w:rPr>
          <w:rFonts w:cs="Arial"/>
          <w:color w:val="auto"/>
          <w:sz w:val="16"/>
          <w:szCs w:val="16"/>
        </w:rPr>
        <w:t>(</w:t>
      </w:r>
      <w:r w:rsidRPr="00CB4F47">
        <w:rPr>
          <w:rFonts w:cs="Arial"/>
          <w:color w:val="auto"/>
          <w:sz w:val="16"/>
          <w:szCs w:val="16"/>
        </w:rPr>
        <w:t>June 2022</w:t>
      </w:r>
      <w:r w:rsidR="00A671DF"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7</w:t>
      </w:r>
      <w:r w:rsidR="0039019E">
        <w:rPr>
          <w:rFonts w:cs="Arial"/>
          <w:color w:val="auto"/>
          <w:sz w:val="16"/>
          <w:szCs w:val="16"/>
        </w:rPr>
        <w:t>)</w:t>
      </w:r>
      <w:r w:rsidRPr="00CB4F47">
        <w:rPr>
          <w:rFonts w:cs="Arial"/>
          <w:color w:val="auto"/>
          <w:sz w:val="16"/>
          <w:szCs w:val="16"/>
        </w:rPr>
        <w:t>.</w:t>
      </w:r>
    </w:p>
  </w:footnote>
  <w:footnote w:id="226">
    <w:p w14:paraId="19FAA782" w14:textId="0EDE0FEF" w:rsidR="000E429D" w:rsidRPr="00E1339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E13397">
        <w:rPr>
          <w:rFonts w:cs="Arial"/>
          <w:color w:val="auto"/>
          <w:sz w:val="16"/>
          <w:szCs w:val="16"/>
        </w:rPr>
        <w:t>Calvert, S</w:t>
      </w:r>
      <w:r w:rsidRPr="00E13397">
        <w:rPr>
          <w:rStyle w:val="normaltextrun"/>
          <w:rFonts w:cs="Arial"/>
          <w:color w:val="auto"/>
          <w:sz w:val="16"/>
          <w:szCs w:val="16"/>
          <w:shd w:val="clear" w:color="auto" w:fill="FFFFFF"/>
        </w:rPr>
        <w:t>, Attachment</w:t>
      </w:r>
      <w:r w:rsidR="00E13397" w:rsidRPr="00DD5764">
        <w:rPr>
          <w:rStyle w:val="normaltextrun"/>
          <w:rFonts w:cs="Arial"/>
          <w:color w:val="auto"/>
          <w:sz w:val="16"/>
          <w:szCs w:val="16"/>
          <w:shd w:val="clear" w:color="auto" w:fill="FFFFFF"/>
        </w:rPr>
        <w:t xml:space="preserve"> and related issues</w:t>
      </w:r>
      <w:r w:rsidRPr="00E13397" w:rsidDel="00E13397">
        <w:rPr>
          <w:rStyle w:val="normaltextrun"/>
          <w:rFonts w:cs="Arial"/>
          <w:color w:val="auto"/>
          <w:sz w:val="16"/>
          <w:szCs w:val="16"/>
          <w:shd w:val="clear" w:color="auto" w:fill="FFFFFF"/>
        </w:rPr>
        <w:t>,</w:t>
      </w:r>
      <w:r w:rsidRPr="00E13397">
        <w:rPr>
          <w:rStyle w:val="normaltextrun"/>
          <w:rFonts w:cs="Arial"/>
          <w:color w:val="auto"/>
          <w:sz w:val="16"/>
          <w:szCs w:val="16"/>
          <w:shd w:val="clear" w:color="auto" w:fill="FFFFFF"/>
        </w:rPr>
        <w:t xml:space="preserve"> </w:t>
      </w:r>
      <w:r w:rsidR="00A75673" w:rsidRPr="00E13397">
        <w:rPr>
          <w:rStyle w:val="normaltextrun"/>
          <w:rFonts w:cs="Arial"/>
          <w:color w:val="auto"/>
          <w:sz w:val="16"/>
          <w:szCs w:val="16"/>
          <w:shd w:val="clear" w:color="auto" w:fill="FFFFFF"/>
        </w:rPr>
        <w:t>Expert opinion</w:t>
      </w:r>
      <w:r w:rsidR="00A75673">
        <w:rPr>
          <w:rStyle w:val="normaltextrun"/>
          <w:rFonts w:cs="Arial"/>
          <w:color w:val="auto"/>
          <w:sz w:val="16"/>
          <w:szCs w:val="16"/>
          <w:shd w:val="clear" w:color="auto" w:fill="FFFFFF"/>
        </w:rPr>
        <w:t xml:space="preserve"> </w:t>
      </w:r>
      <w:r w:rsidR="00FD3F7C">
        <w:rPr>
          <w:rStyle w:val="normaltextrun"/>
          <w:rFonts w:cs="Arial"/>
          <w:color w:val="auto"/>
          <w:sz w:val="16"/>
          <w:szCs w:val="16"/>
          <w:shd w:val="clear" w:color="auto" w:fill="FFFFFF"/>
        </w:rPr>
        <w:t xml:space="preserve">report </w:t>
      </w:r>
      <w:r w:rsidR="00A75673">
        <w:rPr>
          <w:rStyle w:val="normaltextrun"/>
          <w:rFonts w:cs="Arial"/>
          <w:color w:val="auto"/>
          <w:sz w:val="16"/>
          <w:szCs w:val="16"/>
          <w:shd w:val="clear" w:color="auto" w:fill="FFFFFF"/>
        </w:rPr>
        <w:t>prepared for</w:t>
      </w:r>
      <w:r w:rsidR="00A75673" w:rsidRPr="00A75673">
        <w:rPr>
          <w:rFonts w:cs="Arial"/>
          <w:color w:val="auto"/>
          <w:sz w:val="16"/>
          <w:szCs w:val="16"/>
        </w:rPr>
        <w:t xml:space="preserve"> </w:t>
      </w:r>
      <w:r w:rsidR="000F4487">
        <w:rPr>
          <w:rFonts w:cs="Arial"/>
          <w:color w:val="auto"/>
          <w:sz w:val="16"/>
          <w:szCs w:val="16"/>
        </w:rPr>
        <w:t xml:space="preserve">the </w:t>
      </w:r>
      <w:r w:rsidRPr="00DD5764">
        <w:rPr>
          <w:rFonts w:cs="Arial"/>
          <w:color w:val="auto"/>
          <w:sz w:val="16"/>
          <w:szCs w:val="16"/>
        </w:rPr>
        <w:t>Royal Commission of Inquiry into Abuse in Care</w:t>
      </w:r>
      <w:r w:rsidR="00A75673">
        <w:rPr>
          <w:rFonts w:cs="Arial"/>
          <w:color w:val="auto"/>
          <w:sz w:val="16"/>
          <w:szCs w:val="16"/>
        </w:rPr>
        <w:t xml:space="preserve"> </w:t>
      </w:r>
      <w:r w:rsidR="00A671DF">
        <w:rPr>
          <w:rFonts w:cs="Arial"/>
          <w:color w:val="auto"/>
          <w:sz w:val="16"/>
          <w:szCs w:val="16"/>
        </w:rPr>
        <w:t>(</w:t>
      </w:r>
      <w:r w:rsidRPr="00DD5764">
        <w:rPr>
          <w:rFonts w:cs="Arial"/>
          <w:color w:val="auto"/>
          <w:sz w:val="16"/>
          <w:szCs w:val="16"/>
        </w:rPr>
        <w:t>8 June 2022</w:t>
      </w:r>
      <w:r w:rsidR="00A671DF" w:rsidRPr="00DD5764">
        <w:rPr>
          <w:rStyle w:val="normaltextrun"/>
          <w:rFonts w:cs="Arial"/>
          <w:color w:val="auto"/>
          <w:sz w:val="16"/>
          <w:szCs w:val="16"/>
          <w:shd w:val="clear" w:color="auto" w:fill="FFFFFF"/>
        </w:rPr>
        <w:t>,</w:t>
      </w:r>
      <w:r w:rsidR="00A671DF" w:rsidRPr="00E13397">
        <w:rPr>
          <w:rStyle w:val="normaltextrun"/>
          <w:rFonts w:cs="Arial"/>
          <w:color w:val="auto"/>
          <w:sz w:val="16"/>
          <w:szCs w:val="16"/>
          <w:shd w:val="clear" w:color="auto" w:fill="FFFFFF"/>
        </w:rPr>
        <w:t xml:space="preserve"> </w:t>
      </w:r>
      <w:r w:rsidRPr="00E13397">
        <w:rPr>
          <w:rFonts w:cs="Arial"/>
          <w:color w:val="auto"/>
          <w:sz w:val="16"/>
          <w:szCs w:val="16"/>
        </w:rPr>
        <w:t>pages 1–2</w:t>
      </w:r>
      <w:r w:rsidR="00B325C5" w:rsidRPr="00E13397">
        <w:rPr>
          <w:rFonts w:cs="Arial"/>
          <w:color w:val="auto"/>
          <w:sz w:val="16"/>
          <w:szCs w:val="16"/>
        </w:rPr>
        <w:t>)</w:t>
      </w:r>
      <w:r w:rsidRPr="00E13397">
        <w:rPr>
          <w:rFonts w:cs="Arial"/>
          <w:color w:val="auto"/>
          <w:sz w:val="16"/>
          <w:szCs w:val="16"/>
        </w:rPr>
        <w:t>.</w:t>
      </w:r>
    </w:p>
  </w:footnote>
  <w:footnote w:id="227">
    <w:p w14:paraId="3FF8D2E2" w14:textId="7F425C1D" w:rsidR="000E429D" w:rsidRPr="00E1339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E13397">
        <w:rPr>
          <w:rFonts w:cs="Arial"/>
          <w:color w:val="auto"/>
          <w:sz w:val="16"/>
          <w:szCs w:val="16"/>
        </w:rPr>
        <w:t xml:space="preserve"> Calvert, S</w:t>
      </w:r>
      <w:r w:rsidRPr="00E13397">
        <w:rPr>
          <w:rStyle w:val="normaltextrun"/>
          <w:rFonts w:cs="Arial"/>
          <w:color w:val="auto"/>
          <w:sz w:val="16"/>
          <w:szCs w:val="16"/>
          <w:shd w:val="clear" w:color="auto" w:fill="FFFFFF"/>
        </w:rPr>
        <w:t>, Attachment</w:t>
      </w:r>
      <w:r w:rsidR="00E13397" w:rsidRPr="00DD5764">
        <w:rPr>
          <w:rStyle w:val="normaltextrun"/>
          <w:rFonts w:cs="Arial"/>
          <w:color w:val="auto"/>
          <w:sz w:val="16"/>
          <w:szCs w:val="16"/>
          <w:shd w:val="clear" w:color="auto" w:fill="FFFFFF"/>
        </w:rPr>
        <w:t xml:space="preserve"> and related issues</w:t>
      </w:r>
      <w:r w:rsidR="00F83F36">
        <w:rPr>
          <w:rStyle w:val="normaltextrun"/>
          <w:rFonts w:cs="Arial"/>
          <w:color w:val="auto"/>
          <w:sz w:val="16"/>
          <w:szCs w:val="16"/>
          <w:shd w:val="clear" w:color="auto" w:fill="FFFFFF"/>
        </w:rPr>
        <w:t>,</w:t>
      </w:r>
      <w:r w:rsidRPr="00E13397">
        <w:rPr>
          <w:rStyle w:val="normaltextrun"/>
          <w:rFonts w:cs="Arial"/>
          <w:color w:val="auto"/>
          <w:sz w:val="16"/>
          <w:szCs w:val="16"/>
          <w:shd w:val="clear" w:color="auto" w:fill="FFFFFF"/>
        </w:rPr>
        <w:t xml:space="preserve"> </w:t>
      </w:r>
      <w:r w:rsidR="00A75673" w:rsidRPr="00E13397">
        <w:rPr>
          <w:rStyle w:val="normaltextrun"/>
          <w:rFonts w:cs="Arial"/>
          <w:color w:val="auto"/>
          <w:sz w:val="16"/>
          <w:szCs w:val="16"/>
          <w:shd w:val="clear" w:color="auto" w:fill="FFFFFF"/>
        </w:rPr>
        <w:t>Expert opinion</w:t>
      </w:r>
      <w:r w:rsidR="00A75673">
        <w:rPr>
          <w:rStyle w:val="normaltextrun"/>
          <w:rFonts w:cs="Arial"/>
          <w:color w:val="auto"/>
          <w:sz w:val="16"/>
          <w:szCs w:val="16"/>
          <w:shd w:val="clear" w:color="auto" w:fill="FFFFFF"/>
        </w:rPr>
        <w:t xml:space="preserve"> </w:t>
      </w:r>
      <w:r w:rsidR="00FD3F7C">
        <w:rPr>
          <w:rStyle w:val="normaltextrun"/>
          <w:rFonts w:cs="Arial"/>
          <w:color w:val="auto"/>
          <w:sz w:val="16"/>
          <w:szCs w:val="16"/>
          <w:shd w:val="clear" w:color="auto" w:fill="FFFFFF"/>
        </w:rPr>
        <w:t>report</w:t>
      </w:r>
      <w:r w:rsidR="00A75673">
        <w:rPr>
          <w:rStyle w:val="normaltextrun"/>
          <w:rFonts w:cs="Arial"/>
          <w:color w:val="auto"/>
          <w:sz w:val="16"/>
          <w:szCs w:val="16"/>
          <w:shd w:val="clear" w:color="auto" w:fill="FFFFFF"/>
        </w:rPr>
        <w:t xml:space="preserve"> prepared for</w:t>
      </w:r>
      <w:r w:rsidR="00A75673" w:rsidRPr="00A75673">
        <w:rPr>
          <w:rFonts w:cs="Arial"/>
          <w:color w:val="auto"/>
          <w:sz w:val="16"/>
          <w:szCs w:val="16"/>
        </w:rPr>
        <w:t xml:space="preserve"> </w:t>
      </w:r>
      <w:r w:rsidR="000F4487">
        <w:rPr>
          <w:rFonts w:cs="Arial"/>
          <w:color w:val="auto"/>
          <w:sz w:val="16"/>
          <w:szCs w:val="16"/>
        </w:rPr>
        <w:t xml:space="preserve">the </w:t>
      </w:r>
      <w:r w:rsidRPr="00DD5764">
        <w:rPr>
          <w:rFonts w:cs="Arial"/>
          <w:color w:val="auto"/>
          <w:sz w:val="16"/>
          <w:szCs w:val="16"/>
        </w:rPr>
        <w:t>Royal Commission of Inquiry into Abuse in Care</w:t>
      </w:r>
      <w:r w:rsidR="00F83F36">
        <w:rPr>
          <w:rFonts w:cs="Arial"/>
          <w:color w:val="auto"/>
          <w:sz w:val="16"/>
          <w:szCs w:val="16"/>
        </w:rPr>
        <w:t xml:space="preserve"> </w:t>
      </w:r>
      <w:r w:rsidR="00A671DF">
        <w:rPr>
          <w:rFonts w:cs="Arial"/>
          <w:color w:val="auto"/>
          <w:sz w:val="16"/>
          <w:szCs w:val="16"/>
        </w:rPr>
        <w:t>(</w:t>
      </w:r>
      <w:r w:rsidRPr="00DD5764">
        <w:rPr>
          <w:rFonts w:cs="Arial"/>
          <w:color w:val="auto"/>
          <w:sz w:val="16"/>
          <w:szCs w:val="16"/>
        </w:rPr>
        <w:t>8 June 2022</w:t>
      </w:r>
      <w:r w:rsidR="00A671DF" w:rsidRPr="00E13397">
        <w:rPr>
          <w:rStyle w:val="normaltextrun"/>
          <w:rFonts w:cs="Arial"/>
          <w:color w:val="auto"/>
          <w:sz w:val="16"/>
          <w:szCs w:val="16"/>
          <w:shd w:val="clear" w:color="auto" w:fill="FFFFFF"/>
        </w:rPr>
        <w:t xml:space="preserve">, </w:t>
      </w:r>
      <w:r w:rsidR="00C32E74" w:rsidRPr="00E13397">
        <w:rPr>
          <w:rFonts w:cs="Arial"/>
          <w:color w:val="auto"/>
          <w:sz w:val="16"/>
          <w:szCs w:val="16"/>
        </w:rPr>
        <w:t>pages</w:t>
      </w:r>
      <w:r w:rsidRPr="00E13397">
        <w:rPr>
          <w:rFonts w:cs="Arial"/>
          <w:color w:val="auto"/>
          <w:sz w:val="16"/>
          <w:szCs w:val="16"/>
        </w:rPr>
        <w:t xml:space="preserve"> 2</w:t>
      </w:r>
      <w:r w:rsidR="00C32E74" w:rsidRPr="00E13397">
        <w:rPr>
          <w:rFonts w:cs="Arial"/>
          <w:color w:val="auto"/>
          <w:sz w:val="16"/>
          <w:szCs w:val="16"/>
        </w:rPr>
        <w:t xml:space="preserve"> and</w:t>
      </w:r>
      <w:r w:rsidRPr="00E13397">
        <w:rPr>
          <w:rFonts w:cs="Arial"/>
          <w:color w:val="auto"/>
          <w:sz w:val="16"/>
          <w:szCs w:val="16"/>
        </w:rPr>
        <w:t xml:space="preserve"> 22</w:t>
      </w:r>
      <w:r w:rsidR="00B325C5" w:rsidRPr="00E13397">
        <w:rPr>
          <w:rFonts w:cs="Arial"/>
          <w:color w:val="auto"/>
          <w:sz w:val="16"/>
          <w:szCs w:val="16"/>
        </w:rPr>
        <w:t>)</w:t>
      </w:r>
      <w:r w:rsidRPr="00E13397">
        <w:rPr>
          <w:rFonts w:cs="Arial"/>
          <w:color w:val="auto"/>
          <w:sz w:val="16"/>
          <w:szCs w:val="16"/>
        </w:rPr>
        <w:t>.</w:t>
      </w:r>
    </w:p>
  </w:footnote>
  <w:footnote w:id="228">
    <w:p w14:paraId="0735BB28" w14:textId="7D7F1E8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E13397">
        <w:rPr>
          <w:rFonts w:cs="Arial"/>
          <w:color w:val="auto"/>
          <w:sz w:val="16"/>
          <w:szCs w:val="16"/>
        </w:rPr>
        <w:t xml:space="preserve"> Calvert, S</w:t>
      </w:r>
      <w:r w:rsidRPr="00E13397">
        <w:rPr>
          <w:rStyle w:val="normaltextrun"/>
          <w:rFonts w:cs="Arial"/>
          <w:color w:val="auto"/>
          <w:sz w:val="16"/>
          <w:szCs w:val="16"/>
          <w:shd w:val="clear" w:color="auto" w:fill="FFFFFF"/>
        </w:rPr>
        <w:t>, Attachment</w:t>
      </w:r>
      <w:r w:rsidR="00E13397" w:rsidRPr="00DD5764">
        <w:rPr>
          <w:rStyle w:val="normaltextrun"/>
          <w:rFonts w:cs="Arial"/>
          <w:color w:val="auto"/>
          <w:sz w:val="16"/>
          <w:szCs w:val="16"/>
          <w:shd w:val="clear" w:color="auto" w:fill="FFFFFF"/>
        </w:rPr>
        <w:t xml:space="preserve"> and related issues</w:t>
      </w:r>
      <w:r w:rsidR="00F83F36">
        <w:rPr>
          <w:rStyle w:val="normaltextrun"/>
          <w:rFonts w:cs="Arial"/>
          <w:color w:val="auto"/>
          <w:sz w:val="16"/>
          <w:szCs w:val="16"/>
          <w:shd w:val="clear" w:color="auto" w:fill="FFFFFF"/>
        </w:rPr>
        <w:t>,</w:t>
      </w:r>
      <w:r w:rsidRPr="00E13397">
        <w:rPr>
          <w:rStyle w:val="normaltextrun"/>
          <w:rFonts w:cs="Arial"/>
          <w:color w:val="auto"/>
          <w:sz w:val="16"/>
          <w:szCs w:val="16"/>
          <w:shd w:val="clear" w:color="auto" w:fill="FFFFFF"/>
        </w:rPr>
        <w:t xml:space="preserve"> </w:t>
      </w:r>
      <w:r w:rsidR="00F83F36" w:rsidRPr="00E13397">
        <w:rPr>
          <w:rStyle w:val="normaltextrun"/>
          <w:rFonts w:cs="Arial"/>
          <w:color w:val="auto"/>
          <w:sz w:val="16"/>
          <w:szCs w:val="16"/>
          <w:shd w:val="clear" w:color="auto" w:fill="FFFFFF"/>
        </w:rPr>
        <w:t>Expert opinion</w:t>
      </w:r>
      <w:r w:rsidR="00F83F36">
        <w:rPr>
          <w:rStyle w:val="normaltextrun"/>
          <w:rFonts w:cs="Arial"/>
          <w:color w:val="auto"/>
          <w:sz w:val="16"/>
          <w:szCs w:val="16"/>
          <w:shd w:val="clear" w:color="auto" w:fill="FFFFFF"/>
        </w:rPr>
        <w:t xml:space="preserve"> </w:t>
      </w:r>
      <w:r w:rsidR="00D17F09">
        <w:rPr>
          <w:rStyle w:val="normaltextrun"/>
          <w:rFonts w:cs="Arial"/>
          <w:color w:val="auto"/>
          <w:sz w:val="16"/>
          <w:szCs w:val="16"/>
          <w:shd w:val="clear" w:color="auto" w:fill="FFFFFF"/>
        </w:rPr>
        <w:t>report</w:t>
      </w:r>
      <w:r w:rsidR="00F83F36">
        <w:rPr>
          <w:rStyle w:val="normaltextrun"/>
          <w:rFonts w:cs="Arial"/>
          <w:color w:val="auto"/>
          <w:sz w:val="16"/>
          <w:szCs w:val="16"/>
          <w:shd w:val="clear" w:color="auto" w:fill="FFFFFF"/>
        </w:rPr>
        <w:t xml:space="preserve"> prepared for</w:t>
      </w:r>
      <w:r w:rsidR="000F4487">
        <w:rPr>
          <w:rStyle w:val="normaltextrun"/>
          <w:rFonts w:cs="Arial"/>
          <w:color w:val="auto"/>
          <w:sz w:val="16"/>
          <w:szCs w:val="16"/>
          <w:shd w:val="clear" w:color="auto" w:fill="FFFFFF"/>
        </w:rPr>
        <w:t xml:space="preserve"> the</w:t>
      </w:r>
      <w:r w:rsidR="00F83F36" w:rsidRPr="00F83F36">
        <w:rPr>
          <w:rFonts w:cs="Arial"/>
          <w:color w:val="auto"/>
          <w:sz w:val="16"/>
          <w:szCs w:val="16"/>
        </w:rPr>
        <w:t xml:space="preserve"> </w:t>
      </w:r>
      <w:r w:rsidRPr="00DD5764">
        <w:rPr>
          <w:rFonts w:cs="Arial"/>
          <w:color w:val="auto"/>
          <w:sz w:val="16"/>
          <w:szCs w:val="16"/>
        </w:rPr>
        <w:t>Royal Commission of Inquiry into Abuse in Care</w:t>
      </w:r>
      <w:r w:rsidR="00F83F36">
        <w:rPr>
          <w:rFonts w:cs="Arial"/>
          <w:color w:val="auto"/>
          <w:sz w:val="16"/>
          <w:szCs w:val="16"/>
        </w:rPr>
        <w:t xml:space="preserve"> </w:t>
      </w:r>
      <w:r w:rsidR="00A671DF">
        <w:rPr>
          <w:rFonts w:cs="Arial"/>
          <w:color w:val="auto"/>
          <w:sz w:val="16"/>
          <w:szCs w:val="16"/>
        </w:rPr>
        <w:t>(</w:t>
      </w:r>
      <w:r w:rsidRPr="00DD5764">
        <w:rPr>
          <w:rFonts w:cs="Arial"/>
          <w:color w:val="auto"/>
          <w:sz w:val="16"/>
          <w:szCs w:val="16"/>
        </w:rPr>
        <w:t>8 June 2022</w:t>
      </w:r>
      <w:r w:rsidR="00A671DF" w:rsidRPr="00DD5764">
        <w:rPr>
          <w:rStyle w:val="normaltextrun"/>
          <w:rFonts w:cs="Arial"/>
          <w:color w:val="auto"/>
          <w:sz w:val="16"/>
          <w:szCs w:val="16"/>
          <w:shd w:val="clear" w:color="auto" w:fill="FFFFFF"/>
        </w:rPr>
        <w:t>,</w:t>
      </w:r>
      <w:r w:rsidR="00A671DF" w:rsidRPr="00E13397">
        <w:rPr>
          <w:rStyle w:val="normaltextrun"/>
          <w:rFonts w:cs="Arial"/>
          <w:color w:val="auto"/>
          <w:sz w:val="16"/>
          <w:szCs w:val="16"/>
          <w:shd w:val="clear" w:color="auto" w:fill="FFFFFF"/>
        </w:rPr>
        <w:t xml:space="preserve"> </w:t>
      </w:r>
      <w:r w:rsidRPr="00E13397">
        <w:rPr>
          <w:rFonts w:cs="Arial"/>
          <w:color w:val="auto"/>
          <w:sz w:val="16"/>
          <w:szCs w:val="16"/>
        </w:rPr>
        <w:t>pages 13–14</w:t>
      </w:r>
      <w:r w:rsidR="00B325C5" w:rsidRPr="00E13397">
        <w:rPr>
          <w:rFonts w:cs="Arial"/>
          <w:color w:val="auto"/>
          <w:sz w:val="16"/>
          <w:szCs w:val="16"/>
        </w:rPr>
        <w:t>)</w:t>
      </w:r>
      <w:r w:rsidRPr="00E13397">
        <w:rPr>
          <w:rFonts w:cs="Arial"/>
          <w:color w:val="auto"/>
          <w:sz w:val="16"/>
          <w:szCs w:val="16"/>
        </w:rPr>
        <w:t>.</w:t>
      </w:r>
    </w:p>
  </w:footnote>
  <w:footnote w:id="229">
    <w:p w14:paraId="335999AA" w14:textId="49739B6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Calvert, S</w:t>
      </w:r>
      <w:r w:rsidRPr="00CB4F47">
        <w:rPr>
          <w:rStyle w:val="normaltextrun"/>
          <w:rFonts w:cs="Arial"/>
          <w:color w:val="auto"/>
          <w:sz w:val="16"/>
          <w:szCs w:val="16"/>
          <w:shd w:val="clear" w:color="auto" w:fill="FFFFFF"/>
        </w:rPr>
        <w:t xml:space="preserve">, </w:t>
      </w:r>
      <w:r w:rsidR="00CC62D3" w:rsidRPr="00E13397">
        <w:rPr>
          <w:rStyle w:val="normaltextrun"/>
          <w:rFonts w:cs="Arial"/>
          <w:color w:val="auto"/>
          <w:sz w:val="16"/>
          <w:szCs w:val="16"/>
          <w:shd w:val="clear" w:color="auto" w:fill="FFFFFF"/>
        </w:rPr>
        <w:t>Attachment</w:t>
      </w:r>
      <w:r w:rsidR="00CC62D3" w:rsidRPr="001C0589">
        <w:rPr>
          <w:rStyle w:val="normaltextrun"/>
          <w:rFonts w:cs="Arial"/>
          <w:color w:val="auto"/>
          <w:sz w:val="16"/>
          <w:szCs w:val="16"/>
          <w:shd w:val="clear" w:color="auto" w:fill="FFFFFF"/>
        </w:rPr>
        <w:t xml:space="preserve"> and related issues</w:t>
      </w:r>
      <w:r w:rsidR="00CC62D3">
        <w:rPr>
          <w:rStyle w:val="normaltextrun"/>
          <w:rFonts w:cs="Arial"/>
          <w:color w:val="auto"/>
          <w:sz w:val="16"/>
          <w:szCs w:val="16"/>
          <w:shd w:val="clear" w:color="auto" w:fill="FFFFFF"/>
        </w:rPr>
        <w:t>,</w:t>
      </w:r>
      <w:r w:rsidR="00CC62D3" w:rsidRPr="00E13397">
        <w:rPr>
          <w:rStyle w:val="normaltextrun"/>
          <w:rFonts w:cs="Arial"/>
          <w:color w:val="auto"/>
          <w:sz w:val="16"/>
          <w:szCs w:val="16"/>
          <w:shd w:val="clear" w:color="auto" w:fill="FFFFFF"/>
        </w:rPr>
        <w:t xml:space="preserve"> Expert opinion</w:t>
      </w:r>
      <w:r w:rsidR="00CC62D3">
        <w:rPr>
          <w:rStyle w:val="normaltextrun"/>
          <w:rFonts w:cs="Arial"/>
          <w:color w:val="auto"/>
          <w:sz w:val="16"/>
          <w:szCs w:val="16"/>
          <w:shd w:val="clear" w:color="auto" w:fill="FFFFFF"/>
        </w:rPr>
        <w:t xml:space="preserve"> </w:t>
      </w:r>
      <w:r w:rsidR="00FD3F7C">
        <w:rPr>
          <w:rStyle w:val="normaltextrun"/>
          <w:rFonts w:cs="Arial"/>
          <w:color w:val="auto"/>
          <w:sz w:val="16"/>
          <w:szCs w:val="16"/>
          <w:shd w:val="clear" w:color="auto" w:fill="FFFFFF"/>
        </w:rPr>
        <w:t>report</w:t>
      </w:r>
      <w:r w:rsidR="00CC62D3">
        <w:rPr>
          <w:rStyle w:val="normaltextrun"/>
          <w:rFonts w:cs="Arial"/>
          <w:color w:val="auto"/>
          <w:sz w:val="16"/>
          <w:szCs w:val="16"/>
          <w:shd w:val="clear" w:color="auto" w:fill="FFFFFF"/>
        </w:rPr>
        <w:t xml:space="preserve"> prepared for</w:t>
      </w:r>
      <w:r w:rsidR="000F4487">
        <w:rPr>
          <w:rStyle w:val="normaltextrun"/>
          <w:rFonts w:cs="Arial"/>
          <w:color w:val="auto"/>
          <w:sz w:val="16"/>
          <w:szCs w:val="16"/>
          <w:shd w:val="clear" w:color="auto" w:fill="FFFFFF"/>
        </w:rPr>
        <w:t xml:space="preserve"> the</w:t>
      </w:r>
      <w:r w:rsidR="00CC62D3" w:rsidRPr="00F83F36">
        <w:rPr>
          <w:rFonts w:cs="Arial"/>
          <w:color w:val="auto"/>
          <w:sz w:val="16"/>
          <w:szCs w:val="16"/>
        </w:rPr>
        <w:t xml:space="preserve"> </w:t>
      </w:r>
      <w:r w:rsidR="00CC62D3" w:rsidRPr="001C0589">
        <w:rPr>
          <w:rFonts w:cs="Arial"/>
          <w:color w:val="auto"/>
          <w:sz w:val="16"/>
          <w:szCs w:val="16"/>
        </w:rPr>
        <w:t xml:space="preserve">Royal Commission of Inquiry into Abuse in </w:t>
      </w:r>
      <w:r w:rsidR="00CC62D3" w:rsidRPr="00CC62D3">
        <w:rPr>
          <w:rFonts w:cs="Arial"/>
          <w:color w:val="auto"/>
          <w:sz w:val="16"/>
          <w:szCs w:val="16"/>
        </w:rPr>
        <w:t>Care (</w:t>
      </w:r>
      <w:r w:rsidRPr="00DD5764">
        <w:rPr>
          <w:rFonts w:cs="Arial"/>
          <w:color w:val="auto"/>
          <w:sz w:val="16"/>
          <w:szCs w:val="16"/>
        </w:rPr>
        <w:t>8 June 2022</w:t>
      </w:r>
      <w:r w:rsidR="00A671DF" w:rsidRPr="00CC62D3">
        <w:rPr>
          <w:rStyle w:val="normaltextrun"/>
          <w:rFonts w:cs="Arial"/>
          <w:color w:val="auto"/>
          <w:sz w:val="16"/>
          <w:szCs w:val="16"/>
          <w:shd w:val="clear" w:color="auto" w:fill="FFFFFF"/>
        </w:rPr>
        <w:t xml:space="preserve">, </w:t>
      </w:r>
      <w:r w:rsidRPr="00CC62D3">
        <w:rPr>
          <w:rFonts w:cs="Arial"/>
          <w:color w:val="auto"/>
          <w:sz w:val="16"/>
          <w:szCs w:val="16"/>
        </w:rPr>
        <w:t xml:space="preserve">pages </w:t>
      </w:r>
      <w:r w:rsidRPr="00CC62D3">
        <w:rPr>
          <w:rStyle w:val="normaltextrun"/>
          <w:rFonts w:cs="Arial"/>
          <w:color w:val="auto"/>
          <w:sz w:val="16"/>
          <w:szCs w:val="16"/>
          <w:shd w:val="clear" w:color="auto" w:fill="FFFFFF"/>
        </w:rPr>
        <w:t>2</w:t>
      </w:r>
      <w:r w:rsidRPr="00CC62D3">
        <w:rPr>
          <w:rFonts w:cs="Arial"/>
          <w:color w:val="auto"/>
          <w:sz w:val="16"/>
          <w:szCs w:val="16"/>
        </w:rPr>
        <w:t>–</w:t>
      </w:r>
      <w:r w:rsidRPr="00CB4F47">
        <w:rPr>
          <w:rStyle w:val="normaltextrun"/>
          <w:rFonts w:cs="Arial"/>
          <w:color w:val="auto"/>
          <w:sz w:val="16"/>
          <w:szCs w:val="16"/>
          <w:shd w:val="clear" w:color="auto" w:fill="FFFFFF"/>
        </w:rPr>
        <w:t>3</w:t>
      </w:r>
      <w:r w:rsidR="00B53B11">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w:t>
      </w:r>
    </w:p>
  </w:footnote>
  <w:footnote w:id="230">
    <w:p w14:paraId="67D7D539" w14:textId="057A46C3" w:rsidR="007C666F" w:rsidRPr="00536E67" w:rsidRDefault="007C666F">
      <w:pPr>
        <w:pStyle w:val="FootnoteText"/>
        <w:rPr>
          <w:sz w:val="16"/>
          <w:szCs w:val="16"/>
        </w:rPr>
      </w:pPr>
      <w:r w:rsidRPr="00536E67">
        <w:rPr>
          <w:rStyle w:val="FootnoteReference"/>
          <w:sz w:val="16"/>
          <w:szCs w:val="16"/>
        </w:rPr>
        <w:footnoteRef/>
      </w:r>
      <w:r w:rsidRPr="00536E67">
        <w:rPr>
          <w:sz w:val="16"/>
          <w:szCs w:val="16"/>
        </w:rPr>
        <w:t xml:space="preserve"> </w:t>
      </w:r>
      <w:r w:rsidRPr="00CB4F47">
        <w:rPr>
          <w:rFonts w:cs="Arial"/>
          <w:color w:val="auto"/>
          <w:sz w:val="16"/>
          <w:szCs w:val="16"/>
        </w:rPr>
        <w:t xml:space="preserve">Mazengarb, O, Report of the Special Committee on </w:t>
      </w:r>
      <w:r>
        <w:rPr>
          <w:rFonts w:cs="Arial"/>
          <w:color w:val="auto"/>
          <w:sz w:val="16"/>
          <w:szCs w:val="16"/>
        </w:rPr>
        <w:t>m</w:t>
      </w:r>
      <w:r w:rsidRPr="00CB4F47">
        <w:rPr>
          <w:rFonts w:cs="Arial"/>
          <w:color w:val="auto"/>
          <w:sz w:val="16"/>
          <w:szCs w:val="16"/>
        </w:rPr>
        <w:t xml:space="preserve">oral </w:t>
      </w:r>
      <w:r>
        <w:rPr>
          <w:rFonts w:cs="Arial"/>
          <w:color w:val="auto"/>
          <w:sz w:val="16"/>
          <w:szCs w:val="16"/>
        </w:rPr>
        <w:t>d</w:t>
      </w:r>
      <w:r w:rsidRPr="00CB4F47">
        <w:rPr>
          <w:rFonts w:cs="Arial"/>
          <w:color w:val="auto"/>
          <w:sz w:val="16"/>
          <w:szCs w:val="16"/>
        </w:rPr>
        <w:t>elinquency in children and adolescents (</w:t>
      </w:r>
      <w:r>
        <w:rPr>
          <w:rFonts w:cs="Arial"/>
          <w:color w:val="auto"/>
          <w:sz w:val="16"/>
          <w:szCs w:val="16"/>
        </w:rPr>
        <w:t xml:space="preserve">Government Printer, </w:t>
      </w:r>
      <w:r w:rsidRPr="00CB4F47">
        <w:rPr>
          <w:rFonts w:cs="Arial"/>
          <w:color w:val="auto"/>
          <w:sz w:val="16"/>
          <w:szCs w:val="16"/>
        </w:rPr>
        <w:t>1954, page</w:t>
      </w:r>
      <w:r>
        <w:rPr>
          <w:rFonts w:cs="Arial"/>
          <w:color w:val="auto"/>
          <w:sz w:val="16"/>
          <w:szCs w:val="16"/>
        </w:rPr>
        <w:t>s 15</w:t>
      </w:r>
      <w:r w:rsidR="005E7DC9">
        <w:rPr>
          <w:rFonts w:cs="Arial"/>
          <w:color w:val="auto"/>
          <w:sz w:val="16"/>
          <w:szCs w:val="16"/>
        </w:rPr>
        <w:t>–</w:t>
      </w:r>
      <w:r>
        <w:rPr>
          <w:rFonts w:cs="Arial"/>
          <w:color w:val="auto"/>
          <w:sz w:val="16"/>
          <w:szCs w:val="16"/>
        </w:rPr>
        <w:t>16.</w:t>
      </w:r>
    </w:p>
  </w:footnote>
  <w:footnote w:id="231">
    <w:p w14:paraId="0F68E813" w14:textId="5CCCCFA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Mazengarb, O, Report of the Special Committee on </w:t>
      </w:r>
      <w:r w:rsidR="00AB65D1">
        <w:rPr>
          <w:rFonts w:cs="Arial"/>
          <w:color w:val="auto"/>
          <w:sz w:val="16"/>
          <w:szCs w:val="16"/>
        </w:rPr>
        <w:t>m</w:t>
      </w:r>
      <w:r w:rsidR="00AB65D1" w:rsidRPr="00CB4F47">
        <w:rPr>
          <w:rFonts w:cs="Arial"/>
          <w:color w:val="auto"/>
          <w:sz w:val="16"/>
          <w:szCs w:val="16"/>
        </w:rPr>
        <w:t xml:space="preserve">oral </w:t>
      </w:r>
      <w:r w:rsidR="00AB65D1">
        <w:rPr>
          <w:rFonts w:cs="Arial"/>
          <w:color w:val="auto"/>
          <w:sz w:val="16"/>
          <w:szCs w:val="16"/>
        </w:rPr>
        <w:t>d</w:t>
      </w:r>
      <w:r w:rsidR="00AB65D1" w:rsidRPr="00CB4F47">
        <w:rPr>
          <w:rFonts w:cs="Arial"/>
          <w:color w:val="auto"/>
          <w:sz w:val="16"/>
          <w:szCs w:val="16"/>
        </w:rPr>
        <w:t xml:space="preserve">elinquency </w:t>
      </w:r>
      <w:r w:rsidRPr="00CB4F47">
        <w:rPr>
          <w:rFonts w:cs="Arial"/>
          <w:color w:val="auto"/>
          <w:sz w:val="16"/>
          <w:szCs w:val="16"/>
        </w:rPr>
        <w:t>in children and adolescents (</w:t>
      </w:r>
      <w:r w:rsidR="00CB1149">
        <w:rPr>
          <w:rFonts w:cs="Arial"/>
          <w:color w:val="auto"/>
          <w:sz w:val="16"/>
          <w:szCs w:val="16"/>
        </w:rPr>
        <w:t xml:space="preserve">Government Printer, </w:t>
      </w:r>
      <w:r w:rsidRPr="00CB4F47">
        <w:rPr>
          <w:rFonts w:cs="Arial"/>
          <w:color w:val="auto"/>
          <w:sz w:val="16"/>
          <w:szCs w:val="16"/>
        </w:rPr>
        <w:t>1954</w:t>
      </w:r>
      <w:r w:rsidR="00A671DF"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37</w:t>
      </w:r>
      <w:r w:rsidR="0094280E">
        <w:rPr>
          <w:rFonts w:cs="Arial"/>
          <w:color w:val="auto"/>
          <w:sz w:val="16"/>
          <w:szCs w:val="16"/>
        </w:rPr>
        <w:t>)</w:t>
      </w:r>
      <w:r w:rsidRPr="00CB4F47">
        <w:rPr>
          <w:rFonts w:cs="Arial"/>
          <w:color w:val="auto"/>
          <w:sz w:val="16"/>
          <w:szCs w:val="16"/>
        </w:rPr>
        <w:t>.</w:t>
      </w:r>
    </w:p>
  </w:footnote>
  <w:footnote w:id="232">
    <w:p w14:paraId="0E05D30B" w14:textId="7E742F1D"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Belich, J, Paradise reforged: A history of the New Zealanders from the 1880s to the Year 2000 (University of Hawai'i Press, 2001</w:t>
      </w:r>
      <w:r w:rsidR="00A671DF" w:rsidRPr="00CB4F47">
        <w:rPr>
          <w:rFonts w:cs="Arial"/>
          <w:color w:val="auto"/>
          <w:sz w:val="16"/>
          <w:szCs w:val="16"/>
        </w:rPr>
        <w:t xml:space="preserve">, </w:t>
      </w:r>
      <w:r w:rsidRPr="00CB4F47">
        <w:rPr>
          <w:rFonts w:cs="Arial"/>
          <w:color w:val="auto"/>
          <w:sz w:val="16"/>
          <w:szCs w:val="16"/>
        </w:rPr>
        <w:t>pages 471–472</w:t>
      </w:r>
      <w:r w:rsidR="00E428E5">
        <w:rPr>
          <w:rFonts w:cs="Arial"/>
          <w:color w:val="auto"/>
          <w:sz w:val="16"/>
          <w:szCs w:val="16"/>
        </w:rPr>
        <w:t>)</w:t>
      </w:r>
      <w:r w:rsidRPr="00CB4F47">
        <w:rPr>
          <w:rFonts w:cs="Arial"/>
          <w:color w:val="auto"/>
          <w:sz w:val="16"/>
          <w:szCs w:val="16"/>
        </w:rPr>
        <w:t>.</w:t>
      </w:r>
    </w:p>
  </w:footnote>
  <w:footnote w:id="233">
    <w:p w14:paraId="0E2943BC" w14:textId="73B6524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39"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40"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41"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65</w:t>
      </w:r>
      <w:r w:rsidR="00E428E5">
        <w:rPr>
          <w:rFonts w:cs="Arial"/>
          <w:color w:val="auto"/>
          <w:sz w:val="16"/>
          <w:szCs w:val="16"/>
        </w:rPr>
        <w:t>)</w:t>
      </w:r>
      <w:r w:rsidRPr="00CB4F47">
        <w:rPr>
          <w:rFonts w:cs="Arial"/>
          <w:color w:val="auto"/>
          <w:sz w:val="16"/>
          <w:szCs w:val="16"/>
        </w:rPr>
        <w:t>.</w:t>
      </w:r>
    </w:p>
  </w:footnote>
  <w:footnote w:id="234">
    <w:p w14:paraId="6018307A" w14:textId="4AC43F8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42"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43"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44"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15</w:t>
      </w:r>
      <w:r w:rsidR="00E428E5">
        <w:rPr>
          <w:rFonts w:cs="Arial"/>
          <w:color w:val="auto"/>
          <w:sz w:val="16"/>
          <w:szCs w:val="16"/>
        </w:rPr>
        <w:t>)</w:t>
      </w:r>
      <w:r w:rsidRPr="00CB4F47">
        <w:rPr>
          <w:rFonts w:cs="Arial"/>
          <w:color w:val="auto"/>
          <w:sz w:val="16"/>
          <w:szCs w:val="16"/>
        </w:rPr>
        <w:t>.</w:t>
      </w:r>
    </w:p>
  </w:footnote>
  <w:footnote w:id="235">
    <w:p w14:paraId="1B08A678" w14:textId="0041417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45"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46"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47"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20</w:t>
      </w:r>
      <w:r w:rsidR="00E428E5">
        <w:rPr>
          <w:rFonts w:cs="Arial"/>
          <w:color w:val="auto"/>
          <w:sz w:val="16"/>
          <w:szCs w:val="16"/>
        </w:rPr>
        <w:t>)</w:t>
      </w:r>
      <w:r w:rsidRPr="00CB4F47">
        <w:rPr>
          <w:rFonts w:cs="Arial"/>
          <w:color w:val="auto"/>
          <w:sz w:val="16"/>
          <w:szCs w:val="16"/>
        </w:rPr>
        <w:t>.</w:t>
      </w:r>
    </w:p>
  </w:footnote>
  <w:footnote w:id="236">
    <w:p w14:paraId="7998AC6F" w14:textId="5241B41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48"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49"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50"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 xml:space="preserve">, </w:t>
      </w:r>
      <w:r w:rsidRPr="00CB4F47">
        <w:rPr>
          <w:rFonts w:cs="Arial"/>
          <w:color w:val="auto"/>
          <w:sz w:val="16"/>
          <w:szCs w:val="16"/>
        </w:rPr>
        <w:t>pages 52–55</w:t>
      </w:r>
      <w:r w:rsidR="007D0967">
        <w:rPr>
          <w:rFonts w:cs="Arial"/>
          <w:color w:val="auto"/>
          <w:sz w:val="16"/>
          <w:szCs w:val="16"/>
        </w:rPr>
        <w:t>)</w:t>
      </w:r>
      <w:r w:rsidRPr="00CB4F47">
        <w:rPr>
          <w:rFonts w:cs="Arial"/>
          <w:color w:val="auto"/>
          <w:sz w:val="16"/>
          <w:szCs w:val="16"/>
        </w:rPr>
        <w:t>.</w:t>
      </w:r>
    </w:p>
  </w:footnote>
  <w:footnote w:id="237">
    <w:p w14:paraId="711C0559" w14:textId="11461B7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51"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52"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53"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w:t>
      </w:r>
      <w:r w:rsidRPr="00CB4F47">
        <w:rPr>
          <w:rFonts w:cs="Arial"/>
          <w:color w:val="auto"/>
          <w:sz w:val="16"/>
          <w:szCs w:val="16"/>
        </w:rPr>
        <w:t xml:space="preserve"> pages 31–34</w:t>
      </w:r>
      <w:r w:rsidR="00130C9F">
        <w:rPr>
          <w:rFonts w:cs="Arial"/>
          <w:color w:val="auto"/>
          <w:sz w:val="16"/>
          <w:szCs w:val="16"/>
        </w:rPr>
        <w:t>)</w:t>
      </w:r>
      <w:r w:rsidRPr="00CB4F47">
        <w:rPr>
          <w:rFonts w:cs="Arial"/>
          <w:color w:val="auto"/>
          <w:sz w:val="16"/>
          <w:szCs w:val="16"/>
        </w:rPr>
        <w:t>.</w:t>
      </w:r>
    </w:p>
  </w:footnote>
  <w:footnote w:id="238">
    <w:p w14:paraId="5B061E3E" w14:textId="0A4270CD"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54"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55"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56"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34.</w:t>
      </w:r>
      <w:r w:rsidR="00130C9F">
        <w:rPr>
          <w:rFonts w:cs="Arial"/>
          <w:color w:val="auto"/>
          <w:sz w:val="16"/>
          <w:szCs w:val="16"/>
        </w:rPr>
        <w:t>)</w:t>
      </w:r>
    </w:p>
  </w:footnote>
  <w:footnote w:id="239">
    <w:p w14:paraId="14C3148E" w14:textId="5F762E5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57"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58"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59"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105</w:t>
      </w:r>
      <w:r w:rsidR="00130C9F">
        <w:rPr>
          <w:rFonts w:cs="Arial"/>
          <w:color w:val="auto"/>
          <w:sz w:val="16"/>
          <w:szCs w:val="16"/>
        </w:rPr>
        <w:t>)</w:t>
      </w:r>
      <w:r w:rsidRPr="00CB4F47">
        <w:rPr>
          <w:rFonts w:cs="Arial"/>
          <w:color w:val="auto"/>
          <w:sz w:val="16"/>
          <w:szCs w:val="16"/>
        </w:rPr>
        <w:t>.</w:t>
      </w:r>
    </w:p>
  </w:footnote>
  <w:footnote w:id="240">
    <w:p w14:paraId="1AF851DF" w14:textId="3F94037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hyperlink r:id="rId60" w:history="1">
        <w:r w:rsidR="00A671DF" w:rsidRPr="00CB4F47">
          <w:rPr>
            <w:rFonts w:cs="Arial"/>
            <w:color w:val="auto"/>
            <w:sz w:val="16"/>
            <w:szCs w:val="16"/>
          </w:rPr>
          <w:t>RS</w:t>
        </w:r>
        <w:r w:rsidRPr="00CB4F47">
          <w:rPr>
            <w:rFonts w:cs="Arial"/>
            <w:color w:val="auto"/>
            <w:sz w:val="16"/>
            <w:szCs w:val="16"/>
          </w:rPr>
          <w:t>,</w:t>
        </w:r>
      </w:hyperlink>
      <w:r w:rsidRPr="00CB4F47">
        <w:rPr>
          <w:rFonts w:cs="Arial"/>
          <w:color w:val="auto"/>
          <w:sz w:val="16"/>
          <w:szCs w:val="16"/>
        </w:rPr>
        <w:t xml:space="preserve"> </w:t>
      </w:r>
      <w:hyperlink r:id="rId61" w:history="1">
        <w:r w:rsidRPr="00CB4F47">
          <w:rPr>
            <w:rFonts w:cs="Arial"/>
            <w:color w:val="auto"/>
            <w:sz w:val="16"/>
            <w:szCs w:val="16"/>
          </w:rPr>
          <w:t>Māori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62" w:history="1">
        <w:r w:rsidRPr="00CB4F47">
          <w:rPr>
            <w:rFonts w:cs="Arial"/>
            <w:color w:val="auto"/>
            <w:sz w:val="16"/>
            <w:szCs w:val="16"/>
          </w:rPr>
          <w:t>Victoria University Press</w:t>
        </w:r>
      </w:hyperlink>
      <w:r w:rsidRPr="00CB4F47">
        <w:rPr>
          <w:rFonts w:cs="Arial"/>
          <w:color w:val="auto"/>
          <w:sz w:val="16"/>
          <w:szCs w:val="16"/>
        </w:rPr>
        <w:t>, 2009</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89</w:t>
      </w:r>
      <w:r w:rsidR="00130C9F">
        <w:rPr>
          <w:rFonts w:cs="Arial"/>
          <w:color w:val="auto"/>
          <w:sz w:val="16"/>
          <w:szCs w:val="16"/>
        </w:rPr>
        <w:t>)</w:t>
      </w:r>
      <w:r w:rsidRPr="00CB4F47">
        <w:rPr>
          <w:rFonts w:cs="Arial"/>
          <w:color w:val="auto"/>
          <w:sz w:val="16"/>
          <w:szCs w:val="16"/>
        </w:rPr>
        <w:t>.</w:t>
      </w:r>
    </w:p>
  </w:footnote>
  <w:footnote w:id="241">
    <w:p w14:paraId="43699A06" w14:textId="4C6A6A8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Hunn, </w:t>
      </w:r>
      <w:r w:rsidR="00A671DF" w:rsidRPr="00CB4F47">
        <w:rPr>
          <w:rFonts w:cs="Arial"/>
          <w:color w:val="auto"/>
          <w:sz w:val="16"/>
          <w:szCs w:val="16"/>
        </w:rPr>
        <w:t>JK</w:t>
      </w:r>
      <w:r w:rsidRPr="00CB4F47">
        <w:rPr>
          <w:rFonts w:cs="Arial"/>
          <w:color w:val="auto"/>
          <w:sz w:val="16"/>
          <w:szCs w:val="16"/>
        </w:rPr>
        <w:t xml:space="preserve">, Report on Department of Māori Affairs: with statistical supplement, 24 August 1960 (Government Printer, 1961), in Hill, </w:t>
      </w:r>
      <w:r w:rsidR="00A671DF" w:rsidRPr="00CB4F47">
        <w:rPr>
          <w:rFonts w:cs="Arial"/>
          <w:color w:val="auto"/>
          <w:sz w:val="16"/>
          <w:szCs w:val="16"/>
        </w:rPr>
        <w:t>RS</w:t>
      </w:r>
      <w:r w:rsidRPr="00CB4F47">
        <w:rPr>
          <w:rFonts w:cs="Arial"/>
          <w:color w:val="auto"/>
          <w:sz w:val="16"/>
          <w:szCs w:val="16"/>
        </w:rPr>
        <w:t xml:space="preserve">, Māori and the State: Crown-Māori </w:t>
      </w:r>
      <w:r w:rsidR="00787C6C">
        <w:rPr>
          <w:rFonts w:cs="Arial"/>
          <w:color w:val="auto"/>
          <w:sz w:val="16"/>
          <w:szCs w:val="16"/>
        </w:rPr>
        <w:t>r</w:t>
      </w:r>
      <w:r w:rsidR="00787C6C" w:rsidRPr="00CB4F47">
        <w:rPr>
          <w:rFonts w:cs="Arial"/>
          <w:color w:val="auto"/>
          <w:sz w:val="16"/>
          <w:szCs w:val="16"/>
        </w:rPr>
        <w:t xml:space="preserve">elations </w:t>
      </w:r>
      <w:r w:rsidRPr="00CB4F47">
        <w:rPr>
          <w:rFonts w:cs="Arial"/>
          <w:color w:val="auto"/>
          <w:sz w:val="16"/>
          <w:szCs w:val="16"/>
        </w:rPr>
        <w:t>in Aotearoa New Zealand 1950–2000 (Victoria University Press, 2009</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91</w:t>
      </w:r>
      <w:r w:rsidR="00E62B4A">
        <w:rPr>
          <w:rFonts w:cs="Arial"/>
          <w:color w:val="auto"/>
          <w:sz w:val="16"/>
          <w:szCs w:val="16"/>
        </w:rPr>
        <w:t>)</w:t>
      </w:r>
      <w:r w:rsidRPr="00CB4F47">
        <w:rPr>
          <w:rFonts w:cs="Arial"/>
          <w:color w:val="auto"/>
          <w:sz w:val="16"/>
          <w:szCs w:val="16"/>
        </w:rPr>
        <w:t>.</w:t>
      </w:r>
    </w:p>
  </w:footnote>
  <w:footnote w:id="242">
    <w:p w14:paraId="43CC8892" w14:textId="51320328" w:rsidR="00EF5130" w:rsidRDefault="00EF5130">
      <w:pPr>
        <w:pStyle w:val="FootnoteText"/>
      </w:pPr>
      <w:r>
        <w:rPr>
          <w:rStyle w:val="FootnoteReference"/>
        </w:rPr>
        <w:footnoteRef/>
      </w:r>
      <w:r>
        <w:t xml:space="preserve"> </w:t>
      </w:r>
      <w:r w:rsidRPr="00CB4F47">
        <w:rPr>
          <w:rFonts w:cs="Arial"/>
          <w:color w:val="auto"/>
          <w:sz w:val="16"/>
          <w:szCs w:val="16"/>
        </w:rPr>
        <w:t xml:space="preserve">Hill, </w:t>
      </w:r>
      <w:hyperlink r:id="rId63" w:history="1">
        <w:r w:rsidRPr="00CB4F47">
          <w:rPr>
            <w:rFonts w:cs="Arial"/>
            <w:color w:val="auto"/>
            <w:sz w:val="16"/>
            <w:szCs w:val="16"/>
          </w:rPr>
          <w:t>RS,</w:t>
        </w:r>
      </w:hyperlink>
      <w:r w:rsidRPr="00CB4F47">
        <w:rPr>
          <w:rFonts w:cs="Arial"/>
          <w:color w:val="auto"/>
          <w:sz w:val="16"/>
          <w:szCs w:val="16"/>
        </w:rPr>
        <w:t xml:space="preserve"> </w:t>
      </w:r>
      <w:hyperlink r:id="rId64" w:history="1">
        <w:r w:rsidRPr="00CB4F47">
          <w:rPr>
            <w:rFonts w:cs="Arial"/>
            <w:color w:val="auto"/>
            <w:sz w:val="16"/>
            <w:szCs w:val="16"/>
          </w:rPr>
          <w:t>Māori and the State: Crown-Māori relations in New Zealand/Aotearoa, 1950–2000</w:t>
        </w:r>
      </w:hyperlink>
      <w:r w:rsidRPr="00CB4F47">
        <w:rPr>
          <w:rFonts w:cs="Arial"/>
          <w:color w:val="auto"/>
          <w:sz w:val="16"/>
          <w:szCs w:val="16"/>
        </w:rPr>
        <w:t xml:space="preserve"> (</w:t>
      </w:r>
      <w:hyperlink r:id="rId65" w:history="1">
        <w:r w:rsidRPr="00CB4F47">
          <w:rPr>
            <w:rFonts w:cs="Arial"/>
            <w:color w:val="auto"/>
            <w:sz w:val="16"/>
            <w:szCs w:val="16"/>
          </w:rPr>
          <w:t>Victoria University Press</w:t>
        </w:r>
      </w:hyperlink>
      <w:r w:rsidRPr="00CB4F47">
        <w:rPr>
          <w:rFonts w:cs="Arial"/>
          <w:color w:val="auto"/>
          <w:sz w:val="16"/>
          <w:szCs w:val="16"/>
        </w:rPr>
        <w:t xml:space="preserve">, 2009, page </w:t>
      </w:r>
      <w:r>
        <w:rPr>
          <w:rFonts w:cs="Arial"/>
          <w:color w:val="auto"/>
          <w:sz w:val="16"/>
          <w:szCs w:val="16"/>
        </w:rPr>
        <w:t>9</w:t>
      </w:r>
      <w:r w:rsidRPr="00CB4F47">
        <w:rPr>
          <w:rFonts w:cs="Arial"/>
          <w:color w:val="auto"/>
          <w:sz w:val="16"/>
          <w:szCs w:val="16"/>
        </w:rPr>
        <w:t>9</w:t>
      </w:r>
      <w:r>
        <w:rPr>
          <w:rFonts w:cs="Arial"/>
          <w:color w:val="auto"/>
          <w:sz w:val="16"/>
          <w:szCs w:val="16"/>
        </w:rPr>
        <w:t>)</w:t>
      </w:r>
      <w:r w:rsidRPr="00CB4F47">
        <w:rPr>
          <w:rFonts w:cs="Arial"/>
          <w:color w:val="auto"/>
          <w:sz w:val="16"/>
          <w:szCs w:val="16"/>
        </w:rPr>
        <w:t>.</w:t>
      </w:r>
    </w:p>
  </w:footnote>
  <w:footnote w:id="243">
    <w:p w14:paraId="39576B2E" w14:textId="3671AEC9"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Sullivan, M &amp; Stace, H, A brief history of disability in Aotearoa New Zealand (Office for Disability Issues, 2020</w:t>
      </w:r>
      <w:r w:rsidR="00A671DF" w:rsidRPr="00CB4F47">
        <w:rPr>
          <w:rFonts w:cs="Arial"/>
          <w:sz w:val="16"/>
          <w:szCs w:val="16"/>
        </w:rPr>
        <w:t>,</w:t>
      </w:r>
      <w:r w:rsidRPr="00CB4F47">
        <w:rPr>
          <w:rFonts w:cs="Arial"/>
          <w:sz w:val="16"/>
          <w:szCs w:val="16"/>
        </w:rPr>
        <w:t xml:space="preserve"> </w:t>
      </w:r>
      <w:r w:rsidR="00C32E74" w:rsidRPr="00CB4F47">
        <w:rPr>
          <w:rFonts w:cs="Arial"/>
          <w:color w:val="auto"/>
          <w:sz w:val="16"/>
          <w:szCs w:val="16"/>
        </w:rPr>
        <w:t>page</w:t>
      </w:r>
      <w:r w:rsidRPr="00CB4F47">
        <w:rPr>
          <w:rFonts w:cs="Arial"/>
          <w:sz w:val="16"/>
          <w:szCs w:val="16"/>
        </w:rPr>
        <w:t xml:space="preserve"> 9</w:t>
      </w:r>
      <w:r w:rsidR="00E62B4A">
        <w:rPr>
          <w:rFonts w:cs="Arial"/>
          <w:sz w:val="16"/>
          <w:szCs w:val="16"/>
        </w:rPr>
        <w:t>)</w:t>
      </w:r>
      <w:r w:rsidRPr="00CB4F47">
        <w:rPr>
          <w:rFonts w:cs="Arial"/>
          <w:sz w:val="16"/>
          <w:szCs w:val="16"/>
        </w:rPr>
        <w:t>.</w:t>
      </w:r>
    </w:p>
  </w:footnote>
  <w:footnote w:id="244">
    <w:p w14:paraId="3DA42346" w14:textId="48172FC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Aitken, </w:t>
      </w:r>
      <w:r w:rsidR="00A671DF" w:rsidRPr="00CB4F47">
        <w:rPr>
          <w:rFonts w:cs="Arial"/>
          <w:color w:val="auto"/>
          <w:sz w:val="16"/>
          <w:szCs w:val="16"/>
        </w:rPr>
        <w:t>RS</w:t>
      </w:r>
      <w:r w:rsidRPr="00CB4F47">
        <w:rPr>
          <w:rFonts w:cs="Arial"/>
          <w:color w:val="auto"/>
          <w:sz w:val="16"/>
          <w:szCs w:val="16"/>
        </w:rPr>
        <w:t xml:space="preserve">, Caughley, </w:t>
      </w:r>
      <w:r w:rsidR="00A671DF" w:rsidRPr="00CB4F47">
        <w:rPr>
          <w:rFonts w:cs="Arial"/>
          <w:color w:val="auto"/>
          <w:sz w:val="16"/>
          <w:szCs w:val="16"/>
        </w:rPr>
        <w:t>JG</w:t>
      </w:r>
      <w:r w:rsidRPr="00CB4F47">
        <w:rPr>
          <w:rFonts w:cs="Arial"/>
          <w:color w:val="auto"/>
          <w:sz w:val="16"/>
          <w:szCs w:val="16"/>
        </w:rPr>
        <w:t xml:space="preserve">, Lopdell, </w:t>
      </w:r>
      <w:r w:rsidR="00A671DF" w:rsidRPr="00CB4F47">
        <w:rPr>
          <w:rFonts w:cs="Arial"/>
          <w:color w:val="auto"/>
          <w:sz w:val="16"/>
          <w:szCs w:val="16"/>
        </w:rPr>
        <w:t>FC</w:t>
      </w:r>
      <w:r w:rsidRPr="00CB4F47">
        <w:rPr>
          <w:rFonts w:cs="Arial"/>
          <w:color w:val="auto"/>
          <w:sz w:val="16"/>
          <w:szCs w:val="16"/>
        </w:rPr>
        <w:t xml:space="preserve">, McLeod, </w:t>
      </w:r>
      <w:r w:rsidR="00A671DF" w:rsidRPr="00CB4F47">
        <w:rPr>
          <w:rFonts w:cs="Arial"/>
          <w:color w:val="auto"/>
          <w:sz w:val="16"/>
          <w:szCs w:val="16"/>
        </w:rPr>
        <w:t>GL</w:t>
      </w:r>
      <w:r w:rsidRPr="00CB4F47">
        <w:rPr>
          <w:rFonts w:cs="Arial"/>
          <w:color w:val="auto"/>
          <w:sz w:val="16"/>
          <w:szCs w:val="16"/>
        </w:rPr>
        <w:t xml:space="preserve">, Robertson, </w:t>
      </w:r>
      <w:r w:rsidR="00A671DF" w:rsidRPr="00CB4F47">
        <w:rPr>
          <w:rFonts w:cs="Arial"/>
          <w:color w:val="auto"/>
          <w:sz w:val="16"/>
          <w:szCs w:val="16"/>
        </w:rPr>
        <w:t>JM</w:t>
      </w:r>
      <w:r w:rsidRPr="00CB4F47">
        <w:rPr>
          <w:rFonts w:cs="Arial"/>
          <w:color w:val="auto"/>
          <w:sz w:val="16"/>
          <w:szCs w:val="16"/>
        </w:rPr>
        <w:t xml:space="preserve">, Tothill, </w:t>
      </w:r>
      <w:r w:rsidR="00A671DF" w:rsidRPr="00CB4F47">
        <w:rPr>
          <w:rFonts w:cs="Arial"/>
          <w:color w:val="auto"/>
          <w:sz w:val="16"/>
          <w:szCs w:val="16"/>
        </w:rPr>
        <w:t>GM</w:t>
      </w:r>
      <w:r w:rsidRPr="00CB4F47">
        <w:rPr>
          <w:rFonts w:cs="Arial"/>
          <w:color w:val="auto"/>
          <w:sz w:val="16"/>
          <w:szCs w:val="16"/>
        </w:rPr>
        <w:t xml:space="preserve"> &amp; Hull, </w:t>
      </w:r>
      <w:r w:rsidR="00A671DF" w:rsidRPr="00CB4F47">
        <w:rPr>
          <w:rFonts w:cs="Arial"/>
          <w:color w:val="auto"/>
          <w:sz w:val="16"/>
          <w:szCs w:val="16"/>
        </w:rPr>
        <w:t>DN</w:t>
      </w:r>
      <w:r w:rsidRPr="00CB4F47">
        <w:rPr>
          <w:rFonts w:cs="Arial"/>
          <w:color w:val="auto"/>
          <w:sz w:val="16"/>
          <w:szCs w:val="16"/>
        </w:rPr>
        <w:t xml:space="preserve">, Intellectually </w:t>
      </w:r>
      <w:r w:rsidR="00A671DF">
        <w:rPr>
          <w:rFonts w:cs="Arial"/>
          <w:color w:val="auto"/>
          <w:sz w:val="16"/>
          <w:szCs w:val="16"/>
        </w:rPr>
        <w:t>h</w:t>
      </w:r>
      <w:r w:rsidR="00A671DF" w:rsidRPr="00CB4F47">
        <w:rPr>
          <w:rFonts w:cs="Arial"/>
          <w:color w:val="auto"/>
          <w:sz w:val="16"/>
          <w:szCs w:val="16"/>
        </w:rPr>
        <w:t xml:space="preserve">andicapped </w:t>
      </w:r>
      <w:r w:rsidR="00A671DF">
        <w:rPr>
          <w:rFonts w:cs="Arial"/>
          <w:color w:val="auto"/>
          <w:sz w:val="16"/>
          <w:szCs w:val="16"/>
        </w:rPr>
        <w:t>c</w:t>
      </w:r>
      <w:r w:rsidR="00A671DF" w:rsidRPr="00CB4F47">
        <w:rPr>
          <w:rFonts w:cs="Arial"/>
          <w:color w:val="auto"/>
          <w:sz w:val="16"/>
          <w:szCs w:val="16"/>
        </w:rPr>
        <w:t xml:space="preserve">hildren </w:t>
      </w:r>
      <w:r w:rsidR="00A671DF">
        <w:rPr>
          <w:rFonts w:cs="Arial"/>
          <w:color w:val="auto"/>
          <w:sz w:val="16"/>
          <w:szCs w:val="16"/>
        </w:rPr>
        <w:t>r</w:t>
      </w:r>
      <w:r w:rsidR="00A671DF" w:rsidRPr="00CB4F47">
        <w:rPr>
          <w:rFonts w:cs="Arial"/>
          <w:color w:val="auto"/>
          <w:sz w:val="16"/>
          <w:szCs w:val="16"/>
        </w:rPr>
        <w:t>eport</w:t>
      </w:r>
      <w:r w:rsidRPr="00CB4F47">
        <w:rPr>
          <w:rFonts w:cs="Arial"/>
          <w:color w:val="auto"/>
          <w:sz w:val="16"/>
          <w:szCs w:val="16"/>
        </w:rPr>
        <w:t xml:space="preserve">: Report of the </w:t>
      </w:r>
      <w:r w:rsidR="00A671DF">
        <w:rPr>
          <w:rFonts w:cs="Arial"/>
          <w:color w:val="auto"/>
          <w:sz w:val="16"/>
          <w:szCs w:val="16"/>
        </w:rPr>
        <w:t>c</w:t>
      </w:r>
      <w:r w:rsidR="00A671DF" w:rsidRPr="00CB4F47">
        <w:rPr>
          <w:rFonts w:cs="Arial"/>
          <w:color w:val="auto"/>
          <w:sz w:val="16"/>
          <w:szCs w:val="16"/>
        </w:rPr>
        <w:t xml:space="preserve">onsultative </w:t>
      </w:r>
      <w:r w:rsidR="00A671DF">
        <w:rPr>
          <w:rFonts w:cs="Arial"/>
          <w:color w:val="auto"/>
          <w:sz w:val="16"/>
          <w:szCs w:val="16"/>
        </w:rPr>
        <w:t>c</w:t>
      </w:r>
      <w:r w:rsidR="00A671DF" w:rsidRPr="00CB4F47">
        <w:rPr>
          <w:rFonts w:cs="Arial"/>
          <w:color w:val="auto"/>
          <w:sz w:val="16"/>
          <w:szCs w:val="16"/>
        </w:rPr>
        <w:t>ommittee</w:t>
      </w:r>
      <w:r w:rsidRPr="00CB4F47">
        <w:rPr>
          <w:rFonts w:cs="Arial"/>
          <w:color w:val="auto"/>
          <w:sz w:val="16"/>
          <w:szCs w:val="16"/>
        </w:rPr>
        <w:t xml:space="preserve"> set up by the Minister of Education in August 1951 (Department of Education, 1953</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38</w:t>
      </w:r>
      <w:r w:rsidR="00E62B4A">
        <w:rPr>
          <w:rFonts w:cs="Arial"/>
          <w:color w:val="auto"/>
          <w:sz w:val="16"/>
          <w:szCs w:val="16"/>
        </w:rPr>
        <w:t>)</w:t>
      </w:r>
      <w:r w:rsidRPr="00CB4F47">
        <w:rPr>
          <w:rFonts w:cs="Arial"/>
          <w:color w:val="auto"/>
          <w:sz w:val="16"/>
          <w:szCs w:val="16"/>
        </w:rPr>
        <w:t>.</w:t>
      </w:r>
    </w:p>
  </w:footnote>
  <w:footnote w:id="245">
    <w:p w14:paraId="7599DB76" w14:textId="3C91F44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 xml:space="preserve">Millen, </w:t>
      </w:r>
      <w:r w:rsidRPr="00CB4F47">
        <w:rPr>
          <w:rFonts w:cs="Arial"/>
          <w:color w:val="auto"/>
          <w:sz w:val="16"/>
          <w:szCs w:val="16"/>
        </w:rPr>
        <w:t>J, Breaking barriers: IHC’s first 50 years</w:t>
      </w:r>
      <w:r w:rsidR="00A671DF" w:rsidRPr="00CB4F47">
        <w:rPr>
          <w:rFonts w:cs="Arial"/>
          <w:color w:val="auto"/>
          <w:sz w:val="16"/>
          <w:szCs w:val="16"/>
        </w:rPr>
        <w:t xml:space="preserve"> (</w:t>
      </w:r>
      <w:r w:rsidRPr="00CB4F47">
        <w:rPr>
          <w:rFonts w:cs="Arial"/>
          <w:color w:val="auto"/>
          <w:sz w:val="16"/>
          <w:szCs w:val="16"/>
        </w:rPr>
        <w:t xml:space="preserve">IHC </w:t>
      </w:r>
      <w:r w:rsidR="00187850">
        <w:rPr>
          <w:rFonts w:cs="Arial"/>
          <w:color w:val="auto"/>
          <w:sz w:val="16"/>
          <w:szCs w:val="16"/>
        </w:rPr>
        <w:t>New Zealand</w:t>
      </w:r>
      <w:r w:rsidR="00A671DF">
        <w:rPr>
          <w:rFonts w:cs="Arial"/>
          <w:color w:val="auto"/>
          <w:sz w:val="16"/>
          <w:szCs w:val="16"/>
        </w:rPr>
        <w:t>,</w:t>
      </w:r>
      <w:r w:rsidRPr="00CB4F47">
        <w:rPr>
          <w:rFonts w:cs="Arial"/>
          <w:color w:val="auto"/>
          <w:sz w:val="16"/>
          <w:szCs w:val="16"/>
        </w:rPr>
        <w:t xml:space="preserve"> </w:t>
      </w:r>
      <w:r w:rsidRPr="00CB4F47">
        <w:rPr>
          <w:rFonts w:eastAsia="Calibri" w:cs="Arial"/>
          <w:color w:val="auto"/>
          <w:sz w:val="16"/>
          <w:szCs w:val="16"/>
        </w:rPr>
        <w:t>1999</w:t>
      </w:r>
      <w:r w:rsidR="00A671DF" w:rsidRPr="00CB4F47">
        <w:rPr>
          <w:rFonts w:eastAsia="Calibri" w:cs="Arial"/>
          <w:color w:val="auto"/>
          <w:sz w:val="16"/>
          <w:szCs w:val="16"/>
        </w:rPr>
        <w:t>,</w:t>
      </w:r>
      <w:r w:rsidRPr="00CB4F47">
        <w:rPr>
          <w:rFonts w:eastAsia="Calibri" w:cs="Arial"/>
          <w:color w:val="auto"/>
          <w:sz w:val="16"/>
          <w:szCs w:val="16"/>
        </w:rPr>
        <w:t xml:space="preserve"> </w:t>
      </w:r>
      <w:r w:rsidR="00C32E74" w:rsidRPr="00CB4F47">
        <w:rPr>
          <w:rFonts w:cs="Arial"/>
          <w:color w:val="auto"/>
          <w:sz w:val="16"/>
          <w:szCs w:val="16"/>
        </w:rPr>
        <w:t>page</w:t>
      </w:r>
      <w:r w:rsidRPr="00CB4F47">
        <w:rPr>
          <w:rFonts w:eastAsia="Calibri" w:cs="Arial"/>
          <w:color w:val="auto"/>
          <w:sz w:val="16"/>
          <w:szCs w:val="16"/>
        </w:rPr>
        <w:t xml:space="preserve"> 45</w:t>
      </w:r>
      <w:r w:rsidR="00D566C5">
        <w:rPr>
          <w:rFonts w:eastAsia="Calibri" w:cs="Arial"/>
          <w:color w:val="auto"/>
          <w:sz w:val="16"/>
          <w:szCs w:val="16"/>
        </w:rPr>
        <w:t>)</w:t>
      </w:r>
      <w:r w:rsidRPr="00CB4F47">
        <w:rPr>
          <w:rFonts w:eastAsia="Calibri" w:cs="Arial"/>
          <w:color w:val="auto"/>
          <w:sz w:val="16"/>
          <w:szCs w:val="16"/>
        </w:rPr>
        <w:t>.</w:t>
      </w:r>
    </w:p>
  </w:footnote>
  <w:footnote w:id="246">
    <w:p w14:paraId="2A852917" w14:textId="4655776D"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 xml:space="preserve">Millen, </w:t>
      </w:r>
      <w:r w:rsidRPr="00CB4F47">
        <w:rPr>
          <w:rFonts w:cs="Arial"/>
          <w:color w:val="auto"/>
          <w:sz w:val="16"/>
          <w:szCs w:val="16"/>
        </w:rPr>
        <w:t>J, Breaking barriers: IHC’s first 50 years</w:t>
      </w:r>
      <w:r w:rsidR="00A671DF" w:rsidRPr="00CB4F47">
        <w:rPr>
          <w:rFonts w:cs="Arial"/>
          <w:color w:val="auto"/>
          <w:sz w:val="16"/>
          <w:szCs w:val="16"/>
        </w:rPr>
        <w:t xml:space="preserve"> (</w:t>
      </w:r>
      <w:r w:rsidRPr="00CB4F47">
        <w:rPr>
          <w:rFonts w:cs="Arial"/>
          <w:color w:val="auto"/>
          <w:sz w:val="16"/>
          <w:szCs w:val="16"/>
        </w:rPr>
        <w:t xml:space="preserve">IHC </w:t>
      </w:r>
      <w:r w:rsidR="00187850">
        <w:rPr>
          <w:rFonts w:cs="Arial"/>
          <w:color w:val="auto"/>
          <w:sz w:val="16"/>
          <w:szCs w:val="16"/>
        </w:rPr>
        <w:t>New Zealand</w:t>
      </w:r>
      <w:r w:rsidR="00A671DF">
        <w:rPr>
          <w:rFonts w:cs="Arial"/>
          <w:color w:val="auto"/>
          <w:sz w:val="16"/>
          <w:szCs w:val="16"/>
        </w:rPr>
        <w:t>,</w:t>
      </w:r>
      <w:r w:rsidRPr="00CB4F47">
        <w:rPr>
          <w:rFonts w:cs="Arial"/>
          <w:color w:val="auto"/>
          <w:sz w:val="16"/>
          <w:szCs w:val="16"/>
        </w:rPr>
        <w:t xml:space="preserve"> </w:t>
      </w:r>
      <w:r w:rsidRPr="00CB4F47">
        <w:rPr>
          <w:rFonts w:eastAsia="Calibri" w:cs="Arial"/>
          <w:color w:val="auto"/>
          <w:sz w:val="16"/>
          <w:szCs w:val="16"/>
        </w:rPr>
        <w:t>1999</w:t>
      </w:r>
      <w:r w:rsidR="00A671DF" w:rsidRPr="00CB4F47">
        <w:rPr>
          <w:rFonts w:eastAsia="Calibri" w:cs="Arial"/>
          <w:color w:val="auto"/>
          <w:sz w:val="16"/>
          <w:szCs w:val="16"/>
        </w:rPr>
        <w:t>,</w:t>
      </w:r>
      <w:r w:rsidRPr="00CB4F47">
        <w:rPr>
          <w:rFonts w:eastAsia="Calibri" w:cs="Arial"/>
          <w:color w:val="auto"/>
          <w:sz w:val="16"/>
          <w:szCs w:val="16"/>
        </w:rPr>
        <w:t xml:space="preserve"> </w:t>
      </w:r>
      <w:r w:rsidR="00C32E74" w:rsidRPr="00CB4F47">
        <w:rPr>
          <w:rFonts w:cs="Arial"/>
          <w:color w:val="auto"/>
          <w:sz w:val="16"/>
          <w:szCs w:val="16"/>
        </w:rPr>
        <w:t>page</w:t>
      </w:r>
      <w:r w:rsidRPr="00CB4F47">
        <w:rPr>
          <w:rFonts w:eastAsia="Calibri" w:cs="Arial"/>
          <w:color w:val="auto"/>
          <w:sz w:val="16"/>
          <w:szCs w:val="16"/>
        </w:rPr>
        <w:t xml:space="preserve"> 46</w:t>
      </w:r>
      <w:r w:rsidR="00D566C5">
        <w:rPr>
          <w:rFonts w:eastAsia="Calibri" w:cs="Arial"/>
          <w:color w:val="auto"/>
          <w:sz w:val="16"/>
          <w:szCs w:val="16"/>
        </w:rPr>
        <w:t>)</w:t>
      </w:r>
      <w:r w:rsidRPr="00CB4F47">
        <w:rPr>
          <w:rFonts w:eastAsia="Calibri" w:cs="Arial"/>
          <w:color w:val="auto"/>
          <w:sz w:val="16"/>
          <w:szCs w:val="16"/>
        </w:rPr>
        <w:t>.</w:t>
      </w:r>
    </w:p>
  </w:footnote>
  <w:footnote w:id="247">
    <w:p w14:paraId="2DCBE10D" w14:textId="4E5C4FDB"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cs="Arial"/>
          <w:color w:val="auto"/>
          <w:sz w:val="16"/>
          <w:szCs w:val="16"/>
        </w:rPr>
        <w:t xml:space="preserve">Aitken, </w:t>
      </w:r>
      <w:r w:rsidR="00A671DF" w:rsidRPr="00CB4F47">
        <w:rPr>
          <w:rFonts w:cs="Arial"/>
          <w:color w:val="auto"/>
          <w:sz w:val="16"/>
          <w:szCs w:val="16"/>
        </w:rPr>
        <w:t>RS</w:t>
      </w:r>
      <w:r w:rsidRPr="00CB4F47">
        <w:rPr>
          <w:rFonts w:cs="Arial"/>
          <w:color w:val="auto"/>
          <w:sz w:val="16"/>
          <w:szCs w:val="16"/>
        </w:rPr>
        <w:t xml:space="preserve">, Caughley, </w:t>
      </w:r>
      <w:r w:rsidR="00A671DF" w:rsidRPr="00CB4F47">
        <w:rPr>
          <w:rFonts w:cs="Arial"/>
          <w:color w:val="auto"/>
          <w:sz w:val="16"/>
          <w:szCs w:val="16"/>
        </w:rPr>
        <w:t>JG</w:t>
      </w:r>
      <w:r w:rsidRPr="00CB4F47">
        <w:rPr>
          <w:rFonts w:cs="Arial"/>
          <w:color w:val="auto"/>
          <w:sz w:val="16"/>
          <w:szCs w:val="16"/>
        </w:rPr>
        <w:t xml:space="preserve">, Lopdell, </w:t>
      </w:r>
      <w:r w:rsidR="00A671DF" w:rsidRPr="00CB4F47">
        <w:rPr>
          <w:rFonts w:cs="Arial"/>
          <w:color w:val="auto"/>
          <w:sz w:val="16"/>
          <w:szCs w:val="16"/>
        </w:rPr>
        <w:t>FC</w:t>
      </w:r>
      <w:r w:rsidRPr="00CB4F47">
        <w:rPr>
          <w:rFonts w:cs="Arial"/>
          <w:color w:val="auto"/>
          <w:sz w:val="16"/>
          <w:szCs w:val="16"/>
        </w:rPr>
        <w:t xml:space="preserve">, McLeod, </w:t>
      </w:r>
      <w:r w:rsidR="00A671DF" w:rsidRPr="00CB4F47">
        <w:rPr>
          <w:rFonts w:cs="Arial"/>
          <w:color w:val="auto"/>
          <w:sz w:val="16"/>
          <w:szCs w:val="16"/>
        </w:rPr>
        <w:t>GL</w:t>
      </w:r>
      <w:r w:rsidRPr="00CB4F47">
        <w:rPr>
          <w:rFonts w:cs="Arial"/>
          <w:color w:val="auto"/>
          <w:sz w:val="16"/>
          <w:szCs w:val="16"/>
        </w:rPr>
        <w:t xml:space="preserve">, Robertson, </w:t>
      </w:r>
      <w:r w:rsidR="00A671DF" w:rsidRPr="00CB4F47">
        <w:rPr>
          <w:rFonts w:cs="Arial"/>
          <w:color w:val="auto"/>
          <w:sz w:val="16"/>
          <w:szCs w:val="16"/>
        </w:rPr>
        <w:t>JM</w:t>
      </w:r>
      <w:r w:rsidRPr="00CB4F47">
        <w:rPr>
          <w:rFonts w:cs="Arial"/>
          <w:color w:val="auto"/>
          <w:sz w:val="16"/>
          <w:szCs w:val="16"/>
        </w:rPr>
        <w:t xml:space="preserve">, Tothill, </w:t>
      </w:r>
      <w:r w:rsidR="00A671DF" w:rsidRPr="00CB4F47">
        <w:rPr>
          <w:rFonts w:cs="Arial"/>
          <w:color w:val="auto"/>
          <w:sz w:val="16"/>
          <w:szCs w:val="16"/>
        </w:rPr>
        <w:t>GM</w:t>
      </w:r>
      <w:r w:rsidRPr="00CB4F47">
        <w:rPr>
          <w:rFonts w:cs="Arial"/>
          <w:color w:val="auto"/>
          <w:sz w:val="16"/>
          <w:szCs w:val="16"/>
        </w:rPr>
        <w:t xml:space="preserve"> &amp; Hull, </w:t>
      </w:r>
      <w:r w:rsidR="00A671DF" w:rsidRPr="00CB4F47">
        <w:rPr>
          <w:rFonts w:cs="Arial"/>
          <w:color w:val="auto"/>
          <w:sz w:val="16"/>
          <w:szCs w:val="16"/>
        </w:rPr>
        <w:t>DN</w:t>
      </w:r>
      <w:r w:rsidRPr="00CB4F47">
        <w:rPr>
          <w:rFonts w:cs="Arial"/>
          <w:color w:val="auto"/>
          <w:sz w:val="16"/>
          <w:szCs w:val="16"/>
        </w:rPr>
        <w:t xml:space="preserve">, Intellectually </w:t>
      </w:r>
      <w:r w:rsidR="00A671DF">
        <w:rPr>
          <w:rFonts w:cs="Arial"/>
          <w:color w:val="auto"/>
          <w:sz w:val="16"/>
          <w:szCs w:val="16"/>
        </w:rPr>
        <w:t>h</w:t>
      </w:r>
      <w:r w:rsidR="00A671DF" w:rsidRPr="00CB4F47">
        <w:rPr>
          <w:rFonts w:cs="Arial"/>
          <w:color w:val="auto"/>
          <w:sz w:val="16"/>
          <w:szCs w:val="16"/>
        </w:rPr>
        <w:t xml:space="preserve">andicapped </w:t>
      </w:r>
      <w:r w:rsidR="00A671DF">
        <w:rPr>
          <w:rFonts w:cs="Arial"/>
          <w:color w:val="auto"/>
          <w:sz w:val="16"/>
          <w:szCs w:val="16"/>
        </w:rPr>
        <w:t>c</w:t>
      </w:r>
      <w:r w:rsidR="00A671DF" w:rsidRPr="00CB4F47">
        <w:rPr>
          <w:rFonts w:cs="Arial"/>
          <w:color w:val="auto"/>
          <w:sz w:val="16"/>
          <w:szCs w:val="16"/>
        </w:rPr>
        <w:t xml:space="preserve">hildren </w:t>
      </w:r>
      <w:r w:rsidR="00A671DF">
        <w:rPr>
          <w:rFonts w:cs="Arial"/>
          <w:color w:val="auto"/>
          <w:sz w:val="16"/>
          <w:szCs w:val="16"/>
        </w:rPr>
        <w:t>r</w:t>
      </w:r>
      <w:r w:rsidRPr="00CB4F47">
        <w:rPr>
          <w:rFonts w:cs="Arial"/>
          <w:color w:val="auto"/>
          <w:sz w:val="16"/>
          <w:szCs w:val="16"/>
        </w:rPr>
        <w:t xml:space="preserve">eport: Report of the </w:t>
      </w:r>
      <w:r w:rsidR="00A671DF">
        <w:rPr>
          <w:rFonts w:cs="Arial"/>
          <w:color w:val="auto"/>
          <w:sz w:val="16"/>
          <w:szCs w:val="16"/>
        </w:rPr>
        <w:t>c</w:t>
      </w:r>
      <w:r w:rsidR="00A671DF" w:rsidRPr="00CB4F47">
        <w:rPr>
          <w:rFonts w:cs="Arial"/>
          <w:color w:val="auto"/>
          <w:sz w:val="16"/>
          <w:szCs w:val="16"/>
        </w:rPr>
        <w:t xml:space="preserve">onsultative </w:t>
      </w:r>
      <w:r w:rsidR="00A671DF">
        <w:rPr>
          <w:rFonts w:cs="Arial"/>
          <w:color w:val="auto"/>
          <w:sz w:val="16"/>
          <w:szCs w:val="16"/>
        </w:rPr>
        <w:t>c</w:t>
      </w:r>
      <w:r w:rsidRPr="00CB4F47">
        <w:rPr>
          <w:rFonts w:cs="Arial"/>
          <w:color w:val="auto"/>
          <w:sz w:val="16"/>
          <w:szCs w:val="16"/>
        </w:rPr>
        <w:t>ommittee set up by the Minister of Education in August 1951 (Department of Education, 1953).</w:t>
      </w:r>
    </w:p>
  </w:footnote>
  <w:footnote w:id="248">
    <w:p w14:paraId="658ACDA6" w14:textId="1AD8F95F"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Witness statement of </w:t>
      </w:r>
      <w:r w:rsidR="00793DFA">
        <w:rPr>
          <w:rFonts w:cs="Arial"/>
          <w:sz w:val="16"/>
          <w:szCs w:val="16"/>
        </w:rPr>
        <w:t xml:space="preserve">Dr </w:t>
      </w:r>
      <w:r w:rsidRPr="00CB4F47">
        <w:rPr>
          <w:rFonts w:cs="Arial"/>
          <w:sz w:val="16"/>
          <w:szCs w:val="16"/>
        </w:rPr>
        <w:t>Hilary Stace (1 November 2019, paras 11</w:t>
      </w:r>
      <w:r w:rsidRPr="00CB4F47">
        <w:rPr>
          <w:rFonts w:cs="Arial"/>
          <w:color w:val="auto"/>
          <w:sz w:val="16"/>
          <w:szCs w:val="16"/>
        </w:rPr>
        <w:t>–</w:t>
      </w:r>
      <w:r w:rsidRPr="00CB4F47">
        <w:rPr>
          <w:rFonts w:cs="Arial"/>
          <w:sz w:val="16"/>
          <w:szCs w:val="16"/>
        </w:rPr>
        <w:t>12</w:t>
      </w:r>
      <w:r w:rsidR="00F11226" w:rsidRPr="00CB4F47" w:rsidDel="00477CD1">
        <w:rPr>
          <w:rFonts w:cs="Arial"/>
          <w:sz w:val="16"/>
          <w:szCs w:val="16"/>
        </w:rPr>
        <w:t>)</w:t>
      </w:r>
      <w:r w:rsidRPr="00CB4F47">
        <w:rPr>
          <w:rFonts w:cs="Arial"/>
          <w:sz w:val="16"/>
          <w:szCs w:val="16"/>
        </w:rPr>
        <w:t>.</w:t>
      </w:r>
    </w:p>
  </w:footnote>
  <w:footnote w:id="249">
    <w:p w14:paraId="3D0AC93C" w14:textId="77777777" w:rsidR="00183B3D" w:rsidRPr="00CB4F47" w:rsidRDefault="00183B3D" w:rsidP="00183B3D">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Woodhouse, A, Bockett, H &amp; Parsons, G, Report of the Royal Commission of Inquiry, Compensation for personal injury in New Zealand (Government Printer</w:t>
      </w:r>
      <w:r w:rsidRPr="00CB4F47" w:rsidDel="00724482">
        <w:rPr>
          <w:rFonts w:cs="Arial"/>
          <w:color w:val="auto"/>
          <w:sz w:val="16"/>
          <w:szCs w:val="16"/>
        </w:rPr>
        <w:t xml:space="preserve">, </w:t>
      </w:r>
      <w:r w:rsidRPr="00CB4F47">
        <w:rPr>
          <w:rFonts w:cs="Arial"/>
          <w:color w:val="auto"/>
          <w:sz w:val="16"/>
          <w:szCs w:val="16"/>
        </w:rPr>
        <w:t>1967, page 12</w:t>
      </w:r>
      <w:r>
        <w:rPr>
          <w:rFonts w:cs="Arial"/>
          <w:color w:val="auto"/>
          <w:sz w:val="16"/>
          <w:szCs w:val="16"/>
        </w:rPr>
        <w:t>)</w:t>
      </w:r>
      <w:r w:rsidRPr="00CB4F47">
        <w:rPr>
          <w:rFonts w:cs="Arial"/>
          <w:color w:val="auto"/>
          <w:sz w:val="16"/>
          <w:szCs w:val="16"/>
        </w:rPr>
        <w:t xml:space="preserve">. </w:t>
      </w:r>
    </w:p>
  </w:footnote>
  <w:footnote w:id="250">
    <w:p w14:paraId="61D6DB5C" w14:textId="77777777" w:rsidR="00183B3D" w:rsidRPr="00CB4F47" w:rsidRDefault="00183B3D" w:rsidP="00183B3D">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Forster, W, Removing disabling experiences: a vision for the future of our people (New Zealand Law Foundation, 2022, foreword, page 1</w:t>
      </w:r>
      <w:r>
        <w:rPr>
          <w:rFonts w:cs="Arial"/>
          <w:color w:val="auto"/>
          <w:sz w:val="16"/>
          <w:szCs w:val="16"/>
        </w:rPr>
        <w:t>)</w:t>
      </w:r>
      <w:r w:rsidRPr="00CB4F47">
        <w:rPr>
          <w:rFonts w:cs="Arial"/>
          <w:color w:val="auto"/>
          <w:sz w:val="16"/>
          <w:szCs w:val="16"/>
        </w:rPr>
        <w:t>.</w:t>
      </w:r>
    </w:p>
  </w:footnote>
  <w:footnote w:id="251">
    <w:p w14:paraId="1DEB9436" w14:textId="77777777" w:rsidR="003046AA" w:rsidRPr="00CB4F47" w:rsidRDefault="003046AA" w:rsidP="003046AA">
      <w:pPr>
        <w:pStyle w:val="FootnoteText"/>
        <w:spacing w:before="0" w:after="0" w:line="20" w:lineRule="atLeast"/>
        <w:jc w:val="left"/>
        <w:rPr>
          <w:rFonts w:cs="Arial"/>
          <w:color w:val="auto"/>
          <w:kern w:val="2"/>
          <w:sz w:val="16"/>
          <w:szCs w:val="16"/>
          <w:u w:val="single"/>
          <w14:ligatures w14:val="standardContextual"/>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color w:val="auto"/>
          <w:kern w:val="2"/>
          <w:sz w:val="16"/>
          <w:szCs w:val="16"/>
          <w14:ligatures w14:val="standardContextual"/>
        </w:rPr>
        <w:t xml:space="preserve">Accident Compensation Corporation. Our history, </w:t>
      </w:r>
      <w:r w:rsidRPr="00CB4F47">
        <w:rPr>
          <w:rFonts w:cs="Arial"/>
          <w:color w:val="000000"/>
          <w:sz w:val="16"/>
          <w:szCs w:val="16"/>
        </w:rPr>
        <w:t>(</w:t>
      </w:r>
      <w:r w:rsidRPr="00CB4F47">
        <w:rPr>
          <w:rFonts w:cs="Arial"/>
          <w:color w:val="auto"/>
          <w:sz w:val="16"/>
          <w:szCs w:val="16"/>
        </w:rPr>
        <w:t>ACC, 2018)</w:t>
      </w:r>
      <w:r>
        <w:rPr>
          <w:rFonts w:cs="Arial"/>
          <w:color w:val="auto"/>
          <w:sz w:val="16"/>
          <w:szCs w:val="16"/>
        </w:rPr>
        <w:t>,</w:t>
      </w:r>
      <w:r w:rsidRPr="00CB4F47">
        <w:rPr>
          <w:rFonts w:cs="Arial"/>
          <w:color w:val="auto"/>
          <w:sz w:val="16"/>
          <w:szCs w:val="16"/>
        </w:rPr>
        <w:t xml:space="preserve"> </w:t>
      </w:r>
      <w:hyperlink r:id="rId66" w:anchor="1972--the-accident-compensation-act" w:history="1">
        <w:r w:rsidRPr="00CB4F47">
          <w:rPr>
            <w:rStyle w:val="Hyperlink"/>
            <w:rFonts w:cs="Arial"/>
            <w:kern w:val="2"/>
            <w:sz w:val="16"/>
            <w:szCs w:val="16"/>
            <w14:ligatures w14:val="standardContextual"/>
          </w:rPr>
          <w:t>https://www.acc.co.nz/about-us/who-we-are/our-history/#1972--the-accident-compensation-act</w:t>
        </w:r>
      </w:hyperlink>
      <w:r w:rsidRPr="00CB4F47">
        <w:rPr>
          <w:rFonts w:cs="Arial"/>
          <w:color w:val="auto"/>
          <w:kern w:val="2"/>
          <w:sz w:val="16"/>
          <w:szCs w:val="16"/>
          <w14:ligatures w14:val="standardContextual"/>
        </w:rPr>
        <w:t>.</w:t>
      </w:r>
      <w:r w:rsidRPr="00CB4F47">
        <w:rPr>
          <w:rFonts w:cs="Arial"/>
          <w:color w:val="auto"/>
          <w:sz w:val="16"/>
          <w:szCs w:val="16"/>
        </w:rPr>
        <w:t xml:space="preserve"> </w:t>
      </w:r>
    </w:p>
  </w:footnote>
  <w:footnote w:id="252">
    <w:p w14:paraId="208754F7" w14:textId="77777777" w:rsidR="00A671DF" w:rsidRPr="00F61A43" w:rsidRDefault="00A671DF" w:rsidP="00FD7498">
      <w:pPr>
        <w:pStyle w:val="FootnoteText"/>
        <w:spacing w:before="0" w:after="0"/>
        <w:rPr>
          <w:sz w:val="16"/>
          <w:szCs w:val="16"/>
        </w:rPr>
      </w:pPr>
      <w:r w:rsidRPr="00536E67">
        <w:rPr>
          <w:rStyle w:val="StyleFootnoteReferenceFagoFunotenzeichenFagoFunotenzeichen"/>
          <w:sz w:val="16"/>
          <w:szCs w:val="16"/>
        </w:rPr>
        <w:footnoteRef/>
      </w:r>
      <w:r w:rsidRPr="00F61A43">
        <w:rPr>
          <w:sz w:val="16"/>
          <w:szCs w:val="16"/>
        </w:rPr>
        <w:t xml:space="preserve"> Durie, M, Mauri ora: The dynamics of Maori health (Oxford University Press, 2001, page 19</w:t>
      </w:r>
      <w:r>
        <w:rPr>
          <w:sz w:val="16"/>
          <w:szCs w:val="16"/>
        </w:rPr>
        <w:t>)</w:t>
      </w:r>
      <w:r w:rsidRPr="003D7BC4">
        <w:rPr>
          <w:sz w:val="16"/>
          <w:szCs w:val="16"/>
        </w:rPr>
        <w:t>.</w:t>
      </w:r>
    </w:p>
  </w:footnote>
  <w:footnote w:id="253">
    <w:p w14:paraId="02D33870" w14:textId="1F53F451" w:rsidR="00A671DF" w:rsidRPr="00F61A43" w:rsidRDefault="00A671DF" w:rsidP="00FD7498">
      <w:pPr>
        <w:pStyle w:val="FootnoteText"/>
        <w:spacing w:before="0" w:after="0"/>
        <w:jc w:val="left"/>
        <w:rPr>
          <w:sz w:val="16"/>
          <w:szCs w:val="16"/>
        </w:rPr>
      </w:pPr>
      <w:r w:rsidRPr="00536E67">
        <w:rPr>
          <w:rStyle w:val="StyleFootnoteReferenceFagoFunotenzeichenFagoFunotenzeichen"/>
          <w:sz w:val="16"/>
          <w:szCs w:val="16"/>
        </w:rPr>
        <w:footnoteRef/>
      </w:r>
      <w:r w:rsidRPr="00F61A43">
        <w:rPr>
          <w:sz w:val="16"/>
          <w:szCs w:val="16"/>
        </w:rPr>
        <w:t xml:space="preserve"> </w:t>
      </w:r>
      <w:r w:rsidRPr="003D7BC4">
        <w:rPr>
          <w:sz w:val="16"/>
          <w:szCs w:val="16"/>
        </w:rPr>
        <w:t>Stat</w:t>
      </w:r>
      <w:r>
        <w:rPr>
          <w:sz w:val="16"/>
          <w:szCs w:val="16"/>
        </w:rPr>
        <w:t>s</w:t>
      </w:r>
      <w:r w:rsidRPr="00F61A43">
        <w:rPr>
          <w:sz w:val="16"/>
          <w:szCs w:val="16"/>
        </w:rPr>
        <w:t xml:space="preserve"> NZ, New Zealand </w:t>
      </w:r>
      <w:r w:rsidR="001D4C11">
        <w:rPr>
          <w:sz w:val="16"/>
          <w:szCs w:val="16"/>
        </w:rPr>
        <w:t>O</w:t>
      </w:r>
      <w:r w:rsidRPr="00F61A43">
        <w:rPr>
          <w:sz w:val="16"/>
          <w:szCs w:val="16"/>
        </w:rPr>
        <w:t xml:space="preserve">fficial </w:t>
      </w:r>
      <w:r w:rsidR="001D4C11">
        <w:rPr>
          <w:sz w:val="16"/>
          <w:szCs w:val="16"/>
        </w:rPr>
        <w:t>Y</w:t>
      </w:r>
      <w:r w:rsidRPr="00F61A43">
        <w:rPr>
          <w:sz w:val="16"/>
          <w:szCs w:val="16"/>
        </w:rPr>
        <w:t xml:space="preserve">earbook </w:t>
      </w:r>
      <w:r>
        <w:rPr>
          <w:sz w:val="16"/>
          <w:szCs w:val="16"/>
        </w:rPr>
        <w:t>1955</w:t>
      </w:r>
      <w:r w:rsidR="008447FB">
        <w:rPr>
          <w:sz w:val="16"/>
          <w:szCs w:val="16"/>
        </w:rPr>
        <w:t>.</w:t>
      </w:r>
      <w:r w:rsidRPr="00F61A43">
        <w:rPr>
          <w:sz w:val="16"/>
          <w:szCs w:val="16"/>
        </w:rPr>
        <w:t xml:space="preserve"> </w:t>
      </w:r>
    </w:p>
  </w:footnote>
  <w:footnote w:id="254">
    <w:p w14:paraId="45C1DC89" w14:textId="1F2A2529" w:rsidR="00A671DF" w:rsidRPr="00536E67" w:rsidRDefault="00A671DF" w:rsidP="00250F90">
      <w:pPr>
        <w:pStyle w:val="FootnoteText"/>
        <w:rPr>
          <w:sz w:val="16"/>
          <w:szCs w:val="16"/>
        </w:rPr>
      </w:pPr>
      <w:r w:rsidRPr="00536E67">
        <w:rPr>
          <w:rStyle w:val="StyleFootnoteReferenceFagoFunotenzeichenFagoFunotenzeichen"/>
          <w:sz w:val="16"/>
          <w:szCs w:val="16"/>
        </w:rPr>
        <w:footnoteRef/>
      </w:r>
      <w:r w:rsidRPr="00F61A43">
        <w:rPr>
          <w:sz w:val="16"/>
          <w:szCs w:val="16"/>
        </w:rPr>
        <w:t xml:space="preserve"> </w:t>
      </w:r>
      <w:r w:rsidRPr="00B45EFD">
        <w:rPr>
          <w:rFonts w:cs="Arial"/>
          <w:color w:val="auto"/>
          <w:sz w:val="16"/>
          <w:szCs w:val="16"/>
        </w:rPr>
        <w:t>Brunton, W, Mental health services</w:t>
      </w:r>
      <w:r w:rsidR="006C31C8">
        <w:rPr>
          <w:rFonts w:cs="Arial"/>
          <w:color w:val="auto"/>
          <w:sz w:val="16"/>
          <w:szCs w:val="16"/>
        </w:rPr>
        <w:t>:</w:t>
      </w:r>
      <w:r w:rsidRPr="00B45EFD">
        <w:rPr>
          <w:rFonts w:cs="Arial"/>
          <w:color w:val="auto"/>
          <w:sz w:val="16"/>
          <w:szCs w:val="16"/>
        </w:rPr>
        <w:t xml:space="preserve"> Lunatic asylums, 1840s to 1900s (Te Ara – The Encyclopaedia of New Zealand, 2011</w:t>
      </w:r>
      <w:r>
        <w:rPr>
          <w:sz w:val="16"/>
          <w:szCs w:val="16"/>
        </w:rPr>
        <w:t>, page 2</w:t>
      </w:r>
      <w:r w:rsidRPr="00D101EF">
        <w:rPr>
          <w:sz w:val="16"/>
          <w:szCs w:val="16"/>
        </w:rPr>
        <w:t>)</w:t>
      </w:r>
      <w:r>
        <w:rPr>
          <w:sz w:val="16"/>
          <w:szCs w:val="16"/>
        </w:rPr>
        <w:t xml:space="preserve">, </w:t>
      </w:r>
      <w:hyperlink r:id="rId67" w:history="1">
        <w:r w:rsidRPr="008E47F4">
          <w:rPr>
            <w:rStyle w:val="Hyperlink"/>
            <w:sz w:val="16"/>
            <w:szCs w:val="16"/>
          </w:rPr>
          <w:t>https://teara.govt.nz/en/mental-health-services/page-2</w:t>
        </w:r>
      </w:hyperlink>
      <w:r w:rsidRPr="00D101EF">
        <w:rPr>
          <w:sz w:val="16"/>
          <w:szCs w:val="16"/>
        </w:rPr>
        <w:t>.</w:t>
      </w:r>
    </w:p>
  </w:footnote>
  <w:footnote w:id="255">
    <w:p w14:paraId="7C0F8F89" w14:textId="3EF96508" w:rsidR="004A3688" w:rsidRPr="00086CAB" w:rsidRDefault="004A3688" w:rsidP="004A3688">
      <w:pPr>
        <w:pStyle w:val="FootnoteText"/>
        <w:rPr>
          <w:rFonts w:cs="Arial"/>
          <w:szCs w:val="18"/>
        </w:rPr>
      </w:pPr>
      <w:r w:rsidRPr="00086CAB">
        <w:rPr>
          <w:rStyle w:val="FootnoteReference"/>
          <w:szCs w:val="18"/>
        </w:rPr>
        <w:footnoteRef/>
      </w:r>
      <w:r w:rsidRPr="00086CAB">
        <w:rPr>
          <w:rFonts w:cs="Arial"/>
          <w:szCs w:val="18"/>
        </w:rPr>
        <w:t xml:space="preserve"> </w:t>
      </w:r>
      <w:r w:rsidRPr="001142DD">
        <w:rPr>
          <w:rFonts w:cs="Arial"/>
          <w:sz w:val="16"/>
          <w:szCs w:val="16"/>
        </w:rPr>
        <w:t>Stewart, PA, To turn the key: The history of deaf education in New Zealand,</w:t>
      </w:r>
      <w:r w:rsidRPr="001142DD">
        <w:rPr>
          <w:rFonts w:cs="Arial"/>
          <w:i/>
          <w:sz w:val="16"/>
          <w:szCs w:val="16"/>
        </w:rPr>
        <w:t xml:space="preserve"> </w:t>
      </w:r>
      <w:r w:rsidRPr="001142DD">
        <w:rPr>
          <w:rFonts w:cs="Arial"/>
          <w:sz w:val="16"/>
          <w:szCs w:val="16"/>
        </w:rPr>
        <w:t>Unpublished Master’s Thesis, University of Otago (1982, page 211).</w:t>
      </w:r>
    </w:p>
  </w:footnote>
  <w:footnote w:id="256">
    <w:p w14:paraId="56C8D34C" w14:textId="55C0DCB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Witness statement of Tigilau Ness </w:t>
      </w:r>
      <w:r w:rsidR="00C65C54" w:rsidRPr="00CB4F47">
        <w:rPr>
          <w:rFonts w:cs="Arial"/>
          <w:color w:val="auto"/>
          <w:sz w:val="16"/>
          <w:szCs w:val="16"/>
        </w:rPr>
        <w:t>(</w:t>
      </w:r>
      <w:r w:rsidRPr="00CB4F47">
        <w:rPr>
          <w:rFonts w:cs="Arial"/>
          <w:color w:val="auto"/>
          <w:sz w:val="16"/>
          <w:szCs w:val="16"/>
        </w:rPr>
        <w:t>11 June 2021</w:t>
      </w:r>
      <w:r w:rsidR="00A671DF" w:rsidRPr="00CB4F47">
        <w:rPr>
          <w:rFonts w:cs="Arial"/>
          <w:color w:val="auto"/>
          <w:sz w:val="16"/>
          <w:szCs w:val="16"/>
        </w:rPr>
        <w:t>,</w:t>
      </w:r>
      <w:r w:rsidRPr="00CB4F47">
        <w:rPr>
          <w:rFonts w:cs="Arial"/>
          <w:color w:val="auto"/>
          <w:sz w:val="16"/>
          <w:szCs w:val="16"/>
        </w:rPr>
        <w:t xml:space="preserve"> pages 4–5</w:t>
      </w:r>
      <w:r w:rsidR="00AA115C">
        <w:rPr>
          <w:rFonts w:cs="Arial"/>
          <w:color w:val="auto"/>
          <w:sz w:val="16"/>
          <w:szCs w:val="16"/>
        </w:rPr>
        <w:t>)</w:t>
      </w:r>
      <w:r w:rsidRPr="00CB4F47">
        <w:rPr>
          <w:rFonts w:cs="Arial"/>
          <w:color w:val="auto"/>
          <w:sz w:val="16"/>
          <w:szCs w:val="16"/>
        </w:rPr>
        <w:t>.</w:t>
      </w:r>
    </w:p>
  </w:footnote>
  <w:footnote w:id="257">
    <w:p w14:paraId="0A2AA405" w14:textId="78D7CDA3" w:rsidR="00A3037A" w:rsidRDefault="00A3037A">
      <w:pPr>
        <w:pStyle w:val="FootnoteText"/>
      </w:pPr>
      <w:r>
        <w:rPr>
          <w:rStyle w:val="FootnoteReference"/>
        </w:rPr>
        <w:footnoteRef/>
      </w:r>
      <w:r>
        <w:t xml:space="preserve"> </w:t>
      </w:r>
      <w:r w:rsidR="00030A18" w:rsidRPr="00CB4F47">
        <w:rPr>
          <w:rFonts w:cs="Arial"/>
          <w:color w:val="auto"/>
          <w:sz w:val="16"/>
          <w:szCs w:val="16"/>
        </w:rPr>
        <w:t>Witness statement of Tigilau Ness (11 June 2021, pages 4–5</w:t>
      </w:r>
      <w:r w:rsidR="00030A18">
        <w:rPr>
          <w:rFonts w:cs="Arial"/>
          <w:color w:val="auto"/>
          <w:sz w:val="16"/>
          <w:szCs w:val="16"/>
        </w:rPr>
        <w:t>)</w:t>
      </w:r>
      <w:r w:rsidR="00030A18" w:rsidRPr="00CB4F47">
        <w:rPr>
          <w:rFonts w:cs="Arial"/>
          <w:color w:val="auto"/>
          <w:sz w:val="16"/>
          <w:szCs w:val="16"/>
        </w:rPr>
        <w:t>.</w:t>
      </w:r>
    </w:p>
  </w:footnote>
  <w:footnote w:id="258">
    <w:p w14:paraId="3E66769B" w14:textId="6B554109" w:rsidR="0030139C" w:rsidRPr="00536E67" w:rsidRDefault="0030139C">
      <w:pPr>
        <w:pStyle w:val="FootnoteText"/>
        <w:rPr>
          <w:sz w:val="16"/>
          <w:szCs w:val="16"/>
        </w:rPr>
      </w:pPr>
      <w:r w:rsidRPr="00536E67">
        <w:rPr>
          <w:rStyle w:val="StyleFootnoteReferenceFagoFunotenzeichenFagoFunotenzeichen"/>
          <w:sz w:val="16"/>
          <w:szCs w:val="16"/>
        </w:rPr>
        <w:footnoteRef/>
      </w:r>
      <w:r w:rsidRPr="006B54FF">
        <w:rPr>
          <w:sz w:val="16"/>
          <w:szCs w:val="16"/>
        </w:rPr>
        <w:t xml:space="preserve"> </w:t>
      </w:r>
      <w:r w:rsidR="006B7E19" w:rsidRPr="006B54FF">
        <w:rPr>
          <w:sz w:val="16"/>
          <w:szCs w:val="16"/>
          <w:shd w:val="clear" w:color="auto" w:fill="FFFFFF"/>
        </w:rPr>
        <w:t>M</w:t>
      </w:r>
      <w:r w:rsidR="006B7E19" w:rsidRPr="006B54FF">
        <w:rPr>
          <w:rStyle w:val="normaltextrun"/>
          <w:sz w:val="16"/>
          <w:szCs w:val="16"/>
          <w:shd w:val="clear" w:color="auto" w:fill="FFFFFF"/>
        </w:rPr>
        <w:t>itchell, J, Immigration and national identity in 1970s New Zealand (University of Otago, 2003</w:t>
      </w:r>
      <w:r w:rsidR="00A671DF" w:rsidRPr="006B54FF">
        <w:rPr>
          <w:rStyle w:val="normaltextrun"/>
          <w:sz w:val="16"/>
          <w:szCs w:val="16"/>
          <w:shd w:val="clear" w:color="auto" w:fill="FFFFFF"/>
        </w:rPr>
        <w:t>,</w:t>
      </w:r>
      <w:r w:rsidR="006B7E19" w:rsidRPr="006B54FF">
        <w:rPr>
          <w:rStyle w:val="normaltextrun"/>
          <w:sz w:val="16"/>
          <w:szCs w:val="16"/>
          <w:shd w:val="clear" w:color="auto" w:fill="FFFFFF"/>
        </w:rPr>
        <w:t xml:space="preserve"> </w:t>
      </w:r>
      <w:r w:rsidR="006B7E19" w:rsidRPr="006B54FF">
        <w:rPr>
          <w:rStyle w:val="eop"/>
          <w:sz w:val="16"/>
          <w:szCs w:val="16"/>
          <w:shd w:val="clear" w:color="auto" w:fill="FFFFFF"/>
        </w:rPr>
        <w:t>p</w:t>
      </w:r>
      <w:r w:rsidR="00AD6E3F" w:rsidRPr="006B54FF">
        <w:rPr>
          <w:rStyle w:val="eop"/>
          <w:sz w:val="16"/>
          <w:szCs w:val="16"/>
          <w:shd w:val="clear" w:color="auto" w:fill="FFFFFF"/>
        </w:rPr>
        <w:t>age</w:t>
      </w:r>
      <w:r w:rsidR="006B7E19" w:rsidRPr="006B54FF">
        <w:rPr>
          <w:rStyle w:val="eop"/>
          <w:sz w:val="16"/>
          <w:szCs w:val="16"/>
          <w:shd w:val="clear" w:color="auto" w:fill="FFFFFF"/>
        </w:rPr>
        <w:t xml:space="preserve"> 4</w:t>
      </w:r>
      <w:r w:rsidR="00AA115C">
        <w:rPr>
          <w:rStyle w:val="eop"/>
          <w:sz w:val="16"/>
          <w:szCs w:val="16"/>
          <w:shd w:val="clear" w:color="auto" w:fill="FFFFFF"/>
        </w:rPr>
        <w:t>)</w:t>
      </w:r>
      <w:r w:rsidR="00D1213E">
        <w:rPr>
          <w:rStyle w:val="eop"/>
          <w:sz w:val="16"/>
          <w:szCs w:val="16"/>
          <w:shd w:val="clear" w:color="auto" w:fill="FFFFFF"/>
        </w:rPr>
        <w:t>.</w:t>
      </w:r>
    </w:p>
  </w:footnote>
  <w:footnote w:id="259">
    <w:p w14:paraId="10CE59D9" w14:textId="46E58CC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Dalley, B, </w:t>
      </w:r>
      <w:r w:rsidRPr="00CB4F47">
        <w:rPr>
          <w:rFonts w:eastAsia="Calibri" w:cs="Arial"/>
          <w:color w:val="auto"/>
          <w:sz w:val="16"/>
          <w:szCs w:val="16"/>
        </w:rPr>
        <w:t xml:space="preserve">Family matters: Child welfare in </w:t>
      </w:r>
      <w:r w:rsidR="00A671DF">
        <w:rPr>
          <w:rFonts w:eastAsia="Calibri" w:cs="Arial"/>
          <w:color w:val="auto"/>
          <w:sz w:val="16"/>
          <w:szCs w:val="16"/>
        </w:rPr>
        <w:t>t</w:t>
      </w:r>
      <w:r w:rsidR="00A671DF" w:rsidRPr="00CB4F47">
        <w:rPr>
          <w:rFonts w:eastAsia="Calibri" w:cs="Arial"/>
          <w:color w:val="auto"/>
          <w:sz w:val="16"/>
          <w:szCs w:val="16"/>
        </w:rPr>
        <w:t>wentieth</w:t>
      </w:r>
      <w:r w:rsidRPr="00CB4F47">
        <w:rPr>
          <w:rFonts w:eastAsia="Calibri" w:cs="Arial"/>
          <w:color w:val="auto"/>
          <w:sz w:val="16"/>
          <w:szCs w:val="16"/>
        </w:rPr>
        <w:t>-century New Zealand (Auckland University Press, 1998</w:t>
      </w:r>
      <w:r w:rsidR="00A671DF" w:rsidRPr="00CB4F47">
        <w:rPr>
          <w:rFonts w:cs="Arial"/>
          <w:color w:val="auto"/>
          <w:sz w:val="16"/>
          <w:szCs w:val="16"/>
        </w:rPr>
        <w:t>,</w:t>
      </w:r>
      <w:r w:rsidRPr="00CB4F47">
        <w:rPr>
          <w:rFonts w:cs="Arial"/>
          <w:color w:val="auto"/>
          <w:sz w:val="16"/>
          <w:szCs w:val="16"/>
        </w:rPr>
        <w:t xml:space="preserve"> pages 178–181</w:t>
      </w:r>
      <w:r w:rsidR="00AA115C">
        <w:rPr>
          <w:rFonts w:cs="Arial"/>
          <w:color w:val="auto"/>
          <w:sz w:val="16"/>
          <w:szCs w:val="16"/>
        </w:rPr>
        <w:t>)</w:t>
      </w:r>
      <w:r w:rsidRPr="00CB4F47">
        <w:rPr>
          <w:rFonts w:cs="Arial"/>
          <w:color w:val="auto"/>
          <w:sz w:val="16"/>
          <w:szCs w:val="16"/>
        </w:rPr>
        <w:t>.</w:t>
      </w:r>
    </w:p>
  </w:footnote>
  <w:footnote w:id="260">
    <w:p w14:paraId="575994F3" w14:textId="6F56FE9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Brickell, C, Teenagers: The rise of youth culture in New Zealand (Auckland University Press, 2017</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245</w:t>
      </w:r>
      <w:r w:rsidR="00AA115C">
        <w:rPr>
          <w:rFonts w:cs="Arial"/>
          <w:color w:val="auto"/>
          <w:sz w:val="16"/>
          <w:szCs w:val="16"/>
        </w:rPr>
        <w:t>)</w:t>
      </w:r>
      <w:r w:rsidRPr="00CB4F47">
        <w:rPr>
          <w:rFonts w:cs="Arial"/>
          <w:color w:val="auto"/>
          <w:sz w:val="16"/>
          <w:szCs w:val="16"/>
        </w:rPr>
        <w:t>.</w:t>
      </w:r>
    </w:p>
  </w:footnote>
  <w:footnote w:id="261">
    <w:p w14:paraId="22B4142F" w14:textId="549FCF6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B578D0">
        <w:rPr>
          <w:rFonts w:eastAsia="Calibri" w:cs="Arial"/>
          <w:color w:val="auto"/>
          <w:sz w:val="16"/>
          <w:szCs w:val="16"/>
        </w:rPr>
        <w:t xml:space="preserve">Krzanich, A, Murder, Mazengarb and a moral panic: The intersection of “juvenile delinquency” and the media in 1950s New Zealand, Te Mata Koi Auckland University Law Review, </w:t>
      </w:r>
      <w:r w:rsidR="004C5DCF">
        <w:rPr>
          <w:rFonts w:eastAsia="Calibri" w:cs="Arial"/>
          <w:color w:val="auto"/>
          <w:sz w:val="16"/>
          <w:szCs w:val="16"/>
        </w:rPr>
        <w:t xml:space="preserve">Volume </w:t>
      </w:r>
      <w:r w:rsidRPr="00B578D0">
        <w:rPr>
          <w:rFonts w:eastAsia="Calibri" w:cs="Arial"/>
          <w:color w:val="auto"/>
          <w:sz w:val="16"/>
          <w:szCs w:val="16"/>
        </w:rPr>
        <w:t>16</w:t>
      </w:r>
      <w:r w:rsidR="00A671DF" w:rsidRPr="00B14DEC">
        <w:rPr>
          <w:rFonts w:eastAsia="Calibri" w:cs="Arial"/>
          <w:color w:val="auto"/>
          <w:sz w:val="16"/>
          <w:szCs w:val="16"/>
        </w:rPr>
        <w:t xml:space="preserve"> </w:t>
      </w:r>
      <w:r w:rsidR="00A671DF" w:rsidRPr="00DD5764">
        <w:rPr>
          <w:rFonts w:eastAsia="Calibri" w:cs="Arial"/>
          <w:color w:val="auto"/>
          <w:sz w:val="16"/>
          <w:szCs w:val="16"/>
        </w:rPr>
        <w:t>(</w:t>
      </w:r>
      <w:r w:rsidRPr="00B578D0">
        <w:rPr>
          <w:rFonts w:eastAsia="Calibri" w:cs="Arial"/>
          <w:color w:val="auto"/>
          <w:sz w:val="16"/>
          <w:szCs w:val="16"/>
        </w:rPr>
        <w:t>2010</w:t>
      </w:r>
      <w:r w:rsidR="00A671DF" w:rsidRPr="00B578D0">
        <w:rPr>
          <w:rFonts w:eastAsia="Calibri" w:cs="Arial"/>
          <w:color w:val="auto"/>
          <w:sz w:val="16"/>
          <w:szCs w:val="16"/>
        </w:rPr>
        <w:t>,</w:t>
      </w:r>
      <w:r w:rsidRPr="00B578D0">
        <w:rPr>
          <w:rFonts w:eastAsia="Calibri" w:cs="Arial"/>
          <w:color w:val="auto"/>
          <w:sz w:val="16"/>
          <w:szCs w:val="16"/>
        </w:rPr>
        <w:t xml:space="preserve"> </w:t>
      </w:r>
      <w:r w:rsidRPr="00B578D0">
        <w:rPr>
          <w:rFonts w:cs="Arial"/>
          <w:color w:val="auto"/>
          <w:sz w:val="16"/>
          <w:szCs w:val="16"/>
        </w:rPr>
        <w:t>pages</w:t>
      </w:r>
      <w:r w:rsidRPr="00B578D0">
        <w:rPr>
          <w:rFonts w:eastAsia="Calibri" w:cs="Arial"/>
          <w:color w:val="auto"/>
          <w:sz w:val="16"/>
          <w:szCs w:val="16"/>
        </w:rPr>
        <w:t xml:space="preserve"> 164</w:t>
      </w:r>
      <w:r w:rsidR="00A671DF" w:rsidRPr="00706A29">
        <w:rPr>
          <w:rFonts w:eastAsia="Calibri" w:cs="Arial"/>
          <w:color w:val="auto"/>
          <w:sz w:val="16"/>
          <w:szCs w:val="16"/>
        </w:rPr>
        <w:t>–</w:t>
      </w:r>
      <w:r w:rsidRPr="00B578D0">
        <w:rPr>
          <w:rFonts w:eastAsia="Calibri" w:cs="Arial"/>
          <w:color w:val="auto"/>
          <w:sz w:val="16"/>
          <w:szCs w:val="16"/>
        </w:rPr>
        <w:t>191</w:t>
      </w:r>
      <w:r w:rsidR="00F016CB">
        <w:rPr>
          <w:rFonts w:eastAsia="Calibri" w:cs="Arial"/>
          <w:color w:val="auto"/>
          <w:sz w:val="16"/>
          <w:szCs w:val="16"/>
        </w:rPr>
        <w:t>)</w:t>
      </w:r>
      <w:r w:rsidRPr="00B578D0">
        <w:rPr>
          <w:rFonts w:eastAsia="Calibri" w:cs="Arial"/>
          <w:color w:val="auto"/>
          <w:sz w:val="16"/>
          <w:szCs w:val="16"/>
        </w:rPr>
        <w:t>.</w:t>
      </w:r>
    </w:p>
  </w:footnote>
  <w:footnote w:id="262">
    <w:p w14:paraId="717703BF" w14:textId="11E4BFC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Brickell, C</w:t>
      </w:r>
      <w:r w:rsidRPr="00CB4F47">
        <w:rPr>
          <w:rFonts w:cs="Arial"/>
          <w:color w:val="auto"/>
          <w:sz w:val="16"/>
          <w:szCs w:val="16"/>
        </w:rPr>
        <w:t>, Teenagers: The rise of youth culture in New Zealand</w:t>
      </w:r>
      <w:r w:rsidRPr="00CB4F47">
        <w:rPr>
          <w:rFonts w:eastAsia="Calibri" w:cs="Arial"/>
          <w:color w:val="auto"/>
          <w:sz w:val="16"/>
          <w:szCs w:val="16"/>
        </w:rPr>
        <w:t xml:space="preserve"> (Auckland University Press, 2017</w:t>
      </w:r>
      <w:r w:rsidR="00A671DF" w:rsidRPr="00CB4F47">
        <w:rPr>
          <w:rFonts w:eastAsia="Calibri" w:cs="Arial"/>
          <w:color w:val="auto"/>
          <w:sz w:val="16"/>
          <w:szCs w:val="16"/>
        </w:rPr>
        <w:t>,</w:t>
      </w:r>
      <w:r w:rsidRPr="00CB4F47">
        <w:rPr>
          <w:rFonts w:eastAsia="Calibri" w:cs="Arial"/>
          <w:color w:val="auto"/>
          <w:sz w:val="16"/>
          <w:szCs w:val="16"/>
        </w:rPr>
        <w:t xml:space="preserve"> </w:t>
      </w:r>
      <w:r w:rsidR="00C32E74" w:rsidRPr="00CB4F47">
        <w:rPr>
          <w:rFonts w:cs="Arial"/>
          <w:color w:val="auto"/>
          <w:sz w:val="16"/>
          <w:szCs w:val="16"/>
        </w:rPr>
        <w:t>page</w:t>
      </w:r>
      <w:r w:rsidRPr="00CB4F47">
        <w:rPr>
          <w:rFonts w:eastAsia="Calibri" w:cs="Arial"/>
          <w:color w:val="auto"/>
          <w:sz w:val="16"/>
          <w:szCs w:val="16"/>
        </w:rPr>
        <w:t xml:space="preserve"> 254</w:t>
      </w:r>
      <w:r w:rsidR="00F016CB">
        <w:rPr>
          <w:rFonts w:eastAsia="Calibri" w:cs="Arial"/>
          <w:color w:val="auto"/>
          <w:sz w:val="16"/>
          <w:szCs w:val="16"/>
        </w:rPr>
        <w:t>)</w:t>
      </w:r>
      <w:r w:rsidRPr="00CB4F47">
        <w:rPr>
          <w:rFonts w:eastAsia="Calibri" w:cs="Arial"/>
          <w:color w:val="auto"/>
          <w:sz w:val="16"/>
          <w:szCs w:val="16"/>
        </w:rPr>
        <w:t>.</w:t>
      </w:r>
    </w:p>
  </w:footnote>
  <w:footnote w:id="263">
    <w:p w14:paraId="7DD7AAD2" w14:textId="4FCAF56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Brickell, C</w:t>
      </w:r>
      <w:r w:rsidRPr="00CB4F47">
        <w:rPr>
          <w:rFonts w:cs="Arial"/>
          <w:color w:val="auto"/>
          <w:sz w:val="16"/>
          <w:szCs w:val="16"/>
        </w:rPr>
        <w:t>, Teenagers: The rise of youth culture in New Zealand</w:t>
      </w:r>
      <w:r w:rsidRPr="00CB4F47">
        <w:rPr>
          <w:rFonts w:eastAsia="Calibri" w:cs="Arial"/>
          <w:color w:val="auto"/>
          <w:sz w:val="16"/>
          <w:szCs w:val="16"/>
        </w:rPr>
        <w:t xml:space="preserve"> (Auckland University Press, 2017).</w:t>
      </w:r>
    </w:p>
  </w:footnote>
  <w:footnote w:id="264">
    <w:p w14:paraId="55C144FB" w14:textId="4E7FF5D3"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Soler, J, Drifting towards moral chaos: The 1954 Mazengarb Report – a moral panic over “juvenile immorality</w:t>
      </w:r>
      <w:r w:rsidR="00A671DF">
        <w:rPr>
          <w:rFonts w:eastAsia="Calibri" w:cs="Arial"/>
          <w:color w:val="auto"/>
          <w:sz w:val="16"/>
          <w:szCs w:val="16"/>
        </w:rPr>
        <w:t>,</w:t>
      </w:r>
      <w:r w:rsidR="00A671DF" w:rsidRPr="00CB4F47">
        <w:rPr>
          <w:rFonts w:eastAsia="Calibri" w:cs="Arial"/>
          <w:color w:val="auto"/>
          <w:sz w:val="16"/>
          <w:szCs w:val="16"/>
        </w:rPr>
        <w:t xml:space="preserve">” </w:t>
      </w:r>
      <w:r w:rsidR="00A671DF">
        <w:rPr>
          <w:rFonts w:eastAsia="Calibri" w:cs="Arial"/>
          <w:color w:val="auto"/>
          <w:sz w:val="16"/>
          <w:szCs w:val="16"/>
        </w:rPr>
        <w:t>M</w:t>
      </w:r>
      <w:r w:rsidR="00A671DF" w:rsidRPr="00CB4F47">
        <w:rPr>
          <w:rFonts w:eastAsia="Calibri" w:cs="Arial"/>
          <w:color w:val="auto"/>
          <w:sz w:val="16"/>
          <w:szCs w:val="16"/>
        </w:rPr>
        <w:t xml:space="preserve">aster’s </w:t>
      </w:r>
      <w:r w:rsidR="00A671DF">
        <w:rPr>
          <w:rFonts w:eastAsia="Calibri" w:cs="Arial"/>
          <w:color w:val="auto"/>
          <w:sz w:val="16"/>
          <w:szCs w:val="16"/>
        </w:rPr>
        <w:t>T</w:t>
      </w:r>
      <w:r w:rsidR="00A671DF" w:rsidRPr="00CB4F47">
        <w:rPr>
          <w:rFonts w:eastAsia="Calibri" w:cs="Arial"/>
          <w:color w:val="auto"/>
          <w:sz w:val="16"/>
          <w:szCs w:val="16"/>
        </w:rPr>
        <w:t>hesis</w:t>
      </w:r>
      <w:r w:rsidRPr="00CB4F47">
        <w:rPr>
          <w:rFonts w:eastAsia="Calibri" w:cs="Arial"/>
          <w:color w:val="auto"/>
          <w:sz w:val="16"/>
          <w:szCs w:val="16"/>
        </w:rPr>
        <w:t>, Massey University</w:t>
      </w:r>
      <w:r w:rsidR="00941727">
        <w:rPr>
          <w:rFonts w:eastAsia="Calibri" w:cs="Arial"/>
          <w:color w:val="auto"/>
          <w:sz w:val="16"/>
          <w:szCs w:val="16"/>
        </w:rPr>
        <w:t xml:space="preserve"> </w:t>
      </w:r>
      <w:r w:rsidR="00A671DF">
        <w:rPr>
          <w:rFonts w:eastAsia="Calibri" w:cs="Arial"/>
          <w:color w:val="auto"/>
          <w:sz w:val="16"/>
          <w:szCs w:val="16"/>
        </w:rPr>
        <w:t>(</w:t>
      </w:r>
      <w:r w:rsidRPr="00CB4F47">
        <w:rPr>
          <w:rFonts w:eastAsia="Calibri" w:cs="Arial"/>
          <w:color w:val="auto"/>
          <w:sz w:val="16"/>
          <w:szCs w:val="16"/>
        </w:rPr>
        <w:t xml:space="preserve">1988). </w:t>
      </w:r>
    </w:p>
  </w:footnote>
  <w:footnote w:id="265">
    <w:p w14:paraId="72803369" w14:textId="7B7AD0E8" w:rsidR="000E429D" w:rsidRPr="00320422"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320422">
        <w:rPr>
          <w:rFonts w:eastAsia="Calibri" w:cs="Arial"/>
          <w:color w:val="auto"/>
          <w:sz w:val="16"/>
          <w:szCs w:val="16"/>
        </w:rPr>
        <w:t xml:space="preserve">Mazengarb, </w:t>
      </w:r>
      <w:r w:rsidR="00A671DF" w:rsidRPr="00320422">
        <w:rPr>
          <w:rFonts w:eastAsia="Calibri" w:cs="Arial"/>
          <w:color w:val="auto"/>
          <w:sz w:val="16"/>
          <w:szCs w:val="16"/>
        </w:rPr>
        <w:t>O</w:t>
      </w:r>
      <w:r w:rsidR="00A671DF">
        <w:rPr>
          <w:rFonts w:eastAsia="Calibri" w:cs="Arial"/>
          <w:color w:val="auto"/>
          <w:sz w:val="16"/>
          <w:szCs w:val="16"/>
        </w:rPr>
        <w:t>,</w:t>
      </w:r>
      <w:r w:rsidRPr="00320422">
        <w:rPr>
          <w:rFonts w:eastAsia="Calibri" w:cs="Arial"/>
          <w:color w:val="auto"/>
          <w:sz w:val="16"/>
          <w:szCs w:val="16"/>
        </w:rPr>
        <w:t xml:space="preserve"> Report of the Special Committee on </w:t>
      </w:r>
      <w:r w:rsidR="008F3F98">
        <w:rPr>
          <w:rFonts w:eastAsia="Calibri" w:cs="Arial"/>
          <w:color w:val="auto"/>
          <w:sz w:val="16"/>
          <w:szCs w:val="16"/>
        </w:rPr>
        <w:t>m</w:t>
      </w:r>
      <w:r w:rsidR="008F3F98" w:rsidRPr="00320422">
        <w:rPr>
          <w:rFonts w:eastAsia="Calibri" w:cs="Arial"/>
          <w:color w:val="auto"/>
          <w:sz w:val="16"/>
          <w:szCs w:val="16"/>
        </w:rPr>
        <w:t xml:space="preserve">oral </w:t>
      </w:r>
      <w:r w:rsidR="008F3F98">
        <w:rPr>
          <w:rFonts w:eastAsia="Calibri" w:cs="Arial"/>
          <w:color w:val="auto"/>
          <w:sz w:val="16"/>
          <w:szCs w:val="16"/>
        </w:rPr>
        <w:t>d</w:t>
      </w:r>
      <w:r w:rsidR="008F3F98" w:rsidRPr="00320422">
        <w:rPr>
          <w:rFonts w:eastAsia="Calibri" w:cs="Arial"/>
          <w:color w:val="auto"/>
          <w:sz w:val="16"/>
          <w:szCs w:val="16"/>
        </w:rPr>
        <w:t xml:space="preserve">elinquency </w:t>
      </w:r>
      <w:r w:rsidRPr="00320422">
        <w:rPr>
          <w:rFonts w:eastAsia="Calibri" w:cs="Arial"/>
          <w:color w:val="auto"/>
          <w:sz w:val="16"/>
          <w:szCs w:val="16"/>
        </w:rPr>
        <w:t xml:space="preserve">in </w:t>
      </w:r>
      <w:r w:rsidR="008F3F98">
        <w:rPr>
          <w:rFonts w:eastAsia="Calibri" w:cs="Arial"/>
          <w:color w:val="auto"/>
          <w:sz w:val="16"/>
          <w:szCs w:val="16"/>
        </w:rPr>
        <w:t>c</w:t>
      </w:r>
      <w:r w:rsidR="008F3F98" w:rsidRPr="00320422">
        <w:rPr>
          <w:rFonts w:eastAsia="Calibri" w:cs="Arial"/>
          <w:color w:val="auto"/>
          <w:sz w:val="16"/>
          <w:szCs w:val="16"/>
        </w:rPr>
        <w:t xml:space="preserve">hildren </w:t>
      </w:r>
      <w:r w:rsidRPr="00320422">
        <w:rPr>
          <w:rFonts w:eastAsia="Calibri" w:cs="Arial"/>
          <w:color w:val="auto"/>
          <w:sz w:val="16"/>
          <w:szCs w:val="16"/>
        </w:rPr>
        <w:t xml:space="preserve">and </w:t>
      </w:r>
      <w:r w:rsidR="008F3F98">
        <w:rPr>
          <w:rFonts w:eastAsia="Calibri" w:cs="Arial"/>
          <w:color w:val="auto"/>
          <w:sz w:val="16"/>
          <w:szCs w:val="16"/>
        </w:rPr>
        <w:t>a</w:t>
      </w:r>
      <w:r w:rsidR="008F3F98" w:rsidRPr="00320422">
        <w:rPr>
          <w:rFonts w:eastAsia="Calibri" w:cs="Arial"/>
          <w:color w:val="auto"/>
          <w:sz w:val="16"/>
          <w:szCs w:val="16"/>
        </w:rPr>
        <w:t xml:space="preserve">dolescents </w:t>
      </w:r>
      <w:r w:rsidRPr="00320422">
        <w:rPr>
          <w:rFonts w:eastAsia="Calibri" w:cs="Arial"/>
          <w:color w:val="auto"/>
          <w:sz w:val="16"/>
          <w:szCs w:val="16"/>
        </w:rPr>
        <w:t>(</w:t>
      </w:r>
      <w:r w:rsidR="000F35E8">
        <w:rPr>
          <w:rFonts w:eastAsia="Calibri" w:cs="Arial"/>
          <w:color w:val="auto"/>
          <w:sz w:val="16"/>
          <w:szCs w:val="16"/>
        </w:rPr>
        <w:t>Governm</w:t>
      </w:r>
      <w:r w:rsidR="00C54A09">
        <w:rPr>
          <w:rFonts w:eastAsia="Calibri" w:cs="Arial"/>
          <w:color w:val="auto"/>
          <w:sz w:val="16"/>
          <w:szCs w:val="16"/>
        </w:rPr>
        <w:t xml:space="preserve">ent Printer, </w:t>
      </w:r>
      <w:r w:rsidRPr="00320422">
        <w:rPr>
          <w:rFonts w:eastAsia="Calibri" w:cs="Arial"/>
          <w:color w:val="auto"/>
          <w:sz w:val="16"/>
          <w:szCs w:val="16"/>
        </w:rPr>
        <w:t>1954</w:t>
      </w:r>
      <w:r w:rsidR="00A671DF" w:rsidRPr="00320422">
        <w:rPr>
          <w:rFonts w:eastAsia="Calibri" w:cs="Arial"/>
          <w:color w:val="auto"/>
          <w:sz w:val="16"/>
          <w:szCs w:val="16"/>
        </w:rPr>
        <w:t>,</w:t>
      </w:r>
      <w:r w:rsidRPr="00320422">
        <w:rPr>
          <w:rFonts w:eastAsia="Calibri" w:cs="Arial"/>
          <w:color w:val="auto"/>
          <w:sz w:val="16"/>
          <w:szCs w:val="16"/>
        </w:rPr>
        <w:t xml:space="preserve"> page 27</w:t>
      </w:r>
      <w:r w:rsidR="00761E78">
        <w:rPr>
          <w:rFonts w:eastAsia="Calibri" w:cs="Arial"/>
          <w:color w:val="auto"/>
          <w:sz w:val="16"/>
          <w:szCs w:val="16"/>
        </w:rPr>
        <w:t>)</w:t>
      </w:r>
      <w:r w:rsidRPr="00320422">
        <w:rPr>
          <w:rFonts w:eastAsia="Calibri" w:cs="Arial"/>
          <w:color w:val="auto"/>
          <w:sz w:val="16"/>
          <w:szCs w:val="16"/>
        </w:rPr>
        <w:t>.</w:t>
      </w:r>
    </w:p>
  </w:footnote>
  <w:footnote w:id="266">
    <w:p w14:paraId="205EF474" w14:textId="40B7CAF9" w:rsidR="006D7677" w:rsidRPr="00536E67" w:rsidRDefault="006D7677">
      <w:pPr>
        <w:pStyle w:val="FootnoteText"/>
        <w:rPr>
          <w:sz w:val="16"/>
          <w:szCs w:val="16"/>
        </w:rPr>
      </w:pPr>
      <w:r w:rsidRPr="00536E67">
        <w:rPr>
          <w:rStyle w:val="FootnoteReference"/>
          <w:sz w:val="16"/>
          <w:szCs w:val="16"/>
        </w:rPr>
        <w:footnoteRef/>
      </w:r>
      <w:r w:rsidRPr="00536E67">
        <w:rPr>
          <w:sz w:val="16"/>
          <w:szCs w:val="16"/>
        </w:rPr>
        <w:t xml:space="preserve"> </w:t>
      </w:r>
      <w:r w:rsidRPr="00320422">
        <w:rPr>
          <w:rFonts w:eastAsia="Calibri" w:cs="Arial"/>
          <w:color w:val="auto"/>
          <w:sz w:val="16"/>
          <w:szCs w:val="16"/>
        </w:rPr>
        <w:t>Mazengarb, O</w:t>
      </w:r>
      <w:r>
        <w:rPr>
          <w:rFonts w:eastAsia="Calibri" w:cs="Arial"/>
          <w:color w:val="auto"/>
          <w:sz w:val="16"/>
          <w:szCs w:val="16"/>
        </w:rPr>
        <w:t>,</w:t>
      </w:r>
      <w:r w:rsidRPr="00320422">
        <w:rPr>
          <w:rFonts w:eastAsia="Calibri" w:cs="Arial"/>
          <w:color w:val="auto"/>
          <w:sz w:val="16"/>
          <w:szCs w:val="16"/>
        </w:rPr>
        <w:t xml:space="preserve"> Report of the Special Committee on </w:t>
      </w:r>
      <w:r>
        <w:rPr>
          <w:rFonts w:eastAsia="Calibri" w:cs="Arial"/>
          <w:color w:val="auto"/>
          <w:sz w:val="16"/>
          <w:szCs w:val="16"/>
        </w:rPr>
        <w:t>m</w:t>
      </w:r>
      <w:r w:rsidRPr="00320422">
        <w:rPr>
          <w:rFonts w:eastAsia="Calibri" w:cs="Arial"/>
          <w:color w:val="auto"/>
          <w:sz w:val="16"/>
          <w:szCs w:val="16"/>
        </w:rPr>
        <w:t xml:space="preserve">oral </w:t>
      </w:r>
      <w:r>
        <w:rPr>
          <w:rFonts w:eastAsia="Calibri" w:cs="Arial"/>
          <w:color w:val="auto"/>
          <w:sz w:val="16"/>
          <w:szCs w:val="16"/>
        </w:rPr>
        <w:t>d</w:t>
      </w:r>
      <w:r w:rsidRPr="00320422">
        <w:rPr>
          <w:rFonts w:eastAsia="Calibri" w:cs="Arial"/>
          <w:color w:val="auto"/>
          <w:sz w:val="16"/>
          <w:szCs w:val="16"/>
        </w:rPr>
        <w:t xml:space="preserve">elinquency in </w:t>
      </w:r>
      <w:r>
        <w:rPr>
          <w:rFonts w:eastAsia="Calibri" w:cs="Arial"/>
          <w:color w:val="auto"/>
          <w:sz w:val="16"/>
          <w:szCs w:val="16"/>
        </w:rPr>
        <w:t>c</w:t>
      </w:r>
      <w:r w:rsidRPr="00320422">
        <w:rPr>
          <w:rFonts w:eastAsia="Calibri" w:cs="Arial"/>
          <w:color w:val="auto"/>
          <w:sz w:val="16"/>
          <w:szCs w:val="16"/>
        </w:rPr>
        <w:t xml:space="preserve">hildren and </w:t>
      </w:r>
      <w:r>
        <w:rPr>
          <w:rFonts w:eastAsia="Calibri" w:cs="Arial"/>
          <w:color w:val="auto"/>
          <w:sz w:val="16"/>
          <w:szCs w:val="16"/>
        </w:rPr>
        <w:t>a</w:t>
      </w:r>
      <w:r w:rsidRPr="00320422">
        <w:rPr>
          <w:rFonts w:eastAsia="Calibri" w:cs="Arial"/>
          <w:color w:val="auto"/>
          <w:sz w:val="16"/>
          <w:szCs w:val="16"/>
        </w:rPr>
        <w:t>dolescents (</w:t>
      </w:r>
      <w:r>
        <w:rPr>
          <w:rFonts w:eastAsia="Calibri" w:cs="Arial"/>
          <w:color w:val="auto"/>
          <w:sz w:val="16"/>
          <w:szCs w:val="16"/>
        </w:rPr>
        <w:t xml:space="preserve">Government Printer, </w:t>
      </w:r>
      <w:r w:rsidRPr="00320422">
        <w:rPr>
          <w:rFonts w:eastAsia="Calibri" w:cs="Arial"/>
          <w:color w:val="auto"/>
          <w:sz w:val="16"/>
          <w:szCs w:val="16"/>
        </w:rPr>
        <w:t xml:space="preserve">1954, page </w:t>
      </w:r>
      <w:r>
        <w:rPr>
          <w:rFonts w:eastAsia="Calibri" w:cs="Arial"/>
          <w:color w:val="auto"/>
          <w:sz w:val="16"/>
          <w:szCs w:val="16"/>
        </w:rPr>
        <w:t>15)</w:t>
      </w:r>
      <w:r w:rsidRPr="00320422">
        <w:rPr>
          <w:rFonts w:eastAsia="Calibri" w:cs="Arial"/>
          <w:color w:val="auto"/>
          <w:sz w:val="16"/>
          <w:szCs w:val="16"/>
        </w:rPr>
        <w:t>.</w:t>
      </w:r>
    </w:p>
  </w:footnote>
  <w:footnote w:id="267">
    <w:p w14:paraId="3B41485E" w14:textId="57FDC025" w:rsidR="000E429D" w:rsidRPr="00EC160A"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EC160A">
        <w:rPr>
          <w:rFonts w:cs="Arial"/>
          <w:color w:val="auto"/>
          <w:sz w:val="16"/>
          <w:szCs w:val="16"/>
        </w:rPr>
        <w:t xml:space="preserve"> Child Welfare Amendment Act 1954, section 2.</w:t>
      </w:r>
    </w:p>
  </w:footnote>
  <w:footnote w:id="268">
    <w:p w14:paraId="1495A116" w14:textId="74BA0BF2" w:rsidR="000E429D" w:rsidRPr="00CB4F47" w:rsidRDefault="000E429D" w:rsidP="00C57877">
      <w:pPr>
        <w:pStyle w:val="FootnoteText"/>
        <w:spacing w:beforeLines="20" w:before="48" w:afterLines="20" w:after="48" w:line="20" w:lineRule="atLeast"/>
        <w:jc w:val="left"/>
        <w:rPr>
          <w:rFonts w:cs="Arial"/>
          <w:sz w:val="16"/>
          <w:szCs w:val="16"/>
        </w:rPr>
      </w:pPr>
      <w:r w:rsidRPr="00536E67">
        <w:rPr>
          <w:rStyle w:val="StyleFootnoteReferenceFagoFunotenzeichenFagoFunotenzeichen"/>
          <w:sz w:val="16"/>
          <w:szCs w:val="16"/>
        </w:rPr>
        <w:footnoteRef/>
      </w:r>
      <w:r w:rsidRPr="00EC160A">
        <w:rPr>
          <w:rFonts w:cs="Arial"/>
          <w:sz w:val="16"/>
          <w:szCs w:val="16"/>
        </w:rPr>
        <w:t xml:space="preserve"> Wolfe, R, The time of our lives: </w:t>
      </w:r>
      <w:r w:rsidR="00A671DF">
        <w:rPr>
          <w:rFonts w:cs="Arial"/>
          <w:sz w:val="16"/>
          <w:szCs w:val="16"/>
        </w:rPr>
        <w:t>G</w:t>
      </w:r>
      <w:r w:rsidR="00A671DF" w:rsidRPr="00EC160A">
        <w:rPr>
          <w:rFonts w:cs="Arial"/>
          <w:sz w:val="16"/>
          <w:szCs w:val="16"/>
        </w:rPr>
        <w:t>rowing</w:t>
      </w:r>
      <w:r w:rsidRPr="00EC160A">
        <w:rPr>
          <w:rFonts w:cs="Arial"/>
          <w:sz w:val="16"/>
          <w:szCs w:val="16"/>
        </w:rPr>
        <w:t xml:space="preserve"> up in New Zealand (</w:t>
      </w:r>
      <w:r w:rsidR="009347F9">
        <w:rPr>
          <w:rFonts w:cs="Arial"/>
          <w:sz w:val="16"/>
          <w:szCs w:val="16"/>
        </w:rPr>
        <w:t>Random House</w:t>
      </w:r>
      <w:r w:rsidR="007E01F7">
        <w:rPr>
          <w:rFonts w:cs="Arial"/>
          <w:sz w:val="16"/>
          <w:szCs w:val="16"/>
        </w:rPr>
        <w:t>,</w:t>
      </w:r>
      <w:r w:rsidR="00106D73">
        <w:rPr>
          <w:rFonts w:cs="Arial"/>
          <w:sz w:val="16"/>
          <w:szCs w:val="16"/>
        </w:rPr>
        <w:t xml:space="preserve"> </w:t>
      </w:r>
      <w:r w:rsidRPr="00EC160A">
        <w:rPr>
          <w:rFonts w:cs="Arial"/>
          <w:sz w:val="16"/>
          <w:szCs w:val="16"/>
        </w:rPr>
        <w:t>2003</w:t>
      </w:r>
      <w:r w:rsidR="00A671DF" w:rsidRPr="00EC160A">
        <w:rPr>
          <w:rFonts w:cs="Arial"/>
          <w:sz w:val="16"/>
          <w:szCs w:val="16"/>
        </w:rPr>
        <w:t>,</w:t>
      </w:r>
      <w:r w:rsidRPr="00EC160A">
        <w:rPr>
          <w:rFonts w:cs="Arial"/>
          <w:sz w:val="16"/>
          <w:szCs w:val="16"/>
        </w:rPr>
        <w:t xml:space="preserve"> </w:t>
      </w:r>
      <w:r w:rsidR="00C32E74" w:rsidRPr="00EC160A">
        <w:rPr>
          <w:rFonts w:cs="Arial"/>
          <w:color w:val="auto"/>
          <w:sz w:val="16"/>
          <w:szCs w:val="16"/>
        </w:rPr>
        <w:t>page</w:t>
      </w:r>
      <w:r w:rsidRPr="00EC160A">
        <w:rPr>
          <w:rFonts w:cs="Arial"/>
          <w:sz w:val="16"/>
          <w:szCs w:val="16"/>
        </w:rPr>
        <w:t xml:space="preserve"> 10</w:t>
      </w:r>
      <w:r w:rsidR="00761E78">
        <w:rPr>
          <w:rFonts w:cs="Arial"/>
          <w:sz w:val="16"/>
          <w:szCs w:val="16"/>
        </w:rPr>
        <w:t>)</w:t>
      </w:r>
      <w:r w:rsidRPr="00EC160A">
        <w:rPr>
          <w:rFonts w:cs="Arial"/>
          <w:sz w:val="16"/>
          <w:szCs w:val="16"/>
        </w:rPr>
        <w:t>.</w:t>
      </w:r>
      <w:r w:rsidRPr="00CB4F47">
        <w:rPr>
          <w:rFonts w:cs="Arial"/>
          <w:sz w:val="16"/>
          <w:szCs w:val="16"/>
        </w:rPr>
        <w:t xml:space="preserve"> </w:t>
      </w:r>
    </w:p>
  </w:footnote>
  <w:footnote w:id="269">
    <w:p w14:paraId="4B5184A2" w14:textId="4405A70C" w:rsidR="000E429D" w:rsidRPr="00CB4F47" w:rsidRDefault="000E429D" w:rsidP="00C57877">
      <w:pPr>
        <w:pStyle w:val="FootnoteText"/>
        <w:spacing w:beforeLines="20" w:before="48" w:afterLines="20" w:after="48"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Brookes, B</w:t>
      </w:r>
      <w:r w:rsidR="002341CD" w:rsidRPr="00CB4F47">
        <w:rPr>
          <w:rFonts w:cs="Arial"/>
          <w:sz w:val="16"/>
          <w:szCs w:val="16"/>
        </w:rPr>
        <w:t>,</w:t>
      </w:r>
      <w:r w:rsidRPr="00CB4F47">
        <w:rPr>
          <w:rFonts w:cs="Arial"/>
          <w:sz w:val="16"/>
          <w:szCs w:val="16"/>
        </w:rPr>
        <w:t xml:space="preserve"> </w:t>
      </w:r>
      <w:r w:rsidRPr="00F84707">
        <w:rPr>
          <w:rFonts w:cs="Arial"/>
          <w:sz w:val="16"/>
          <w:szCs w:val="16"/>
        </w:rPr>
        <w:t>A history</w:t>
      </w:r>
      <w:r w:rsidRPr="00CB4F47">
        <w:rPr>
          <w:rFonts w:cs="Arial"/>
          <w:sz w:val="16"/>
          <w:szCs w:val="16"/>
        </w:rPr>
        <w:t xml:space="preserve"> of New Zealand women (Bridget Williams Books, 2016</w:t>
      </w:r>
      <w:r w:rsidR="00A671DF" w:rsidRPr="00CB4F47">
        <w:rPr>
          <w:rFonts w:cs="Arial"/>
          <w:sz w:val="16"/>
          <w:szCs w:val="16"/>
        </w:rPr>
        <w:t>,</w:t>
      </w:r>
      <w:r w:rsidRPr="00CB4F47">
        <w:rPr>
          <w:rFonts w:cs="Arial"/>
          <w:sz w:val="16"/>
          <w:szCs w:val="16"/>
        </w:rPr>
        <w:t xml:space="preserve"> </w:t>
      </w:r>
      <w:r w:rsidR="00C32E74" w:rsidRPr="00CB4F47">
        <w:rPr>
          <w:rFonts w:cs="Arial"/>
          <w:color w:val="auto"/>
          <w:sz w:val="16"/>
          <w:szCs w:val="16"/>
        </w:rPr>
        <w:t>page</w:t>
      </w:r>
      <w:r w:rsidRPr="00CB4F47">
        <w:rPr>
          <w:rFonts w:cs="Arial"/>
          <w:sz w:val="16"/>
          <w:szCs w:val="16"/>
        </w:rPr>
        <w:t xml:space="preserve"> 323</w:t>
      </w:r>
      <w:r w:rsidR="00761E78">
        <w:rPr>
          <w:rFonts w:cs="Arial"/>
          <w:sz w:val="16"/>
          <w:szCs w:val="16"/>
        </w:rPr>
        <w:t>)</w:t>
      </w:r>
      <w:r w:rsidRPr="00CB4F47">
        <w:rPr>
          <w:rFonts w:cs="Arial"/>
          <w:sz w:val="16"/>
          <w:szCs w:val="16"/>
        </w:rPr>
        <w:t>.</w:t>
      </w:r>
    </w:p>
  </w:footnote>
  <w:footnote w:id="270">
    <w:p w14:paraId="151E9098" w14:textId="0E1CA8EC" w:rsidR="000E429D" w:rsidRPr="00CB4F47" w:rsidRDefault="000E429D" w:rsidP="00C57877">
      <w:pPr>
        <w:pStyle w:val="FootnoteText"/>
        <w:spacing w:beforeLines="20" w:before="48" w:afterLines="20" w:after="48"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Crimes Act 1969, </w:t>
      </w:r>
      <w:r w:rsidR="00C32E74" w:rsidRPr="00CB4F47">
        <w:rPr>
          <w:rFonts w:cs="Arial"/>
          <w:sz w:val="16"/>
          <w:szCs w:val="16"/>
        </w:rPr>
        <w:t>section</w:t>
      </w:r>
      <w:r w:rsidRPr="00CB4F47">
        <w:rPr>
          <w:rFonts w:cs="Arial"/>
          <w:sz w:val="16"/>
          <w:szCs w:val="16"/>
        </w:rPr>
        <w:t xml:space="preserve"> 59.</w:t>
      </w:r>
    </w:p>
  </w:footnote>
  <w:footnote w:id="271">
    <w:p w14:paraId="0EB75965" w14:textId="31AD3EE8" w:rsidR="000E429D" w:rsidRPr="00CB4F47" w:rsidRDefault="000E429D" w:rsidP="00A96A49">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“Mental group work</w:t>
      </w:r>
      <w:r w:rsidR="00A671DF">
        <w:rPr>
          <w:rFonts w:cs="Arial"/>
          <w:sz w:val="16"/>
          <w:szCs w:val="16"/>
        </w:rPr>
        <w:t>,</w:t>
      </w:r>
      <w:r w:rsidR="00A671DF" w:rsidRPr="00CB4F47">
        <w:rPr>
          <w:rFonts w:cs="Arial"/>
          <w:sz w:val="16"/>
          <w:szCs w:val="16"/>
        </w:rPr>
        <w:t>”</w:t>
      </w:r>
      <w:r w:rsidRPr="00CB4F47">
        <w:rPr>
          <w:rFonts w:cs="Arial"/>
          <w:sz w:val="16"/>
          <w:szCs w:val="16"/>
        </w:rPr>
        <w:t xml:space="preserve"> The Press (29 April 1958</w:t>
      </w:r>
      <w:r w:rsidR="00A671DF" w:rsidRPr="00CB4F47">
        <w:rPr>
          <w:rFonts w:cs="Arial"/>
          <w:sz w:val="16"/>
          <w:szCs w:val="16"/>
        </w:rPr>
        <w:t>,</w:t>
      </w:r>
      <w:r w:rsidRPr="00CB4F47">
        <w:rPr>
          <w:rFonts w:cs="Arial"/>
          <w:sz w:val="16"/>
          <w:szCs w:val="16"/>
        </w:rPr>
        <w:t xml:space="preserve"> </w:t>
      </w:r>
      <w:r w:rsidR="00C32E74" w:rsidRPr="00CB4F47">
        <w:rPr>
          <w:rFonts w:cs="Arial"/>
          <w:color w:val="auto"/>
          <w:sz w:val="16"/>
          <w:szCs w:val="16"/>
        </w:rPr>
        <w:t>page</w:t>
      </w:r>
      <w:r w:rsidR="00C32E74" w:rsidRPr="00CB4F47">
        <w:rPr>
          <w:rFonts w:cs="Arial"/>
          <w:sz w:val="16"/>
          <w:szCs w:val="16"/>
        </w:rPr>
        <w:t xml:space="preserve"> </w:t>
      </w:r>
      <w:r w:rsidRPr="00CB4F47">
        <w:rPr>
          <w:rFonts w:cs="Arial"/>
          <w:sz w:val="16"/>
          <w:szCs w:val="16"/>
        </w:rPr>
        <w:t>7</w:t>
      </w:r>
      <w:r w:rsidR="00061F43">
        <w:rPr>
          <w:rFonts w:cs="Arial"/>
          <w:sz w:val="16"/>
          <w:szCs w:val="16"/>
        </w:rPr>
        <w:t>)</w:t>
      </w:r>
      <w:r w:rsidRPr="00CB4F47">
        <w:rPr>
          <w:rFonts w:cs="Arial"/>
          <w:sz w:val="16"/>
          <w:szCs w:val="16"/>
        </w:rPr>
        <w:t xml:space="preserve">, in </w:t>
      </w:r>
      <w:r w:rsidRPr="00CB4F47">
        <w:rPr>
          <w:rFonts w:eastAsia="BatangChe" w:cs="Arial"/>
          <w:sz w:val="16"/>
          <w:szCs w:val="16"/>
        </w:rPr>
        <w:t xml:space="preserve">Royal Commission of Inquiry into Abuse in Care, Beautiful </w:t>
      </w:r>
      <w:r w:rsidR="00875D42">
        <w:rPr>
          <w:rFonts w:eastAsia="BatangChe" w:cs="Arial"/>
          <w:sz w:val="16"/>
          <w:szCs w:val="16"/>
        </w:rPr>
        <w:t>c</w:t>
      </w:r>
      <w:r w:rsidRPr="00CB4F47" w:rsidDel="00CE2092">
        <w:rPr>
          <w:rFonts w:eastAsia="BatangChe" w:cs="Arial"/>
          <w:sz w:val="16"/>
          <w:szCs w:val="16"/>
        </w:rPr>
        <w:t>hildren</w:t>
      </w:r>
      <w:r w:rsidR="00C32E74" w:rsidRPr="00CB4F47">
        <w:rPr>
          <w:rFonts w:eastAsia="BatangChe" w:cs="Arial"/>
          <w:sz w:val="16"/>
          <w:szCs w:val="16"/>
        </w:rPr>
        <w:t>:</w:t>
      </w:r>
      <w:r w:rsidRPr="00CB4F47">
        <w:rPr>
          <w:rFonts w:eastAsia="BatangChe" w:cs="Arial"/>
          <w:sz w:val="16"/>
          <w:szCs w:val="16"/>
        </w:rPr>
        <w:t xml:space="preserve"> Inquiry into the Lake Alice </w:t>
      </w:r>
      <w:r w:rsidRPr="00CB4F47" w:rsidDel="00CE2092">
        <w:rPr>
          <w:rFonts w:eastAsia="BatangChe" w:cs="Arial"/>
          <w:sz w:val="16"/>
          <w:szCs w:val="16"/>
        </w:rPr>
        <w:t xml:space="preserve">Child </w:t>
      </w:r>
      <w:r w:rsidRPr="00CB4F47">
        <w:rPr>
          <w:rFonts w:eastAsia="BatangChe" w:cs="Arial"/>
          <w:sz w:val="16"/>
          <w:szCs w:val="16"/>
        </w:rPr>
        <w:t xml:space="preserve">and </w:t>
      </w:r>
      <w:r w:rsidRPr="00CB4F47" w:rsidDel="00CE2092">
        <w:rPr>
          <w:rFonts w:eastAsia="BatangChe" w:cs="Arial"/>
          <w:sz w:val="16"/>
          <w:szCs w:val="16"/>
        </w:rPr>
        <w:t xml:space="preserve">Adolescent </w:t>
      </w:r>
      <w:r w:rsidR="00A671DF" w:rsidRPr="00CB4F47">
        <w:rPr>
          <w:rFonts w:eastAsia="BatangChe" w:cs="Arial"/>
          <w:sz w:val="16"/>
          <w:szCs w:val="16"/>
        </w:rPr>
        <w:t>Unit</w:t>
      </w:r>
      <w:r w:rsidRPr="00CB4F47">
        <w:rPr>
          <w:rFonts w:eastAsia="BatangChe" w:cs="Arial"/>
          <w:sz w:val="16"/>
          <w:szCs w:val="16"/>
        </w:rPr>
        <w:t xml:space="preserve"> (2022).</w:t>
      </w:r>
    </w:p>
  </w:footnote>
  <w:footnote w:id="272">
    <w:p w14:paraId="2FF8F908" w14:textId="3DFCC5F0" w:rsidR="000E429D" w:rsidRPr="00CB4F47" w:rsidRDefault="000E429D" w:rsidP="002F3A8B">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sz w:val="16"/>
          <w:szCs w:val="16"/>
        </w:rPr>
        <w:t xml:space="preserve"> </w:t>
      </w:r>
      <w:r w:rsidRPr="00CB4F47">
        <w:rPr>
          <w:rFonts w:cs="Arial"/>
          <w:sz w:val="16"/>
          <w:szCs w:val="16"/>
          <w:lang w:val="en-US"/>
        </w:rPr>
        <w:t xml:space="preserve">Earle, </w:t>
      </w:r>
      <w:r w:rsidR="00A671DF" w:rsidRPr="00CB4F47">
        <w:rPr>
          <w:rFonts w:cs="Arial"/>
          <w:sz w:val="16"/>
          <w:szCs w:val="16"/>
          <w:lang w:val="en-US"/>
        </w:rPr>
        <w:t>MJ</w:t>
      </w:r>
      <w:r w:rsidRPr="00CB4F47">
        <w:rPr>
          <w:rFonts w:cs="Arial"/>
          <w:sz w:val="16"/>
          <w:szCs w:val="16"/>
          <w:lang w:val="en-US"/>
        </w:rPr>
        <w:t>, “Rakau children: From six to thirteen years”, Psychology</w:t>
      </w:r>
      <w:r w:rsidR="0062642E">
        <w:rPr>
          <w:rFonts w:cs="Arial"/>
          <w:sz w:val="16"/>
          <w:szCs w:val="16"/>
          <w:lang w:val="en-US"/>
        </w:rPr>
        <w:t>,</w:t>
      </w:r>
      <w:r w:rsidRPr="00CB4F47">
        <w:rPr>
          <w:rFonts w:cs="Arial"/>
          <w:sz w:val="16"/>
          <w:szCs w:val="16"/>
          <w:lang w:val="en-US"/>
        </w:rPr>
        <w:t xml:space="preserve"> No 11, Monographs on Māori </w:t>
      </w:r>
      <w:r w:rsidR="00A671DF">
        <w:rPr>
          <w:rFonts w:cs="Arial"/>
          <w:sz w:val="16"/>
          <w:szCs w:val="16"/>
          <w:lang w:val="en-US"/>
        </w:rPr>
        <w:t>s</w:t>
      </w:r>
      <w:r w:rsidR="00A671DF" w:rsidRPr="00CB4F47">
        <w:rPr>
          <w:rFonts w:cs="Arial"/>
          <w:sz w:val="16"/>
          <w:szCs w:val="16"/>
          <w:lang w:val="en-US"/>
        </w:rPr>
        <w:t>ocial</w:t>
      </w:r>
      <w:r w:rsidRPr="00CB4F47" w:rsidDel="00701288">
        <w:rPr>
          <w:rFonts w:cs="Arial"/>
          <w:sz w:val="16"/>
          <w:szCs w:val="16"/>
          <w:lang w:val="en-US"/>
        </w:rPr>
        <w:t xml:space="preserve"> </w:t>
      </w:r>
      <w:r w:rsidR="00701288">
        <w:rPr>
          <w:rFonts w:cs="Arial"/>
          <w:sz w:val="16"/>
          <w:szCs w:val="16"/>
          <w:lang w:val="en-US"/>
        </w:rPr>
        <w:t>l</w:t>
      </w:r>
      <w:r w:rsidR="00701288" w:rsidRPr="00CB4F47">
        <w:rPr>
          <w:rFonts w:cs="Arial"/>
          <w:sz w:val="16"/>
          <w:szCs w:val="16"/>
          <w:lang w:val="en-US"/>
        </w:rPr>
        <w:t xml:space="preserve">ife </w:t>
      </w:r>
      <w:r w:rsidRPr="00CB4F47">
        <w:rPr>
          <w:rFonts w:cs="Arial"/>
          <w:sz w:val="16"/>
          <w:szCs w:val="16"/>
          <w:lang w:val="en-US"/>
        </w:rPr>
        <w:t xml:space="preserve">and </w:t>
      </w:r>
      <w:r w:rsidR="00A671DF">
        <w:rPr>
          <w:rFonts w:cs="Arial"/>
          <w:sz w:val="16"/>
          <w:szCs w:val="16"/>
          <w:lang w:val="en-US"/>
        </w:rPr>
        <w:t>p</w:t>
      </w:r>
      <w:r w:rsidR="00A671DF" w:rsidRPr="00CB4F47">
        <w:rPr>
          <w:rFonts w:cs="Arial"/>
          <w:sz w:val="16"/>
          <w:szCs w:val="16"/>
          <w:lang w:val="en-US"/>
        </w:rPr>
        <w:t xml:space="preserve">ersonality, </w:t>
      </w:r>
      <w:r w:rsidRPr="00CB4F47">
        <w:rPr>
          <w:rFonts w:cs="Arial"/>
          <w:sz w:val="16"/>
          <w:szCs w:val="16"/>
          <w:lang w:val="en-US"/>
        </w:rPr>
        <w:t>No 4</w:t>
      </w:r>
      <w:r w:rsidR="00BD6F85">
        <w:rPr>
          <w:rFonts w:cs="Arial"/>
          <w:sz w:val="16"/>
          <w:szCs w:val="16"/>
          <w:lang w:val="en-US"/>
        </w:rPr>
        <w:t xml:space="preserve"> (</w:t>
      </w:r>
      <w:r w:rsidR="00BD6F85" w:rsidRPr="00CB4F47">
        <w:rPr>
          <w:rFonts w:cs="Arial"/>
          <w:sz w:val="16"/>
          <w:szCs w:val="16"/>
          <w:lang w:val="en-US"/>
        </w:rPr>
        <w:t>1958</w:t>
      </w:r>
      <w:r w:rsidR="00BD6F85">
        <w:rPr>
          <w:rFonts w:cs="Arial"/>
          <w:sz w:val="16"/>
          <w:szCs w:val="16"/>
          <w:lang w:val="en-US"/>
        </w:rPr>
        <w:t>)</w:t>
      </w:r>
      <w:r w:rsidRPr="00CB4F47">
        <w:rPr>
          <w:rFonts w:cs="Arial"/>
          <w:sz w:val="16"/>
          <w:szCs w:val="16"/>
          <w:lang w:val="en-US"/>
        </w:rPr>
        <w:t>;</w:t>
      </w:r>
      <w:r w:rsidRPr="00CB4F47">
        <w:rPr>
          <w:sz w:val="16"/>
          <w:szCs w:val="16"/>
          <w:lang w:val="en-US"/>
        </w:rPr>
        <w:t xml:space="preserve"> </w:t>
      </w:r>
      <w:r w:rsidRPr="00CB4F47">
        <w:rPr>
          <w:rFonts w:cs="Arial"/>
          <w:sz w:val="16"/>
          <w:szCs w:val="16"/>
        </w:rPr>
        <w:t xml:space="preserve">Ausubel, </w:t>
      </w:r>
      <w:r w:rsidR="00A671DF" w:rsidRPr="00CB4F47">
        <w:rPr>
          <w:rFonts w:cs="Arial"/>
          <w:sz w:val="16"/>
          <w:szCs w:val="16"/>
        </w:rPr>
        <w:t>DP</w:t>
      </w:r>
      <w:r w:rsidRPr="00CB4F47">
        <w:rPr>
          <w:rFonts w:cs="Arial"/>
          <w:sz w:val="16"/>
          <w:szCs w:val="16"/>
        </w:rPr>
        <w:t>, “Acculturative stress in modern Maori adolescence</w:t>
      </w:r>
      <w:r w:rsidR="00A671DF">
        <w:rPr>
          <w:rFonts w:cs="Arial"/>
          <w:sz w:val="16"/>
          <w:szCs w:val="16"/>
        </w:rPr>
        <w:t>,</w:t>
      </w:r>
      <w:r w:rsidR="00A671DF" w:rsidRPr="00CB4F47">
        <w:rPr>
          <w:rFonts w:cs="Arial"/>
          <w:sz w:val="16"/>
          <w:szCs w:val="16"/>
        </w:rPr>
        <w:t>”</w:t>
      </w:r>
      <w:r w:rsidRPr="00CB4F47">
        <w:rPr>
          <w:rFonts w:cs="Arial"/>
          <w:sz w:val="16"/>
          <w:szCs w:val="16"/>
        </w:rPr>
        <w:t xml:space="preserve"> Child Development, 31(4)</w:t>
      </w:r>
      <w:r w:rsidR="00E127A1">
        <w:rPr>
          <w:rFonts w:cs="Arial"/>
          <w:sz w:val="16"/>
          <w:szCs w:val="16"/>
        </w:rPr>
        <w:t>,</w:t>
      </w:r>
      <w:r w:rsidRPr="00CB4F47">
        <w:rPr>
          <w:rFonts w:cs="Arial"/>
          <w:sz w:val="16"/>
          <w:szCs w:val="16"/>
        </w:rPr>
        <w:t xml:space="preserve"> </w:t>
      </w:r>
      <w:r w:rsidR="00256633">
        <w:rPr>
          <w:rFonts w:cs="Arial"/>
          <w:sz w:val="16"/>
          <w:szCs w:val="16"/>
        </w:rPr>
        <w:t>(</w:t>
      </w:r>
      <w:r w:rsidRPr="00CB4F47">
        <w:rPr>
          <w:rFonts w:cs="Arial"/>
          <w:sz w:val="16"/>
          <w:szCs w:val="16"/>
        </w:rPr>
        <w:t xml:space="preserve">1960, </w:t>
      </w:r>
      <w:r w:rsidRPr="00CB4F47">
        <w:rPr>
          <w:rFonts w:cs="Arial"/>
          <w:color w:val="auto"/>
          <w:sz w:val="16"/>
          <w:szCs w:val="16"/>
        </w:rPr>
        <w:t xml:space="preserve">pages </w:t>
      </w:r>
      <w:r w:rsidRPr="00CB4F47">
        <w:rPr>
          <w:rFonts w:cs="Arial"/>
          <w:sz w:val="16"/>
          <w:szCs w:val="16"/>
        </w:rPr>
        <w:t>617–631</w:t>
      </w:r>
      <w:r w:rsidR="00256633">
        <w:rPr>
          <w:rFonts w:cs="Arial"/>
          <w:sz w:val="16"/>
          <w:szCs w:val="16"/>
        </w:rPr>
        <w:t>)</w:t>
      </w:r>
      <w:r w:rsidRPr="00CB4F47">
        <w:rPr>
          <w:rFonts w:cs="Arial"/>
          <w:sz w:val="16"/>
          <w:szCs w:val="16"/>
        </w:rPr>
        <w:t>.</w:t>
      </w:r>
    </w:p>
  </w:footnote>
  <w:footnote w:id="273">
    <w:p w14:paraId="3455BE32" w14:textId="66E62CEE" w:rsidR="000E429D" w:rsidRPr="00CB4F47" w:rsidRDefault="000E429D" w:rsidP="002F3A8B">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sz w:val="16"/>
          <w:szCs w:val="16"/>
        </w:rPr>
        <w:t xml:space="preserve"> </w:t>
      </w:r>
      <w:r w:rsidRPr="00CB4F47">
        <w:rPr>
          <w:rFonts w:cs="Arial"/>
          <w:sz w:val="16"/>
          <w:szCs w:val="16"/>
        </w:rPr>
        <w:t>Methven, RJ, “The family and personality development</w:t>
      </w:r>
      <w:r w:rsidR="00A671DF">
        <w:rPr>
          <w:rFonts w:cs="Arial"/>
          <w:sz w:val="16"/>
          <w:szCs w:val="16"/>
        </w:rPr>
        <w:t>,</w:t>
      </w:r>
      <w:r w:rsidR="00A671DF" w:rsidRPr="00CB4F47">
        <w:rPr>
          <w:rFonts w:cs="Arial"/>
          <w:sz w:val="16"/>
          <w:szCs w:val="16"/>
        </w:rPr>
        <w:t>”</w:t>
      </w:r>
      <w:r w:rsidRPr="00CB4F47">
        <w:rPr>
          <w:rFonts w:cs="Arial"/>
          <w:sz w:val="16"/>
          <w:szCs w:val="16"/>
        </w:rPr>
        <w:t xml:space="preserve"> Paper 4 in The New Zealand Family and Child Development, the 1968 lectures delivered to the Association for the Study of Childhood (New Zealand University Press, 1969</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 xml:space="preserve">pages </w:t>
      </w:r>
      <w:r w:rsidRPr="00CB4F47">
        <w:rPr>
          <w:rFonts w:cs="Arial"/>
          <w:sz w:val="16"/>
          <w:szCs w:val="16"/>
        </w:rPr>
        <w:t>40–49</w:t>
      </w:r>
      <w:r w:rsidR="00256633">
        <w:rPr>
          <w:rFonts w:cs="Arial"/>
          <w:sz w:val="16"/>
          <w:szCs w:val="16"/>
        </w:rPr>
        <w:t>)</w:t>
      </w:r>
      <w:r w:rsidRPr="00CB4F47">
        <w:rPr>
          <w:rFonts w:cs="Arial"/>
          <w:sz w:val="16"/>
          <w:szCs w:val="16"/>
        </w:rPr>
        <w:t>; Lawrence, PJ, “The family and intellectual development</w:t>
      </w:r>
      <w:r w:rsidR="00A671DF">
        <w:rPr>
          <w:rFonts w:cs="Arial"/>
          <w:sz w:val="16"/>
          <w:szCs w:val="16"/>
        </w:rPr>
        <w:t>,</w:t>
      </w:r>
      <w:r w:rsidR="00A671DF" w:rsidRPr="00CB4F47">
        <w:rPr>
          <w:rFonts w:cs="Arial"/>
          <w:sz w:val="16"/>
          <w:szCs w:val="16"/>
        </w:rPr>
        <w:t>”</w:t>
      </w:r>
      <w:r w:rsidRPr="00CB4F47">
        <w:rPr>
          <w:rFonts w:cs="Arial"/>
          <w:sz w:val="16"/>
          <w:szCs w:val="16"/>
        </w:rPr>
        <w:t xml:space="preserve"> Paper 5 in The New Zealand Family and Child Development, the 1968 lectures delivered to the association for the Study of Childhood (New Zealand University Press, 1969</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 xml:space="preserve">pages </w:t>
      </w:r>
      <w:r w:rsidRPr="00CB4F47">
        <w:rPr>
          <w:rFonts w:cs="Arial"/>
          <w:sz w:val="16"/>
          <w:szCs w:val="16"/>
        </w:rPr>
        <w:t>50–64</w:t>
      </w:r>
      <w:r w:rsidR="00256633">
        <w:rPr>
          <w:rFonts w:cs="Arial"/>
          <w:sz w:val="16"/>
          <w:szCs w:val="16"/>
        </w:rPr>
        <w:t>)</w:t>
      </w:r>
      <w:r w:rsidRPr="00CB4F47">
        <w:rPr>
          <w:rFonts w:cs="Arial"/>
          <w:sz w:val="16"/>
          <w:szCs w:val="16"/>
        </w:rPr>
        <w:t>.</w:t>
      </w:r>
    </w:p>
  </w:footnote>
  <w:footnote w:id="274">
    <w:p w14:paraId="03B78708" w14:textId="20BBCE1E"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Position statement of the Australian and New Zealand College of Psychiatrists, Child Psychiatric Services in Australia and New Zealand (September 1972</w:t>
      </w:r>
      <w:r w:rsidR="00A671DF" w:rsidRPr="00CB4F47">
        <w:rPr>
          <w:rFonts w:cs="Arial"/>
          <w:sz w:val="16"/>
          <w:szCs w:val="16"/>
        </w:rPr>
        <w:t>,</w:t>
      </w:r>
      <w:r w:rsidRPr="00CB4F47">
        <w:rPr>
          <w:rFonts w:cs="Arial"/>
          <w:sz w:val="16"/>
          <w:szCs w:val="16"/>
        </w:rPr>
        <w:t xml:space="preserve"> </w:t>
      </w:r>
      <w:r w:rsidR="00C32E74" w:rsidRPr="00CB4F47">
        <w:rPr>
          <w:rFonts w:cs="Arial"/>
          <w:sz w:val="16"/>
          <w:szCs w:val="16"/>
        </w:rPr>
        <w:t xml:space="preserve">page </w:t>
      </w:r>
      <w:r w:rsidRPr="00CB4F47">
        <w:rPr>
          <w:rFonts w:cs="Arial"/>
          <w:sz w:val="16"/>
          <w:szCs w:val="16"/>
        </w:rPr>
        <w:t>3</w:t>
      </w:r>
      <w:r w:rsidR="00256633">
        <w:rPr>
          <w:rFonts w:cs="Arial"/>
          <w:sz w:val="16"/>
          <w:szCs w:val="16"/>
        </w:rPr>
        <w:t>)</w:t>
      </w:r>
      <w:r w:rsidRPr="00CB4F47">
        <w:rPr>
          <w:rFonts w:cs="Arial"/>
          <w:sz w:val="16"/>
          <w:szCs w:val="16"/>
        </w:rPr>
        <w:t xml:space="preserve">. Referenced in </w:t>
      </w:r>
      <w:r w:rsidRPr="00CB4F47">
        <w:rPr>
          <w:rFonts w:eastAsia="BatangChe" w:cs="Arial"/>
          <w:sz w:val="16"/>
          <w:szCs w:val="16"/>
        </w:rPr>
        <w:t xml:space="preserve">Royal Commission of Inquiry into Abuse in Care, Beautiful </w:t>
      </w:r>
      <w:r w:rsidR="00875D42">
        <w:rPr>
          <w:rFonts w:eastAsia="BatangChe" w:cs="Arial"/>
          <w:sz w:val="16"/>
          <w:szCs w:val="16"/>
        </w:rPr>
        <w:t>c</w:t>
      </w:r>
      <w:r w:rsidRPr="00CB4F47" w:rsidDel="002A4331">
        <w:rPr>
          <w:rFonts w:eastAsia="BatangChe" w:cs="Arial"/>
          <w:sz w:val="16"/>
          <w:szCs w:val="16"/>
        </w:rPr>
        <w:t>hildren</w:t>
      </w:r>
      <w:r w:rsidR="00C32E74" w:rsidRPr="00CB4F47">
        <w:rPr>
          <w:rFonts w:eastAsia="BatangChe" w:cs="Arial"/>
          <w:sz w:val="16"/>
          <w:szCs w:val="16"/>
        </w:rPr>
        <w:t>:</w:t>
      </w:r>
      <w:r w:rsidRPr="00CB4F47">
        <w:rPr>
          <w:rFonts w:eastAsia="BatangChe" w:cs="Arial"/>
          <w:sz w:val="16"/>
          <w:szCs w:val="16"/>
        </w:rPr>
        <w:t xml:space="preserve"> Inquiry into the Lake Alice </w:t>
      </w:r>
      <w:r w:rsidRPr="00CB4F47" w:rsidDel="002A4331">
        <w:rPr>
          <w:rFonts w:eastAsia="BatangChe" w:cs="Arial"/>
          <w:sz w:val="16"/>
          <w:szCs w:val="16"/>
        </w:rPr>
        <w:t xml:space="preserve">Child </w:t>
      </w:r>
      <w:r w:rsidRPr="00CB4F47">
        <w:rPr>
          <w:rFonts w:eastAsia="BatangChe" w:cs="Arial"/>
          <w:sz w:val="16"/>
          <w:szCs w:val="16"/>
        </w:rPr>
        <w:t xml:space="preserve">and </w:t>
      </w:r>
      <w:r w:rsidRPr="00CB4F47" w:rsidDel="002A4331">
        <w:rPr>
          <w:rFonts w:eastAsia="BatangChe" w:cs="Arial"/>
          <w:sz w:val="16"/>
          <w:szCs w:val="16"/>
        </w:rPr>
        <w:t xml:space="preserve">Adolescent </w:t>
      </w:r>
      <w:r w:rsidR="00A671DF" w:rsidRPr="00CB4F47">
        <w:rPr>
          <w:rFonts w:eastAsia="BatangChe" w:cs="Arial"/>
          <w:sz w:val="16"/>
          <w:szCs w:val="16"/>
        </w:rPr>
        <w:t>Unit</w:t>
      </w:r>
      <w:r w:rsidRPr="00CB4F47" w:rsidDel="00187B8D">
        <w:rPr>
          <w:rFonts w:eastAsia="BatangChe" w:cs="Arial"/>
          <w:sz w:val="16"/>
          <w:szCs w:val="16"/>
        </w:rPr>
        <w:t xml:space="preserve"> </w:t>
      </w:r>
      <w:r w:rsidRPr="00CB4F47">
        <w:rPr>
          <w:rFonts w:eastAsia="BatangChe" w:cs="Arial"/>
          <w:sz w:val="16"/>
          <w:szCs w:val="16"/>
        </w:rPr>
        <w:t>(2022).</w:t>
      </w:r>
    </w:p>
  </w:footnote>
  <w:footnote w:id="275">
    <w:p w14:paraId="0A29BD5D" w14:textId="0DAC95E2"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BatangChe" w:cs="Arial"/>
          <w:sz w:val="16"/>
          <w:szCs w:val="16"/>
        </w:rPr>
        <w:t xml:space="preserve">Royal Commission of Inquiry into Abuse in Care, Beautiful </w:t>
      </w:r>
      <w:r w:rsidR="00875D42">
        <w:rPr>
          <w:rFonts w:eastAsia="BatangChe" w:cs="Arial"/>
          <w:sz w:val="16"/>
          <w:szCs w:val="16"/>
        </w:rPr>
        <w:t>c</w:t>
      </w:r>
      <w:r w:rsidRPr="00CB4F47">
        <w:rPr>
          <w:rFonts w:eastAsia="BatangChe" w:cs="Arial"/>
          <w:sz w:val="16"/>
          <w:szCs w:val="16"/>
        </w:rPr>
        <w:t>hildren</w:t>
      </w:r>
      <w:r w:rsidR="00C32E74" w:rsidRPr="00CB4F47">
        <w:rPr>
          <w:rFonts w:eastAsia="BatangChe" w:cs="Arial"/>
          <w:sz w:val="16"/>
          <w:szCs w:val="16"/>
        </w:rPr>
        <w:t>:</w:t>
      </w:r>
      <w:r w:rsidRPr="00CB4F47">
        <w:rPr>
          <w:rFonts w:eastAsia="BatangChe" w:cs="Arial"/>
          <w:sz w:val="16"/>
          <w:szCs w:val="16"/>
        </w:rPr>
        <w:t xml:space="preserve"> Inquiry into the Lake Alice </w:t>
      </w:r>
      <w:r w:rsidRPr="00CB4F47" w:rsidDel="009C2DA9">
        <w:rPr>
          <w:rFonts w:eastAsia="BatangChe" w:cs="Arial"/>
          <w:sz w:val="16"/>
          <w:szCs w:val="16"/>
        </w:rPr>
        <w:t xml:space="preserve">Child </w:t>
      </w:r>
      <w:r w:rsidRPr="00CB4F47">
        <w:rPr>
          <w:rFonts w:eastAsia="BatangChe" w:cs="Arial"/>
          <w:sz w:val="16"/>
          <w:szCs w:val="16"/>
        </w:rPr>
        <w:t xml:space="preserve">and </w:t>
      </w:r>
      <w:r w:rsidRPr="00CB4F47" w:rsidDel="009C2DA9">
        <w:rPr>
          <w:rFonts w:eastAsia="BatangChe" w:cs="Arial"/>
          <w:sz w:val="16"/>
          <w:szCs w:val="16"/>
        </w:rPr>
        <w:t xml:space="preserve">Adolescent </w:t>
      </w:r>
      <w:r w:rsidR="00A671DF" w:rsidRPr="00CB4F47">
        <w:rPr>
          <w:rFonts w:eastAsia="BatangChe" w:cs="Arial"/>
          <w:sz w:val="16"/>
          <w:szCs w:val="16"/>
        </w:rPr>
        <w:t>Unit</w:t>
      </w:r>
      <w:r w:rsidRPr="00CB4F47">
        <w:rPr>
          <w:rFonts w:eastAsia="BatangChe" w:cs="Arial"/>
          <w:sz w:val="16"/>
          <w:szCs w:val="16"/>
        </w:rPr>
        <w:t xml:space="preserve"> (2022).</w:t>
      </w:r>
    </w:p>
  </w:footnote>
  <w:footnote w:id="276">
    <w:p w14:paraId="68E78087" w14:textId="5F7820C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 xml:space="preserve">Crimes Act 1961, </w:t>
      </w:r>
      <w:r w:rsidR="00C32E74" w:rsidRPr="00CB4F47">
        <w:rPr>
          <w:rFonts w:eastAsia="Calibri" w:cs="Arial"/>
          <w:color w:val="auto"/>
          <w:sz w:val="16"/>
          <w:szCs w:val="16"/>
        </w:rPr>
        <w:t>section</w:t>
      </w:r>
      <w:r w:rsidRPr="00CB4F47">
        <w:rPr>
          <w:rFonts w:eastAsia="Calibri" w:cs="Arial"/>
          <w:color w:val="auto"/>
          <w:sz w:val="16"/>
          <w:szCs w:val="16"/>
        </w:rPr>
        <w:t xml:space="preserve"> 128.</w:t>
      </w:r>
      <w:r w:rsidRPr="00CB4F47">
        <w:rPr>
          <w:rFonts w:eastAsia="Calibri" w:cs="Arial"/>
          <w:color w:val="auto"/>
          <w:sz w:val="16"/>
          <w:szCs w:val="16"/>
          <w:lang w:val="mi-NZ"/>
        </w:rPr>
        <w:t> </w:t>
      </w:r>
    </w:p>
  </w:footnote>
  <w:footnote w:id="277">
    <w:p w14:paraId="143A9C4E" w14:textId="00AF066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xcontentpasted0"/>
          <w:rFonts w:cs="Arial"/>
          <w:color w:val="auto"/>
          <w:sz w:val="16"/>
          <w:szCs w:val="16"/>
          <w:lang w:val="mi-NZ"/>
        </w:rPr>
        <w:t xml:space="preserve">Crimes Act 1961, </w:t>
      </w:r>
      <w:r w:rsidR="00C32E74" w:rsidRPr="00CB4F47">
        <w:rPr>
          <w:rStyle w:val="xcontentpasted0"/>
          <w:rFonts w:cs="Arial"/>
          <w:color w:val="auto"/>
          <w:sz w:val="16"/>
          <w:szCs w:val="16"/>
          <w:lang w:val="mi-NZ"/>
        </w:rPr>
        <w:t>sections</w:t>
      </w:r>
      <w:r w:rsidRPr="00CB4F47">
        <w:rPr>
          <w:rStyle w:val="xcontentpasted0"/>
          <w:rFonts w:cs="Arial"/>
          <w:color w:val="auto"/>
          <w:sz w:val="16"/>
          <w:szCs w:val="16"/>
          <w:lang w:val="mi-NZ"/>
        </w:rPr>
        <w:t xml:space="preserve"> 132 and 134. </w:t>
      </w:r>
    </w:p>
  </w:footnote>
  <w:footnote w:id="278">
    <w:p w14:paraId="278B06F9" w14:textId="2274366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xcontentpasted0"/>
          <w:rFonts w:cs="Arial"/>
          <w:color w:val="auto"/>
          <w:sz w:val="16"/>
          <w:szCs w:val="16"/>
          <w:lang w:val="mi-NZ"/>
        </w:rPr>
        <w:t xml:space="preserve">Crimes Act 1961, </w:t>
      </w:r>
      <w:r w:rsidR="00C32E74" w:rsidRPr="00CB4F47">
        <w:rPr>
          <w:rStyle w:val="xcontentpasted0"/>
          <w:rFonts w:cs="Arial"/>
          <w:color w:val="auto"/>
          <w:sz w:val="16"/>
          <w:szCs w:val="16"/>
          <w:lang w:val="mi-NZ"/>
        </w:rPr>
        <w:t>section</w:t>
      </w:r>
      <w:r w:rsidRPr="00CB4F47">
        <w:rPr>
          <w:rStyle w:val="xcontentpasted0"/>
          <w:rFonts w:cs="Arial"/>
          <w:color w:val="auto"/>
          <w:sz w:val="16"/>
          <w:szCs w:val="16"/>
          <w:lang w:val="mi-NZ"/>
        </w:rPr>
        <w:t xml:space="preserve"> 195. </w:t>
      </w:r>
    </w:p>
  </w:footnote>
  <w:footnote w:id="279">
    <w:p w14:paraId="1B973F7F" w14:textId="6B85FAD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 xml:space="preserve">Crimes Act 1961, </w:t>
      </w:r>
      <w:r w:rsidR="00C32E74" w:rsidRPr="00CB4F47">
        <w:rPr>
          <w:rFonts w:eastAsia="Calibri" w:cs="Arial"/>
          <w:color w:val="auto"/>
          <w:sz w:val="16"/>
          <w:szCs w:val="16"/>
        </w:rPr>
        <w:t>sections</w:t>
      </w:r>
      <w:r w:rsidRPr="00CB4F47">
        <w:rPr>
          <w:rFonts w:eastAsia="Calibri" w:cs="Arial"/>
          <w:color w:val="auto"/>
          <w:sz w:val="16"/>
          <w:szCs w:val="16"/>
        </w:rPr>
        <w:t xml:space="preserve"> 188, 189 and 193.</w:t>
      </w:r>
      <w:r w:rsidRPr="00CB4F47">
        <w:rPr>
          <w:rFonts w:eastAsia="Calibri" w:cs="Arial"/>
          <w:color w:val="auto"/>
          <w:sz w:val="16"/>
          <w:szCs w:val="16"/>
          <w:lang w:val="mi-NZ"/>
        </w:rPr>
        <w:t> </w:t>
      </w:r>
    </w:p>
  </w:footnote>
  <w:footnote w:id="280">
    <w:p w14:paraId="146BB817" w14:textId="174DDFF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Department of Education, Annual </w:t>
      </w:r>
      <w:r w:rsidR="00045E04">
        <w:rPr>
          <w:rFonts w:cs="Arial"/>
          <w:color w:val="auto"/>
          <w:sz w:val="16"/>
          <w:szCs w:val="16"/>
        </w:rPr>
        <w:t>r</w:t>
      </w:r>
      <w:r w:rsidR="00045E04" w:rsidRPr="00CB4F47">
        <w:rPr>
          <w:rFonts w:cs="Arial"/>
          <w:color w:val="auto"/>
          <w:sz w:val="16"/>
          <w:szCs w:val="16"/>
        </w:rPr>
        <w:t xml:space="preserve">eport </w:t>
      </w:r>
      <w:r w:rsidRPr="00CB4F47">
        <w:rPr>
          <w:rFonts w:cs="Arial"/>
          <w:color w:val="auto"/>
          <w:sz w:val="16"/>
          <w:szCs w:val="16"/>
        </w:rPr>
        <w:t xml:space="preserve">on </w:t>
      </w:r>
      <w:r w:rsidR="00045E04">
        <w:rPr>
          <w:rFonts w:cs="Arial"/>
          <w:color w:val="auto"/>
          <w:sz w:val="16"/>
          <w:szCs w:val="16"/>
        </w:rPr>
        <w:t>c</w:t>
      </w:r>
      <w:r w:rsidR="00045E04" w:rsidRPr="00CB4F47">
        <w:rPr>
          <w:rFonts w:cs="Arial"/>
          <w:color w:val="auto"/>
          <w:sz w:val="16"/>
          <w:szCs w:val="16"/>
        </w:rPr>
        <w:t xml:space="preserve">hild </w:t>
      </w:r>
      <w:r w:rsidR="00A671DF">
        <w:rPr>
          <w:rFonts w:cs="Arial"/>
          <w:color w:val="auto"/>
          <w:sz w:val="16"/>
          <w:szCs w:val="16"/>
        </w:rPr>
        <w:t>w</w:t>
      </w:r>
      <w:r w:rsidR="00A671DF" w:rsidRPr="00CB4F47">
        <w:rPr>
          <w:rFonts w:cs="Arial"/>
          <w:color w:val="auto"/>
          <w:sz w:val="16"/>
          <w:szCs w:val="16"/>
        </w:rPr>
        <w:t>elfare</w:t>
      </w:r>
      <w:r w:rsidRPr="00CB4F47">
        <w:rPr>
          <w:rFonts w:cs="Arial"/>
          <w:color w:val="auto"/>
          <w:sz w:val="16"/>
          <w:szCs w:val="16"/>
        </w:rPr>
        <w:t xml:space="preserve">, State </w:t>
      </w:r>
      <w:r w:rsidR="00045E04">
        <w:rPr>
          <w:rFonts w:cs="Arial"/>
          <w:color w:val="auto"/>
          <w:sz w:val="16"/>
          <w:szCs w:val="16"/>
        </w:rPr>
        <w:t>c</w:t>
      </w:r>
      <w:r w:rsidR="00045E04" w:rsidRPr="00CB4F47">
        <w:rPr>
          <w:rFonts w:cs="Arial"/>
          <w:color w:val="auto"/>
          <w:sz w:val="16"/>
          <w:szCs w:val="16"/>
        </w:rPr>
        <w:t xml:space="preserve">are </w:t>
      </w:r>
      <w:r w:rsidRPr="00CB4F47">
        <w:rPr>
          <w:rFonts w:cs="Arial"/>
          <w:color w:val="auto"/>
          <w:sz w:val="16"/>
          <w:szCs w:val="16"/>
        </w:rPr>
        <w:t xml:space="preserve">of </w:t>
      </w:r>
      <w:r w:rsidR="00A671DF">
        <w:rPr>
          <w:rFonts w:cs="Arial"/>
          <w:color w:val="auto"/>
          <w:sz w:val="16"/>
          <w:szCs w:val="16"/>
        </w:rPr>
        <w:t>c</w:t>
      </w:r>
      <w:r w:rsidR="00A671DF" w:rsidRPr="00CB4F47">
        <w:rPr>
          <w:rFonts w:cs="Arial"/>
          <w:color w:val="auto"/>
          <w:sz w:val="16"/>
          <w:szCs w:val="16"/>
        </w:rPr>
        <w:t>hildren,</w:t>
      </w:r>
      <w:r w:rsidRPr="00CB4F47" w:rsidDel="00045E04">
        <w:rPr>
          <w:rFonts w:cs="Arial"/>
          <w:color w:val="auto"/>
          <w:sz w:val="16"/>
          <w:szCs w:val="16"/>
        </w:rPr>
        <w:t xml:space="preserve"> </w:t>
      </w:r>
      <w:r w:rsidR="00045E04">
        <w:rPr>
          <w:rFonts w:cs="Arial"/>
          <w:color w:val="auto"/>
          <w:sz w:val="16"/>
          <w:szCs w:val="16"/>
        </w:rPr>
        <w:t>s</w:t>
      </w:r>
      <w:r w:rsidR="00045E04" w:rsidRPr="00CB4F47">
        <w:rPr>
          <w:rFonts w:cs="Arial"/>
          <w:color w:val="auto"/>
          <w:sz w:val="16"/>
          <w:szCs w:val="16"/>
        </w:rPr>
        <w:t xml:space="preserve">pecial </w:t>
      </w:r>
      <w:r w:rsidR="00045E04">
        <w:rPr>
          <w:rFonts w:cs="Arial"/>
          <w:color w:val="auto"/>
          <w:sz w:val="16"/>
          <w:szCs w:val="16"/>
        </w:rPr>
        <w:t>s</w:t>
      </w:r>
      <w:r w:rsidR="00045E04" w:rsidRPr="00CB4F47">
        <w:rPr>
          <w:rFonts w:cs="Arial"/>
          <w:color w:val="auto"/>
          <w:sz w:val="16"/>
          <w:szCs w:val="16"/>
        </w:rPr>
        <w:t xml:space="preserve">chools </w:t>
      </w:r>
      <w:r w:rsidRPr="00CB4F47">
        <w:rPr>
          <w:rFonts w:cs="Arial"/>
          <w:color w:val="auto"/>
          <w:sz w:val="16"/>
          <w:szCs w:val="16"/>
        </w:rPr>
        <w:t xml:space="preserve">and </w:t>
      </w:r>
      <w:r w:rsidR="00A671DF">
        <w:rPr>
          <w:rFonts w:cs="Arial"/>
          <w:color w:val="auto"/>
          <w:sz w:val="16"/>
          <w:szCs w:val="16"/>
        </w:rPr>
        <w:t>i</w:t>
      </w:r>
      <w:r w:rsidR="00A671DF" w:rsidRPr="00CB4F47">
        <w:rPr>
          <w:rFonts w:cs="Arial"/>
          <w:color w:val="auto"/>
          <w:sz w:val="16"/>
          <w:szCs w:val="16"/>
        </w:rPr>
        <w:t>nfant</w:t>
      </w:r>
      <w:r w:rsidRPr="00CB4F47">
        <w:rPr>
          <w:rFonts w:cs="Arial"/>
          <w:color w:val="auto"/>
          <w:sz w:val="16"/>
          <w:szCs w:val="16"/>
        </w:rPr>
        <w:t xml:space="preserve">-life </w:t>
      </w:r>
      <w:r w:rsidR="00A671DF">
        <w:rPr>
          <w:rFonts w:cs="Arial"/>
          <w:color w:val="auto"/>
          <w:sz w:val="16"/>
          <w:szCs w:val="16"/>
        </w:rPr>
        <w:t>p</w:t>
      </w:r>
      <w:r w:rsidR="00A671DF" w:rsidRPr="00CB4F47">
        <w:rPr>
          <w:rFonts w:cs="Arial"/>
          <w:color w:val="auto"/>
          <w:sz w:val="16"/>
          <w:szCs w:val="16"/>
        </w:rPr>
        <w:t>rotection</w:t>
      </w:r>
      <w:r w:rsidRPr="00CB4F47">
        <w:rPr>
          <w:rFonts w:cs="Arial"/>
          <w:color w:val="auto"/>
          <w:sz w:val="16"/>
          <w:szCs w:val="16"/>
        </w:rPr>
        <w:t>: For the year ended 31 March 1959 (</w:t>
      </w:r>
      <w:r w:rsidR="00A671DF" w:rsidRPr="00CB4F47">
        <w:rPr>
          <w:rFonts w:cs="Arial"/>
          <w:color w:val="auto"/>
          <w:sz w:val="16"/>
          <w:szCs w:val="16"/>
        </w:rPr>
        <w:t>RE</w:t>
      </w:r>
      <w:r w:rsidRPr="00CB4F47">
        <w:rPr>
          <w:rFonts w:cs="Arial"/>
          <w:color w:val="auto"/>
          <w:sz w:val="16"/>
          <w:szCs w:val="16"/>
        </w:rPr>
        <w:t xml:space="preserve"> Owen, Government Printer, 1959</w:t>
      </w:r>
      <w:r w:rsidR="00A671DF" w:rsidRPr="00CB4F47">
        <w:rPr>
          <w:rStyle w:val="Hyperlink"/>
          <w:rFonts w:cs="Arial"/>
          <w:color w:val="auto"/>
          <w:sz w:val="16"/>
          <w:szCs w:val="16"/>
        </w:rPr>
        <w:t>,</w:t>
      </w:r>
      <w:r w:rsidRPr="00CB4F47">
        <w:rPr>
          <w:rFonts w:cs="Arial"/>
          <w:color w:val="auto"/>
          <w:sz w:val="16"/>
          <w:szCs w:val="16"/>
        </w:rPr>
        <w:t xml:space="preserve"> page 17</w:t>
      </w:r>
      <w:r w:rsidR="002C6E3A">
        <w:rPr>
          <w:rFonts w:cs="Arial"/>
          <w:color w:val="auto"/>
          <w:sz w:val="16"/>
          <w:szCs w:val="16"/>
        </w:rPr>
        <w:t>)</w:t>
      </w:r>
      <w:r w:rsidRPr="00CB4F47">
        <w:rPr>
          <w:rFonts w:cs="Arial"/>
          <w:color w:val="auto"/>
          <w:sz w:val="16"/>
          <w:szCs w:val="16"/>
        </w:rPr>
        <w:t>.</w:t>
      </w:r>
    </w:p>
  </w:footnote>
  <w:footnote w:id="281">
    <w:p w14:paraId="038212BD" w14:textId="7E64A48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Dalley, B, Family matters: Child welfare in </w:t>
      </w:r>
      <w:r w:rsidR="00A671DF">
        <w:rPr>
          <w:rFonts w:cs="Arial"/>
          <w:color w:val="auto"/>
          <w:sz w:val="16"/>
          <w:szCs w:val="16"/>
        </w:rPr>
        <w:t>twentieth</w:t>
      </w:r>
      <w:r w:rsidRPr="00CB4F47">
        <w:rPr>
          <w:rFonts w:cs="Arial"/>
          <w:color w:val="auto"/>
          <w:sz w:val="16"/>
          <w:szCs w:val="16"/>
        </w:rPr>
        <w:t>-century New Zealand (Auckland University Press, 1998</w:t>
      </w:r>
      <w:r w:rsidR="00A671DF" w:rsidRPr="00CB4F47">
        <w:rPr>
          <w:rFonts w:cs="Arial"/>
          <w:color w:val="auto"/>
          <w:sz w:val="16"/>
          <w:szCs w:val="16"/>
        </w:rPr>
        <w:t>,</w:t>
      </w:r>
      <w:r w:rsidRPr="00CB4F47">
        <w:rPr>
          <w:rFonts w:cs="Arial"/>
          <w:color w:val="auto"/>
          <w:sz w:val="16"/>
          <w:szCs w:val="16"/>
        </w:rPr>
        <w:t xml:space="preserve"> pages 250</w:t>
      </w:r>
      <w:r w:rsidRPr="00CB4F47">
        <w:rPr>
          <w:rFonts w:cs="Arial"/>
          <w:sz w:val="16"/>
          <w:szCs w:val="16"/>
        </w:rPr>
        <w:t>–</w:t>
      </w:r>
      <w:r w:rsidRPr="00CB4F47">
        <w:rPr>
          <w:rFonts w:cs="Arial"/>
          <w:color w:val="auto"/>
          <w:sz w:val="16"/>
          <w:szCs w:val="16"/>
        </w:rPr>
        <w:t>251</w:t>
      </w:r>
      <w:r w:rsidR="002C6E3A">
        <w:rPr>
          <w:rFonts w:cs="Arial"/>
          <w:color w:val="auto"/>
          <w:sz w:val="16"/>
          <w:szCs w:val="16"/>
        </w:rPr>
        <w:t>)</w:t>
      </w:r>
      <w:r w:rsidRPr="00CB4F47">
        <w:rPr>
          <w:rFonts w:cs="Arial"/>
          <w:color w:val="auto"/>
          <w:sz w:val="16"/>
          <w:szCs w:val="16"/>
        </w:rPr>
        <w:t>.</w:t>
      </w:r>
    </w:p>
  </w:footnote>
  <w:footnote w:id="282">
    <w:p w14:paraId="3015A1F8" w14:textId="4EFFE7C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Dalley, B, Family matters: Child welfare in </w:t>
      </w:r>
      <w:r w:rsidR="00A671DF">
        <w:rPr>
          <w:rFonts w:cs="Arial"/>
          <w:color w:val="auto"/>
          <w:sz w:val="16"/>
          <w:szCs w:val="16"/>
        </w:rPr>
        <w:t>twentieth</w:t>
      </w:r>
      <w:r w:rsidRPr="00CB4F47">
        <w:rPr>
          <w:rFonts w:cs="Arial"/>
          <w:color w:val="auto"/>
          <w:sz w:val="16"/>
          <w:szCs w:val="16"/>
        </w:rPr>
        <w:t>-century New Zealand (Auckland University Press, 1998</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sz w:val="16"/>
          <w:szCs w:val="16"/>
        </w:rPr>
        <w:t>page</w:t>
      </w:r>
      <w:r w:rsidRPr="00CB4F47">
        <w:rPr>
          <w:rFonts w:cs="Arial"/>
          <w:sz w:val="16"/>
          <w:szCs w:val="16"/>
        </w:rPr>
        <w:t xml:space="preserve"> </w:t>
      </w:r>
      <w:r w:rsidRPr="00CB4F47">
        <w:rPr>
          <w:rFonts w:cs="Arial"/>
          <w:color w:val="auto"/>
          <w:sz w:val="16"/>
          <w:szCs w:val="16"/>
        </w:rPr>
        <w:t>251</w:t>
      </w:r>
      <w:r w:rsidR="002C6E3A">
        <w:rPr>
          <w:rFonts w:cs="Arial"/>
          <w:color w:val="auto"/>
          <w:sz w:val="16"/>
          <w:szCs w:val="16"/>
        </w:rPr>
        <w:t>)</w:t>
      </w:r>
      <w:r w:rsidRPr="00CB4F47">
        <w:rPr>
          <w:rFonts w:cs="Arial"/>
          <w:color w:val="auto"/>
          <w:sz w:val="16"/>
          <w:szCs w:val="16"/>
        </w:rPr>
        <w:t>.</w:t>
      </w:r>
    </w:p>
  </w:footnote>
  <w:footnote w:id="283">
    <w:p w14:paraId="33735014" w14:textId="30FEAD8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color w:val="auto"/>
          <w:sz w:val="16"/>
          <w:szCs w:val="16"/>
          <w:shd w:val="clear" w:color="auto" w:fill="F9F7F4"/>
        </w:rPr>
        <w:t xml:space="preserve">Dalley, B, Child </w:t>
      </w:r>
      <w:r w:rsidR="00A671DF" w:rsidRPr="00CB4F47">
        <w:rPr>
          <w:rFonts w:cs="Arial"/>
          <w:color w:val="auto"/>
          <w:sz w:val="16"/>
          <w:szCs w:val="16"/>
          <w:shd w:val="clear" w:color="auto" w:fill="F9F7F4"/>
        </w:rPr>
        <w:t>abuse</w:t>
      </w:r>
      <w:r w:rsidRPr="00CB4F47">
        <w:rPr>
          <w:rFonts w:cs="Arial"/>
          <w:color w:val="auto"/>
          <w:sz w:val="16"/>
          <w:szCs w:val="16"/>
          <w:shd w:val="clear" w:color="auto" w:fill="F9F7F4"/>
        </w:rPr>
        <w:t xml:space="preserve"> (</w:t>
      </w:r>
      <w:r w:rsidR="00623A21" w:rsidRPr="00141B81">
        <w:rPr>
          <w:rFonts w:cs="Arial"/>
          <w:color w:val="auto"/>
          <w:sz w:val="16"/>
          <w:szCs w:val="16"/>
          <w:shd w:val="clear" w:color="auto" w:fill="F9F7F4"/>
        </w:rPr>
        <w:t>Te Ara</w:t>
      </w:r>
      <w:r w:rsidR="00623A21" w:rsidRPr="00DD5764">
        <w:rPr>
          <w:rFonts w:cs="Arial"/>
          <w:color w:val="auto"/>
          <w:sz w:val="16"/>
          <w:szCs w:val="16"/>
          <w:shd w:val="clear" w:color="auto" w:fill="F9F7F4"/>
        </w:rPr>
        <w:t xml:space="preserve"> </w:t>
      </w:r>
      <w:r w:rsidR="00623A21">
        <w:rPr>
          <w:rFonts w:cs="Arial"/>
          <w:color w:val="auto"/>
          <w:sz w:val="16"/>
          <w:szCs w:val="16"/>
          <w:shd w:val="clear" w:color="auto" w:fill="F9F7F4"/>
        </w:rPr>
        <w:t>–</w:t>
      </w:r>
      <w:r w:rsidR="00623A21" w:rsidRPr="00DD5764">
        <w:rPr>
          <w:rFonts w:cs="Arial"/>
          <w:color w:val="auto"/>
          <w:sz w:val="16"/>
          <w:szCs w:val="16"/>
          <w:shd w:val="clear" w:color="auto" w:fill="F9F7F4"/>
        </w:rPr>
        <w:t xml:space="preserve"> </w:t>
      </w:r>
      <w:r w:rsidR="000E5EEF">
        <w:rPr>
          <w:rFonts w:cs="Arial"/>
          <w:color w:val="auto"/>
          <w:sz w:val="16"/>
          <w:szCs w:val="16"/>
          <w:shd w:val="clear" w:color="auto" w:fill="F9F7F4"/>
        </w:rPr>
        <w:t>T</w:t>
      </w:r>
      <w:r w:rsidR="00623A21" w:rsidRPr="00DD5764">
        <w:rPr>
          <w:rFonts w:cs="Arial"/>
          <w:color w:val="auto"/>
          <w:sz w:val="16"/>
          <w:szCs w:val="16"/>
          <w:shd w:val="clear" w:color="auto" w:fill="F9F7F4"/>
        </w:rPr>
        <w:t xml:space="preserve">he </w:t>
      </w:r>
      <w:r w:rsidR="00A671DF" w:rsidRPr="00DD5764">
        <w:rPr>
          <w:rFonts w:cs="Arial"/>
          <w:color w:val="auto"/>
          <w:sz w:val="16"/>
          <w:szCs w:val="16"/>
          <w:shd w:val="clear" w:color="auto" w:fill="F9F7F4"/>
        </w:rPr>
        <w:t>Encyclopedia</w:t>
      </w:r>
      <w:r w:rsidR="00623A21" w:rsidRPr="00DD5764">
        <w:rPr>
          <w:rFonts w:cs="Arial"/>
          <w:color w:val="auto"/>
          <w:sz w:val="16"/>
          <w:szCs w:val="16"/>
          <w:shd w:val="clear" w:color="auto" w:fill="F9F7F4"/>
        </w:rPr>
        <w:t xml:space="preserve"> of New </w:t>
      </w:r>
      <w:r w:rsidR="00A671DF" w:rsidRPr="00DD5764">
        <w:rPr>
          <w:rFonts w:cs="Arial"/>
          <w:color w:val="auto"/>
          <w:sz w:val="16"/>
          <w:szCs w:val="16"/>
          <w:shd w:val="clear" w:color="auto" w:fill="F9F7F4"/>
        </w:rPr>
        <w:t>Zealand</w:t>
      </w:r>
      <w:r w:rsidRPr="00CB4F47">
        <w:rPr>
          <w:rFonts w:cs="Arial"/>
          <w:color w:val="auto"/>
          <w:sz w:val="16"/>
          <w:szCs w:val="16"/>
          <w:shd w:val="clear" w:color="auto" w:fill="F9F7F4"/>
        </w:rPr>
        <w:t>, 5 May 2011)</w:t>
      </w:r>
      <w:r w:rsidR="00A27B5C">
        <w:rPr>
          <w:rFonts w:cs="Arial"/>
          <w:color w:val="auto"/>
          <w:sz w:val="16"/>
          <w:szCs w:val="16"/>
          <w:shd w:val="clear" w:color="auto" w:fill="F9F7F4"/>
        </w:rPr>
        <w:t xml:space="preserve">, </w:t>
      </w:r>
      <w:hyperlink r:id="rId68" w:history="1">
        <w:r w:rsidR="00A27B5C" w:rsidRPr="00A27B5C">
          <w:rPr>
            <w:rStyle w:val="Hyperlink"/>
            <w:rFonts w:cs="Arial"/>
            <w:sz w:val="16"/>
            <w:szCs w:val="16"/>
            <w:shd w:val="clear" w:color="auto" w:fill="F9F7F4"/>
          </w:rPr>
          <w:t>https://teara.govt.nz/en/child-abuse</w:t>
        </w:r>
      </w:hyperlink>
      <w:r w:rsidRPr="00CB4F47">
        <w:rPr>
          <w:rFonts w:cs="Arial"/>
          <w:color w:val="auto"/>
          <w:sz w:val="16"/>
          <w:szCs w:val="16"/>
          <w:shd w:val="clear" w:color="auto" w:fill="F9F7F4"/>
        </w:rPr>
        <w:t>.</w:t>
      </w:r>
    </w:p>
  </w:footnote>
  <w:footnote w:id="284">
    <w:p w14:paraId="119B2612" w14:textId="0001496B" w:rsidR="0067540C" w:rsidRPr="00DD5764" w:rsidRDefault="0067540C">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DD5764">
        <w:rPr>
          <w:sz w:val="16"/>
          <w:szCs w:val="16"/>
        </w:rPr>
        <w:t>Te Ahu, The Evolution of Maori Protest (The Anarchist Library, 1998</w:t>
      </w:r>
      <w:r w:rsidR="00A671DF" w:rsidRPr="00DD5764">
        <w:rPr>
          <w:sz w:val="16"/>
          <w:szCs w:val="16"/>
        </w:rPr>
        <w:t>,</w:t>
      </w:r>
      <w:r w:rsidRPr="00DD5764">
        <w:rPr>
          <w:sz w:val="16"/>
          <w:szCs w:val="16"/>
        </w:rPr>
        <w:t xml:space="preserve"> page 4</w:t>
      </w:r>
      <w:r w:rsidR="00602C65">
        <w:rPr>
          <w:sz w:val="16"/>
          <w:szCs w:val="16"/>
        </w:rPr>
        <w:t>)</w:t>
      </w:r>
      <w:r w:rsidR="001521A8">
        <w:rPr>
          <w:sz w:val="16"/>
          <w:szCs w:val="16"/>
        </w:rPr>
        <w:t>.</w:t>
      </w:r>
    </w:p>
  </w:footnote>
  <w:footnote w:id="285">
    <w:p w14:paraId="2131BF18" w14:textId="4C6A2D91" w:rsidR="0067540C" w:rsidRPr="00536E67" w:rsidRDefault="0067540C">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DD5764">
        <w:rPr>
          <w:sz w:val="16"/>
          <w:szCs w:val="16"/>
        </w:rPr>
        <w:t>Te Ahu, The Evolution of Maori Protest (The Anarchist Library, 1998</w:t>
      </w:r>
      <w:r w:rsidR="00A671DF" w:rsidRPr="00DD5764">
        <w:rPr>
          <w:sz w:val="16"/>
          <w:szCs w:val="16"/>
        </w:rPr>
        <w:t>,</w:t>
      </w:r>
      <w:r w:rsidRPr="00DD5764">
        <w:rPr>
          <w:sz w:val="16"/>
          <w:szCs w:val="16"/>
        </w:rPr>
        <w:t xml:space="preserve"> page 5</w:t>
      </w:r>
      <w:r w:rsidR="00602C65">
        <w:rPr>
          <w:sz w:val="16"/>
          <w:szCs w:val="16"/>
        </w:rPr>
        <w:t>)</w:t>
      </w:r>
      <w:r w:rsidR="001521A8">
        <w:rPr>
          <w:sz w:val="16"/>
          <w:szCs w:val="16"/>
        </w:rPr>
        <w:t>.</w:t>
      </w:r>
    </w:p>
  </w:footnote>
  <w:footnote w:id="286">
    <w:p w14:paraId="5E775683" w14:textId="2062E726" w:rsidR="0067540C" w:rsidRPr="00536E67" w:rsidRDefault="0067540C">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DD5764">
        <w:rPr>
          <w:rFonts w:cs="Arial"/>
          <w:sz w:val="16"/>
          <w:szCs w:val="16"/>
        </w:rPr>
        <w:t>Te Ahu, The Evolution of Maori Protest (The Anarchist Library, 1998</w:t>
      </w:r>
      <w:r w:rsidR="00A671DF" w:rsidRPr="00DD5764">
        <w:rPr>
          <w:rFonts w:cs="Arial"/>
          <w:sz w:val="16"/>
          <w:szCs w:val="16"/>
        </w:rPr>
        <w:t>,</w:t>
      </w:r>
      <w:r w:rsidRPr="00DD5764">
        <w:rPr>
          <w:rFonts w:cs="Arial"/>
          <w:sz w:val="16"/>
          <w:szCs w:val="16"/>
        </w:rPr>
        <w:t xml:space="preserve"> page 6</w:t>
      </w:r>
      <w:r w:rsidR="00602C65">
        <w:rPr>
          <w:rFonts w:cs="Arial"/>
          <w:sz w:val="16"/>
          <w:szCs w:val="16"/>
        </w:rPr>
        <w:t>)</w:t>
      </w:r>
      <w:r w:rsidR="001521A8">
        <w:rPr>
          <w:rFonts w:cs="Arial"/>
          <w:sz w:val="16"/>
          <w:szCs w:val="16"/>
        </w:rPr>
        <w:t>.</w:t>
      </w:r>
    </w:p>
  </w:footnote>
  <w:footnote w:id="287">
    <w:p w14:paraId="5FA07173" w14:textId="335E346D" w:rsidR="000E429D" w:rsidRPr="00CB4F47" w:rsidRDefault="000E429D" w:rsidP="002F3A8B">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sz w:val="16"/>
          <w:szCs w:val="16"/>
        </w:rPr>
        <w:t xml:space="preserve"> </w:t>
      </w:r>
      <w:r w:rsidR="00A671DF">
        <w:rPr>
          <w:rFonts w:cs="Arial"/>
          <w:sz w:val="16"/>
          <w:szCs w:val="16"/>
        </w:rPr>
        <w:t>F</w:t>
      </w:r>
      <w:r w:rsidR="00A671DF" w:rsidRPr="00575A5D">
        <w:rPr>
          <w:rFonts w:cs="Arial"/>
          <w:sz w:val="16"/>
          <w:szCs w:val="16"/>
        </w:rPr>
        <w:t>or</w:t>
      </w:r>
      <w:r w:rsidRPr="00575A5D">
        <w:rPr>
          <w:rFonts w:cs="Arial"/>
          <w:sz w:val="16"/>
          <w:szCs w:val="16"/>
        </w:rPr>
        <w:t xml:space="preserve"> example</w:t>
      </w:r>
      <w:r w:rsidR="001237A9">
        <w:rPr>
          <w:rFonts w:cs="Arial"/>
          <w:sz w:val="16"/>
          <w:szCs w:val="16"/>
        </w:rPr>
        <w:t>,</w:t>
      </w:r>
      <w:r w:rsidR="006A348B">
        <w:rPr>
          <w:rFonts w:cs="Arial"/>
          <w:sz w:val="16"/>
          <w:szCs w:val="16"/>
        </w:rPr>
        <w:t xml:space="preserve"> </w:t>
      </w:r>
      <w:r w:rsidRPr="00575A5D">
        <w:rPr>
          <w:rFonts w:cs="Arial"/>
          <w:sz w:val="16"/>
          <w:szCs w:val="16"/>
        </w:rPr>
        <w:t>the case of</w:t>
      </w:r>
      <w:r w:rsidRPr="00CB4F47">
        <w:rPr>
          <w:rFonts w:cs="Arial"/>
          <w:sz w:val="16"/>
          <w:szCs w:val="16"/>
        </w:rPr>
        <w:t xml:space="preserve"> Clutha Mackenzie</w:t>
      </w:r>
      <w:r w:rsidR="00B91417">
        <w:rPr>
          <w:rFonts w:cs="Arial"/>
          <w:sz w:val="16"/>
          <w:szCs w:val="16"/>
        </w:rPr>
        <w:t xml:space="preserve"> in</w:t>
      </w:r>
      <w:r w:rsidR="00E11A60">
        <w:rPr>
          <w:rFonts w:cs="Arial"/>
          <w:sz w:val="16"/>
          <w:szCs w:val="16"/>
        </w:rPr>
        <w:t xml:space="preserve"> </w:t>
      </w:r>
      <w:r w:rsidR="00C52E1A">
        <w:rPr>
          <w:rFonts w:cs="Arial"/>
          <w:sz w:val="16"/>
          <w:szCs w:val="16"/>
        </w:rPr>
        <w:t xml:space="preserve">Hansen, P, </w:t>
      </w:r>
      <w:r w:rsidRPr="00CB4F47">
        <w:rPr>
          <w:rFonts w:cs="Arial"/>
          <w:sz w:val="16"/>
          <w:szCs w:val="16"/>
        </w:rPr>
        <w:t>Mackenzie, Clutha Nantes, Dictionary of New Zealand Biography (</w:t>
      </w:r>
      <w:r w:rsidR="006A348B" w:rsidRPr="00CB4F47">
        <w:rPr>
          <w:rFonts w:cs="Arial"/>
          <w:sz w:val="16"/>
          <w:szCs w:val="16"/>
        </w:rPr>
        <w:t xml:space="preserve">Te Ara </w:t>
      </w:r>
      <w:r w:rsidR="006A348B">
        <w:rPr>
          <w:rFonts w:cs="Arial"/>
          <w:sz w:val="16"/>
          <w:szCs w:val="16"/>
        </w:rPr>
        <w:t>–</w:t>
      </w:r>
      <w:r w:rsidR="006A348B" w:rsidRPr="00CB4F47">
        <w:rPr>
          <w:rFonts w:cs="Arial"/>
          <w:sz w:val="16"/>
          <w:szCs w:val="16"/>
        </w:rPr>
        <w:t xml:space="preserve"> </w:t>
      </w:r>
      <w:r w:rsidR="00186A37">
        <w:rPr>
          <w:rFonts w:cs="Arial"/>
          <w:sz w:val="16"/>
          <w:szCs w:val="16"/>
        </w:rPr>
        <w:t>T</w:t>
      </w:r>
      <w:r w:rsidR="006A348B" w:rsidRPr="00CB4F47">
        <w:rPr>
          <w:rFonts w:cs="Arial"/>
          <w:sz w:val="16"/>
          <w:szCs w:val="16"/>
        </w:rPr>
        <w:t xml:space="preserve">he </w:t>
      </w:r>
      <w:r w:rsidR="006A348B">
        <w:rPr>
          <w:rFonts w:cs="Arial"/>
          <w:sz w:val="16"/>
          <w:szCs w:val="16"/>
        </w:rPr>
        <w:t>Encyclopedia</w:t>
      </w:r>
      <w:r w:rsidR="006A348B" w:rsidRPr="00CB4F47">
        <w:rPr>
          <w:rFonts w:cs="Arial"/>
          <w:sz w:val="16"/>
          <w:szCs w:val="16"/>
        </w:rPr>
        <w:t xml:space="preserve"> of New </w:t>
      </w:r>
      <w:r w:rsidR="00A671DF" w:rsidRPr="00CB4F47">
        <w:rPr>
          <w:rFonts w:cs="Arial"/>
          <w:sz w:val="16"/>
          <w:szCs w:val="16"/>
        </w:rPr>
        <w:t>Zealand</w:t>
      </w:r>
      <w:r w:rsidRPr="00CB4F47">
        <w:rPr>
          <w:rFonts w:cs="Arial"/>
          <w:sz w:val="16"/>
          <w:szCs w:val="16"/>
        </w:rPr>
        <w:t>, first published in 1998, updated February 2006)</w:t>
      </w:r>
      <w:r w:rsidR="005C7D51">
        <w:rPr>
          <w:rFonts w:cs="Arial"/>
          <w:sz w:val="16"/>
          <w:szCs w:val="16"/>
        </w:rPr>
        <w:t xml:space="preserve">, </w:t>
      </w:r>
      <w:hyperlink r:id="rId69" w:history="1">
        <w:r w:rsidR="005C7D51" w:rsidRPr="00DD5764">
          <w:rPr>
            <w:rStyle w:val="Hyperlink"/>
            <w:rFonts w:cs="Arial"/>
            <w:sz w:val="16"/>
            <w:szCs w:val="16"/>
          </w:rPr>
          <w:t>https://teara.govt.nz/en/biographies/4m17/mackenzie-clutha-nantes</w:t>
        </w:r>
      </w:hyperlink>
      <w:r w:rsidRPr="00CB4F47">
        <w:rPr>
          <w:rFonts w:cs="Arial"/>
          <w:sz w:val="16"/>
          <w:szCs w:val="16"/>
        </w:rPr>
        <w:t>.</w:t>
      </w:r>
    </w:p>
  </w:footnote>
  <w:footnote w:id="288">
    <w:p w14:paraId="28D06001" w14:textId="012B0F5D"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Sullivan, M</w:t>
      </w:r>
      <w:r w:rsidR="00A671DF" w:rsidRPr="00CB4F47">
        <w:rPr>
          <w:rFonts w:cs="Arial"/>
          <w:sz w:val="16"/>
          <w:szCs w:val="16"/>
        </w:rPr>
        <w:t>,</w:t>
      </w:r>
      <w:r w:rsidRPr="00CB4F47">
        <w:rPr>
          <w:rFonts w:cs="Arial"/>
          <w:sz w:val="16"/>
          <w:szCs w:val="16"/>
        </w:rPr>
        <w:t xml:space="preserve"> Disability and disability organisations (Te Ara </w:t>
      </w:r>
      <w:r w:rsidR="00A671DF">
        <w:rPr>
          <w:rFonts w:cs="Arial"/>
          <w:sz w:val="16"/>
          <w:szCs w:val="16"/>
        </w:rPr>
        <w:t>–</w:t>
      </w:r>
      <w:r w:rsidR="00A671DF" w:rsidRPr="00CB4F47">
        <w:rPr>
          <w:rFonts w:cs="Arial"/>
          <w:sz w:val="16"/>
          <w:szCs w:val="16"/>
        </w:rPr>
        <w:t xml:space="preserve"> </w:t>
      </w:r>
      <w:r w:rsidR="00A671DF">
        <w:rPr>
          <w:rFonts w:cs="Arial"/>
          <w:sz w:val="16"/>
          <w:szCs w:val="16"/>
        </w:rPr>
        <w:t>T</w:t>
      </w:r>
      <w:r w:rsidR="00A671DF" w:rsidRPr="00CB4F47">
        <w:rPr>
          <w:rFonts w:cs="Arial"/>
          <w:sz w:val="16"/>
          <w:szCs w:val="16"/>
        </w:rPr>
        <w:t xml:space="preserve">he </w:t>
      </w:r>
      <w:r w:rsidR="00A671DF">
        <w:rPr>
          <w:rFonts w:cs="Arial"/>
          <w:sz w:val="16"/>
          <w:szCs w:val="16"/>
        </w:rPr>
        <w:t>Encyclopedia</w:t>
      </w:r>
      <w:r w:rsidRPr="00CB4F47">
        <w:rPr>
          <w:rFonts w:cs="Arial"/>
          <w:sz w:val="16"/>
          <w:szCs w:val="16"/>
        </w:rPr>
        <w:t xml:space="preserve"> of New Zealand, 2018)</w:t>
      </w:r>
      <w:r w:rsidR="007D7054">
        <w:rPr>
          <w:rFonts w:cs="Arial"/>
          <w:sz w:val="16"/>
          <w:szCs w:val="16"/>
        </w:rPr>
        <w:t xml:space="preserve">, </w:t>
      </w:r>
      <w:hyperlink r:id="rId70" w:history="1">
        <w:r w:rsidR="007D7054" w:rsidRPr="007D7054">
          <w:rPr>
            <w:rStyle w:val="Hyperlink"/>
            <w:rFonts w:cs="Arial"/>
            <w:sz w:val="16"/>
            <w:szCs w:val="16"/>
          </w:rPr>
          <w:t>https://teara.govt.nz/en/disability-and-disability-organisations</w:t>
        </w:r>
      </w:hyperlink>
      <w:r w:rsidRPr="00CB4F47">
        <w:rPr>
          <w:rFonts w:cs="Arial"/>
          <w:sz w:val="16"/>
          <w:szCs w:val="16"/>
        </w:rPr>
        <w:t>.</w:t>
      </w:r>
    </w:p>
  </w:footnote>
  <w:footnote w:id="289">
    <w:p w14:paraId="563E5FC3" w14:textId="3555121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Macpherson, C</w:t>
      </w:r>
      <w:r w:rsidR="00A671DF" w:rsidRPr="00CB4F47">
        <w:rPr>
          <w:rFonts w:cs="Arial"/>
          <w:color w:val="auto"/>
          <w:sz w:val="16"/>
          <w:szCs w:val="16"/>
        </w:rPr>
        <w:t>,</w:t>
      </w:r>
      <w:r w:rsidRPr="00CB4F47">
        <w:rPr>
          <w:rFonts w:cs="Arial"/>
          <w:color w:val="auto"/>
          <w:sz w:val="16"/>
          <w:szCs w:val="16"/>
        </w:rPr>
        <w:t xml:space="preserve"> Pacific churches in New Zealand</w:t>
      </w:r>
      <w:r w:rsidR="007D7054">
        <w:rPr>
          <w:rFonts w:cs="Arial"/>
          <w:color w:val="auto"/>
          <w:sz w:val="16"/>
          <w:szCs w:val="16"/>
        </w:rPr>
        <w:t>:</w:t>
      </w:r>
      <w:r w:rsidRPr="00CB4F47" w:rsidDel="007D7054">
        <w:rPr>
          <w:rFonts w:cs="Arial"/>
          <w:color w:val="auto"/>
          <w:sz w:val="16"/>
          <w:szCs w:val="16"/>
        </w:rPr>
        <w:t xml:space="preserve"> </w:t>
      </w:r>
      <w:r w:rsidRPr="00CB4F47">
        <w:rPr>
          <w:rFonts w:cs="Arial"/>
          <w:color w:val="auto"/>
          <w:sz w:val="16"/>
          <w:szCs w:val="16"/>
        </w:rPr>
        <w:t>Programmes and services (</w:t>
      </w:r>
      <w:r w:rsidR="00336A86" w:rsidRPr="00CB4F47">
        <w:rPr>
          <w:rFonts w:cs="Arial"/>
          <w:sz w:val="16"/>
          <w:szCs w:val="16"/>
        </w:rPr>
        <w:t xml:space="preserve">Te Ara </w:t>
      </w:r>
      <w:r w:rsidR="00336A86">
        <w:rPr>
          <w:rFonts w:cs="Arial"/>
          <w:sz w:val="16"/>
          <w:szCs w:val="16"/>
        </w:rPr>
        <w:t>–</w:t>
      </w:r>
      <w:r w:rsidR="00336A86" w:rsidRPr="00CB4F47">
        <w:rPr>
          <w:rFonts w:cs="Arial"/>
          <w:sz w:val="16"/>
          <w:szCs w:val="16"/>
        </w:rPr>
        <w:t xml:space="preserve"> </w:t>
      </w:r>
      <w:r w:rsidR="00186A37">
        <w:rPr>
          <w:rFonts w:cs="Arial"/>
          <w:sz w:val="16"/>
          <w:szCs w:val="16"/>
        </w:rPr>
        <w:t>T</w:t>
      </w:r>
      <w:r w:rsidR="00336A86" w:rsidRPr="00CB4F47">
        <w:rPr>
          <w:rFonts w:cs="Arial"/>
          <w:sz w:val="16"/>
          <w:szCs w:val="16"/>
        </w:rPr>
        <w:t xml:space="preserve">he </w:t>
      </w:r>
      <w:r w:rsidR="00336A86">
        <w:rPr>
          <w:rFonts w:cs="Arial"/>
          <w:sz w:val="16"/>
          <w:szCs w:val="16"/>
        </w:rPr>
        <w:t>Encyclopedia</w:t>
      </w:r>
      <w:r w:rsidR="00336A86" w:rsidRPr="00CB4F47">
        <w:rPr>
          <w:rFonts w:cs="Arial"/>
          <w:sz w:val="16"/>
          <w:szCs w:val="16"/>
        </w:rPr>
        <w:t xml:space="preserve"> of New </w:t>
      </w:r>
      <w:r w:rsidR="00A671DF" w:rsidRPr="00CB4F47">
        <w:rPr>
          <w:rFonts w:cs="Arial"/>
          <w:sz w:val="16"/>
          <w:szCs w:val="16"/>
        </w:rPr>
        <w:t>Zealand</w:t>
      </w:r>
      <w:r w:rsidRPr="00CB4F47">
        <w:rPr>
          <w:rFonts w:cs="Arial"/>
          <w:color w:val="auto"/>
          <w:sz w:val="16"/>
          <w:szCs w:val="16"/>
        </w:rPr>
        <w:t>, 2018)</w:t>
      </w:r>
      <w:r w:rsidR="00D5537D" w:rsidRPr="00D5537D">
        <w:rPr>
          <w:rFonts w:cs="Arial"/>
          <w:color w:val="auto"/>
          <w:sz w:val="16"/>
          <w:szCs w:val="16"/>
        </w:rPr>
        <w:t xml:space="preserve"> </w:t>
      </w:r>
      <w:r w:rsidR="00D5537D">
        <w:rPr>
          <w:rFonts w:cs="Arial"/>
          <w:color w:val="auto"/>
          <w:sz w:val="16"/>
          <w:szCs w:val="16"/>
        </w:rPr>
        <w:t xml:space="preserve">, </w:t>
      </w:r>
      <w:hyperlink r:id="rId71" w:history="1">
        <w:r w:rsidR="00D5537D" w:rsidRPr="00EC38C0">
          <w:rPr>
            <w:rStyle w:val="Hyperlink"/>
            <w:rFonts w:cs="Arial"/>
            <w:sz w:val="16"/>
            <w:szCs w:val="16"/>
          </w:rPr>
          <w:t>https://teara.govt.nz/en/pacific-churches-in-new-zealand/page-2</w:t>
        </w:r>
      </w:hyperlink>
      <w:r w:rsidR="00D5537D" w:rsidRPr="00CB4F47">
        <w:rPr>
          <w:rFonts w:cs="Arial"/>
          <w:color w:val="auto"/>
          <w:sz w:val="16"/>
          <w:szCs w:val="16"/>
        </w:rPr>
        <w:t>.</w:t>
      </w:r>
    </w:p>
  </w:footnote>
  <w:footnote w:id="290">
    <w:p w14:paraId="31EC9126" w14:textId="1BA4506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Consedine, R</w:t>
      </w:r>
      <w:r w:rsidR="00A671DF" w:rsidRPr="00CB4F47">
        <w:rPr>
          <w:rFonts w:cs="Arial"/>
          <w:color w:val="auto"/>
          <w:sz w:val="16"/>
          <w:szCs w:val="16"/>
        </w:rPr>
        <w:t>,</w:t>
      </w:r>
      <w:r w:rsidRPr="00CB4F47">
        <w:rPr>
          <w:rFonts w:cs="Arial"/>
          <w:color w:val="auto"/>
          <w:sz w:val="16"/>
          <w:szCs w:val="16"/>
        </w:rPr>
        <w:t xml:space="preserve"> Anti-racism and Treaty of Waitangi activism: Government and community anti-racism organisations</w:t>
      </w:r>
      <w:r w:rsidR="00602C65">
        <w:rPr>
          <w:rFonts w:cs="Arial"/>
          <w:color w:val="auto"/>
          <w:sz w:val="16"/>
          <w:szCs w:val="16"/>
        </w:rPr>
        <w:t xml:space="preserve"> </w:t>
      </w:r>
      <w:r w:rsidR="00A671DF">
        <w:rPr>
          <w:rFonts w:cs="Arial"/>
          <w:color w:val="auto"/>
          <w:sz w:val="16"/>
          <w:szCs w:val="16"/>
        </w:rPr>
        <w:t>(</w:t>
      </w:r>
      <w:r w:rsidRPr="00CB4F47">
        <w:rPr>
          <w:rFonts w:cs="Arial"/>
          <w:color w:val="auto"/>
          <w:sz w:val="16"/>
          <w:szCs w:val="16"/>
        </w:rPr>
        <w:t xml:space="preserve">Te Ara </w:t>
      </w:r>
      <w:r w:rsidR="002A0AB5">
        <w:rPr>
          <w:rFonts w:cs="Arial"/>
          <w:color w:val="auto"/>
          <w:sz w:val="16"/>
          <w:szCs w:val="16"/>
        </w:rPr>
        <w:t>–</w:t>
      </w:r>
      <w:r w:rsidR="002A0AB5" w:rsidRPr="00CB4F47">
        <w:rPr>
          <w:rFonts w:cs="Arial"/>
          <w:color w:val="auto"/>
          <w:sz w:val="16"/>
          <w:szCs w:val="16"/>
        </w:rPr>
        <w:t xml:space="preserve"> </w:t>
      </w:r>
      <w:r w:rsidR="00990E32">
        <w:rPr>
          <w:rFonts w:cs="Arial"/>
          <w:color w:val="auto"/>
          <w:sz w:val="16"/>
          <w:szCs w:val="16"/>
        </w:rPr>
        <w:t>T</w:t>
      </w:r>
      <w:r w:rsidRPr="00CB4F47">
        <w:rPr>
          <w:rFonts w:cs="Arial"/>
          <w:color w:val="auto"/>
          <w:sz w:val="16"/>
          <w:szCs w:val="16"/>
        </w:rPr>
        <w:t xml:space="preserve">he </w:t>
      </w:r>
      <w:r w:rsidRPr="00CB4F47" w:rsidDel="00207C05">
        <w:rPr>
          <w:rFonts w:cs="Arial"/>
          <w:color w:val="auto"/>
          <w:sz w:val="16"/>
          <w:szCs w:val="16"/>
        </w:rPr>
        <w:t>Encyclopedia</w:t>
      </w:r>
      <w:r w:rsidRPr="00CB4F47">
        <w:rPr>
          <w:rFonts w:cs="Arial"/>
          <w:color w:val="auto"/>
          <w:sz w:val="16"/>
          <w:szCs w:val="16"/>
        </w:rPr>
        <w:t xml:space="preserve"> of New Zealand</w:t>
      </w:r>
      <w:r w:rsidR="00A671DF">
        <w:rPr>
          <w:rFonts w:cs="Arial"/>
          <w:color w:val="auto"/>
          <w:sz w:val="16"/>
          <w:szCs w:val="16"/>
        </w:rPr>
        <w:t>,</w:t>
      </w:r>
      <w:r w:rsidR="00A671DF" w:rsidRPr="00CB4F47">
        <w:rPr>
          <w:rFonts w:cs="Arial"/>
          <w:color w:val="auto"/>
          <w:sz w:val="16"/>
          <w:szCs w:val="16"/>
        </w:rPr>
        <w:t xml:space="preserve"> </w:t>
      </w:r>
      <w:r w:rsidRPr="00CB4F47">
        <w:rPr>
          <w:rFonts w:cs="Arial"/>
          <w:color w:val="auto"/>
          <w:sz w:val="16"/>
          <w:szCs w:val="16"/>
        </w:rPr>
        <w:t xml:space="preserve">5 May 2011, revised 28 </w:t>
      </w:r>
      <w:r w:rsidR="00C32E74" w:rsidRPr="00CB4F47">
        <w:rPr>
          <w:rFonts w:cs="Arial"/>
          <w:color w:val="auto"/>
          <w:sz w:val="16"/>
          <w:szCs w:val="16"/>
        </w:rPr>
        <w:t>May</w:t>
      </w:r>
      <w:r w:rsidRPr="00CB4F47">
        <w:rPr>
          <w:rFonts w:cs="Arial"/>
          <w:color w:val="auto"/>
          <w:sz w:val="16"/>
          <w:szCs w:val="16"/>
        </w:rPr>
        <w:t xml:space="preserve"> 2018</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sz w:val="16"/>
          <w:szCs w:val="16"/>
        </w:rPr>
        <w:t>page</w:t>
      </w:r>
      <w:r w:rsidRPr="00CB4F47">
        <w:rPr>
          <w:rFonts w:cs="Arial"/>
          <w:sz w:val="16"/>
          <w:szCs w:val="16"/>
        </w:rPr>
        <w:t xml:space="preserve"> </w:t>
      </w:r>
      <w:r w:rsidRPr="00CB4F47">
        <w:rPr>
          <w:rFonts w:cs="Arial"/>
          <w:color w:val="auto"/>
          <w:sz w:val="16"/>
          <w:szCs w:val="16"/>
        </w:rPr>
        <w:t>5</w:t>
      </w:r>
      <w:r w:rsidR="00602C65">
        <w:rPr>
          <w:rFonts w:cs="Arial"/>
          <w:color w:val="auto"/>
          <w:sz w:val="16"/>
          <w:szCs w:val="16"/>
        </w:rPr>
        <w:t>)</w:t>
      </w:r>
      <w:r w:rsidR="00C75CAC">
        <w:rPr>
          <w:rFonts w:cs="Arial"/>
          <w:color w:val="auto"/>
          <w:sz w:val="16"/>
          <w:szCs w:val="16"/>
        </w:rPr>
        <w:t xml:space="preserve">, </w:t>
      </w:r>
      <w:hyperlink r:id="rId72" w:history="1">
        <w:r w:rsidR="00C75CAC" w:rsidRPr="00C75CAC">
          <w:rPr>
            <w:rStyle w:val="Hyperlink"/>
            <w:rFonts w:cs="Arial"/>
            <w:sz w:val="16"/>
            <w:szCs w:val="16"/>
          </w:rPr>
          <w:t>https://teara.govt.nz/en/anti-racism-and-treaty-of-waitangi-activism/page-5</w:t>
        </w:r>
      </w:hyperlink>
      <w:r w:rsidRPr="00CB4F47">
        <w:rPr>
          <w:rFonts w:cs="Arial"/>
          <w:color w:val="auto"/>
          <w:sz w:val="16"/>
          <w:szCs w:val="16"/>
        </w:rPr>
        <w:t>.</w:t>
      </w:r>
    </w:p>
  </w:footnote>
  <w:footnote w:id="291">
    <w:p w14:paraId="73608634" w14:textId="77777777" w:rsidR="00697AA7" w:rsidRPr="00FC5F93" w:rsidRDefault="00697AA7" w:rsidP="00697AA7">
      <w:pPr>
        <w:pStyle w:val="FootnoteText"/>
        <w:spacing w:before="0" w:after="0" w:line="20" w:lineRule="atLeast"/>
        <w:jc w:val="left"/>
        <w:rPr>
          <w:rFonts w:cs="Arial"/>
          <w:color w:val="auto"/>
          <w:sz w:val="16"/>
          <w:szCs w:val="16"/>
        </w:rPr>
      </w:pPr>
      <w:r w:rsidRPr="000A5F86">
        <w:rPr>
          <w:rStyle w:val="StyleFootnoteReferenceFagoFunotenzeichenFagoFunotenzeichen"/>
          <w:sz w:val="16"/>
          <w:szCs w:val="16"/>
        </w:rPr>
        <w:footnoteRef/>
      </w:r>
      <w:r w:rsidRPr="00FC5F93">
        <w:rPr>
          <w:rFonts w:cs="Arial"/>
          <w:color w:val="auto"/>
          <w:sz w:val="16"/>
          <w:szCs w:val="16"/>
        </w:rPr>
        <w:t xml:space="preserve"> Lesbian and Gay Archives of New Zealand, “Legislating homosexuality,” in Laurie, A &amp; Evans, L (eds), Twenty years on: Histories of homosexual law reform in New Zealand (Massey University, 2009</w:t>
      </w:r>
      <w:r>
        <w:rPr>
          <w:rFonts w:cs="Arial"/>
          <w:color w:val="auto"/>
          <w:sz w:val="16"/>
          <w:szCs w:val="16"/>
        </w:rPr>
        <w:t>, page 95</w:t>
      </w:r>
      <w:r w:rsidRPr="00FC5F93">
        <w:rPr>
          <w:rFonts w:cs="Arial"/>
          <w:color w:val="auto"/>
          <w:sz w:val="16"/>
          <w:szCs w:val="16"/>
        </w:rPr>
        <w:t>).</w:t>
      </w:r>
    </w:p>
  </w:footnote>
  <w:footnote w:id="292">
    <w:p w14:paraId="2FFEF1EC" w14:textId="5C1D54A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Lesbian and Gay Archives of New Zealand, “Legislating homosexuality</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Laurie, A &amp; Evans, L (eds</w:t>
      </w:r>
      <w:r w:rsidR="00A671DF" w:rsidRPr="00CB4F47">
        <w:rPr>
          <w:rFonts w:cs="Arial"/>
          <w:color w:val="auto"/>
          <w:sz w:val="16"/>
          <w:szCs w:val="16"/>
        </w:rPr>
        <w:t>)</w:t>
      </w:r>
      <w:r w:rsidR="00A671DF">
        <w:rPr>
          <w:rFonts w:cs="Arial"/>
          <w:color w:val="auto"/>
          <w:sz w:val="16"/>
          <w:szCs w:val="16"/>
        </w:rPr>
        <w:t>,</w:t>
      </w:r>
      <w:r w:rsidRPr="00CB4F47">
        <w:rPr>
          <w:rFonts w:cs="Arial"/>
          <w:color w:val="auto"/>
          <w:sz w:val="16"/>
          <w:szCs w:val="16"/>
        </w:rPr>
        <w:t xml:space="preserve"> Twenty years on: Histories of homosexual law reform in New Zealand (Massey University, 2009</w:t>
      </w:r>
      <w:r w:rsidR="00A671DF" w:rsidRPr="00CB4F47">
        <w:rPr>
          <w:rFonts w:cs="Arial"/>
          <w:color w:val="auto"/>
          <w:sz w:val="16"/>
          <w:szCs w:val="16"/>
        </w:rPr>
        <w:t>,</w:t>
      </w:r>
      <w:r w:rsidRPr="00CB4F47">
        <w:rPr>
          <w:rFonts w:cs="Arial"/>
          <w:color w:val="auto"/>
          <w:sz w:val="16"/>
          <w:szCs w:val="16"/>
        </w:rPr>
        <w:t xml:space="preserve"> pages 95</w:t>
      </w:r>
      <w:r w:rsidRPr="00CB4F47">
        <w:rPr>
          <w:rFonts w:cs="Arial"/>
          <w:sz w:val="16"/>
          <w:szCs w:val="16"/>
        </w:rPr>
        <w:t>–</w:t>
      </w:r>
      <w:r w:rsidRPr="00CB4F47">
        <w:rPr>
          <w:rFonts w:cs="Arial"/>
          <w:color w:val="auto"/>
          <w:sz w:val="16"/>
          <w:szCs w:val="16"/>
        </w:rPr>
        <w:t>97</w:t>
      </w:r>
      <w:r w:rsidR="00602C65">
        <w:rPr>
          <w:rFonts w:cs="Arial"/>
          <w:color w:val="auto"/>
          <w:sz w:val="16"/>
          <w:szCs w:val="16"/>
        </w:rPr>
        <w:t>)</w:t>
      </w:r>
      <w:r w:rsidRPr="00CB4F47">
        <w:rPr>
          <w:rFonts w:cs="Arial"/>
          <w:color w:val="auto"/>
          <w:sz w:val="16"/>
          <w:szCs w:val="16"/>
        </w:rPr>
        <w:t xml:space="preserve">. </w:t>
      </w:r>
    </w:p>
  </w:footnote>
  <w:footnote w:id="293">
    <w:p w14:paraId="6FEA7A85" w14:textId="314E6E1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Lesbian and Gay Archives of New Zealand, “Legislating homosexuality</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Laurie, A &amp; Evans, L (eds</w:t>
      </w:r>
      <w:r w:rsidR="00A671DF" w:rsidRPr="00CB4F47">
        <w:rPr>
          <w:rFonts w:cs="Arial"/>
          <w:color w:val="auto"/>
          <w:sz w:val="16"/>
          <w:szCs w:val="16"/>
        </w:rPr>
        <w:t>)</w:t>
      </w:r>
      <w:r w:rsidR="00A671DF">
        <w:rPr>
          <w:rFonts w:cs="Arial"/>
          <w:color w:val="auto"/>
          <w:sz w:val="16"/>
          <w:szCs w:val="16"/>
        </w:rPr>
        <w:t>,</w:t>
      </w:r>
      <w:r w:rsidRPr="00CB4F47">
        <w:rPr>
          <w:rFonts w:cs="Arial"/>
          <w:color w:val="auto"/>
          <w:sz w:val="16"/>
          <w:szCs w:val="16"/>
        </w:rPr>
        <w:t xml:space="preserve"> Twenty years on: Histories of homosexual law reform in New Zealand (Massey University, 2009</w:t>
      </w:r>
      <w:r w:rsidR="00A671DF" w:rsidRPr="00CB4F47">
        <w:rPr>
          <w:rFonts w:cs="Arial"/>
          <w:color w:val="auto"/>
          <w:sz w:val="16"/>
          <w:szCs w:val="16"/>
        </w:rPr>
        <w:t>,</w:t>
      </w:r>
      <w:r w:rsidRPr="00CB4F47">
        <w:rPr>
          <w:rFonts w:cs="Arial"/>
          <w:color w:val="auto"/>
          <w:sz w:val="16"/>
          <w:szCs w:val="16"/>
        </w:rPr>
        <w:t xml:space="preserve"> pages 95</w:t>
      </w:r>
      <w:r w:rsidRPr="00CB4F47">
        <w:rPr>
          <w:rFonts w:cs="Arial"/>
          <w:sz w:val="16"/>
          <w:szCs w:val="16"/>
        </w:rPr>
        <w:t>–</w:t>
      </w:r>
      <w:r w:rsidRPr="00CB4F47">
        <w:rPr>
          <w:rFonts w:cs="Arial"/>
          <w:color w:val="auto"/>
          <w:sz w:val="16"/>
          <w:szCs w:val="16"/>
        </w:rPr>
        <w:t>97</w:t>
      </w:r>
      <w:r w:rsidR="00602C65">
        <w:rPr>
          <w:rFonts w:cs="Arial"/>
          <w:color w:val="auto"/>
          <w:sz w:val="16"/>
          <w:szCs w:val="16"/>
        </w:rPr>
        <w:t>)</w:t>
      </w:r>
      <w:r w:rsidRPr="00CB4F47">
        <w:rPr>
          <w:rFonts w:cs="Arial"/>
          <w:color w:val="auto"/>
          <w:sz w:val="16"/>
          <w:szCs w:val="16"/>
        </w:rPr>
        <w:t xml:space="preserve">. </w:t>
      </w:r>
    </w:p>
  </w:footnote>
  <w:footnote w:id="294">
    <w:p w14:paraId="18B1CD4C" w14:textId="28E1DA45" w:rsidR="000E429D" w:rsidRPr="00CB4F47" w:rsidRDefault="000E429D" w:rsidP="00C57877">
      <w:pPr>
        <w:pStyle w:val="FootnoteText"/>
        <w:spacing w:line="20" w:lineRule="atLeast"/>
        <w:jc w:val="left"/>
        <w:rPr>
          <w:rFonts w:cs="Arial"/>
          <w:color w:val="262626"/>
          <w:sz w:val="16"/>
          <w:szCs w:val="16"/>
        </w:rPr>
      </w:pPr>
      <w:r w:rsidRPr="00536E67">
        <w:rPr>
          <w:rStyle w:val="StyleFootnoteReferenceFagoFunotenzeichenFagoFunotenzeichen"/>
          <w:sz w:val="16"/>
          <w:szCs w:val="16"/>
        </w:rPr>
        <w:footnoteRef/>
      </w:r>
      <w:r w:rsidRPr="00CB4F47">
        <w:rPr>
          <w:rFonts w:cs="Arial"/>
          <w:color w:val="262626"/>
          <w:sz w:val="16"/>
          <w:szCs w:val="16"/>
        </w:rPr>
        <w:t xml:space="preserve"> Disabled Persons Community Welfare Act 1975, No 122, </w:t>
      </w:r>
      <w:r w:rsidR="00C32E74" w:rsidRPr="00CB4F47">
        <w:rPr>
          <w:rFonts w:cs="Arial"/>
          <w:color w:val="262626"/>
          <w:sz w:val="16"/>
          <w:szCs w:val="16"/>
        </w:rPr>
        <w:t>sections</w:t>
      </w:r>
      <w:r w:rsidRPr="00CB4F47">
        <w:rPr>
          <w:rFonts w:cs="Arial"/>
          <w:color w:val="262626"/>
          <w:sz w:val="16"/>
          <w:szCs w:val="16"/>
        </w:rPr>
        <w:t xml:space="preserve"> 13 and 31.</w:t>
      </w:r>
    </w:p>
  </w:footnote>
  <w:footnote w:id="295">
    <w:p w14:paraId="781DA7FC" w14:textId="6027B9C8" w:rsidR="000E429D" w:rsidRPr="00CB4F47" w:rsidRDefault="000E429D" w:rsidP="00C57877">
      <w:pPr>
        <w:pStyle w:val="FootnoteText"/>
        <w:spacing w:line="20" w:lineRule="atLeast"/>
        <w:jc w:val="left"/>
        <w:rPr>
          <w:rFonts w:cs="Arial"/>
          <w:color w:val="262626"/>
          <w:sz w:val="16"/>
          <w:szCs w:val="16"/>
        </w:rPr>
      </w:pPr>
      <w:r w:rsidRPr="00536E67">
        <w:rPr>
          <w:rStyle w:val="StyleFootnoteReferenceFagoFunotenzeichenFagoFunotenzeichen"/>
          <w:sz w:val="16"/>
          <w:szCs w:val="16"/>
        </w:rPr>
        <w:footnoteRef/>
      </w:r>
      <w:r w:rsidRPr="00CB4F47">
        <w:rPr>
          <w:rFonts w:cs="Arial"/>
          <w:color w:val="262626"/>
          <w:sz w:val="16"/>
          <w:szCs w:val="16"/>
        </w:rPr>
        <w:t xml:space="preserve"> Wright, M</w:t>
      </w:r>
      <w:r w:rsidR="00C32E74" w:rsidRPr="00CB4F47">
        <w:rPr>
          <w:rFonts w:cs="Arial"/>
          <w:color w:val="262626"/>
          <w:sz w:val="16"/>
          <w:szCs w:val="16"/>
        </w:rPr>
        <w:t>,</w:t>
      </w:r>
      <w:r w:rsidRPr="00CB4F47">
        <w:rPr>
          <w:rFonts w:cs="Arial"/>
          <w:color w:val="262626"/>
          <w:sz w:val="16"/>
          <w:szCs w:val="16"/>
        </w:rPr>
        <w:t xml:space="preserve"> Illustrated history of New Zealand (David Bateman, </w:t>
      </w:r>
      <w:r w:rsidR="00A671DF" w:rsidRPr="00CB4F47">
        <w:rPr>
          <w:rFonts w:cs="Arial"/>
          <w:color w:val="262626"/>
          <w:sz w:val="16"/>
          <w:szCs w:val="16"/>
        </w:rPr>
        <w:t>2013,</w:t>
      </w:r>
      <w:r w:rsidRPr="00CB4F47">
        <w:rPr>
          <w:rFonts w:cs="Arial"/>
          <w:color w:val="262626"/>
          <w:sz w:val="16"/>
          <w:szCs w:val="16"/>
        </w:rPr>
        <w:t xml:space="preserve"> </w:t>
      </w:r>
      <w:r w:rsidR="00C32E74" w:rsidRPr="00CB4F47">
        <w:rPr>
          <w:rFonts w:cs="Arial"/>
          <w:sz w:val="16"/>
          <w:szCs w:val="16"/>
        </w:rPr>
        <w:t>page</w:t>
      </w:r>
      <w:r w:rsidRPr="00CB4F47">
        <w:rPr>
          <w:rFonts w:cs="Arial"/>
          <w:sz w:val="16"/>
          <w:szCs w:val="16"/>
        </w:rPr>
        <w:t xml:space="preserve"> </w:t>
      </w:r>
      <w:r w:rsidRPr="00CB4F47">
        <w:rPr>
          <w:rFonts w:cs="Arial"/>
          <w:color w:val="262626"/>
          <w:sz w:val="16"/>
          <w:szCs w:val="16"/>
        </w:rPr>
        <w:t>214</w:t>
      </w:r>
      <w:r w:rsidR="00602C65">
        <w:rPr>
          <w:rFonts w:cs="Arial"/>
          <w:color w:val="262626"/>
          <w:sz w:val="16"/>
          <w:szCs w:val="16"/>
        </w:rPr>
        <w:t>)</w:t>
      </w:r>
      <w:r w:rsidRPr="00CB4F47">
        <w:rPr>
          <w:rFonts w:cs="Arial"/>
          <w:color w:val="262626"/>
          <w:sz w:val="16"/>
          <w:szCs w:val="16"/>
        </w:rPr>
        <w:t>.</w:t>
      </w:r>
    </w:p>
  </w:footnote>
  <w:footnote w:id="296">
    <w:p w14:paraId="24C26469" w14:textId="2F855A77" w:rsidR="000E429D" w:rsidRPr="00CB4F47" w:rsidRDefault="000E429D" w:rsidP="00C57877">
      <w:pPr>
        <w:pStyle w:val="FootnoteText"/>
        <w:spacing w:line="20" w:lineRule="atLeast"/>
        <w:jc w:val="left"/>
        <w:rPr>
          <w:rFonts w:cs="Arial"/>
          <w:color w:val="262626"/>
          <w:sz w:val="16"/>
          <w:szCs w:val="16"/>
        </w:rPr>
      </w:pPr>
      <w:r w:rsidRPr="00536E67">
        <w:rPr>
          <w:rStyle w:val="StyleFootnoteReferenceFagoFunotenzeichenFagoFunotenzeichen"/>
          <w:sz w:val="16"/>
          <w:szCs w:val="16"/>
        </w:rPr>
        <w:footnoteRef/>
      </w:r>
      <w:r w:rsidRPr="00CB4F47">
        <w:rPr>
          <w:rFonts w:cs="Arial"/>
          <w:color w:val="262626"/>
          <w:sz w:val="16"/>
          <w:szCs w:val="16"/>
        </w:rPr>
        <w:t xml:space="preserve"> Wright, M</w:t>
      </w:r>
      <w:r w:rsidR="00C32E74" w:rsidRPr="00CB4F47">
        <w:rPr>
          <w:rFonts w:cs="Arial"/>
          <w:color w:val="262626"/>
          <w:sz w:val="16"/>
          <w:szCs w:val="16"/>
        </w:rPr>
        <w:t>,</w:t>
      </w:r>
      <w:r w:rsidRPr="00CB4F47">
        <w:rPr>
          <w:rFonts w:cs="Arial"/>
          <w:color w:val="262626"/>
          <w:sz w:val="16"/>
          <w:szCs w:val="16"/>
        </w:rPr>
        <w:t xml:space="preserve"> Illustrated history of New Zealand (David Bateman, </w:t>
      </w:r>
      <w:r w:rsidR="00A671DF" w:rsidRPr="001A740B">
        <w:rPr>
          <w:rFonts w:cs="Arial"/>
          <w:color w:val="262626"/>
          <w:sz w:val="16"/>
          <w:szCs w:val="16"/>
        </w:rPr>
        <w:t>2013,</w:t>
      </w:r>
      <w:r w:rsidRPr="00CB4F47">
        <w:rPr>
          <w:rFonts w:cs="Arial"/>
          <w:color w:val="262626"/>
          <w:sz w:val="16"/>
          <w:szCs w:val="16"/>
        </w:rPr>
        <w:t xml:space="preserve"> </w:t>
      </w:r>
      <w:r w:rsidR="00C32E74" w:rsidRPr="00CB4F47">
        <w:rPr>
          <w:rFonts w:cs="Arial"/>
          <w:sz w:val="16"/>
          <w:szCs w:val="16"/>
        </w:rPr>
        <w:t>page</w:t>
      </w:r>
      <w:r w:rsidRPr="00CB4F47">
        <w:rPr>
          <w:rFonts w:cs="Arial"/>
          <w:sz w:val="16"/>
          <w:szCs w:val="16"/>
        </w:rPr>
        <w:t xml:space="preserve"> </w:t>
      </w:r>
      <w:r w:rsidRPr="00CB4F47">
        <w:rPr>
          <w:rFonts w:cs="Arial"/>
          <w:color w:val="262626"/>
          <w:sz w:val="16"/>
          <w:szCs w:val="16"/>
        </w:rPr>
        <w:t>189</w:t>
      </w:r>
      <w:r w:rsidR="00602C65">
        <w:rPr>
          <w:rFonts w:cs="Arial"/>
          <w:color w:val="262626"/>
          <w:sz w:val="16"/>
          <w:szCs w:val="16"/>
        </w:rPr>
        <w:t>)</w:t>
      </w:r>
      <w:r w:rsidRPr="00CB4F47">
        <w:rPr>
          <w:rFonts w:cs="Arial"/>
          <w:color w:val="262626"/>
          <w:sz w:val="16"/>
          <w:szCs w:val="16"/>
        </w:rPr>
        <w:t>.</w:t>
      </w:r>
    </w:p>
  </w:footnote>
  <w:footnote w:id="297">
    <w:p w14:paraId="5092DF58" w14:textId="68DF690B" w:rsidR="000E429D" w:rsidRPr="00CB4F47" w:rsidRDefault="000E429D" w:rsidP="00C57877">
      <w:pPr>
        <w:pStyle w:val="FootnoteText"/>
        <w:spacing w:line="20" w:lineRule="atLeast"/>
        <w:jc w:val="left"/>
        <w:rPr>
          <w:rFonts w:cs="Arial"/>
          <w:color w:val="262626"/>
          <w:sz w:val="16"/>
          <w:szCs w:val="16"/>
        </w:rPr>
      </w:pPr>
      <w:r w:rsidRPr="00536E67">
        <w:rPr>
          <w:rStyle w:val="StyleFootnoteReferenceFagoFunotenzeichenFagoFunotenzeichen"/>
          <w:sz w:val="16"/>
          <w:szCs w:val="16"/>
        </w:rPr>
        <w:footnoteRef/>
      </w:r>
      <w:r w:rsidRPr="00CB4F47">
        <w:rPr>
          <w:rFonts w:cs="Arial"/>
          <w:color w:val="262626"/>
          <w:sz w:val="16"/>
          <w:szCs w:val="16"/>
        </w:rPr>
        <w:t xml:space="preserve"> Wright, M</w:t>
      </w:r>
      <w:r w:rsidR="00C32E74" w:rsidRPr="00CB4F47">
        <w:rPr>
          <w:rFonts w:cs="Arial"/>
          <w:color w:val="262626"/>
          <w:sz w:val="16"/>
          <w:szCs w:val="16"/>
        </w:rPr>
        <w:t>,</w:t>
      </w:r>
      <w:r w:rsidRPr="00CB4F47">
        <w:rPr>
          <w:rFonts w:cs="Arial"/>
          <w:color w:val="262626"/>
          <w:sz w:val="16"/>
          <w:szCs w:val="16"/>
        </w:rPr>
        <w:t xml:space="preserve"> Illustrated history of New Zealand (David Bateman, </w:t>
      </w:r>
      <w:r w:rsidR="00A671DF" w:rsidRPr="001A740B">
        <w:rPr>
          <w:rFonts w:cs="Arial"/>
          <w:color w:val="262626"/>
          <w:sz w:val="16"/>
          <w:szCs w:val="16"/>
        </w:rPr>
        <w:t>2013,</w:t>
      </w:r>
      <w:r w:rsidRPr="00CB4F47">
        <w:rPr>
          <w:rFonts w:cs="Arial"/>
          <w:color w:val="262626"/>
          <w:sz w:val="16"/>
          <w:szCs w:val="16"/>
        </w:rPr>
        <w:t xml:space="preserve"> </w:t>
      </w:r>
      <w:r w:rsidR="00C32E74" w:rsidRPr="00CB4F47">
        <w:rPr>
          <w:rFonts w:cs="Arial"/>
          <w:sz w:val="16"/>
          <w:szCs w:val="16"/>
        </w:rPr>
        <w:t>page</w:t>
      </w:r>
      <w:r w:rsidRPr="00CB4F47">
        <w:rPr>
          <w:rFonts w:cs="Arial"/>
          <w:sz w:val="16"/>
          <w:szCs w:val="16"/>
        </w:rPr>
        <w:t xml:space="preserve"> </w:t>
      </w:r>
      <w:r w:rsidRPr="00CB4F47">
        <w:rPr>
          <w:rFonts w:cs="Arial"/>
          <w:color w:val="262626"/>
          <w:sz w:val="16"/>
          <w:szCs w:val="16"/>
        </w:rPr>
        <w:t>290</w:t>
      </w:r>
      <w:r w:rsidR="00602C65">
        <w:rPr>
          <w:rFonts w:cs="Arial"/>
          <w:color w:val="262626"/>
          <w:sz w:val="16"/>
          <w:szCs w:val="16"/>
        </w:rPr>
        <w:t>)</w:t>
      </w:r>
      <w:r w:rsidRPr="00CB4F47">
        <w:rPr>
          <w:rFonts w:cs="Arial"/>
          <w:color w:val="262626"/>
          <w:sz w:val="16"/>
          <w:szCs w:val="16"/>
        </w:rPr>
        <w:t xml:space="preserve">. </w:t>
      </w:r>
    </w:p>
  </w:footnote>
  <w:footnote w:id="298">
    <w:p w14:paraId="21FC4855" w14:textId="5A8547CD" w:rsidR="008B263B" w:rsidRPr="00CB4F47" w:rsidRDefault="008B263B">
      <w:pPr>
        <w:pStyle w:val="FootnoteText"/>
        <w:rPr>
          <w:sz w:val="16"/>
          <w:szCs w:val="16"/>
        </w:rPr>
      </w:pPr>
      <w:r w:rsidRPr="00536E67">
        <w:rPr>
          <w:rStyle w:val="StyleFootnoteReferenceFagoFunotenzeichenFagoFunotenzeichen"/>
          <w:sz w:val="16"/>
          <w:szCs w:val="16"/>
        </w:rPr>
        <w:footnoteRef/>
      </w:r>
      <w:r w:rsidRPr="001A740B">
        <w:rPr>
          <w:color w:val="auto"/>
          <w:sz w:val="16"/>
          <w:szCs w:val="16"/>
        </w:rPr>
        <w:t xml:space="preserve"> </w:t>
      </w:r>
      <w:r w:rsidRPr="001A740B">
        <w:rPr>
          <w:rFonts w:cs="Arial"/>
          <w:color w:val="auto"/>
          <w:sz w:val="16"/>
          <w:szCs w:val="16"/>
        </w:rPr>
        <w:t xml:space="preserve">Labrum, </w:t>
      </w:r>
      <w:r w:rsidR="00A671DF" w:rsidRPr="001A740B">
        <w:rPr>
          <w:rFonts w:cs="Arial"/>
          <w:color w:val="auto"/>
          <w:sz w:val="16"/>
          <w:szCs w:val="16"/>
        </w:rPr>
        <w:t>B</w:t>
      </w:r>
      <w:r w:rsidRPr="001A740B">
        <w:rPr>
          <w:rFonts w:cs="Arial"/>
          <w:color w:val="auto"/>
          <w:sz w:val="16"/>
          <w:szCs w:val="16"/>
        </w:rPr>
        <w:t xml:space="preserve">, </w:t>
      </w:r>
      <w:r w:rsidR="00163A98" w:rsidRPr="001A740B">
        <w:rPr>
          <w:rFonts w:cs="Arial"/>
          <w:color w:val="auto"/>
          <w:sz w:val="16"/>
          <w:szCs w:val="16"/>
        </w:rPr>
        <w:t>“</w:t>
      </w:r>
      <w:r w:rsidRPr="001A740B">
        <w:rPr>
          <w:rFonts w:cs="Arial"/>
          <w:color w:val="auto"/>
          <w:sz w:val="16"/>
          <w:szCs w:val="16"/>
        </w:rPr>
        <w:t xml:space="preserve">Persistent needs and expanding desires: </w:t>
      </w:r>
      <w:r w:rsidR="008C6A92" w:rsidRPr="001A740B">
        <w:rPr>
          <w:rFonts w:cs="Arial"/>
          <w:color w:val="auto"/>
          <w:sz w:val="16"/>
          <w:szCs w:val="16"/>
        </w:rPr>
        <w:t>Pākehā</w:t>
      </w:r>
      <w:r w:rsidRPr="001A740B">
        <w:rPr>
          <w:rFonts w:cs="Arial"/>
          <w:color w:val="auto"/>
          <w:sz w:val="16"/>
          <w:szCs w:val="16"/>
        </w:rPr>
        <w:t xml:space="preserve"> families and State </w:t>
      </w:r>
      <w:r w:rsidR="00BE3CDF" w:rsidRPr="001A740B">
        <w:rPr>
          <w:rFonts w:cs="Arial"/>
          <w:color w:val="auto"/>
          <w:sz w:val="16"/>
          <w:szCs w:val="16"/>
        </w:rPr>
        <w:t xml:space="preserve">welfare </w:t>
      </w:r>
      <w:r w:rsidRPr="001A740B">
        <w:rPr>
          <w:rFonts w:cs="Arial"/>
          <w:color w:val="auto"/>
          <w:sz w:val="16"/>
          <w:szCs w:val="16"/>
        </w:rPr>
        <w:t xml:space="preserve">in the </w:t>
      </w:r>
      <w:r w:rsidR="005D62A2">
        <w:rPr>
          <w:rFonts w:cs="Arial"/>
          <w:color w:val="auto"/>
          <w:sz w:val="16"/>
          <w:szCs w:val="16"/>
        </w:rPr>
        <w:t>y</w:t>
      </w:r>
      <w:r w:rsidRPr="001A740B">
        <w:rPr>
          <w:rFonts w:cs="Arial"/>
          <w:color w:val="auto"/>
          <w:sz w:val="16"/>
          <w:szCs w:val="16"/>
        </w:rPr>
        <w:t xml:space="preserve">ears of </w:t>
      </w:r>
      <w:r w:rsidR="005D62A2">
        <w:rPr>
          <w:rFonts w:cs="Arial"/>
          <w:color w:val="auto"/>
          <w:sz w:val="16"/>
          <w:szCs w:val="16"/>
        </w:rPr>
        <w:t>p</w:t>
      </w:r>
      <w:r w:rsidRPr="001A740B">
        <w:rPr>
          <w:rFonts w:cs="Arial"/>
          <w:color w:val="auto"/>
          <w:sz w:val="16"/>
          <w:szCs w:val="16"/>
        </w:rPr>
        <w:t>rosperity</w:t>
      </w:r>
      <w:r w:rsidR="00225D8B" w:rsidRPr="001A740B">
        <w:rPr>
          <w:rFonts w:cs="Arial"/>
          <w:color w:val="auto"/>
          <w:sz w:val="16"/>
          <w:szCs w:val="16"/>
        </w:rPr>
        <w:t>,</w:t>
      </w:r>
      <w:r w:rsidR="00163A98" w:rsidRPr="001A740B">
        <w:rPr>
          <w:rFonts w:cs="Arial"/>
          <w:color w:val="auto"/>
          <w:sz w:val="16"/>
          <w:szCs w:val="16"/>
        </w:rPr>
        <w:t>”</w:t>
      </w:r>
      <w:r w:rsidRPr="001A740B">
        <w:rPr>
          <w:rFonts w:cs="Arial"/>
          <w:color w:val="auto"/>
          <w:sz w:val="16"/>
          <w:szCs w:val="16"/>
        </w:rPr>
        <w:t xml:space="preserve"> in </w:t>
      </w:r>
      <w:r w:rsidR="00861E43" w:rsidRPr="001A740B">
        <w:rPr>
          <w:rFonts w:cs="Arial"/>
          <w:color w:val="auto"/>
          <w:sz w:val="16"/>
          <w:szCs w:val="16"/>
        </w:rPr>
        <w:t xml:space="preserve">Dalley, </w:t>
      </w:r>
      <w:r w:rsidR="00A671DF" w:rsidRPr="001A740B">
        <w:rPr>
          <w:rFonts w:cs="Arial"/>
          <w:color w:val="auto"/>
          <w:sz w:val="16"/>
          <w:szCs w:val="16"/>
        </w:rPr>
        <w:t>B</w:t>
      </w:r>
      <w:r w:rsidR="00861E43" w:rsidRPr="001A740B" w:rsidDel="00FA11C5">
        <w:rPr>
          <w:rFonts w:cs="Arial"/>
          <w:color w:val="auto"/>
          <w:sz w:val="16"/>
          <w:szCs w:val="16"/>
        </w:rPr>
        <w:t xml:space="preserve"> </w:t>
      </w:r>
      <w:r w:rsidR="00FA11C5" w:rsidRPr="001A740B">
        <w:rPr>
          <w:rFonts w:cs="Arial"/>
          <w:color w:val="auto"/>
          <w:sz w:val="16"/>
          <w:szCs w:val="16"/>
        </w:rPr>
        <w:t xml:space="preserve">&amp; </w:t>
      </w:r>
      <w:r w:rsidR="008C675D" w:rsidRPr="001A740B">
        <w:rPr>
          <w:rFonts w:cs="Arial"/>
          <w:color w:val="auto"/>
          <w:sz w:val="16"/>
          <w:szCs w:val="16"/>
        </w:rPr>
        <w:t xml:space="preserve">Labrum, </w:t>
      </w:r>
      <w:r w:rsidR="00FA11C5" w:rsidRPr="001A740B">
        <w:rPr>
          <w:rFonts w:cs="Arial"/>
          <w:color w:val="auto"/>
          <w:sz w:val="16"/>
          <w:szCs w:val="16"/>
        </w:rPr>
        <w:t xml:space="preserve">B </w:t>
      </w:r>
      <w:r w:rsidR="008C675D" w:rsidRPr="001A740B">
        <w:rPr>
          <w:rFonts w:cs="Arial"/>
          <w:color w:val="auto"/>
          <w:sz w:val="16"/>
          <w:szCs w:val="16"/>
        </w:rPr>
        <w:t>(ed</w:t>
      </w:r>
      <w:r w:rsidR="00DE6617" w:rsidRPr="001A740B">
        <w:rPr>
          <w:rFonts w:cs="Arial"/>
          <w:color w:val="auto"/>
          <w:sz w:val="16"/>
          <w:szCs w:val="16"/>
        </w:rPr>
        <w:t>s</w:t>
      </w:r>
      <w:r w:rsidR="008C675D" w:rsidRPr="001A740B">
        <w:rPr>
          <w:rFonts w:cs="Arial"/>
          <w:color w:val="auto"/>
          <w:sz w:val="16"/>
          <w:szCs w:val="16"/>
        </w:rPr>
        <w:t>)</w:t>
      </w:r>
      <w:r w:rsidR="005F528D" w:rsidRPr="001A740B">
        <w:rPr>
          <w:rFonts w:cs="Arial"/>
          <w:color w:val="auto"/>
          <w:sz w:val="16"/>
          <w:szCs w:val="16"/>
        </w:rPr>
        <w:t>,</w:t>
      </w:r>
      <w:r w:rsidR="008C675D" w:rsidRPr="001A740B">
        <w:rPr>
          <w:rFonts w:cs="Arial"/>
          <w:color w:val="auto"/>
          <w:sz w:val="16"/>
          <w:szCs w:val="16"/>
        </w:rPr>
        <w:t xml:space="preserve"> </w:t>
      </w:r>
      <w:r w:rsidRPr="001A740B">
        <w:rPr>
          <w:rFonts w:cs="Arial"/>
          <w:color w:val="auto"/>
          <w:sz w:val="16"/>
          <w:szCs w:val="16"/>
        </w:rPr>
        <w:t xml:space="preserve">Fragments: New Zealand </w:t>
      </w:r>
      <w:r w:rsidR="0081694B" w:rsidRPr="001A740B">
        <w:rPr>
          <w:rFonts w:cs="Arial"/>
          <w:color w:val="auto"/>
          <w:sz w:val="16"/>
          <w:szCs w:val="16"/>
        </w:rPr>
        <w:t xml:space="preserve">cultural </w:t>
      </w:r>
      <w:r w:rsidRPr="001A740B">
        <w:rPr>
          <w:rFonts w:cs="Arial"/>
          <w:color w:val="auto"/>
          <w:sz w:val="16"/>
          <w:szCs w:val="16"/>
        </w:rPr>
        <w:t xml:space="preserve">and </w:t>
      </w:r>
      <w:r w:rsidR="0081694B" w:rsidRPr="001A740B">
        <w:rPr>
          <w:rFonts w:cs="Arial"/>
          <w:color w:val="auto"/>
          <w:sz w:val="16"/>
          <w:szCs w:val="16"/>
        </w:rPr>
        <w:t xml:space="preserve">social history </w:t>
      </w:r>
      <w:r w:rsidR="008C675D" w:rsidRPr="001A740B">
        <w:rPr>
          <w:rFonts w:cs="Arial"/>
          <w:color w:val="auto"/>
          <w:sz w:val="16"/>
          <w:szCs w:val="16"/>
        </w:rPr>
        <w:t>(</w:t>
      </w:r>
      <w:r w:rsidRPr="001A740B">
        <w:rPr>
          <w:rFonts w:cs="Arial"/>
          <w:color w:val="auto"/>
          <w:sz w:val="16"/>
          <w:szCs w:val="16"/>
        </w:rPr>
        <w:t>Auckland University Press</w:t>
      </w:r>
      <w:r w:rsidR="00F9693F" w:rsidRPr="001A740B">
        <w:rPr>
          <w:rFonts w:cs="Arial"/>
          <w:color w:val="auto"/>
          <w:sz w:val="16"/>
          <w:szCs w:val="16"/>
        </w:rPr>
        <w:t>,</w:t>
      </w:r>
      <w:r w:rsidRPr="001A740B">
        <w:rPr>
          <w:rFonts w:cs="Arial"/>
          <w:color w:val="auto"/>
          <w:sz w:val="16"/>
          <w:szCs w:val="16"/>
        </w:rPr>
        <w:t xml:space="preserve"> 2000</w:t>
      </w:r>
      <w:r w:rsidR="00A671DF" w:rsidRPr="001A740B">
        <w:rPr>
          <w:rFonts w:cs="Arial"/>
          <w:color w:val="auto"/>
          <w:sz w:val="16"/>
          <w:szCs w:val="16"/>
        </w:rPr>
        <w:t>,</w:t>
      </w:r>
      <w:r w:rsidR="008C675D" w:rsidRPr="001A740B">
        <w:rPr>
          <w:rFonts w:cs="Arial"/>
          <w:color w:val="auto"/>
          <w:sz w:val="16"/>
          <w:szCs w:val="16"/>
        </w:rPr>
        <w:t xml:space="preserve"> page </w:t>
      </w:r>
      <w:r w:rsidR="00CB48DD" w:rsidRPr="001A740B">
        <w:rPr>
          <w:rFonts w:cs="Arial"/>
          <w:color w:val="auto"/>
          <w:sz w:val="16"/>
          <w:szCs w:val="16"/>
        </w:rPr>
        <w:t>193</w:t>
      </w:r>
      <w:r w:rsidR="0081694B">
        <w:rPr>
          <w:rFonts w:cs="Arial"/>
          <w:color w:val="auto"/>
          <w:sz w:val="16"/>
          <w:szCs w:val="16"/>
        </w:rPr>
        <w:t>)</w:t>
      </w:r>
      <w:r w:rsidR="00281C27">
        <w:rPr>
          <w:rFonts w:cs="Arial"/>
          <w:color w:val="auto"/>
          <w:sz w:val="16"/>
          <w:szCs w:val="16"/>
        </w:rPr>
        <w:t>.</w:t>
      </w:r>
    </w:p>
  </w:footnote>
  <w:footnote w:id="299">
    <w:p w14:paraId="2D8F0C96" w14:textId="20D1BA57" w:rsidR="000E429D" w:rsidRPr="00CB4F47" w:rsidRDefault="000E429D" w:rsidP="00C57877">
      <w:pPr>
        <w:pStyle w:val="FootnoteText"/>
        <w:spacing w:line="20" w:lineRule="atLeast"/>
        <w:jc w:val="left"/>
        <w:rPr>
          <w:rFonts w:cs="Arial"/>
          <w:color w:val="262626"/>
          <w:sz w:val="16"/>
          <w:szCs w:val="16"/>
        </w:rPr>
      </w:pPr>
      <w:r w:rsidRPr="00536E67">
        <w:rPr>
          <w:rStyle w:val="StyleFootnoteReferenceFagoFunotenzeichenFagoFunotenzeichen"/>
          <w:sz w:val="16"/>
          <w:szCs w:val="16"/>
        </w:rPr>
        <w:footnoteRef/>
      </w:r>
      <w:r w:rsidRPr="00CB4F47">
        <w:rPr>
          <w:rFonts w:cs="Arial"/>
          <w:color w:val="262626"/>
          <w:sz w:val="16"/>
          <w:szCs w:val="16"/>
        </w:rPr>
        <w:t xml:space="preserve"> Kia Piki Ake Welfare Expert Advisory Group, A brief history of family support payments in New Zealand (July 2018</w:t>
      </w:r>
      <w:r w:rsidR="00A671DF" w:rsidRPr="00CB4F47">
        <w:rPr>
          <w:rFonts w:cs="Arial"/>
          <w:color w:val="262626"/>
          <w:sz w:val="16"/>
          <w:szCs w:val="16"/>
        </w:rPr>
        <w:t>,</w:t>
      </w:r>
      <w:r w:rsidRPr="00CB4F47">
        <w:rPr>
          <w:rFonts w:cs="Arial"/>
          <w:color w:val="262626"/>
          <w:sz w:val="16"/>
          <w:szCs w:val="16"/>
        </w:rPr>
        <w:t xml:space="preserve"> </w:t>
      </w:r>
      <w:r w:rsidR="00C32E74" w:rsidRPr="00CB4F47">
        <w:rPr>
          <w:rFonts w:cs="Arial"/>
          <w:sz w:val="16"/>
          <w:szCs w:val="16"/>
        </w:rPr>
        <w:t>page</w:t>
      </w:r>
      <w:r w:rsidRPr="00CB4F47">
        <w:rPr>
          <w:rFonts w:cs="Arial"/>
          <w:sz w:val="16"/>
          <w:szCs w:val="16"/>
        </w:rPr>
        <w:t xml:space="preserve"> </w:t>
      </w:r>
      <w:r w:rsidRPr="00CB4F47">
        <w:rPr>
          <w:rFonts w:cs="Arial"/>
          <w:color w:val="262626"/>
          <w:sz w:val="16"/>
          <w:szCs w:val="16"/>
        </w:rPr>
        <w:t>4</w:t>
      </w:r>
      <w:r w:rsidR="0081694B">
        <w:rPr>
          <w:rFonts w:cs="Arial"/>
          <w:color w:val="262626"/>
          <w:sz w:val="16"/>
          <w:szCs w:val="16"/>
        </w:rPr>
        <w:t>)</w:t>
      </w:r>
      <w:r w:rsidRPr="00CB4F47">
        <w:rPr>
          <w:rFonts w:cs="Arial"/>
          <w:color w:val="262626"/>
          <w:sz w:val="16"/>
          <w:szCs w:val="16"/>
        </w:rPr>
        <w:t>.</w:t>
      </w:r>
    </w:p>
  </w:footnote>
  <w:footnote w:id="300">
    <w:p w14:paraId="247A1637" w14:textId="4620754A" w:rsidR="00A671DF" w:rsidRPr="00536E67" w:rsidRDefault="00A671DF" w:rsidP="002E49C1">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sz w:val="16"/>
          <w:szCs w:val="16"/>
        </w:rPr>
        <w:t>Widows Pension Act 1911, section 3</w:t>
      </w:r>
      <w:r w:rsidR="000A1872" w:rsidRPr="00FC5F93">
        <w:rPr>
          <w:sz w:val="16"/>
          <w:szCs w:val="16"/>
        </w:rPr>
        <w:t xml:space="preserve">; </w:t>
      </w:r>
      <w:r w:rsidRPr="00CB4F47">
        <w:rPr>
          <w:rFonts w:cs="Arial"/>
          <w:color w:val="262626"/>
          <w:sz w:val="16"/>
          <w:szCs w:val="16"/>
        </w:rPr>
        <w:t xml:space="preserve">Kia Piki Ake Welfare Expert Advisory Group, A brief history of family support payments in New Zealand (July 2018, </w:t>
      </w:r>
      <w:r w:rsidRPr="00CB4F47">
        <w:rPr>
          <w:rFonts w:cs="Arial"/>
          <w:sz w:val="16"/>
          <w:szCs w:val="16"/>
        </w:rPr>
        <w:t xml:space="preserve">page </w:t>
      </w:r>
      <w:r w:rsidRPr="00CB4F47">
        <w:rPr>
          <w:rFonts w:cs="Arial"/>
          <w:color w:val="262626"/>
          <w:sz w:val="16"/>
          <w:szCs w:val="16"/>
        </w:rPr>
        <w:t>4</w:t>
      </w:r>
      <w:r>
        <w:rPr>
          <w:rFonts w:cs="Arial"/>
          <w:color w:val="262626"/>
          <w:sz w:val="16"/>
          <w:szCs w:val="16"/>
        </w:rPr>
        <w:t>)</w:t>
      </w:r>
      <w:r w:rsidRPr="00FC5F93">
        <w:rPr>
          <w:sz w:val="16"/>
          <w:szCs w:val="16"/>
        </w:rPr>
        <w:t>.</w:t>
      </w:r>
    </w:p>
  </w:footnote>
  <w:footnote w:id="301">
    <w:p w14:paraId="7AB3063B" w14:textId="50D63DB3" w:rsidR="00A671DF" w:rsidRPr="00536E67" w:rsidRDefault="00A671DF" w:rsidP="002E49C1">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Pr>
          <w:rFonts w:cs="Arial"/>
          <w:color w:val="262626"/>
          <w:sz w:val="16"/>
          <w:szCs w:val="16"/>
        </w:rPr>
        <w:t>McKenzie, A, Social assistance chronology 1844–2003 (Ministry of Social Development, 2023, page 77)</w:t>
      </w:r>
      <w:r w:rsidRPr="003D7BC4">
        <w:rPr>
          <w:rFonts w:cs="Arial"/>
          <w:color w:val="262626"/>
          <w:sz w:val="16"/>
          <w:szCs w:val="16"/>
        </w:rPr>
        <w:t>.</w:t>
      </w:r>
    </w:p>
  </w:footnote>
  <w:footnote w:id="302">
    <w:p w14:paraId="410305DC" w14:textId="77777777" w:rsidR="00A671DF" w:rsidRPr="00536E67" w:rsidRDefault="00A671DF" w:rsidP="002E49C1">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Social Security Act 1938, sections 51 and 54.</w:t>
      </w:r>
    </w:p>
  </w:footnote>
  <w:footnote w:id="303">
    <w:p w14:paraId="2C04AFA6" w14:textId="3DC56D4F" w:rsidR="00A671DF" w:rsidRPr="00536E67" w:rsidRDefault="00A671DF" w:rsidP="002E49C1">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sz w:val="16"/>
          <w:szCs w:val="16"/>
        </w:rPr>
        <w:t>Mc</w:t>
      </w:r>
      <w:r w:rsidR="00956FB9">
        <w:rPr>
          <w:sz w:val="16"/>
          <w:szCs w:val="16"/>
        </w:rPr>
        <w:t>C</w:t>
      </w:r>
      <w:r w:rsidRPr="00FC5F93">
        <w:rPr>
          <w:sz w:val="16"/>
          <w:szCs w:val="16"/>
        </w:rPr>
        <w:t>lure, M, A civilised community: A history of social security in New Zealand 1898–1998 (Auckland University Press, 1998, page 156).</w:t>
      </w:r>
    </w:p>
  </w:footnote>
  <w:footnote w:id="304">
    <w:p w14:paraId="60A0D14E" w14:textId="685C3EBC" w:rsidR="00A671DF" w:rsidRPr="00536E67" w:rsidRDefault="00A671DF" w:rsidP="001F7027">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sz w:val="16"/>
          <w:szCs w:val="16"/>
        </w:rPr>
        <w:t>Mc</w:t>
      </w:r>
      <w:r w:rsidR="00956FB9">
        <w:rPr>
          <w:sz w:val="16"/>
          <w:szCs w:val="16"/>
        </w:rPr>
        <w:t>C</w:t>
      </w:r>
      <w:r w:rsidRPr="00FC5F93">
        <w:rPr>
          <w:sz w:val="16"/>
          <w:szCs w:val="16"/>
        </w:rPr>
        <w:t>lure, Mt, A civilised community: A history of social security in New Zealand 1898–1998 (Auckland University Press, 1998, pages 148 –149).</w:t>
      </w:r>
    </w:p>
  </w:footnote>
  <w:footnote w:id="305">
    <w:p w14:paraId="148A96F3" w14:textId="0E2EF5EB" w:rsidR="00A671DF" w:rsidRPr="00536E67" w:rsidRDefault="00A671DF" w:rsidP="001F7027">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Mc</w:t>
      </w:r>
      <w:r w:rsidR="00A24382" w:rsidRPr="00FC5F93">
        <w:rPr>
          <w:sz w:val="16"/>
          <w:szCs w:val="16"/>
        </w:rPr>
        <w:t>C</w:t>
      </w:r>
      <w:r w:rsidRPr="00FC5F93">
        <w:rPr>
          <w:sz w:val="16"/>
          <w:szCs w:val="16"/>
        </w:rPr>
        <w:t>lure, M, A civilised community: A history of social security in New Zealand 1898 – 1998 (Auckland University Press, 1998, pages 144 –145).</w:t>
      </w:r>
    </w:p>
  </w:footnote>
  <w:footnote w:id="306">
    <w:p w14:paraId="0B368F27" w14:textId="1D6B3392" w:rsidR="009E78B1" w:rsidRPr="00CB4F47" w:rsidRDefault="009E78B1" w:rsidP="009E78B1">
      <w:pPr>
        <w:pStyle w:val="FootnoteText"/>
        <w:spacing w:line="240" w:lineRule="auto"/>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Te</w:t>
      </w:r>
      <w:r w:rsidRPr="00CB4F47">
        <w:rPr>
          <w:rFonts w:eastAsia="Arial" w:cs="Arial"/>
          <w:color w:val="262626" w:themeColor="text1" w:themeTint="D9"/>
          <w:sz w:val="16"/>
          <w:szCs w:val="16"/>
        </w:rPr>
        <w:t>nnant, M</w:t>
      </w:r>
      <w:r w:rsidR="00A671DF" w:rsidRPr="00CB4F47">
        <w:rPr>
          <w:rFonts w:eastAsia="Arial" w:cs="Arial"/>
          <w:color w:val="262626" w:themeColor="text1" w:themeTint="D9"/>
          <w:sz w:val="16"/>
          <w:szCs w:val="16"/>
        </w:rPr>
        <w:t>,</w:t>
      </w:r>
      <w:r w:rsidRPr="00CB4F47">
        <w:rPr>
          <w:rFonts w:eastAsia="Arial" w:cs="Arial"/>
          <w:color w:val="262626" w:themeColor="text1" w:themeTint="D9"/>
          <w:sz w:val="16"/>
          <w:szCs w:val="16"/>
        </w:rPr>
        <w:t xml:space="preserve"> O'Brien, M &amp; Sanders, J</w:t>
      </w:r>
      <w:r w:rsidR="00A671DF" w:rsidRPr="00CB4F47">
        <w:rPr>
          <w:rFonts w:eastAsia="Arial" w:cs="Arial"/>
          <w:color w:val="262626" w:themeColor="text1" w:themeTint="D9"/>
          <w:sz w:val="16"/>
          <w:szCs w:val="16"/>
        </w:rPr>
        <w:t>,</w:t>
      </w:r>
      <w:r w:rsidRPr="00CB4F47">
        <w:rPr>
          <w:rFonts w:eastAsia="Arial" w:cs="Arial"/>
          <w:color w:val="262626" w:themeColor="text1" w:themeTint="D9"/>
          <w:sz w:val="16"/>
          <w:szCs w:val="16"/>
        </w:rPr>
        <w:t xml:space="preserve"> The history of the non-profit sector in New Zealand (Office for the Community and Voluntary Sector, 2008</w:t>
      </w:r>
      <w:r w:rsidR="00A671DF" w:rsidRPr="00CB4F47">
        <w:rPr>
          <w:rFonts w:eastAsia="Arial" w:cs="Arial"/>
          <w:color w:val="262626" w:themeColor="text1" w:themeTint="D9"/>
          <w:sz w:val="16"/>
          <w:szCs w:val="16"/>
        </w:rPr>
        <w:t>,</w:t>
      </w:r>
      <w:r w:rsidRPr="00CB4F47">
        <w:rPr>
          <w:rFonts w:eastAsia="Arial" w:cs="Arial"/>
          <w:color w:val="262626" w:themeColor="text1" w:themeTint="D9"/>
          <w:sz w:val="16"/>
          <w:szCs w:val="16"/>
        </w:rPr>
        <w:t xml:space="preserve"> p</w:t>
      </w:r>
      <w:r w:rsidR="00782B8D">
        <w:rPr>
          <w:rFonts w:eastAsia="Arial" w:cs="Arial"/>
          <w:color w:val="262626" w:themeColor="text1" w:themeTint="D9"/>
          <w:sz w:val="16"/>
          <w:szCs w:val="16"/>
        </w:rPr>
        <w:t>age</w:t>
      </w:r>
      <w:r w:rsidRPr="00CB4F47">
        <w:rPr>
          <w:rFonts w:eastAsia="Arial" w:cs="Arial"/>
          <w:color w:val="262626" w:themeColor="text1" w:themeTint="D9"/>
          <w:sz w:val="16"/>
          <w:szCs w:val="16"/>
        </w:rPr>
        <w:t xml:space="preserve"> 21</w:t>
      </w:r>
      <w:r w:rsidR="00C341E1">
        <w:rPr>
          <w:rFonts w:eastAsia="Arial" w:cs="Arial"/>
          <w:color w:val="262626" w:themeColor="text1" w:themeTint="D9"/>
          <w:sz w:val="16"/>
          <w:szCs w:val="16"/>
        </w:rPr>
        <w:t>)</w:t>
      </w:r>
      <w:r w:rsidR="00073387">
        <w:rPr>
          <w:rFonts w:eastAsia="Arial" w:cs="Arial"/>
          <w:color w:val="262626" w:themeColor="text1" w:themeTint="D9"/>
          <w:sz w:val="16"/>
          <w:szCs w:val="16"/>
        </w:rPr>
        <w:t>.</w:t>
      </w:r>
      <w:r w:rsidRPr="00CB4F47">
        <w:rPr>
          <w:rFonts w:eastAsia="Arial" w:cs="Arial"/>
          <w:color w:val="262626" w:themeColor="text1" w:themeTint="D9"/>
          <w:sz w:val="16"/>
          <w:szCs w:val="16"/>
        </w:rPr>
        <w:t xml:space="preserve"> </w:t>
      </w:r>
    </w:p>
  </w:footnote>
  <w:footnote w:id="307">
    <w:p w14:paraId="3D451634" w14:textId="4935DFA3"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r w:rsidR="00A671DF" w:rsidRPr="00CB4F47">
        <w:rPr>
          <w:rFonts w:cs="Arial"/>
          <w:color w:val="auto"/>
          <w:sz w:val="16"/>
          <w:szCs w:val="16"/>
        </w:rPr>
        <w:t>R</w:t>
      </w:r>
      <w:r w:rsidR="00A671DF" w:rsidRPr="00CB4F47">
        <w:rPr>
          <w:rFonts w:cs="Arial"/>
          <w:sz w:val="16"/>
          <w:szCs w:val="16"/>
        </w:rPr>
        <w:t>S</w:t>
      </w:r>
      <w:r w:rsidRPr="00CB4F47">
        <w:rPr>
          <w:rFonts w:cs="Arial"/>
          <w:sz w:val="16"/>
          <w:szCs w:val="16"/>
        </w:rPr>
        <w:t>,</w:t>
      </w:r>
      <w:r w:rsidRPr="00CB4F47">
        <w:rPr>
          <w:rFonts w:cs="Arial"/>
          <w:color w:val="auto"/>
          <w:sz w:val="16"/>
          <w:szCs w:val="16"/>
        </w:rPr>
        <w:t xml:space="preserve"> </w:t>
      </w:r>
      <w:hyperlink r:id="rId73" w:history="1">
        <w:r w:rsidRPr="00CB4F47">
          <w:rPr>
            <w:rFonts w:cs="Arial"/>
            <w:color w:val="auto"/>
            <w:sz w:val="16"/>
            <w:szCs w:val="16"/>
          </w:rPr>
          <w:t>Maori and the State: Crown-Māori relations in New Zealand/Aotearoa, 1950</w:t>
        </w:r>
        <w:r w:rsidR="00C32E74" w:rsidRPr="00CB4F47">
          <w:rPr>
            <w:rStyle w:val="normaltextrun"/>
            <w:rFonts w:cs="Arial"/>
            <w:color w:val="000000"/>
            <w:sz w:val="16"/>
            <w:szCs w:val="16"/>
            <w:bdr w:val="none" w:sz="0" w:space="0" w:color="auto" w:frame="1"/>
          </w:rPr>
          <w:t>–</w:t>
        </w:r>
        <w:r w:rsidRPr="00CB4F47">
          <w:rPr>
            <w:rFonts w:cs="Arial"/>
            <w:color w:val="auto"/>
            <w:sz w:val="16"/>
            <w:szCs w:val="16"/>
          </w:rPr>
          <w:t>2000</w:t>
        </w:r>
      </w:hyperlink>
      <w:r w:rsidRPr="00CB4F47">
        <w:rPr>
          <w:rFonts w:cs="Arial"/>
          <w:color w:val="auto"/>
          <w:sz w:val="16"/>
          <w:szCs w:val="16"/>
        </w:rPr>
        <w:t xml:space="preserve"> (</w:t>
      </w:r>
      <w:hyperlink r:id="rId74" w:history="1">
        <w:r w:rsidRPr="00CB4F47">
          <w:rPr>
            <w:rFonts w:cs="Arial"/>
            <w:color w:val="auto"/>
            <w:sz w:val="16"/>
            <w:szCs w:val="16"/>
          </w:rPr>
          <w:t>Victoria University Press</w:t>
        </w:r>
      </w:hyperlink>
      <w:r w:rsidRPr="00CB4F47">
        <w:rPr>
          <w:rFonts w:cs="Arial"/>
          <w:color w:val="auto"/>
          <w:sz w:val="16"/>
          <w:szCs w:val="16"/>
        </w:rPr>
        <w:t xml:space="preserve">, </w:t>
      </w:r>
      <w:r w:rsidR="00A671DF" w:rsidRPr="00CB4F47">
        <w:rPr>
          <w:rFonts w:cs="Arial"/>
          <w:color w:val="auto"/>
          <w:sz w:val="16"/>
          <w:szCs w:val="16"/>
        </w:rPr>
        <w:t>2009,</w:t>
      </w:r>
      <w:r w:rsidRPr="00CB4F47">
        <w:rPr>
          <w:rFonts w:cs="Arial"/>
          <w:color w:val="auto"/>
          <w:sz w:val="16"/>
          <w:szCs w:val="16"/>
        </w:rPr>
        <w:t xml:space="preserve"> </w:t>
      </w:r>
      <w:r w:rsidR="00C32E74" w:rsidRPr="00CB4F47">
        <w:rPr>
          <w:rFonts w:cs="Arial"/>
          <w:sz w:val="16"/>
          <w:szCs w:val="16"/>
        </w:rPr>
        <w:t>page</w:t>
      </w:r>
      <w:r w:rsidRPr="00CB4F47">
        <w:rPr>
          <w:rFonts w:cs="Arial"/>
          <w:sz w:val="16"/>
          <w:szCs w:val="16"/>
        </w:rPr>
        <w:t xml:space="preserve"> </w:t>
      </w:r>
      <w:r w:rsidRPr="00CB4F47">
        <w:rPr>
          <w:rFonts w:cs="Arial"/>
          <w:color w:val="auto"/>
          <w:sz w:val="16"/>
          <w:szCs w:val="16"/>
        </w:rPr>
        <w:t>172</w:t>
      </w:r>
      <w:r w:rsidR="001C79DA">
        <w:rPr>
          <w:rFonts w:cs="Arial"/>
          <w:color w:val="auto"/>
          <w:sz w:val="16"/>
          <w:szCs w:val="16"/>
        </w:rPr>
        <w:t>)</w:t>
      </w:r>
      <w:r w:rsidR="00C32E74" w:rsidRPr="00CB4F47">
        <w:rPr>
          <w:rFonts w:cs="Arial"/>
          <w:color w:val="auto"/>
          <w:sz w:val="16"/>
          <w:szCs w:val="16"/>
        </w:rPr>
        <w:t>.</w:t>
      </w:r>
    </w:p>
  </w:footnote>
  <w:footnote w:id="308">
    <w:p w14:paraId="1E71B072" w14:textId="39C188D3"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r w:rsidR="00A671DF" w:rsidRPr="00CB4F47">
        <w:rPr>
          <w:rFonts w:cs="Arial"/>
          <w:color w:val="auto"/>
          <w:sz w:val="16"/>
          <w:szCs w:val="16"/>
        </w:rPr>
        <w:t>R</w:t>
      </w:r>
      <w:r w:rsidR="00A671DF" w:rsidRPr="00CB4F47">
        <w:rPr>
          <w:rFonts w:cs="Arial"/>
          <w:sz w:val="16"/>
          <w:szCs w:val="16"/>
        </w:rPr>
        <w:t>S</w:t>
      </w:r>
      <w:r w:rsidRPr="00CB4F47">
        <w:rPr>
          <w:rFonts w:cs="Arial"/>
          <w:sz w:val="16"/>
          <w:szCs w:val="16"/>
        </w:rPr>
        <w:t>,</w:t>
      </w:r>
      <w:r w:rsidRPr="00CB4F47">
        <w:rPr>
          <w:rFonts w:cs="Arial"/>
          <w:color w:val="auto"/>
          <w:sz w:val="16"/>
          <w:szCs w:val="16"/>
        </w:rPr>
        <w:t xml:space="preserve"> </w:t>
      </w:r>
      <w:hyperlink r:id="rId75" w:history="1">
        <w:r w:rsidRPr="00CB4F47">
          <w:rPr>
            <w:rFonts w:cs="Arial"/>
            <w:color w:val="auto"/>
            <w:sz w:val="16"/>
            <w:szCs w:val="16"/>
          </w:rPr>
          <w:t>Maori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76" w:history="1">
        <w:r w:rsidRPr="00CB4F47">
          <w:rPr>
            <w:rFonts w:cs="Arial"/>
            <w:color w:val="auto"/>
            <w:sz w:val="16"/>
            <w:szCs w:val="16"/>
          </w:rPr>
          <w:t>Victoria University Press</w:t>
        </w:r>
      </w:hyperlink>
      <w:r w:rsidRPr="00CB4F47">
        <w:rPr>
          <w:rFonts w:cs="Arial"/>
          <w:color w:val="auto"/>
          <w:sz w:val="16"/>
          <w:szCs w:val="16"/>
        </w:rPr>
        <w:t xml:space="preserve">, </w:t>
      </w:r>
      <w:r w:rsidR="00A671DF" w:rsidRPr="00CB4F47">
        <w:rPr>
          <w:rFonts w:cs="Arial"/>
          <w:color w:val="auto"/>
          <w:sz w:val="16"/>
          <w:szCs w:val="16"/>
        </w:rPr>
        <w:t>2009,</w:t>
      </w:r>
      <w:r w:rsidRPr="00CB4F47">
        <w:rPr>
          <w:rFonts w:cs="Arial"/>
          <w:color w:val="auto"/>
          <w:sz w:val="16"/>
          <w:szCs w:val="16"/>
        </w:rPr>
        <w:t xml:space="preserve"> </w:t>
      </w:r>
      <w:r w:rsidR="00C32E74" w:rsidRPr="00CB4F47">
        <w:rPr>
          <w:rFonts w:cs="Arial"/>
          <w:sz w:val="16"/>
          <w:szCs w:val="16"/>
        </w:rPr>
        <w:t>page</w:t>
      </w:r>
      <w:r w:rsidRPr="00CB4F47">
        <w:rPr>
          <w:rFonts w:cs="Arial"/>
          <w:sz w:val="16"/>
          <w:szCs w:val="16"/>
        </w:rPr>
        <w:t xml:space="preserve"> </w:t>
      </w:r>
      <w:r w:rsidRPr="00CB4F47">
        <w:rPr>
          <w:rFonts w:cs="Arial"/>
          <w:color w:val="auto"/>
          <w:sz w:val="16"/>
          <w:szCs w:val="16"/>
        </w:rPr>
        <w:t>196</w:t>
      </w:r>
      <w:r w:rsidR="001C79DA">
        <w:rPr>
          <w:rFonts w:cs="Arial"/>
          <w:color w:val="auto"/>
          <w:sz w:val="16"/>
          <w:szCs w:val="16"/>
        </w:rPr>
        <w:t>)</w:t>
      </w:r>
      <w:r w:rsidR="00C32E74" w:rsidRPr="00CB4F47">
        <w:rPr>
          <w:rFonts w:cs="Arial"/>
          <w:color w:val="auto"/>
          <w:sz w:val="16"/>
          <w:szCs w:val="16"/>
        </w:rPr>
        <w:t>.</w:t>
      </w:r>
    </w:p>
  </w:footnote>
  <w:footnote w:id="309">
    <w:p w14:paraId="0A8AB9F1" w14:textId="35440C6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r w:rsidR="00A671DF" w:rsidRPr="00CB4F47">
        <w:rPr>
          <w:rFonts w:cs="Arial"/>
          <w:color w:val="auto"/>
          <w:sz w:val="16"/>
          <w:szCs w:val="16"/>
        </w:rPr>
        <w:t>R</w:t>
      </w:r>
      <w:r w:rsidR="00A671DF" w:rsidRPr="00CB4F47">
        <w:rPr>
          <w:rFonts w:cs="Arial"/>
          <w:sz w:val="16"/>
          <w:szCs w:val="16"/>
        </w:rPr>
        <w:t>S</w:t>
      </w:r>
      <w:r w:rsidRPr="00CB4F47">
        <w:rPr>
          <w:rFonts w:cs="Arial"/>
          <w:sz w:val="16"/>
          <w:szCs w:val="16"/>
        </w:rPr>
        <w:t>,</w:t>
      </w:r>
      <w:r w:rsidRPr="00CB4F47">
        <w:rPr>
          <w:rFonts w:cs="Arial"/>
          <w:color w:val="auto"/>
          <w:sz w:val="16"/>
          <w:szCs w:val="16"/>
        </w:rPr>
        <w:t xml:space="preserve"> </w:t>
      </w:r>
      <w:hyperlink r:id="rId77" w:history="1">
        <w:r w:rsidRPr="00CB4F47">
          <w:rPr>
            <w:rFonts w:cs="Arial"/>
            <w:color w:val="auto"/>
            <w:sz w:val="16"/>
            <w:szCs w:val="16"/>
          </w:rPr>
          <w:t>Maori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78" w:history="1">
        <w:r w:rsidRPr="00CB4F47">
          <w:rPr>
            <w:rFonts w:cs="Arial"/>
            <w:color w:val="auto"/>
            <w:sz w:val="16"/>
            <w:szCs w:val="16"/>
          </w:rPr>
          <w:t>Victoria University Press</w:t>
        </w:r>
      </w:hyperlink>
      <w:r w:rsidRPr="00CB4F47">
        <w:rPr>
          <w:rFonts w:cs="Arial"/>
          <w:color w:val="auto"/>
          <w:sz w:val="16"/>
          <w:szCs w:val="16"/>
        </w:rPr>
        <w:t xml:space="preserve">, </w:t>
      </w:r>
      <w:r w:rsidR="00A671DF" w:rsidRPr="00CB4F47">
        <w:rPr>
          <w:rFonts w:cs="Arial"/>
          <w:color w:val="auto"/>
          <w:sz w:val="16"/>
          <w:szCs w:val="16"/>
        </w:rPr>
        <w:t>2009,</w:t>
      </w:r>
      <w:r w:rsidRPr="00CB4F47">
        <w:rPr>
          <w:rFonts w:cs="Arial"/>
          <w:color w:val="auto"/>
          <w:sz w:val="16"/>
          <w:szCs w:val="16"/>
        </w:rPr>
        <w:t xml:space="preserve"> </w:t>
      </w:r>
      <w:r w:rsidR="00C32E74" w:rsidRPr="00CB4F47">
        <w:rPr>
          <w:rFonts w:cs="Arial"/>
          <w:sz w:val="16"/>
          <w:szCs w:val="16"/>
        </w:rPr>
        <w:t>page</w:t>
      </w:r>
      <w:r w:rsidRPr="00CB4F47">
        <w:rPr>
          <w:rFonts w:cs="Arial"/>
          <w:sz w:val="16"/>
          <w:szCs w:val="16"/>
        </w:rPr>
        <w:t xml:space="preserve"> </w:t>
      </w:r>
      <w:r w:rsidRPr="00CB4F47">
        <w:rPr>
          <w:rFonts w:cs="Arial"/>
          <w:color w:val="auto"/>
          <w:sz w:val="16"/>
          <w:szCs w:val="16"/>
        </w:rPr>
        <w:t>213</w:t>
      </w:r>
      <w:r w:rsidR="001C79DA">
        <w:rPr>
          <w:rFonts w:cs="Arial"/>
          <w:color w:val="auto"/>
          <w:sz w:val="16"/>
          <w:szCs w:val="16"/>
        </w:rPr>
        <w:t>)</w:t>
      </w:r>
      <w:r w:rsidR="00C32E74" w:rsidRPr="00CB4F47">
        <w:rPr>
          <w:rFonts w:cs="Arial"/>
          <w:color w:val="auto"/>
          <w:sz w:val="16"/>
          <w:szCs w:val="16"/>
        </w:rPr>
        <w:t>.</w:t>
      </w:r>
    </w:p>
  </w:footnote>
  <w:footnote w:id="310">
    <w:p w14:paraId="7E6C3156" w14:textId="1CEABAEA" w:rsidR="000E429D" w:rsidRPr="00CB4F47" w:rsidRDefault="000E429D" w:rsidP="002E795A">
      <w:pPr>
        <w:pStyle w:val="FootnoteText"/>
        <w:spacing w:line="240" w:lineRule="auto"/>
        <w:rPr>
          <w:rFonts w:cs="Arial"/>
          <w:sz w:val="16"/>
          <w:szCs w:val="16"/>
        </w:rPr>
      </w:pPr>
      <w:r w:rsidRPr="00536E67">
        <w:rPr>
          <w:rStyle w:val="StyleFootnoteReferenceFagoFunotenzeichenFagoFunotenzeichen"/>
          <w:sz w:val="16"/>
          <w:szCs w:val="16"/>
        </w:rPr>
        <w:footnoteRef/>
      </w:r>
      <w:r w:rsidRPr="00CB4F47" w:rsidDel="00185A2C">
        <w:rPr>
          <w:rFonts w:cs="Arial"/>
          <w:sz w:val="16"/>
          <w:szCs w:val="16"/>
        </w:rPr>
        <w:t xml:space="preserve"> </w:t>
      </w:r>
      <w:r w:rsidRPr="00CB4F47">
        <w:rPr>
          <w:rFonts w:cs="Arial"/>
          <w:sz w:val="16"/>
          <w:szCs w:val="16"/>
        </w:rPr>
        <w:t>The Office for Māori Crown Relations</w:t>
      </w:r>
      <w:r w:rsidR="00185A2C">
        <w:rPr>
          <w:rFonts w:cs="Arial"/>
          <w:sz w:val="16"/>
          <w:szCs w:val="16"/>
        </w:rPr>
        <w:t xml:space="preserve"> –</w:t>
      </w:r>
      <w:r w:rsidR="00185A2C" w:rsidRPr="00185A2C">
        <w:rPr>
          <w:rFonts w:cs="Arial"/>
          <w:sz w:val="16"/>
          <w:szCs w:val="16"/>
        </w:rPr>
        <w:t xml:space="preserve"> </w:t>
      </w:r>
      <w:r w:rsidR="00185A2C" w:rsidRPr="00CB4F47">
        <w:rPr>
          <w:rFonts w:cs="Arial"/>
          <w:sz w:val="16"/>
          <w:szCs w:val="16"/>
        </w:rPr>
        <w:t>Te Arawhiti</w:t>
      </w:r>
      <w:r w:rsidRPr="00CB4F47">
        <w:rPr>
          <w:rFonts w:cs="Arial"/>
          <w:sz w:val="16"/>
          <w:szCs w:val="16"/>
        </w:rPr>
        <w:t>, Providing for the Treaty of Waitangi in legislation and supporting policy design: questions for policy makers (2022</w:t>
      </w:r>
      <w:r w:rsidR="00A671DF" w:rsidRPr="00CB4F47">
        <w:rPr>
          <w:rFonts w:cs="Arial"/>
          <w:sz w:val="16"/>
          <w:szCs w:val="16"/>
        </w:rPr>
        <w:t>,</w:t>
      </w:r>
      <w:r w:rsidRPr="00CB4F47">
        <w:rPr>
          <w:rFonts w:cs="Arial"/>
          <w:sz w:val="16"/>
          <w:szCs w:val="16"/>
        </w:rPr>
        <w:t xml:space="preserve"> </w:t>
      </w:r>
      <w:r w:rsidR="00C32E74" w:rsidRPr="00CB4F47">
        <w:rPr>
          <w:rFonts w:cs="Arial"/>
          <w:sz w:val="16"/>
          <w:szCs w:val="16"/>
        </w:rPr>
        <w:t>page</w:t>
      </w:r>
      <w:r w:rsidRPr="00CB4F47">
        <w:rPr>
          <w:rFonts w:cs="Arial"/>
          <w:sz w:val="16"/>
          <w:szCs w:val="16"/>
        </w:rPr>
        <w:t xml:space="preserve"> 1</w:t>
      </w:r>
      <w:r w:rsidR="001C79DA">
        <w:rPr>
          <w:rFonts w:cs="Arial"/>
          <w:sz w:val="16"/>
          <w:szCs w:val="16"/>
        </w:rPr>
        <w:t>)</w:t>
      </w:r>
      <w:r w:rsidRPr="00CB4F47">
        <w:rPr>
          <w:rFonts w:cs="Arial"/>
          <w:sz w:val="16"/>
          <w:szCs w:val="16"/>
        </w:rPr>
        <w:t>.</w:t>
      </w:r>
    </w:p>
  </w:footnote>
  <w:footnote w:id="311">
    <w:p w14:paraId="27B0A6E0" w14:textId="77777777" w:rsidR="004501DF" w:rsidRPr="00CB4F47" w:rsidRDefault="004501DF" w:rsidP="004501DF">
      <w:pPr>
        <w:pStyle w:val="FootnoteText"/>
        <w:rPr>
          <w:sz w:val="16"/>
          <w:szCs w:val="16"/>
        </w:rPr>
      </w:pPr>
      <w:r w:rsidRPr="00A85BCF">
        <w:rPr>
          <w:rStyle w:val="StyleFootnoteReferenceFagoFunotenzeichenFagoFunotenzeichen"/>
          <w:sz w:val="16"/>
          <w:szCs w:val="16"/>
        </w:rPr>
        <w:footnoteRef/>
      </w:r>
      <w:r w:rsidRPr="00CB4F47">
        <w:rPr>
          <w:sz w:val="16"/>
          <w:szCs w:val="16"/>
        </w:rPr>
        <w:t xml:space="preserve"> Treaty of Waitangi Amendment Act 1985, section 3.</w:t>
      </w:r>
    </w:p>
  </w:footnote>
  <w:footnote w:id="312">
    <w:p w14:paraId="17ADAAC1" w14:textId="583C2B5B" w:rsidR="000E429D" w:rsidRPr="00CB4F47" w:rsidRDefault="000E429D" w:rsidP="002E795A">
      <w:pPr>
        <w:pStyle w:val="FootnoteText"/>
        <w:spacing w:line="240" w:lineRule="auto"/>
        <w:rPr>
          <w:rFonts w:cs="Arial"/>
          <w:sz w:val="16"/>
          <w:szCs w:val="16"/>
        </w:rPr>
      </w:pPr>
      <w:r w:rsidRPr="00536E67">
        <w:rPr>
          <w:rStyle w:val="StyleFootnoteReferenceFagoFunotenzeichenFagoFunotenzeichen"/>
          <w:sz w:val="16"/>
          <w:szCs w:val="16"/>
        </w:rPr>
        <w:footnoteRef/>
      </w:r>
      <w:r w:rsidRPr="00CB4F47" w:rsidDel="00185A2C">
        <w:rPr>
          <w:rFonts w:cs="Arial"/>
          <w:sz w:val="16"/>
          <w:szCs w:val="16"/>
        </w:rPr>
        <w:t xml:space="preserve"> </w:t>
      </w:r>
      <w:r w:rsidRPr="00CB4F47">
        <w:rPr>
          <w:rFonts w:cs="Arial"/>
          <w:sz w:val="16"/>
          <w:szCs w:val="16"/>
        </w:rPr>
        <w:t>The Office for Māori Crown Relations</w:t>
      </w:r>
      <w:r w:rsidR="00185A2C">
        <w:rPr>
          <w:rFonts w:cs="Arial"/>
          <w:sz w:val="16"/>
          <w:szCs w:val="16"/>
        </w:rPr>
        <w:t xml:space="preserve"> –</w:t>
      </w:r>
      <w:r w:rsidR="00185A2C" w:rsidRPr="00185A2C">
        <w:rPr>
          <w:rFonts w:cs="Arial"/>
          <w:sz w:val="16"/>
          <w:szCs w:val="16"/>
        </w:rPr>
        <w:t xml:space="preserve"> </w:t>
      </w:r>
      <w:r w:rsidR="00185A2C" w:rsidRPr="00CB4F47">
        <w:rPr>
          <w:rFonts w:cs="Arial"/>
          <w:sz w:val="16"/>
          <w:szCs w:val="16"/>
        </w:rPr>
        <w:t>Te Arawhiti</w:t>
      </w:r>
      <w:r w:rsidRPr="00CB4F47">
        <w:rPr>
          <w:rFonts w:cs="Arial"/>
          <w:sz w:val="16"/>
          <w:szCs w:val="16"/>
        </w:rPr>
        <w:t>, Providing for the Treaty of Waitangi in legislation and supporting policy design: questions for policy makers (2022</w:t>
      </w:r>
      <w:r w:rsidR="00A671DF" w:rsidRPr="00CB4F47">
        <w:rPr>
          <w:rFonts w:cs="Arial"/>
          <w:sz w:val="16"/>
          <w:szCs w:val="16"/>
        </w:rPr>
        <w:t>,</w:t>
      </w:r>
      <w:r w:rsidRPr="00CB4F47">
        <w:rPr>
          <w:rFonts w:cs="Arial"/>
          <w:sz w:val="16"/>
          <w:szCs w:val="16"/>
        </w:rPr>
        <w:t xml:space="preserve"> </w:t>
      </w:r>
      <w:r w:rsidR="00C32E74" w:rsidRPr="00CB4F47">
        <w:rPr>
          <w:rFonts w:cs="Arial"/>
          <w:sz w:val="16"/>
          <w:szCs w:val="16"/>
        </w:rPr>
        <w:t>page</w:t>
      </w:r>
      <w:r w:rsidRPr="00CB4F47">
        <w:rPr>
          <w:rFonts w:cs="Arial"/>
          <w:sz w:val="16"/>
          <w:szCs w:val="16"/>
        </w:rPr>
        <w:t xml:space="preserve"> 1</w:t>
      </w:r>
      <w:r w:rsidR="001C79DA">
        <w:rPr>
          <w:rFonts w:cs="Arial"/>
          <w:sz w:val="16"/>
          <w:szCs w:val="16"/>
        </w:rPr>
        <w:t>)</w:t>
      </w:r>
      <w:r w:rsidRPr="00CB4F47">
        <w:rPr>
          <w:rFonts w:cs="Arial"/>
          <w:sz w:val="16"/>
          <w:szCs w:val="16"/>
        </w:rPr>
        <w:t xml:space="preserve">. </w:t>
      </w:r>
    </w:p>
  </w:footnote>
  <w:footnote w:id="313">
    <w:p w14:paraId="2D6D5AE5" w14:textId="00A5B49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Fleras, </w:t>
      </w:r>
      <w:r w:rsidR="00A671DF" w:rsidRPr="00CB4F47">
        <w:rPr>
          <w:rFonts w:cs="Arial"/>
          <w:color w:val="auto"/>
          <w:sz w:val="16"/>
          <w:szCs w:val="16"/>
        </w:rPr>
        <w:t>A</w:t>
      </w:r>
      <w:r w:rsidRPr="00CB4F47">
        <w:rPr>
          <w:rFonts w:cs="Arial"/>
          <w:color w:val="auto"/>
          <w:sz w:val="16"/>
          <w:szCs w:val="16"/>
        </w:rPr>
        <w:t xml:space="preserve"> </w:t>
      </w:r>
      <w:r w:rsidR="00997AFC">
        <w:rPr>
          <w:rFonts w:cs="Arial"/>
          <w:color w:val="auto"/>
          <w:sz w:val="16"/>
          <w:szCs w:val="16"/>
        </w:rPr>
        <w:t>c</w:t>
      </w:r>
      <w:r w:rsidRPr="00CB4F47">
        <w:rPr>
          <w:rFonts w:cs="Arial"/>
          <w:color w:val="auto"/>
          <w:sz w:val="16"/>
          <w:szCs w:val="16"/>
        </w:rPr>
        <w:t>ted in Armitage, A, Comparing the policy of Aboriginal assimilation: Australia, Canada, and New Zealand, (</w:t>
      </w:r>
      <w:r w:rsidR="00873D67">
        <w:rPr>
          <w:rFonts w:cs="Arial"/>
          <w:color w:val="auto"/>
          <w:sz w:val="16"/>
          <w:szCs w:val="16"/>
        </w:rPr>
        <w:t>University of British Col</w:t>
      </w:r>
      <w:r w:rsidR="00461A39">
        <w:rPr>
          <w:rFonts w:cs="Arial"/>
          <w:color w:val="auto"/>
          <w:sz w:val="16"/>
          <w:szCs w:val="16"/>
        </w:rPr>
        <w:t>umbia</w:t>
      </w:r>
      <w:r w:rsidR="00873D67" w:rsidRPr="00CB4F47">
        <w:rPr>
          <w:rFonts w:cs="Arial"/>
          <w:color w:val="auto"/>
          <w:sz w:val="16"/>
          <w:szCs w:val="16"/>
        </w:rPr>
        <w:t xml:space="preserve"> </w:t>
      </w:r>
      <w:r w:rsidRPr="00CB4F47">
        <w:rPr>
          <w:rFonts w:cs="Arial"/>
          <w:color w:val="auto"/>
          <w:sz w:val="16"/>
          <w:szCs w:val="16"/>
        </w:rPr>
        <w:t xml:space="preserve">Press, </w:t>
      </w:r>
      <w:r w:rsidR="00A671DF" w:rsidRPr="00CB4F47">
        <w:rPr>
          <w:rFonts w:cs="Arial"/>
          <w:color w:val="auto"/>
          <w:sz w:val="16"/>
          <w:szCs w:val="16"/>
        </w:rPr>
        <w:t>1995,</w:t>
      </w:r>
      <w:r w:rsidRPr="00CB4F47">
        <w:rPr>
          <w:rFonts w:cs="Arial"/>
          <w:color w:val="auto"/>
          <w:sz w:val="16"/>
          <w:szCs w:val="16"/>
        </w:rPr>
        <w:t xml:space="preserve"> </w:t>
      </w:r>
      <w:r w:rsidR="00C32E74" w:rsidRPr="00CB4F47">
        <w:rPr>
          <w:rFonts w:cs="Arial"/>
          <w:sz w:val="16"/>
          <w:szCs w:val="16"/>
        </w:rPr>
        <w:t>page</w:t>
      </w:r>
      <w:r w:rsidRPr="00CB4F47">
        <w:rPr>
          <w:rFonts w:cs="Arial"/>
          <w:color w:val="auto"/>
          <w:sz w:val="16"/>
          <w:szCs w:val="16"/>
        </w:rPr>
        <w:t xml:space="preserve"> 241</w:t>
      </w:r>
      <w:r w:rsidR="001C79DA">
        <w:rPr>
          <w:rFonts w:cs="Arial"/>
          <w:color w:val="auto"/>
          <w:sz w:val="16"/>
          <w:szCs w:val="16"/>
        </w:rPr>
        <w:t>)</w:t>
      </w:r>
      <w:r w:rsidR="000D5291">
        <w:rPr>
          <w:rFonts w:cs="Arial"/>
          <w:color w:val="auto"/>
          <w:sz w:val="16"/>
          <w:szCs w:val="16"/>
        </w:rPr>
        <w:t>; Cleland, A, “Care of Children Act 2004: Continuation of cultural assimilation”, Victoria University of Wellington Law Review, Volume 54 (2023, pag</w:t>
      </w:r>
      <w:r w:rsidR="00325507">
        <w:rPr>
          <w:rFonts w:cs="Arial"/>
          <w:color w:val="auto"/>
          <w:sz w:val="16"/>
          <w:szCs w:val="16"/>
        </w:rPr>
        <w:t>e</w:t>
      </w:r>
      <w:r w:rsidR="000D5291">
        <w:rPr>
          <w:rFonts w:cs="Arial"/>
          <w:color w:val="auto"/>
          <w:sz w:val="16"/>
          <w:szCs w:val="16"/>
        </w:rPr>
        <w:t xml:space="preserve"> 697</w:t>
      </w:r>
      <w:r w:rsidR="001C79DA">
        <w:rPr>
          <w:rFonts w:cs="Arial"/>
          <w:color w:val="auto"/>
          <w:sz w:val="16"/>
          <w:szCs w:val="16"/>
        </w:rPr>
        <w:t>)</w:t>
      </w:r>
      <w:r w:rsidR="00C32E74" w:rsidRPr="00CB4F47">
        <w:rPr>
          <w:rFonts w:cs="Arial"/>
          <w:color w:val="auto"/>
          <w:sz w:val="16"/>
          <w:szCs w:val="16"/>
        </w:rPr>
        <w:t>.</w:t>
      </w:r>
    </w:p>
  </w:footnote>
  <w:footnote w:id="314">
    <w:p w14:paraId="5744C427" w14:textId="57C7D6D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r w:rsidR="00A671DF" w:rsidRPr="00CB4F47">
        <w:rPr>
          <w:rFonts w:cs="Arial"/>
          <w:color w:val="auto"/>
          <w:sz w:val="16"/>
          <w:szCs w:val="16"/>
        </w:rPr>
        <w:t>R</w:t>
      </w:r>
      <w:r w:rsidR="00A671DF" w:rsidRPr="00CB4F47">
        <w:rPr>
          <w:rFonts w:cs="Arial"/>
          <w:sz w:val="16"/>
          <w:szCs w:val="16"/>
        </w:rPr>
        <w:t>S</w:t>
      </w:r>
      <w:r w:rsidRPr="00CB4F47">
        <w:rPr>
          <w:rFonts w:cs="Arial"/>
          <w:sz w:val="16"/>
          <w:szCs w:val="16"/>
        </w:rPr>
        <w:t>,</w:t>
      </w:r>
      <w:r w:rsidRPr="00CB4F47">
        <w:rPr>
          <w:rFonts w:cs="Arial"/>
          <w:color w:val="auto"/>
          <w:sz w:val="16"/>
          <w:szCs w:val="16"/>
        </w:rPr>
        <w:t xml:space="preserve"> </w:t>
      </w:r>
      <w:hyperlink r:id="rId79" w:history="1">
        <w:r w:rsidRPr="00CB4F47">
          <w:rPr>
            <w:rFonts w:cs="Arial"/>
            <w:color w:val="auto"/>
            <w:sz w:val="16"/>
            <w:szCs w:val="16"/>
          </w:rPr>
          <w:t>Maori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80" w:history="1">
        <w:r w:rsidRPr="00CB4F47">
          <w:rPr>
            <w:rFonts w:cs="Arial"/>
            <w:color w:val="auto"/>
            <w:sz w:val="16"/>
            <w:szCs w:val="16"/>
          </w:rPr>
          <w:t>Victoria University Press</w:t>
        </w:r>
      </w:hyperlink>
      <w:r w:rsidRPr="00CB4F47">
        <w:rPr>
          <w:rFonts w:cs="Arial"/>
          <w:color w:val="auto"/>
          <w:sz w:val="16"/>
          <w:szCs w:val="16"/>
        </w:rPr>
        <w:t xml:space="preserve">, </w:t>
      </w:r>
      <w:r w:rsidR="00A671DF" w:rsidRPr="00CB4F47">
        <w:rPr>
          <w:rFonts w:cs="Arial"/>
          <w:color w:val="auto"/>
          <w:sz w:val="16"/>
          <w:szCs w:val="16"/>
        </w:rPr>
        <w:t>2009,</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234</w:t>
      </w:r>
      <w:r w:rsidR="001C79DA">
        <w:rPr>
          <w:rFonts w:cs="Arial"/>
          <w:color w:val="auto"/>
          <w:sz w:val="16"/>
          <w:szCs w:val="16"/>
        </w:rPr>
        <w:t>)</w:t>
      </w:r>
      <w:r w:rsidR="00C32E74" w:rsidRPr="00CB4F47">
        <w:rPr>
          <w:rFonts w:cs="Arial"/>
          <w:color w:val="auto"/>
          <w:sz w:val="16"/>
          <w:szCs w:val="16"/>
        </w:rPr>
        <w:t>.</w:t>
      </w:r>
    </w:p>
  </w:footnote>
  <w:footnote w:id="315">
    <w:p w14:paraId="0425F885" w14:textId="358B2FC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r w:rsidR="00A671DF" w:rsidRPr="00CB4F47">
        <w:rPr>
          <w:rFonts w:cs="Arial"/>
          <w:color w:val="auto"/>
          <w:sz w:val="16"/>
          <w:szCs w:val="16"/>
        </w:rPr>
        <w:t>R</w:t>
      </w:r>
      <w:r w:rsidR="00A671DF" w:rsidRPr="00CB4F47">
        <w:rPr>
          <w:rFonts w:cs="Arial"/>
          <w:sz w:val="16"/>
          <w:szCs w:val="16"/>
        </w:rPr>
        <w:t>S</w:t>
      </w:r>
      <w:r w:rsidRPr="00CB4F47">
        <w:rPr>
          <w:rFonts w:cs="Arial"/>
          <w:sz w:val="16"/>
          <w:szCs w:val="16"/>
        </w:rPr>
        <w:t>,</w:t>
      </w:r>
      <w:r w:rsidRPr="00CB4F47">
        <w:rPr>
          <w:rFonts w:cs="Arial"/>
          <w:color w:val="auto"/>
          <w:sz w:val="16"/>
          <w:szCs w:val="16"/>
        </w:rPr>
        <w:t xml:space="preserve"> </w:t>
      </w:r>
      <w:hyperlink r:id="rId81" w:history="1">
        <w:r w:rsidRPr="00CB4F47">
          <w:rPr>
            <w:rFonts w:cs="Arial"/>
            <w:color w:val="auto"/>
            <w:sz w:val="16"/>
            <w:szCs w:val="16"/>
          </w:rPr>
          <w:t>Maori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82" w:history="1">
        <w:r w:rsidRPr="00CB4F47">
          <w:rPr>
            <w:rFonts w:cs="Arial"/>
            <w:color w:val="auto"/>
            <w:sz w:val="16"/>
            <w:szCs w:val="16"/>
          </w:rPr>
          <w:t>Victoria University Press</w:t>
        </w:r>
      </w:hyperlink>
      <w:r w:rsidRPr="00CB4F47">
        <w:rPr>
          <w:rFonts w:cs="Arial"/>
          <w:color w:val="auto"/>
          <w:sz w:val="16"/>
          <w:szCs w:val="16"/>
        </w:rPr>
        <w:t xml:space="preserve">, </w:t>
      </w:r>
      <w:r w:rsidR="00A671DF" w:rsidRPr="00CB4F47">
        <w:rPr>
          <w:rFonts w:cs="Arial"/>
          <w:color w:val="auto"/>
          <w:sz w:val="16"/>
          <w:szCs w:val="16"/>
        </w:rPr>
        <w:t>2009,</w:t>
      </w:r>
      <w:r w:rsidRPr="00CB4F47">
        <w:rPr>
          <w:rFonts w:cs="Arial"/>
          <w:color w:val="auto"/>
          <w:sz w:val="16"/>
          <w:szCs w:val="16"/>
        </w:rPr>
        <w:t xml:space="preserve"> pages 236</w:t>
      </w:r>
      <w:r w:rsidRPr="00CB4F47">
        <w:rPr>
          <w:rFonts w:cs="Arial"/>
          <w:sz w:val="16"/>
          <w:szCs w:val="16"/>
        </w:rPr>
        <w:t>–</w:t>
      </w:r>
      <w:r w:rsidRPr="00CB4F47">
        <w:rPr>
          <w:rFonts w:cs="Arial"/>
          <w:color w:val="auto"/>
          <w:sz w:val="16"/>
          <w:szCs w:val="16"/>
        </w:rPr>
        <w:t>237</w:t>
      </w:r>
      <w:r w:rsidR="001C79DA">
        <w:rPr>
          <w:rFonts w:cs="Arial"/>
          <w:color w:val="auto"/>
          <w:sz w:val="16"/>
          <w:szCs w:val="16"/>
        </w:rPr>
        <w:t>)</w:t>
      </w:r>
      <w:r w:rsidRPr="00CB4F47">
        <w:rPr>
          <w:rFonts w:cs="Arial"/>
          <w:color w:val="auto"/>
          <w:sz w:val="16"/>
          <w:szCs w:val="16"/>
        </w:rPr>
        <w:t>.</w:t>
      </w:r>
    </w:p>
  </w:footnote>
  <w:footnote w:id="316">
    <w:p w14:paraId="1DD3C971" w14:textId="3EABFFE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r w:rsidR="00A671DF" w:rsidRPr="00CB4F47">
        <w:rPr>
          <w:rFonts w:cs="Arial"/>
          <w:color w:val="auto"/>
          <w:sz w:val="16"/>
          <w:szCs w:val="16"/>
        </w:rPr>
        <w:t>R</w:t>
      </w:r>
      <w:r w:rsidR="00A671DF" w:rsidRPr="00CB4F47">
        <w:rPr>
          <w:rFonts w:cs="Arial"/>
          <w:sz w:val="16"/>
          <w:szCs w:val="16"/>
        </w:rPr>
        <w:t>S</w:t>
      </w:r>
      <w:r w:rsidRPr="00CB4F47">
        <w:rPr>
          <w:rFonts w:cs="Arial"/>
          <w:sz w:val="16"/>
          <w:szCs w:val="16"/>
        </w:rPr>
        <w:t>,</w:t>
      </w:r>
      <w:r w:rsidRPr="00CB4F47">
        <w:rPr>
          <w:rFonts w:cs="Arial"/>
          <w:color w:val="auto"/>
          <w:sz w:val="16"/>
          <w:szCs w:val="16"/>
        </w:rPr>
        <w:t xml:space="preserve"> </w:t>
      </w:r>
      <w:hyperlink r:id="rId83" w:history="1">
        <w:r w:rsidRPr="00CB4F47">
          <w:rPr>
            <w:rFonts w:cs="Arial"/>
            <w:color w:val="auto"/>
            <w:sz w:val="16"/>
            <w:szCs w:val="16"/>
          </w:rPr>
          <w:t>Maori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84" w:history="1">
        <w:r w:rsidRPr="00CB4F47">
          <w:rPr>
            <w:rFonts w:cs="Arial"/>
            <w:color w:val="auto"/>
            <w:sz w:val="16"/>
            <w:szCs w:val="16"/>
          </w:rPr>
          <w:t>Victoria University Press</w:t>
        </w:r>
      </w:hyperlink>
      <w:r w:rsidRPr="00CB4F47">
        <w:rPr>
          <w:rFonts w:cs="Arial"/>
          <w:color w:val="auto"/>
          <w:sz w:val="16"/>
          <w:szCs w:val="16"/>
        </w:rPr>
        <w:t xml:space="preserve">, </w:t>
      </w:r>
      <w:r w:rsidR="00A671DF" w:rsidRPr="00CB4F47">
        <w:rPr>
          <w:rFonts w:cs="Arial"/>
          <w:color w:val="auto"/>
          <w:sz w:val="16"/>
          <w:szCs w:val="16"/>
        </w:rPr>
        <w:t>2009,</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26</w:t>
      </w:r>
      <w:r w:rsidR="001C79DA">
        <w:rPr>
          <w:rFonts w:cs="Arial"/>
          <w:color w:val="auto"/>
          <w:sz w:val="16"/>
          <w:szCs w:val="16"/>
        </w:rPr>
        <w:t>)</w:t>
      </w:r>
      <w:r w:rsidRPr="00CB4F47">
        <w:rPr>
          <w:rFonts w:cs="Arial"/>
          <w:color w:val="auto"/>
          <w:sz w:val="16"/>
          <w:szCs w:val="16"/>
        </w:rPr>
        <w:t>.</w:t>
      </w:r>
    </w:p>
  </w:footnote>
  <w:footnote w:id="317">
    <w:p w14:paraId="4D5C69C8" w14:textId="6381ED36" w:rsidR="00CE4286" w:rsidRPr="00536E67" w:rsidRDefault="00CE4286" w:rsidP="00CE4286">
      <w:pPr>
        <w:pStyle w:val="FootnoteText"/>
        <w:rPr>
          <w:sz w:val="16"/>
          <w:szCs w:val="16"/>
        </w:rPr>
      </w:pPr>
      <w:r w:rsidRPr="00536E67">
        <w:rPr>
          <w:rStyle w:val="FootnoteReference"/>
          <w:sz w:val="16"/>
          <w:szCs w:val="16"/>
        </w:rPr>
        <w:footnoteRef/>
      </w:r>
      <w:r w:rsidRPr="00536E67">
        <w:rPr>
          <w:sz w:val="16"/>
          <w:szCs w:val="16"/>
        </w:rPr>
        <w:t xml:space="preserve"> </w:t>
      </w:r>
      <w:r w:rsidRPr="00CB4F47">
        <w:rPr>
          <w:rFonts w:cs="Arial"/>
          <w:sz w:val="16"/>
          <w:szCs w:val="16"/>
        </w:rPr>
        <w:t xml:space="preserve">Māori Perspective Advisory Committee, Puao-te-ata-tu (day break): The report of the Ministerial Advisory Committee on a Māori perspective for the Department of Social Welfare (Department of Social Welfare, 1988, </w:t>
      </w:r>
      <w:r w:rsidRPr="00CB4F47">
        <w:rPr>
          <w:rFonts w:cs="Arial"/>
          <w:color w:val="auto"/>
          <w:sz w:val="16"/>
          <w:szCs w:val="16"/>
        </w:rPr>
        <w:t xml:space="preserve">page </w:t>
      </w:r>
      <w:r w:rsidR="00BB64C7">
        <w:rPr>
          <w:rFonts w:cs="Arial"/>
          <w:color w:val="auto"/>
          <w:sz w:val="16"/>
          <w:szCs w:val="16"/>
        </w:rPr>
        <w:t>77</w:t>
      </w:r>
      <w:r>
        <w:rPr>
          <w:rFonts w:cs="Arial"/>
          <w:color w:val="auto"/>
          <w:sz w:val="16"/>
          <w:szCs w:val="16"/>
        </w:rPr>
        <w:t>)</w:t>
      </w:r>
      <w:r w:rsidR="00FE4DEC">
        <w:rPr>
          <w:rFonts w:cs="Arial"/>
          <w:color w:val="auto"/>
          <w:sz w:val="16"/>
          <w:szCs w:val="16"/>
        </w:rPr>
        <w:t xml:space="preserve">; </w:t>
      </w:r>
      <w:r w:rsidR="00B90BDB">
        <w:rPr>
          <w:rFonts w:cs="Arial"/>
          <w:color w:val="auto"/>
          <w:sz w:val="16"/>
          <w:szCs w:val="16"/>
        </w:rPr>
        <w:t xml:space="preserve">Cleland, A, </w:t>
      </w:r>
      <w:r w:rsidR="00EE6D3D">
        <w:rPr>
          <w:rFonts w:cs="Arial"/>
          <w:color w:val="auto"/>
          <w:sz w:val="16"/>
          <w:szCs w:val="16"/>
        </w:rPr>
        <w:t>“</w:t>
      </w:r>
      <w:r w:rsidR="00B90BDB">
        <w:rPr>
          <w:rFonts w:cs="Arial"/>
          <w:color w:val="auto"/>
          <w:sz w:val="16"/>
          <w:szCs w:val="16"/>
        </w:rPr>
        <w:t>Care of Children Act 2004: Continuation of cultural assimilation</w:t>
      </w:r>
      <w:r w:rsidR="00EE6D3D">
        <w:rPr>
          <w:rFonts w:cs="Arial"/>
          <w:color w:val="auto"/>
          <w:sz w:val="16"/>
          <w:szCs w:val="16"/>
        </w:rPr>
        <w:t>”</w:t>
      </w:r>
      <w:r w:rsidR="00BD1B0E">
        <w:rPr>
          <w:rFonts w:cs="Arial"/>
          <w:color w:val="auto"/>
          <w:sz w:val="16"/>
          <w:szCs w:val="16"/>
        </w:rPr>
        <w:t xml:space="preserve">, </w:t>
      </w:r>
      <w:r w:rsidR="003C1BF9">
        <w:rPr>
          <w:rFonts w:cs="Arial"/>
          <w:color w:val="auto"/>
          <w:sz w:val="16"/>
          <w:szCs w:val="16"/>
        </w:rPr>
        <w:t>Victoria Uni</w:t>
      </w:r>
      <w:r w:rsidR="007140FA">
        <w:rPr>
          <w:rFonts w:cs="Arial"/>
          <w:color w:val="auto"/>
          <w:sz w:val="16"/>
          <w:szCs w:val="16"/>
        </w:rPr>
        <w:t>versity of Wellington Law Re</w:t>
      </w:r>
      <w:r w:rsidR="00EE6D3D">
        <w:rPr>
          <w:rFonts w:cs="Arial"/>
          <w:color w:val="auto"/>
          <w:sz w:val="16"/>
          <w:szCs w:val="16"/>
        </w:rPr>
        <w:t>view, Volume</w:t>
      </w:r>
      <w:r w:rsidR="007140FA">
        <w:rPr>
          <w:rFonts w:cs="Arial"/>
          <w:color w:val="auto"/>
          <w:sz w:val="16"/>
          <w:szCs w:val="16"/>
        </w:rPr>
        <w:t xml:space="preserve"> 54</w:t>
      </w:r>
      <w:r w:rsidR="00EE6D3D">
        <w:rPr>
          <w:rFonts w:cs="Arial"/>
          <w:color w:val="auto"/>
          <w:sz w:val="16"/>
          <w:szCs w:val="16"/>
        </w:rPr>
        <w:t xml:space="preserve"> (</w:t>
      </w:r>
      <w:r w:rsidR="007140FA">
        <w:rPr>
          <w:rFonts w:cs="Arial"/>
          <w:color w:val="auto"/>
          <w:sz w:val="16"/>
          <w:szCs w:val="16"/>
        </w:rPr>
        <w:t>2023, page</w:t>
      </w:r>
      <w:r w:rsidR="006B252F">
        <w:rPr>
          <w:rFonts w:cs="Arial"/>
          <w:color w:val="auto"/>
          <w:sz w:val="16"/>
          <w:szCs w:val="16"/>
        </w:rPr>
        <w:t>s 676 and 697)</w:t>
      </w:r>
      <w:r w:rsidRPr="00CB4F47">
        <w:rPr>
          <w:rFonts w:cs="Arial"/>
          <w:color w:val="auto"/>
          <w:sz w:val="16"/>
          <w:szCs w:val="16"/>
        </w:rPr>
        <w:t>.</w:t>
      </w:r>
      <w:r w:rsidRPr="00536E67">
        <w:rPr>
          <w:sz w:val="16"/>
          <w:szCs w:val="16"/>
        </w:rPr>
        <w:t xml:space="preserve"> </w:t>
      </w:r>
    </w:p>
  </w:footnote>
  <w:footnote w:id="318">
    <w:p w14:paraId="60E3ABB9" w14:textId="2A07F13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r w:rsidR="00A671DF" w:rsidRPr="00CB4F47">
        <w:rPr>
          <w:rFonts w:cs="Arial"/>
          <w:color w:val="auto"/>
          <w:sz w:val="16"/>
          <w:szCs w:val="16"/>
        </w:rPr>
        <w:t>R</w:t>
      </w:r>
      <w:r w:rsidR="00A671DF" w:rsidRPr="00CB4F47">
        <w:rPr>
          <w:rFonts w:cs="Arial"/>
          <w:sz w:val="16"/>
          <w:szCs w:val="16"/>
        </w:rPr>
        <w:t>S</w:t>
      </w:r>
      <w:r w:rsidRPr="00CB4F47">
        <w:rPr>
          <w:rFonts w:cs="Arial"/>
          <w:sz w:val="16"/>
          <w:szCs w:val="16"/>
        </w:rPr>
        <w:t>,</w:t>
      </w:r>
      <w:r w:rsidRPr="00CB4F47">
        <w:rPr>
          <w:rFonts w:cs="Arial"/>
          <w:color w:val="auto"/>
          <w:sz w:val="16"/>
          <w:szCs w:val="16"/>
        </w:rPr>
        <w:t xml:space="preserve"> </w:t>
      </w:r>
      <w:hyperlink r:id="rId85" w:history="1">
        <w:r w:rsidRPr="00CB4F47">
          <w:rPr>
            <w:rFonts w:cs="Arial"/>
            <w:color w:val="auto"/>
            <w:sz w:val="16"/>
            <w:szCs w:val="16"/>
          </w:rPr>
          <w:t>Maori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86" w:history="1">
        <w:r w:rsidRPr="00CB4F47">
          <w:rPr>
            <w:rFonts w:cs="Arial"/>
            <w:color w:val="auto"/>
            <w:sz w:val="16"/>
            <w:szCs w:val="16"/>
          </w:rPr>
          <w:t>Victoria University Press</w:t>
        </w:r>
      </w:hyperlink>
      <w:r w:rsidRPr="00CB4F47">
        <w:rPr>
          <w:rFonts w:cs="Arial"/>
          <w:color w:val="auto"/>
          <w:sz w:val="16"/>
          <w:szCs w:val="16"/>
        </w:rPr>
        <w:t xml:space="preserve">, </w:t>
      </w:r>
      <w:r w:rsidR="00A671DF" w:rsidRPr="00CB4F47">
        <w:rPr>
          <w:rFonts w:cs="Arial"/>
          <w:color w:val="auto"/>
          <w:sz w:val="16"/>
          <w:szCs w:val="16"/>
        </w:rPr>
        <w:t>2009,</w:t>
      </w:r>
      <w:r w:rsidRPr="00CB4F47">
        <w:rPr>
          <w:rFonts w:cs="Arial"/>
          <w:color w:val="auto"/>
          <w:sz w:val="16"/>
          <w:szCs w:val="16"/>
        </w:rPr>
        <w:t xml:space="preserve"> </w:t>
      </w:r>
      <w:r w:rsidR="00C32E74" w:rsidRPr="00CB4F47">
        <w:rPr>
          <w:rFonts w:cs="Arial"/>
          <w:color w:val="auto"/>
          <w:sz w:val="16"/>
          <w:szCs w:val="16"/>
        </w:rPr>
        <w:t>pages</w:t>
      </w:r>
      <w:r w:rsidRPr="00CB4F47">
        <w:rPr>
          <w:rFonts w:cs="Arial"/>
          <w:color w:val="auto"/>
          <w:sz w:val="16"/>
          <w:szCs w:val="16"/>
        </w:rPr>
        <w:t xml:space="preserve"> 248</w:t>
      </w:r>
      <w:r w:rsidR="00C32E74" w:rsidRPr="00CB4F47">
        <w:rPr>
          <w:rFonts w:cs="Arial"/>
          <w:color w:val="auto"/>
          <w:sz w:val="16"/>
          <w:szCs w:val="16"/>
        </w:rPr>
        <w:t xml:space="preserve"> and</w:t>
      </w:r>
      <w:r w:rsidRPr="00CB4F47">
        <w:rPr>
          <w:rFonts w:cs="Arial"/>
          <w:color w:val="auto"/>
          <w:sz w:val="16"/>
          <w:szCs w:val="16"/>
        </w:rPr>
        <w:t xml:space="preserve"> 250</w:t>
      </w:r>
      <w:r w:rsidR="001C79DA">
        <w:rPr>
          <w:rFonts w:cs="Arial"/>
          <w:color w:val="auto"/>
          <w:sz w:val="16"/>
          <w:szCs w:val="16"/>
        </w:rPr>
        <w:t>)</w:t>
      </w:r>
      <w:r w:rsidRPr="00CB4F47">
        <w:rPr>
          <w:rFonts w:cs="Arial"/>
          <w:color w:val="auto"/>
          <w:sz w:val="16"/>
          <w:szCs w:val="16"/>
        </w:rPr>
        <w:t>.</w:t>
      </w:r>
    </w:p>
  </w:footnote>
  <w:footnote w:id="319">
    <w:p w14:paraId="2408D538" w14:textId="120905FA" w:rsidR="002B4B30" w:rsidRPr="00536E67" w:rsidRDefault="002B4B30" w:rsidP="002B4B30">
      <w:pPr>
        <w:pStyle w:val="FootnoteText"/>
        <w:rPr>
          <w:rFonts w:cs="Arial"/>
          <w:sz w:val="16"/>
          <w:szCs w:val="16"/>
        </w:rPr>
      </w:pPr>
      <w:r w:rsidRPr="00536E67">
        <w:rPr>
          <w:rStyle w:val="FootnoteReference"/>
          <w:sz w:val="16"/>
          <w:szCs w:val="16"/>
        </w:rPr>
        <w:footnoteRef/>
      </w:r>
      <w:r w:rsidRPr="00536E67">
        <w:rPr>
          <w:rFonts w:cs="Arial"/>
          <w:sz w:val="16"/>
          <w:szCs w:val="16"/>
        </w:rPr>
        <w:t xml:space="preserve"> </w:t>
      </w:r>
      <w:r w:rsidRPr="005B5357">
        <w:rPr>
          <w:rFonts w:eastAsia="Arial" w:cs="Arial"/>
          <w:color w:val="262626" w:themeColor="text1" w:themeTint="D9"/>
          <w:sz w:val="16"/>
          <w:szCs w:val="16"/>
        </w:rPr>
        <w:t>Durie</w:t>
      </w:r>
      <w:r w:rsidR="009B421C" w:rsidRPr="005B5357">
        <w:rPr>
          <w:rFonts w:eastAsia="Arial" w:cs="Arial"/>
          <w:color w:val="262626" w:themeColor="text1" w:themeTint="D9"/>
          <w:sz w:val="16"/>
          <w:szCs w:val="16"/>
        </w:rPr>
        <w:t>, M</w:t>
      </w:r>
      <w:r w:rsidR="00FD3F03">
        <w:rPr>
          <w:rFonts w:eastAsia="Arial" w:cs="Arial"/>
          <w:color w:val="262626" w:themeColor="text1" w:themeTint="D9"/>
          <w:sz w:val="16"/>
          <w:szCs w:val="16"/>
        </w:rPr>
        <w:t>,</w:t>
      </w:r>
      <w:r w:rsidR="009B421C" w:rsidRPr="005B5357">
        <w:rPr>
          <w:rFonts w:eastAsia="Arial" w:cs="Arial"/>
          <w:color w:val="262626" w:themeColor="text1" w:themeTint="D9"/>
          <w:sz w:val="16"/>
          <w:szCs w:val="16"/>
        </w:rPr>
        <w:t xml:space="preserve"> Ng</w:t>
      </w:r>
      <w:r w:rsidR="009B421C">
        <w:rPr>
          <w:rFonts w:eastAsia="Arial" w:cs="Arial"/>
          <w:color w:val="262626" w:themeColor="text1" w:themeTint="D9"/>
          <w:sz w:val="16"/>
          <w:szCs w:val="16"/>
        </w:rPr>
        <w:t>ā</w:t>
      </w:r>
      <w:r w:rsidR="009B421C" w:rsidRPr="005B5357">
        <w:rPr>
          <w:rFonts w:eastAsia="Arial" w:cs="Arial"/>
          <w:color w:val="262626" w:themeColor="text1" w:themeTint="D9"/>
          <w:sz w:val="16"/>
          <w:szCs w:val="16"/>
        </w:rPr>
        <w:t xml:space="preserve"> Tai Matat</w:t>
      </w:r>
      <w:r w:rsidR="00081766">
        <w:rPr>
          <w:rFonts w:eastAsia="Arial" w:cs="Arial"/>
          <w:color w:val="262626" w:themeColor="text1" w:themeTint="D9"/>
          <w:sz w:val="16"/>
          <w:szCs w:val="16"/>
        </w:rPr>
        <w:t>ū</w:t>
      </w:r>
      <w:r w:rsidR="009B421C" w:rsidRPr="005B5357">
        <w:rPr>
          <w:rFonts w:eastAsia="Arial" w:cs="Arial"/>
          <w:color w:val="262626" w:themeColor="text1" w:themeTint="D9"/>
          <w:sz w:val="16"/>
          <w:szCs w:val="16"/>
        </w:rPr>
        <w:t>: Tides of M</w:t>
      </w:r>
      <w:r w:rsidR="00081766">
        <w:rPr>
          <w:rFonts w:eastAsia="Arial" w:cs="Arial"/>
          <w:color w:val="262626" w:themeColor="text1" w:themeTint="D9"/>
          <w:sz w:val="16"/>
          <w:szCs w:val="16"/>
        </w:rPr>
        <w:t>ā</w:t>
      </w:r>
      <w:r w:rsidR="009B421C" w:rsidRPr="005B5357">
        <w:rPr>
          <w:rFonts w:eastAsia="Arial" w:cs="Arial"/>
          <w:color w:val="262626" w:themeColor="text1" w:themeTint="D9"/>
          <w:sz w:val="16"/>
          <w:szCs w:val="16"/>
        </w:rPr>
        <w:t>ori</w:t>
      </w:r>
      <w:r w:rsidR="00081766">
        <w:rPr>
          <w:rFonts w:eastAsia="Arial" w:cs="Arial"/>
          <w:color w:val="262626" w:themeColor="text1" w:themeTint="D9"/>
          <w:sz w:val="16"/>
          <w:szCs w:val="16"/>
        </w:rPr>
        <w:t xml:space="preserve"> </w:t>
      </w:r>
      <w:r w:rsidR="009B421C" w:rsidRPr="005B5357">
        <w:rPr>
          <w:rFonts w:eastAsia="Arial" w:cs="Arial"/>
          <w:color w:val="262626" w:themeColor="text1" w:themeTint="D9"/>
          <w:sz w:val="16"/>
          <w:szCs w:val="16"/>
        </w:rPr>
        <w:t>Endurance</w:t>
      </w:r>
      <w:r w:rsidR="00081766">
        <w:rPr>
          <w:rFonts w:eastAsia="Arial" w:cs="Arial"/>
          <w:color w:val="262626" w:themeColor="text1" w:themeTint="D9"/>
          <w:sz w:val="16"/>
          <w:szCs w:val="16"/>
        </w:rPr>
        <w:t xml:space="preserve"> (</w:t>
      </w:r>
      <w:r w:rsidR="009B421C" w:rsidRPr="005B5357">
        <w:rPr>
          <w:rFonts w:eastAsia="Arial" w:cs="Arial"/>
          <w:color w:val="262626" w:themeColor="text1" w:themeTint="D9"/>
          <w:sz w:val="16"/>
          <w:szCs w:val="16"/>
        </w:rPr>
        <w:t>Melbourne, Oxford University Press</w:t>
      </w:r>
      <w:r w:rsidR="00081766">
        <w:rPr>
          <w:rFonts w:eastAsia="Arial" w:cs="Arial"/>
          <w:color w:val="262626" w:themeColor="text1" w:themeTint="D9"/>
          <w:sz w:val="16"/>
          <w:szCs w:val="16"/>
        </w:rPr>
        <w:t xml:space="preserve">, 2005, page </w:t>
      </w:r>
      <w:r w:rsidR="005D3A2C">
        <w:rPr>
          <w:rFonts w:eastAsia="Arial" w:cs="Arial"/>
          <w:color w:val="262626" w:themeColor="text1" w:themeTint="D9"/>
          <w:sz w:val="16"/>
          <w:szCs w:val="16"/>
        </w:rPr>
        <w:t>50</w:t>
      </w:r>
      <w:r w:rsidR="00081766">
        <w:rPr>
          <w:rFonts w:eastAsia="Arial" w:cs="Arial"/>
          <w:color w:val="262626" w:themeColor="text1" w:themeTint="D9"/>
          <w:sz w:val="16"/>
          <w:szCs w:val="16"/>
        </w:rPr>
        <w:t>)</w:t>
      </w:r>
      <w:r w:rsidR="00FD3F03">
        <w:rPr>
          <w:rFonts w:eastAsia="Arial" w:cs="Arial"/>
          <w:color w:val="262626" w:themeColor="text1" w:themeTint="D9"/>
          <w:sz w:val="16"/>
          <w:szCs w:val="16"/>
        </w:rPr>
        <w:t>,</w:t>
      </w:r>
      <w:r w:rsidR="009B421C" w:rsidRPr="00536E67">
        <w:rPr>
          <w:rFonts w:cs="Arial"/>
          <w:sz w:val="16"/>
          <w:szCs w:val="16"/>
          <w:shd w:val="clear" w:color="auto" w:fill="FFFFFF"/>
        </w:rPr>
        <w:t xml:space="preserve"> </w:t>
      </w:r>
      <w:r w:rsidR="005D3A2C" w:rsidRPr="00FC5F93">
        <w:rPr>
          <w:rFonts w:cs="Arial"/>
          <w:sz w:val="16"/>
          <w:szCs w:val="16"/>
          <w:shd w:val="clear" w:color="auto" w:fill="FFFFFF"/>
        </w:rPr>
        <w:t>cited</w:t>
      </w:r>
      <w:r w:rsidRPr="00FC5F93">
        <w:rPr>
          <w:rFonts w:cs="Arial"/>
          <w:sz w:val="16"/>
          <w:szCs w:val="16"/>
          <w:shd w:val="clear" w:color="auto" w:fill="FFFFFF"/>
        </w:rPr>
        <w:t xml:space="preserve"> in </w:t>
      </w:r>
      <w:r w:rsidRPr="00CB4F47">
        <w:rPr>
          <w:rFonts w:cs="Arial"/>
          <w:sz w:val="16"/>
          <w:szCs w:val="16"/>
        </w:rPr>
        <w:t>Te</w:t>
      </w:r>
      <w:r w:rsidRPr="00CB4F47">
        <w:rPr>
          <w:rFonts w:eastAsia="Arial" w:cs="Arial"/>
          <w:color w:val="262626" w:themeColor="text1" w:themeTint="D9"/>
          <w:sz w:val="16"/>
          <w:szCs w:val="16"/>
        </w:rPr>
        <w:t>nnant, M</w:t>
      </w:r>
      <w:r w:rsidR="00426E4A" w:rsidRPr="00CB4F47">
        <w:rPr>
          <w:rFonts w:eastAsia="Arial" w:cs="Arial"/>
          <w:color w:val="262626" w:themeColor="text1" w:themeTint="D9"/>
          <w:sz w:val="16"/>
          <w:szCs w:val="16"/>
        </w:rPr>
        <w:t>,</w:t>
      </w:r>
      <w:r w:rsidRPr="00CB4F47">
        <w:rPr>
          <w:rFonts w:eastAsia="Arial" w:cs="Arial"/>
          <w:color w:val="262626" w:themeColor="text1" w:themeTint="D9"/>
          <w:sz w:val="16"/>
          <w:szCs w:val="16"/>
        </w:rPr>
        <w:t xml:space="preserve"> O'Brien, M &amp; Sanders, J</w:t>
      </w:r>
      <w:r w:rsidR="00426E4A" w:rsidRPr="00CB4F47">
        <w:rPr>
          <w:rFonts w:eastAsia="Arial" w:cs="Arial"/>
          <w:color w:val="262626" w:themeColor="text1" w:themeTint="D9"/>
          <w:sz w:val="16"/>
          <w:szCs w:val="16"/>
        </w:rPr>
        <w:t>,</w:t>
      </w:r>
      <w:r w:rsidRPr="00CB4F47">
        <w:rPr>
          <w:rFonts w:eastAsia="Arial" w:cs="Arial"/>
          <w:color w:val="262626" w:themeColor="text1" w:themeTint="D9"/>
          <w:sz w:val="16"/>
          <w:szCs w:val="16"/>
        </w:rPr>
        <w:t xml:space="preserve"> The history of the non-profit sector in New Zealand (Office for the Community and Voluntary Sector, 2008</w:t>
      </w:r>
      <w:r w:rsidR="00426E4A" w:rsidRPr="00CB4F47">
        <w:rPr>
          <w:rFonts w:eastAsia="Arial" w:cs="Arial"/>
          <w:color w:val="262626" w:themeColor="text1" w:themeTint="D9"/>
          <w:sz w:val="16"/>
          <w:szCs w:val="16"/>
        </w:rPr>
        <w:t>, p</w:t>
      </w:r>
      <w:r w:rsidR="00426E4A">
        <w:rPr>
          <w:rFonts w:eastAsia="Arial" w:cs="Arial"/>
          <w:color w:val="262626" w:themeColor="text1" w:themeTint="D9"/>
          <w:sz w:val="16"/>
          <w:szCs w:val="16"/>
        </w:rPr>
        <w:t>age</w:t>
      </w:r>
      <w:r w:rsidRPr="00CB4F47">
        <w:rPr>
          <w:rFonts w:eastAsia="Arial" w:cs="Arial"/>
          <w:color w:val="262626" w:themeColor="text1" w:themeTint="D9"/>
          <w:sz w:val="16"/>
          <w:szCs w:val="16"/>
        </w:rPr>
        <w:t xml:space="preserve"> 2</w:t>
      </w:r>
      <w:r>
        <w:rPr>
          <w:rFonts w:eastAsia="Arial" w:cs="Arial"/>
          <w:color w:val="262626" w:themeColor="text1" w:themeTint="D9"/>
          <w:sz w:val="16"/>
          <w:szCs w:val="16"/>
        </w:rPr>
        <w:t>7</w:t>
      </w:r>
      <w:r w:rsidR="00426E4A">
        <w:rPr>
          <w:rFonts w:eastAsia="Arial" w:cs="Arial"/>
          <w:color w:val="262626" w:themeColor="text1" w:themeTint="D9"/>
          <w:sz w:val="16"/>
          <w:szCs w:val="16"/>
        </w:rPr>
        <w:t>).</w:t>
      </w:r>
    </w:p>
  </w:footnote>
  <w:footnote w:id="320">
    <w:p w14:paraId="01E8833D" w14:textId="603D6889" w:rsidR="002B4B30" w:rsidRPr="00536E67" w:rsidRDefault="002B4B30" w:rsidP="002B4B30">
      <w:pPr>
        <w:pStyle w:val="FootnoteText"/>
        <w:rPr>
          <w:rFonts w:cs="Arial"/>
          <w:sz w:val="16"/>
          <w:szCs w:val="16"/>
        </w:rPr>
      </w:pPr>
      <w:r w:rsidRPr="00536E67">
        <w:rPr>
          <w:rStyle w:val="FootnoteReference"/>
          <w:sz w:val="16"/>
          <w:szCs w:val="16"/>
        </w:rPr>
        <w:footnoteRef/>
      </w:r>
      <w:r w:rsidRPr="00536E67">
        <w:rPr>
          <w:rFonts w:cs="Arial"/>
          <w:sz w:val="16"/>
          <w:szCs w:val="16"/>
        </w:rPr>
        <w:t xml:space="preserve"> </w:t>
      </w:r>
      <w:r w:rsidRPr="00CB4F47">
        <w:rPr>
          <w:rFonts w:cs="Arial"/>
          <w:sz w:val="16"/>
          <w:szCs w:val="16"/>
        </w:rPr>
        <w:t>Te</w:t>
      </w:r>
      <w:r w:rsidRPr="00CB4F47">
        <w:rPr>
          <w:rFonts w:eastAsia="Arial" w:cs="Arial"/>
          <w:color w:val="262626" w:themeColor="text1" w:themeTint="D9"/>
          <w:sz w:val="16"/>
          <w:szCs w:val="16"/>
        </w:rPr>
        <w:t>nnant, M</w:t>
      </w:r>
      <w:r w:rsidR="00575F59" w:rsidRPr="00CB4F47">
        <w:rPr>
          <w:rFonts w:eastAsia="Arial" w:cs="Arial"/>
          <w:color w:val="262626" w:themeColor="text1" w:themeTint="D9"/>
          <w:sz w:val="16"/>
          <w:szCs w:val="16"/>
        </w:rPr>
        <w:t>,</w:t>
      </w:r>
      <w:r w:rsidRPr="00CB4F47">
        <w:rPr>
          <w:rFonts w:eastAsia="Arial" w:cs="Arial"/>
          <w:color w:val="262626" w:themeColor="text1" w:themeTint="D9"/>
          <w:sz w:val="16"/>
          <w:szCs w:val="16"/>
        </w:rPr>
        <w:t xml:space="preserve"> O'Brien, M &amp; Sanders, J</w:t>
      </w:r>
      <w:r w:rsidR="00575F59" w:rsidRPr="00CB4F47">
        <w:rPr>
          <w:rFonts w:eastAsia="Arial" w:cs="Arial"/>
          <w:color w:val="262626" w:themeColor="text1" w:themeTint="D9"/>
          <w:sz w:val="16"/>
          <w:szCs w:val="16"/>
        </w:rPr>
        <w:t>,</w:t>
      </w:r>
      <w:r w:rsidRPr="00CB4F47">
        <w:rPr>
          <w:rFonts w:eastAsia="Arial" w:cs="Arial"/>
          <w:color w:val="262626" w:themeColor="text1" w:themeTint="D9"/>
          <w:sz w:val="16"/>
          <w:szCs w:val="16"/>
        </w:rPr>
        <w:t xml:space="preserve"> The history of the non-profit sector in New Zealand (Office for the Community and Voluntary Sector, 2008</w:t>
      </w:r>
      <w:r w:rsidR="00575F59" w:rsidRPr="00CB4F47">
        <w:rPr>
          <w:rFonts w:eastAsia="Arial" w:cs="Arial"/>
          <w:color w:val="262626" w:themeColor="text1" w:themeTint="D9"/>
          <w:sz w:val="16"/>
          <w:szCs w:val="16"/>
        </w:rPr>
        <w:t>, p</w:t>
      </w:r>
      <w:r w:rsidR="00575F59">
        <w:rPr>
          <w:rFonts w:eastAsia="Arial" w:cs="Arial"/>
          <w:color w:val="262626" w:themeColor="text1" w:themeTint="D9"/>
          <w:sz w:val="16"/>
          <w:szCs w:val="16"/>
        </w:rPr>
        <w:t>age</w:t>
      </w:r>
      <w:r w:rsidRPr="00CB4F47">
        <w:rPr>
          <w:rFonts w:eastAsia="Arial" w:cs="Arial"/>
          <w:color w:val="262626" w:themeColor="text1" w:themeTint="D9"/>
          <w:sz w:val="16"/>
          <w:szCs w:val="16"/>
        </w:rPr>
        <w:t xml:space="preserve"> 21</w:t>
      </w:r>
      <w:r w:rsidR="00575F59">
        <w:rPr>
          <w:rFonts w:eastAsia="Arial" w:cs="Arial"/>
          <w:color w:val="262626" w:themeColor="text1" w:themeTint="D9"/>
          <w:sz w:val="16"/>
          <w:szCs w:val="16"/>
        </w:rPr>
        <w:t>).</w:t>
      </w:r>
    </w:p>
  </w:footnote>
  <w:footnote w:id="321">
    <w:p w14:paraId="193FB07A" w14:textId="08B80FE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Hill, </w:t>
      </w:r>
      <w:r w:rsidR="00A671DF" w:rsidRPr="00CB4F47">
        <w:rPr>
          <w:rFonts w:cs="Arial"/>
          <w:color w:val="auto"/>
          <w:sz w:val="16"/>
          <w:szCs w:val="16"/>
        </w:rPr>
        <w:t>R</w:t>
      </w:r>
      <w:r w:rsidR="00A671DF" w:rsidRPr="00CB4F47">
        <w:rPr>
          <w:rFonts w:cs="Arial"/>
          <w:sz w:val="16"/>
          <w:szCs w:val="16"/>
        </w:rPr>
        <w:t>S</w:t>
      </w:r>
      <w:r w:rsidRPr="00CB4F47">
        <w:rPr>
          <w:rFonts w:cs="Arial"/>
          <w:sz w:val="16"/>
          <w:szCs w:val="16"/>
        </w:rPr>
        <w:t>,</w:t>
      </w:r>
      <w:r w:rsidRPr="00CB4F47">
        <w:rPr>
          <w:rFonts w:cs="Arial"/>
          <w:color w:val="auto"/>
          <w:sz w:val="16"/>
          <w:szCs w:val="16"/>
        </w:rPr>
        <w:t xml:space="preserve"> </w:t>
      </w:r>
      <w:hyperlink r:id="rId87" w:history="1">
        <w:r w:rsidRPr="00CB4F47">
          <w:rPr>
            <w:rFonts w:cs="Arial"/>
            <w:color w:val="auto"/>
            <w:sz w:val="16"/>
            <w:szCs w:val="16"/>
          </w:rPr>
          <w:t>Maori and the State: Crown-Māori relations in New Zealand/Aotearoa, 1950</w:t>
        </w:r>
        <w:r w:rsidR="00C32E74" w:rsidRPr="00CB4F47">
          <w:rPr>
            <w:rFonts w:cs="Arial"/>
            <w:color w:val="auto"/>
            <w:sz w:val="16"/>
            <w:szCs w:val="16"/>
          </w:rPr>
          <w:t>–</w:t>
        </w:r>
        <w:r w:rsidRPr="00CB4F47">
          <w:rPr>
            <w:rFonts w:cs="Arial"/>
            <w:color w:val="auto"/>
            <w:sz w:val="16"/>
            <w:szCs w:val="16"/>
          </w:rPr>
          <w:t>2000</w:t>
        </w:r>
      </w:hyperlink>
      <w:r w:rsidRPr="00CB4F47">
        <w:rPr>
          <w:rFonts w:cs="Arial"/>
          <w:color w:val="auto"/>
          <w:sz w:val="16"/>
          <w:szCs w:val="16"/>
        </w:rPr>
        <w:t xml:space="preserve"> (</w:t>
      </w:r>
      <w:hyperlink r:id="rId88" w:history="1">
        <w:r w:rsidRPr="00CB4F47">
          <w:rPr>
            <w:rFonts w:cs="Arial"/>
            <w:color w:val="auto"/>
            <w:sz w:val="16"/>
            <w:szCs w:val="16"/>
          </w:rPr>
          <w:t>Victoria University Press</w:t>
        </w:r>
      </w:hyperlink>
      <w:r w:rsidRPr="00CB4F47">
        <w:rPr>
          <w:rFonts w:cs="Arial"/>
          <w:color w:val="auto"/>
          <w:sz w:val="16"/>
          <w:szCs w:val="16"/>
        </w:rPr>
        <w:t xml:space="preserve">, </w:t>
      </w:r>
      <w:r w:rsidR="00A671DF" w:rsidRPr="00CB4F47">
        <w:rPr>
          <w:rFonts w:cs="Arial"/>
          <w:color w:val="auto"/>
          <w:sz w:val="16"/>
          <w:szCs w:val="16"/>
        </w:rPr>
        <w:t>2009,</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194</w:t>
      </w:r>
      <w:r w:rsidR="001C79DA">
        <w:rPr>
          <w:rFonts w:cs="Arial"/>
          <w:color w:val="auto"/>
          <w:sz w:val="16"/>
          <w:szCs w:val="16"/>
        </w:rPr>
        <w:t>)</w:t>
      </w:r>
      <w:r w:rsidRPr="00CB4F47">
        <w:rPr>
          <w:rFonts w:cs="Arial"/>
          <w:color w:val="auto"/>
          <w:sz w:val="16"/>
          <w:szCs w:val="16"/>
        </w:rPr>
        <w:t>.</w:t>
      </w:r>
    </w:p>
  </w:footnote>
  <w:footnote w:id="322">
    <w:p w14:paraId="76DA46B2" w14:textId="1C0C667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BatangChe" w:cs="Arial"/>
          <w:sz w:val="16"/>
          <w:szCs w:val="16"/>
        </w:rPr>
        <w:t xml:space="preserve">Savage, C, Moyle, P, Kus-Harbord, L, Ahuriri-Driscoll, A, Hynds, A, Paipa, K, Leonard, G, Maraki, J &amp; Leonard, J, Hāhā-uri, hāhā-tea: Māori involvement in State </w:t>
      </w:r>
      <w:r w:rsidR="00A671DF">
        <w:rPr>
          <w:rFonts w:eastAsia="BatangChe" w:cs="Arial"/>
          <w:sz w:val="16"/>
          <w:szCs w:val="16"/>
        </w:rPr>
        <w:t>c</w:t>
      </w:r>
      <w:r w:rsidR="00A671DF" w:rsidRPr="00CB4F47">
        <w:rPr>
          <w:rFonts w:eastAsia="BatangChe" w:cs="Arial"/>
          <w:sz w:val="16"/>
          <w:szCs w:val="16"/>
        </w:rPr>
        <w:t>are</w:t>
      </w:r>
      <w:r w:rsidRPr="00CB4F47">
        <w:rPr>
          <w:rFonts w:eastAsia="BatangChe" w:cs="Arial"/>
          <w:sz w:val="16"/>
          <w:szCs w:val="16"/>
        </w:rPr>
        <w:t xml:space="preserve"> 1950–1999 </w:t>
      </w:r>
      <w:r w:rsidRPr="00CB4F47">
        <w:rPr>
          <w:rFonts w:eastAsia="BatangChe" w:cs="Arial"/>
          <w:color w:val="001C2E"/>
          <w:sz w:val="16"/>
          <w:szCs w:val="16"/>
          <w:shd w:val="clear" w:color="auto" w:fill="FFFFFF"/>
        </w:rPr>
        <w:t>(Ihi Research, 2021</w:t>
      </w:r>
      <w:r w:rsidR="00A671DF" w:rsidRPr="00CB4F47">
        <w:rPr>
          <w:rFonts w:eastAsia="BatangChe" w:cs="Arial"/>
          <w:color w:val="001C2E"/>
          <w:sz w:val="16"/>
          <w:szCs w:val="16"/>
          <w:shd w:val="clear" w:color="auto" w:fill="FFFFFF"/>
        </w:rPr>
        <w:t>,</w:t>
      </w:r>
      <w:r w:rsidRPr="00CB4F47">
        <w:rPr>
          <w:rFonts w:eastAsia="BatangChe" w:cs="Arial"/>
          <w:color w:val="001C2E"/>
          <w:sz w:val="16"/>
          <w:szCs w:val="16"/>
          <w:shd w:val="clear" w:color="auto" w:fill="FFFFFF"/>
        </w:rPr>
        <w:t xml:space="preserve"> </w:t>
      </w:r>
      <w:r w:rsidR="00C32E74" w:rsidRPr="00CB4F47">
        <w:rPr>
          <w:rFonts w:cs="Arial"/>
          <w:color w:val="auto"/>
          <w:sz w:val="16"/>
          <w:szCs w:val="16"/>
        </w:rPr>
        <w:t>page</w:t>
      </w:r>
      <w:r w:rsidRPr="00CB4F47">
        <w:rPr>
          <w:rFonts w:cs="Arial"/>
          <w:color w:val="auto"/>
          <w:sz w:val="16"/>
          <w:szCs w:val="16"/>
        </w:rPr>
        <w:t xml:space="preserve"> 138</w:t>
      </w:r>
      <w:r w:rsidR="001C79DA">
        <w:rPr>
          <w:rFonts w:cs="Arial"/>
          <w:color w:val="auto"/>
          <w:sz w:val="16"/>
          <w:szCs w:val="16"/>
        </w:rPr>
        <w:t>)</w:t>
      </w:r>
      <w:r w:rsidRPr="00CB4F47">
        <w:rPr>
          <w:rFonts w:cs="Arial"/>
          <w:color w:val="auto"/>
          <w:sz w:val="16"/>
          <w:szCs w:val="16"/>
        </w:rPr>
        <w:t>.</w:t>
      </w:r>
    </w:p>
  </w:footnote>
  <w:footnote w:id="323">
    <w:p w14:paraId="2ED6FFD2" w14:textId="334C090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Witness </w:t>
      </w:r>
      <w:r w:rsidR="00120A68">
        <w:rPr>
          <w:rFonts w:cs="Arial"/>
          <w:color w:val="auto"/>
          <w:sz w:val="16"/>
          <w:szCs w:val="16"/>
        </w:rPr>
        <w:t>s</w:t>
      </w:r>
      <w:r w:rsidR="00120A68" w:rsidRPr="00CB4F47">
        <w:rPr>
          <w:rFonts w:cs="Arial"/>
          <w:color w:val="auto"/>
          <w:sz w:val="16"/>
          <w:szCs w:val="16"/>
        </w:rPr>
        <w:t>tatement</w:t>
      </w:r>
      <w:r w:rsidR="00120A68">
        <w:rPr>
          <w:rFonts w:cs="Arial"/>
          <w:color w:val="auto"/>
          <w:sz w:val="16"/>
          <w:szCs w:val="16"/>
        </w:rPr>
        <w:t>s</w:t>
      </w:r>
      <w:r w:rsidR="00120A68" w:rsidRPr="00CB4F47">
        <w:rPr>
          <w:rFonts w:cs="Arial"/>
          <w:color w:val="auto"/>
          <w:sz w:val="16"/>
          <w:szCs w:val="16"/>
        </w:rPr>
        <w:t xml:space="preserve"> </w:t>
      </w:r>
      <w:r w:rsidRPr="00CB4F47">
        <w:rPr>
          <w:rFonts w:cs="Arial"/>
          <w:color w:val="auto"/>
          <w:sz w:val="16"/>
          <w:szCs w:val="16"/>
        </w:rPr>
        <w:t xml:space="preserve">of Dr Rawiri Waretini-Karena </w:t>
      </w:r>
      <w:r w:rsidR="000C7AC1">
        <w:rPr>
          <w:rFonts w:cs="Arial"/>
          <w:color w:val="auto"/>
          <w:sz w:val="16"/>
          <w:szCs w:val="16"/>
        </w:rPr>
        <w:t>(</w:t>
      </w:r>
      <w:r w:rsidRPr="00CB4F47">
        <w:rPr>
          <w:rFonts w:cs="Arial"/>
          <w:color w:val="auto"/>
          <w:sz w:val="16"/>
          <w:szCs w:val="16"/>
        </w:rPr>
        <w:t>30 October 2019</w:t>
      </w:r>
      <w:r w:rsidR="00A671DF" w:rsidRPr="00CB4F47">
        <w:rPr>
          <w:rFonts w:cs="Arial"/>
          <w:color w:val="auto"/>
          <w:sz w:val="16"/>
          <w:szCs w:val="16"/>
        </w:rPr>
        <w:t>,</w:t>
      </w:r>
      <w:r w:rsidRPr="00CB4F47">
        <w:rPr>
          <w:rFonts w:cs="Arial"/>
          <w:color w:val="auto"/>
          <w:sz w:val="16"/>
          <w:szCs w:val="16"/>
        </w:rPr>
        <w:t xml:space="preserve"> pages 9, 13</w:t>
      </w:r>
      <w:r w:rsidRPr="00CB4F47">
        <w:rPr>
          <w:rFonts w:cs="Arial"/>
          <w:sz w:val="16"/>
          <w:szCs w:val="16"/>
        </w:rPr>
        <w:t>–</w:t>
      </w:r>
      <w:r w:rsidRPr="00CB4F47">
        <w:rPr>
          <w:rFonts w:cs="Arial"/>
          <w:color w:val="auto"/>
          <w:sz w:val="16"/>
          <w:szCs w:val="16"/>
        </w:rPr>
        <w:t>14</w:t>
      </w:r>
      <w:r w:rsidR="00A671DF">
        <w:rPr>
          <w:rFonts w:cs="Arial"/>
          <w:color w:val="auto"/>
          <w:sz w:val="16"/>
          <w:szCs w:val="16"/>
        </w:rPr>
        <w:t>)</w:t>
      </w:r>
      <w:r w:rsidRPr="00CB4F47">
        <w:rPr>
          <w:rFonts w:cs="Arial"/>
          <w:color w:val="auto"/>
          <w:sz w:val="16"/>
          <w:szCs w:val="16"/>
        </w:rPr>
        <w:t xml:space="preserve"> </w:t>
      </w:r>
      <w:r w:rsidR="00950D8A">
        <w:rPr>
          <w:rFonts w:cs="Arial"/>
          <w:color w:val="auto"/>
          <w:sz w:val="16"/>
          <w:szCs w:val="16"/>
        </w:rPr>
        <w:t>and</w:t>
      </w:r>
      <w:r w:rsidRPr="00CB4F47">
        <w:rPr>
          <w:rFonts w:cs="Arial"/>
          <w:color w:val="auto"/>
          <w:sz w:val="16"/>
          <w:szCs w:val="16"/>
        </w:rPr>
        <w:t xml:space="preserve"> </w:t>
      </w:r>
      <w:r w:rsidR="0089384D">
        <w:rPr>
          <w:rFonts w:cs="Arial"/>
          <w:color w:val="auto"/>
          <w:sz w:val="16"/>
          <w:szCs w:val="16"/>
        </w:rPr>
        <w:t xml:space="preserve">Dr </w:t>
      </w:r>
      <w:r w:rsidRPr="00CB4F47">
        <w:rPr>
          <w:rFonts w:cs="Arial"/>
          <w:color w:val="auto"/>
          <w:sz w:val="16"/>
          <w:szCs w:val="16"/>
        </w:rPr>
        <w:t xml:space="preserve">Moana Jackson </w:t>
      </w:r>
      <w:r w:rsidR="00950D8A">
        <w:rPr>
          <w:rFonts w:cs="Arial"/>
          <w:color w:val="auto"/>
          <w:sz w:val="16"/>
          <w:szCs w:val="16"/>
        </w:rPr>
        <w:t>(</w:t>
      </w:r>
      <w:r w:rsidRPr="00CB4F47">
        <w:rPr>
          <w:rFonts w:cs="Arial"/>
          <w:color w:val="auto"/>
          <w:sz w:val="16"/>
          <w:szCs w:val="16"/>
        </w:rPr>
        <w:t>29 October 2019</w:t>
      </w:r>
      <w:r w:rsidR="00A671DF" w:rsidRPr="00CB4F47">
        <w:rPr>
          <w:rFonts w:cs="Arial"/>
          <w:color w:val="auto"/>
          <w:sz w:val="16"/>
          <w:szCs w:val="16"/>
        </w:rPr>
        <w:t>,</w:t>
      </w:r>
      <w:r w:rsidRPr="00CB4F47">
        <w:rPr>
          <w:rFonts w:cs="Arial"/>
          <w:color w:val="auto"/>
          <w:sz w:val="16"/>
          <w:szCs w:val="16"/>
        </w:rPr>
        <w:t xml:space="preserve"> pages 7</w:t>
      </w:r>
      <w:r w:rsidRPr="00CB4F47">
        <w:rPr>
          <w:rFonts w:cs="Arial"/>
          <w:sz w:val="16"/>
          <w:szCs w:val="16"/>
        </w:rPr>
        <w:t>–</w:t>
      </w:r>
      <w:r w:rsidRPr="00CB4F47">
        <w:rPr>
          <w:rFonts w:cs="Arial"/>
          <w:color w:val="auto"/>
          <w:sz w:val="16"/>
          <w:szCs w:val="16"/>
        </w:rPr>
        <w:t>8</w:t>
      </w:r>
      <w:r w:rsidR="001C79DA">
        <w:rPr>
          <w:rFonts w:cs="Arial"/>
          <w:color w:val="auto"/>
          <w:sz w:val="16"/>
          <w:szCs w:val="16"/>
        </w:rPr>
        <w:t>)</w:t>
      </w:r>
      <w:r w:rsidRPr="00CB4F47">
        <w:rPr>
          <w:rFonts w:cs="Arial"/>
          <w:color w:val="auto"/>
          <w:sz w:val="16"/>
          <w:szCs w:val="16"/>
        </w:rPr>
        <w:t>.</w:t>
      </w:r>
    </w:p>
  </w:footnote>
  <w:footnote w:id="324">
    <w:p w14:paraId="0920D729" w14:textId="579B212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BatangChe" w:cs="Arial"/>
          <w:sz w:val="16"/>
          <w:szCs w:val="16"/>
        </w:rPr>
        <w:t xml:space="preserve">Savage, C, Moyle, P, Kus-Harbord, L, Ahuriri-Driscoll, A, Hynds, A, Paipa, K, Leonard, G, Maraki, J &amp; Leonard, J, Hāhā-uri, hāhā-tea: Māori involvement in State </w:t>
      </w:r>
      <w:r w:rsidR="00293E21">
        <w:rPr>
          <w:rFonts w:eastAsia="BatangChe" w:cs="Arial"/>
          <w:sz w:val="16"/>
          <w:szCs w:val="16"/>
        </w:rPr>
        <w:t>c</w:t>
      </w:r>
      <w:r w:rsidR="00293E21" w:rsidRPr="00CB4F47">
        <w:rPr>
          <w:rFonts w:eastAsia="BatangChe" w:cs="Arial"/>
          <w:sz w:val="16"/>
          <w:szCs w:val="16"/>
        </w:rPr>
        <w:t xml:space="preserve">are </w:t>
      </w:r>
      <w:r w:rsidRPr="00CB4F47">
        <w:rPr>
          <w:rFonts w:eastAsia="BatangChe" w:cs="Arial"/>
          <w:sz w:val="16"/>
          <w:szCs w:val="16"/>
        </w:rPr>
        <w:t xml:space="preserve">1950–1999 </w:t>
      </w:r>
      <w:r w:rsidRPr="00CB4F47">
        <w:rPr>
          <w:rFonts w:eastAsia="BatangChe" w:cs="Arial"/>
          <w:color w:val="001C2E"/>
          <w:sz w:val="16"/>
          <w:szCs w:val="16"/>
          <w:shd w:val="clear" w:color="auto" w:fill="FFFFFF"/>
        </w:rPr>
        <w:t>(Ihi Research, 2021</w:t>
      </w:r>
      <w:r w:rsidR="00A671DF" w:rsidRPr="00CB4F47">
        <w:rPr>
          <w:rFonts w:eastAsia="BatangChe" w:cs="Arial"/>
          <w:color w:val="001C2E"/>
          <w:sz w:val="16"/>
          <w:szCs w:val="16"/>
          <w:shd w:val="clear" w:color="auto" w:fill="FFFFFF"/>
        </w:rPr>
        <w:t>,</w:t>
      </w:r>
      <w:r w:rsidRPr="00CB4F47">
        <w:rPr>
          <w:rFonts w:eastAsia="BatangChe" w:cs="Arial"/>
          <w:color w:val="001C2E"/>
          <w:sz w:val="16"/>
          <w:szCs w:val="16"/>
          <w:shd w:val="clear" w:color="auto" w:fill="FFFFFF"/>
        </w:rPr>
        <w:t xml:space="preserve"> </w:t>
      </w:r>
      <w:r w:rsidR="00C32E74" w:rsidRPr="00CB4F47">
        <w:rPr>
          <w:rFonts w:cs="Arial"/>
          <w:color w:val="auto"/>
          <w:sz w:val="16"/>
          <w:szCs w:val="16"/>
        </w:rPr>
        <w:t>page</w:t>
      </w:r>
      <w:r w:rsidRPr="00CB4F47">
        <w:rPr>
          <w:rFonts w:cs="Arial"/>
          <w:color w:val="auto"/>
          <w:sz w:val="16"/>
          <w:szCs w:val="16"/>
        </w:rPr>
        <w:t xml:space="preserve"> 181</w:t>
      </w:r>
      <w:r w:rsidR="001C79DA">
        <w:rPr>
          <w:rFonts w:cs="Arial"/>
          <w:color w:val="auto"/>
          <w:sz w:val="16"/>
          <w:szCs w:val="16"/>
        </w:rPr>
        <w:t>)</w:t>
      </w:r>
      <w:r w:rsidRPr="00CB4F47">
        <w:rPr>
          <w:rFonts w:cs="Arial"/>
          <w:color w:val="auto"/>
          <w:sz w:val="16"/>
          <w:szCs w:val="16"/>
        </w:rPr>
        <w:t>.</w:t>
      </w:r>
    </w:p>
  </w:footnote>
  <w:footnote w:id="325">
    <w:p w14:paraId="4BEAF864" w14:textId="2C98462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Witness statement of Mr </w:t>
      </w:r>
      <w:r w:rsidR="00A671DF">
        <w:rPr>
          <w:rFonts w:cs="Arial"/>
          <w:color w:val="auto"/>
          <w:sz w:val="16"/>
          <w:szCs w:val="16"/>
        </w:rPr>
        <w:t>SO (</w:t>
      </w:r>
      <w:r w:rsidRPr="00CB4F47">
        <w:rPr>
          <w:rFonts w:cs="Arial"/>
          <w:color w:val="auto"/>
          <w:sz w:val="16"/>
          <w:szCs w:val="16"/>
        </w:rPr>
        <w:t>4 May 2021</w:t>
      </w:r>
      <w:r w:rsidR="00A671DF" w:rsidRPr="00CB4F47">
        <w:rPr>
          <w:rFonts w:cs="Arial"/>
          <w:color w:val="auto"/>
          <w:sz w:val="16"/>
          <w:szCs w:val="16"/>
        </w:rPr>
        <w:t>,</w:t>
      </w:r>
      <w:r w:rsidRPr="00CB4F47">
        <w:rPr>
          <w:rFonts w:cs="Arial"/>
          <w:color w:val="auto"/>
          <w:sz w:val="16"/>
          <w:szCs w:val="16"/>
        </w:rPr>
        <w:t xml:space="preserve"> paras 7</w:t>
      </w:r>
      <w:r w:rsidRPr="00CB4F47">
        <w:rPr>
          <w:rFonts w:cs="Arial"/>
          <w:sz w:val="16"/>
          <w:szCs w:val="16"/>
        </w:rPr>
        <w:t>–</w:t>
      </w:r>
      <w:r w:rsidRPr="00CB4F47">
        <w:rPr>
          <w:rFonts w:cs="Arial"/>
          <w:color w:val="auto"/>
          <w:sz w:val="16"/>
          <w:szCs w:val="16"/>
        </w:rPr>
        <w:t>10</w:t>
      </w:r>
      <w:r w:rsidR="001C79DA">
        <w:rPr>
          <w:rFonts w:cs="Arial"/>
          <w:color w:val="auto"/>
          <w:sz w:val="16"/>
          <w:szCs w:val="16"/>
        </w:rPr>
        <w:t>)</w:t>
      </w:r>
      <w:r w:rsidRPr="00CB4F47">
        <w:rPr>
          <w:rFonts w:cs="Arial"/>
          <w:color w:val="auto"/>
          <w:sz w:val="16"/>
          <w:szCs w:val="16"/>
        </w:rPr>
        <w:t>.</w:t>
      </w:r>
    </w:p>
  </w:footnote>
  <w:footnote w:id="326">
    <w:p w14:paraId="1047EC86" w14:textId="5057075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sidDel="00737806">
        <w:rPr>
          <w:rFonts w:cs="Arial"/>
          <w:color w:val="auto"/>
          <w:sz w:val="16"/>
          <w:szCs w:val="16"/>
        </w:rPr>
        <w:t xml:space="preserve"> </w:t>
      </w:r>
      <w:r w:rsidR="008A5435">
        <w:rPr>
          <w:rFonts w:cs="Arial"/>
          <w:color w:val="auto"/>
          <w:sz w:val="16"/>
          <w:szCs w:val="16"/>
        </w:rPr>
        <w:t>Doolan, M, “</w:t>
      </w:r>
      <w:r w:rsidRPr="00CB4F47">
        <w:rPr>
          <w:rFonts w:cs="Arial"/>
          <w:color w:val="auto"/>
          <w:sz w:val="16"/>
          <w:szCs w:val="16"/>
        </w:rPr>
        <w:t xml:space="preserve">Practice </w:t>
      </w:r>
      <w:r w:rsidR="00A671DF">
        <w:rPr>
          <w:rFonts w:cs="Arial"/>
          <w:color w:val="auto"/>
          <w:sz w:val="16"/>
          <w:szCs w:val="16"/>
        </w:rPr>
        <w:t>n</w:t>
      </w:r>
      <w:r w:rsidR="00A671DF" w:rsidRPr="00CB4F47">
        <w:rPr>
          <w:rFonts w:cs="Arial"/>
          <w:color w:val="auto"/>
          <w:sz w:val="16"/>
          <w:szCs w:val="16"/>
        </w:rPr>
        <w:t>otes</w:t>
      </w:r>
      <w:r w:rsidR="00A671DF">
        <w:rPr>
          <w:rFonts w:cs="Arial"/>
          <w:color w:val="auto"/>
          <w:sz w:val="16"/>
          <w:szCs w:val="16"/>
        </w:rPr>
        <w:t>:</w:t>
      </w:r>
      <w:r w:rsidR="00A671DF" w:rsidRPr="00CB4F47">
        <w:rPr>
          <w:rFonts w:cs="Arial"/>
          <w:color w:val="auto"/>
          <w:sz w:val="16"/>
          <w:szCs w:val="16"/>
        </w:rPr>
        <w:t xml:space="preserve"> </w:t>
      </w:r>
      <w:r w:rsidRPr="00CB4F47">
        <w:rPr>
          <w:rFonts w:cs="Arial"/>
          <w:color w:val="auto"/>
          <w:sz w:val="16"/>
          <w:szCs w:val="16"/>
        </w:rPr>
        <w:t>Understanding the purpose of youth justice in New Zealand</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Aotearoa New Zealand Social Work, Issue 3 </w:t>
      </w:r>
      <w:r w:rsidRPr="00CB4F47">
        <w:rPr>
          <w:rFonts w:cs="Arial"/>
          <w:color w:val="000000"/>
          <w:sz w:val="16"/>
          <w:szCs w:val="16"/>
          <w:shd w:val="clear" w:color="auto" w:fill="FFFFFF"/>
        </w:rPr>
        <w:t>(2008</w:t>
      </w:r>
      <w:r w:rsidR="00A671DF" w:rsidRPr="00CB4F47">
        <w:rPr>
          <w:rFonts w:cs="Arial"/>
          <w:color w:val="000000"/>
          <w:sz w:val="16"/>
          <w:szCs w:val="16"/>
          <w:shd w:val="clear" w:color="auto" w:fill="FFFFFF"/>
        </w:rPr>
        <w:t>,</w:t>
      </w:r>
      <w:r w:rsidRPr="00CB4F47">
        <w:rPr>
          <w:rFonts w:cs="Arial"/>
          <w:color w:val="000000"/>
          <w:sz w:val="16"/>
          <w:szCs w:val="16"/>
          <w:shd w:val="clear" w:color="auto" w:fill="FFFFFF"/>
        </w:rPr>
        <w:t xml:space="preserve"> </w:t>
      </w:r>
      <w:r w:rsidR="00C32E74" w:rsidRPr="00CB4F47">
        <w:rPr>
          <w:rFonts w:cs="Arial"/>
          <w:color w:val="auto"/>
          <w:sz w:val="16"/>
          <w:szCs w:val="16"/>
        </w:rPr>
        <w:t>page</w:t>
      </w:r>
      <w:r w:rsidRPr="00CB4F47">
        <w:rPr>
          <w:rFonts w:cs="Arial"/>
          <w:color w:val="auto"/>
          <w:sz w:val="16"/>
          <w:szCs w:val="16"/>
        </w:rPr>
        <w:t xml:space="preserve"> 65</w:t>
      </w:r>
      <w:r w:rsidR="008A3BD7">
        <w:rPr>
          <w:rFonts w:cs="Arial"/>
          <w:color w:val="auto"/>
          <w:sz w:val="16"/>
          <w:szCs w:val="16"/>
        </w:rPr>
        <w:t>)</w:t>
      </w:r>
      <w:r w:rsidRPr="00CB4F47">
        <w:rPr>
          <w:rFonts w:cs="Arial"/>
          <w:color w:val="auto"/>
          <w:sz w:val="16"/>
          <w:szCs w:val="16"/>
        </w:rPr>
        <w:t>.</w:t>
      </w:r>
      <w:r w:rsidR="008A5435" w:rsidRPr="008A5435">
        <w:rPr>
          <w:rFonts w:cs="Arial"/>
          <w:color w:val="auto"/>
          <w:sz w:val="16"/>
          <w:szCs w:val="16"/>
        </w:rPr>
        <w:t xml:space="preserve"> </w:t>
      </w:r>
      <w:r w:rsidR="008A5435" w:rsidRPr="00CB4F47">
        <w:rPr>
          <w:rFonts w:cs="Arial"/>
          <w:color w:val="auto"/>
          <w:sz w:val="16"/>
          <w:szCs w:val="16"/>
        </w:rPr>
        <w:t>Mike Doolan</w:t>
      </w:r>
      <w:r w:rsidR="008A5435">
        <w:rPr>
          <w:rFonts w:cs="Arial"/>
          <w:color w:val="auto"/>
          <w:sz w:val="16"/>
          <w:szCs w:val="16"/>
        </w:rPr>
        <w:t xml:space="preserve"> </w:t>
      </w:r>
      <w:r w:rsidR="00702237">
        <w:rPr>
          <w:rFonts w:cs="Arial"/>
          <w:color w:val="auto"/>
          <w:sz w:val="16"/>
          <w:szCs w:val="16"/>
        </w:rPr>
        <w:t>is</w:t>
      </w:r>
      <w:r w:rsidR="008A5435">
        <w:rPr>
          <w:rFonts w:cs="Arial"/>
          <w:color w:val="auto"/>
          <w:sz w:val="16"/>
          <w:szCs w:val="16"/>
        </w:rPr>
        <w:t xml:space="preserve"> the</w:t>
      </w:r>
      <w:r w:rsidR="008A5435" w:rsidRPr="00CB4F47">
        <w:rPr>
          <w:rFonts w:cs="Arial"/>
          <w:color w:val="auto"/>
          <w:sz w:val="16"/>
          <w:szCs w:val="16"/>
        </w:rPr>
        <w:t xml:space="preserve"> former </w:t>
      </w:r>
      <w:r w:rsidR="008A5435">
        <w:rPr>
          <w:rFonts w:cs="Arial"/>
          <w:color w:val="auto"/>
          <w:sz w:val="16"/>
          <w:szCs w:val="16"/>
        </w:rPr>
        <w:t>c</w:t>
      </w:r>
      <w:r w:rsidR="008A5435" w:rsidRPr="00CB4F47">
        <w:rPr>
          <w:rFonts w:cs="Arial"/>
          <w:color w:val="auto"/>
          <w:sz w:val="16"/>
          <w:szCs w:val="16"/>
        </w:rPr>
        <w:t xml:space="preserve">hief </w:t>
      </w:r>
      <w:r w:rsidR="008A5435">
        <w:rPr>
          <w:rFonts w:cs="Arial"/>
          <w:color w:val="auto"/>
          <w:sz w:val="16"/>
          <w:szCs w:val="16"/>
        </w:rPr>
        <w:t>s</w:t>
      </w:r>
      <w:r w:rsidR="008A5435" w:rsidRPr="00CB4F47">
        <w:rPr>
          <w:rFonts w:cs="Arial"/>
          <w:color w:val="auto"/>
          <w:sz w:val="16"/>
          <w:szCs w:val="16"/>
        </w:rPr>
        <w:t xml:space="preserve">ocial </w:t>
      </w:r>
      <w:r w:rsidR="008A5435">
        <w:rPr>
          <w:rFonts w:cs="Arial"/>
          <w:color w:val="auto"/>
          <w:sz w:val="16"/>
          <w:szCs w:val="16"/>
        </w:rPr>
        <w:t>w</w:t>
      </w:r>
      <w:r w:rsidR="008A5435" w:rsidRPr="00CB4F47">
        <w:rPr>
          <w:rFonts w:cs="Arial"/>
          <w:color w:val="auto"/>
          <w:sz w:val="16"/>
          <w:szCs w:val="16"/>
        </w:rPr>
        <w:t xml:space="preserve">orker of </w:t>
      </w:r>
      <w:r w:rsidR="00135B38">
        <w:rPr>
          <w:rFonts w:cs="Arial"/>
          <w:color w:val="auto"/>
          <w:sz w:val="16"/>
          <w:szCs w:val="16"/>
        </w:rPr>
        <w:t xml:space="preserve">the </w:t>
      </w:r>
      <w:r w:rsidR="0034672F">
        <w:rPr>
          <w:rFonts w:cs="Arial"/>
          <w:color w:val="auto"/>
          <w:sz w:val="16"/>
          <w:szCs w:val="16"/>
        </w:rPr>
        <w:t>Department of</w:t>
      </w:r>
      <w:r w:rsidR="007F0535">
        <w:rPr>
          <w:rFonts w:cs="Arial"/>
          <w:color w:val="auto"/>
          <w:sz w:val="16"/>
          <w:szCs w:val="16"/>
        </w:rPr>
        <w:t xml:space="preserve"> </w:t>
      </w:r>
      <w:r w:rsidR="008A5435" w:rsidRPr="00CB4F47">
        <w:rPr>
          <w:rFonts w:cs="Arial"/>
          <w:color w:val="auto"/>
          <w:sz w:val="16"/>
          <w:szCs w:val="16"/>
        </w:rPr>
        <w:t>Child</w:t>
      </w:r>
      <w:r w:rsidR="00576A8B">
        <w:rPr>
          <w:rFonts w:cs="Arial"/>
          <w:color w:val="auto"/>
          <w:sz w:val="16"/>
          <w:szCs w:val="16"/>
        </w:rPr>
        <w:t>,</w:t>
      </w:r>
      <w:r w:rsidR="008A5435" w:rsidRPr="00CB4F47">
        <w:rPr>
          <w:rFonts w:cs="Arial"/>
          <w:color w:val="auto"/>
          <w:sz w:val="16"/>
          <w:szCs w:val="16"/>
        </w:rPr>
        <w:t xml:space="preserve"> Youth and Family Services</w:t>
      </w:r>
      <w:r w:rsidR="008A5435">
        <w:rPr>
          <w:rFonts w:cs="Arial"/>
          <w:color w:val="auto"/>
          <w:sz w:val="16"/>
          <w:szCs w:val="16"/>
        </w:rPr>
        <w:t>.</w:t>
      </w:r>
    </w:p>
  </w:footnote>
  <w:footnote w:id="327">
    <w:p w14:paraId="32497C24" w14:textId="5B747F3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Māori Perspective Advisory Committee, Puao-te-ata-tu (day break): The report of the Ministerial Advisory Committee on a Māori perspective for the Department of Social Welfare (Department of Social Welfare, 1988</w:t>
      </w:r>
      <w:r w:rsidR="00A671DF" w:rsidRPr="00CB4F47">
        <w:rPr>
          <w:rFonts w:cs="Arial"/>
          <w:sz w:val="16"/>
          <w:szCs w:val="16"/>
        </w:rPr>
        <w:t>,</w:t>
      </w:r>
      <w:r w:rsidRPr="00CB4F47">
        <w:rPr>
          <w:rFonts w:cs="Arial"/>
          <w:sz w:val="16"/>
          <w:szCs w:val="16"/>
        </w:rPr>
        <w:t xml:space="preserve"> </w:t>
      </w:r>
      <w:r w:rsidR="00C32E74" w:rsidRPr="00CB4F47">
        <w:rPr>
          <w:rFonts w:cs="Arial"/>
          <w:color w:val="auto"/>
          <w:sz w:val="16"/>
          <w:szCs w:val="16"/>
        </w:rPr>
        <w:t>page</w:t>
      </w:r>
      <w:r w:rsidRPr="00CB4F47">
        <w:rPr>
          <w:rFonts w:cs="Arial"/>
          <w:color w:val="auto"/>
          <w:sz w:val="16"/>
          <w:szCs w:val="16"/>
        </w:rPr>
        <w:t xml:space="preserve"> 7</w:t>
      </w:r>
      <w:r w:rsidR="008A3BD7">
        <w:rPr>
          <w:rFonts w:cs="Arial"/>
          <w:color w:val="auto"/>
          <w:sz w:val="16"/>
          <w:szCs w:val="16"/>
        </w:rPr>
        <w:t>)</w:t>
      </w:r>
      <w:r w:rsidRPr="00CB4F47">
        <w:rPr>
          <w:rFonts w:cs="Arial"/>
          <w:color w:val="auto"/>
          <w:sz w:val="16"/>
          <w:szCs w:val="16"/>
        </w:rPr>
        <w:t>.</w:t>
      </w:r>
    </w:p>
  </w:footnote>
  <w:footnote w:id="328">
    <w:p w14:paraId="01ED6B15" w14:textId="4AB739AD" w:rsidR="000E429D" w:rsidRPr="00CB4F47" w:rsidRDefault="000E429D" w:rsidP="00C57877">
      <w:pPr>
        <w:spacing w:before="0" w:after="0" w:line="20" w:lineRule="atLeast"/>
        <w:ind w:left="130" w:hanging="130"/>
        <w:rPr>
          <w:rFonts w:ascii="Arial" w:hAnsi="Arial" w:cs="Arial"/>
          <w:sz w:val="16"/>
          <w:szCs w:val="16"/>
        </w:rPr>
      </w:pPr>
      <w:r w:rsidRPr="00536E67">
        <w:rPr>
          <w:rStyle w:val="StyleFootnoteReferenceFagoFunotenzeichenFagoFunotenzeichen"/>
          <w:sz w:val="16"/>
          <w:szCs w:val="16"/>
        </w:rPr>
        <w:footnoteRef/>
      </w:r>
      <w:r w:rsidRPr="00CB4F47">
        <w:rPr>
          <w:rFonts w:ascii="Arial" w:hAnsi="Arial" w:cs="Arial"/>
          <w:sz w:val="16"/>
          <w:szCs w:val="16"/>
        </w:rPr>
        <w:t xml:space="preserve"> </w:t>
      </w:r>
      <w:r w:rsidRPr="00CB4F47">
        <w:rPr>
          <w:rFonts w:ascii="Arial" w:eastAsia="Calibri" w:hAnsi="Arial" w:cs="Arial"/>
          <w:color w:val="000000" w:themeColor="text1"/>
          <w:sz w:val="16"/>
          <w:szCs w:val="16"/>
          <w:lang w:val="en-US"/>
        </w:rPr>
        <w:t>Māhina-Tuai, K</w:t>
      </w:r>
      <w:r w:rsidR="00C32E74" w:rsidRPr="00CB4F47">
        <w:rPr>
          <w:rFonts w:ascii="Arial" w:eastAsia="Calibri" w:hAnsi="Arial" w:cs="Arial"/>
          <w:color w:val="000000" w:themeColor="text1"/>
          <w:sz w:val="16"/>
          <w:szCs w:val="16"/>
          <w:lang w:val="en-US"/>
        </w:rPr>
        <w:t>,</w:t>
      </w:r>
      <w:r w:rsidRPr="00CB4F47">
        <w:rPr>
          <w:rFonts w:ascii="Arial" w:eastAsia="Calibri" w:hAnsi="Arial" w:cs="Arial"/>
          <w:color w:val="000000" w:themeColor="text1"/>
          <w:sz w:val="16"/>
          <w:szCs w:val="16"/>
          <w:lang w:val="en-US"/>
        </w:rPr>
        <w:t xml:space="preserve"> “A land of milk and honey? Education and employment migration schemes in the postwar era</w:t>
      </w:r>
      <w:r w:rsidR="00A671DF">
        <w:rPr>
          <w:rFonts w:ascii="Arial" w:eastAsia="Calibri" w:hAnsi="Arial" w:cs="Arial"/>
          <w:color w:val="000000" w:themeColor="text1"/>
          <w:sz w:val="16"/>
          <w:szCs w:val="16"/>
          <w:lang w:val="en-US"/>
        </w:rPr>
        <w:t>,</w:t>
      </w:r>
      <w:r w:rsidR="00A671DF" w:rsidRPr="00CB4F47">
        <w:rPr>
          <w:rFonts w:ascii="Arial" w:eastAsia="Calibri" w:hAnsi="Arial" w:cs="Arial"/>
          <w:color w:val="000000" w:themeColor="text1"/>
          <w:sz w:val="16"/>
          <w:szCs w:val="16"/>
          <w:lang w:val="en-US"/>
        </w:rPr>
        <w:t>”</w:t>
      </w:r>
      <w:r w:rsidRPr="00CB4F47">
        <w:rPr>
          <w:rFonts w:ascii="Arial" w:eastAsia="Calibri" w:hAnsi="Arial" w:cs="Arial"/>
          <w:color w:val="000000" w:themeColor="text1"/>
          <w:sz w:val="16"/>
          <w:szCs w:val="16"/>
          <w:lang w:val="en-US"/>
        </w:rPr>
        <w:t xml:space="preserve"> </w:t>
      </w:r>
      <w:r w:rsidRPr="00CB4F47">
        <w:rPr>
          <w:rFonts w:ascii="Arial" w:eastAsia="Calibri" w:hAnsi="Arial" w:cs="Arial"/>
          <w:sz w:val="16"/>
          <w:szCs w:val="16"/>
          <w:lang w:val="en-US"/>
        </w:rPr>
        <w:t>i</w:t>
      </w:r>
      <w:r w:rsidRPr="00CB4F47">
        <w:rPr>
          <w:rFonts w:ascii="Arial" w:eastAsia="Calibri" w:hAnsi="Arial" w:cs="Arial"/>
          <w:color w:val="000000" w:themeColor="text1"/>
          <w:sz w:val="16"/>
          <w:szCs w:val="16"/>
          <w:lang w:val="en-US"/>
        </w:rPr>
        <w:t>n Mallon, S, Māhina-Tuai, K &amp; Salesa, D (eds</w:t>
      </w:r>
      <w:r w:rsidR="00A671DF" w:rsidRPr="00CB4F47">
        <w:rPr>
          <w:rFonts w:ascii="Arial" w:eastAsia="Calibri" w:hAnsi="Arial" w:cs="Arial"/>
          <w:color w:val="000000" w:themeColor="text1"/>
          <w:sz w:val="16"/>
          <w:szCs w:val="16"/>
          <w:lang w:val="en-US"/>
        </w:rPr>
        <w:t>),</w:t>
      </w:r>
      <w:r w:rsidRPr="00CB4F47">
        <w:rPr>
          <w:rFonts w:ascii="Arial" w:eastAsia="Calibri" w:hAnsi="Arial" w:cs="Arial"/>
          <w:color w:val="000000" w:themeColor="text1"/>
          <w:sz w:val="16"/>
          <w:szCs w:val="16"/>
          <w:lang w:val="en-US"/>
        </w:rPr>
        <w:t xml:space="preserve"> Tangata o le Moana: New Zealand and the People of the Pacific (Te Papa Press, 2012</w:t>
      </w:r>
      <w:r w:rsidR="00A671DF" w:rsidRPr="00CB4F47">
        <w:rPr>
          <w:rFonts w:ascii="Arial" w:eastAsia="Calibri" w:hAnsi="Arial" w:cs="Arial"/>
          <w:color w:val="000000" w:themeColor="text1"/>
          <w:sz w:val="16"/>
          <w:szCs w:val="16"/>
          <w:lang w:val="en-US"/>
        </w:rPr>
        <w:t>,</w:t>
      </w:r>
      <w:r w:rsidRPr="00CB4F47">
        <w:rPr>
          <w:rFonts w:ascii="Arial" w:eastAsia="Calibri" w:hAnsi="Arial" w:cs="Arial"/>
          <w:color w:val="000000" w:themeColor="text1"/>
          <w:sz w:val="16"/>
          <w:szCs w:val="16"/>
          <w:lang w:val="en-US"/>
        </w:rPr>
        <w:t xml:space="preserve"> </w:t>
      </w:r>
      <w:r w:rsidRPr="00CB4F47">
        <w:rPr>
          <w:rFonts w:ascii="Arial" w:hAnsi="Arial" w:cs="Arial"/>
          <w:color w:val="auto"/>
          <w:sz w:val="16"/>
          <w:szCs w:val="16"/>
        </w:rPr>
        <w:t xml:space="preserve">pages </w:t>
      </w:r>
      <w:r w:rsidRPr="00CB4F47">
        <w:rPr>
          <w:rFonts w:ascii="Arial" w:eastAsia="Calibri" w:hAnsi="Arial" w:cs="Arial"/>
          <w:color w:val="000000" w:themeColor="text1"/>
          <w:sz w:val="16"/>
          <w:szCs w:val="16"/>
          <w:lang w:val="en-US"/>
        </w:rPr>
        <w:t>161–177</w:t>
      </w:r>
      <w:r w:rsidR="008A3BD7">
        <w:rPr>
          <w:rFonts w:ascii="Arial" w:eastAsia="Calibri" w:hAnsi="Arial" w:cs="Arial"/>
          <w:color w:val="000000" w:themeColor="text1"/>
          <w:sz w:val="16"/>
          <w:szCs w:val="16"/>
          <w:lang w:val="en-US"/>
        </w:rPr>
        <w:t>)</w:t>
      </w:r>
      <w:r w:rsidRPr="00CB4F47">
        <w:rPr>
          <w:rFonts w:ascii="Arial" w:eastAsia="Calibri" w:hAnsi="Arial" w:cs="Arial"/>
          <w:color w:val="000000" w:themeColor="text1"/>
          <w:sz w:val="16"/>
          <w:szCs w:val="16"/>
          <w:lang w:val="en-US"/>
        </w:rPr>
        <w:t>.</w:t>
      </w:r>
    </w:p>
  </w:footnote>
  <w:footnote w:id="329">
    <w:p w14:paraId="0C31B1AA" w14:textId="0C689B4F"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CB4F47">
        <w:rPr>
          <w:rFonts w:eastAsia="Calibri" w:cs="Arial"/>
          <w:sz w:val="16"/>
          <w:szCs w:val="16"/>
          <w:lang w:val="en-US"/>
        </w:rPr>
        <w:t>Māhina-Tuai, K</w:t>
      </w:r>
      <w:r w:rsidR="00C32E74" w:rsidRPr="00CB4F47">
        <w:rPr>
          <w:rFonts w:eastAsia="Calibri" w:cs="Arial"/>
          <w:sz w:val="16"/>
          <w:szCs w:val="16"/>
          <w:lang w:val="en-US"/>
        </w:rPr>
        <w:t>,</w:t>
      </w:r>
      <w:r w:rsidRPr="00CB4F47">
        <w:rPr>
          <w:rFonts w:eastAsia="Calibri" w:cs="Arial"/>
          <w:sz w:val="16"/>
          <w:szCs w:val="16"/>
          <w:lang w:val="en-US"/>
        </w:rPr>
        <w:t xml:space="preserve"> “A land of milk and honey? Education and employment migration schemes in the postwar era</w:t>
      </w:r>
      <w:r w:rsidR="00A671DF">
        <w:rPr>
          <w:rFonts w:eastAsia="Calibri" w:cs="Arial"/>
          <w:sz w:val="16"/>
          <w:szCs w:val="16"/>
          <w:lang w:val="en-US"/>
        </w:rPr>
        <w:t>,</w:t>
      </w:r>
      <w:r w:rsidR="00A671DF" w:rsidRPr="00CB4F47">
        <w:rPr>
          <w:rFonts w:eastAsia="Calibri" w:cs="Arial"/>
          <w:sz w:val="16"/>
          <w:szCs w:val="16"/>
          <w:lang w:val="en-US"/>
        </w:rPr>
        <w:t>”</w:t>
      </w:r>
      <w:r w:rsidRPr="00CB4F47">
        <w:rPr>
          <w:rFonts w:eastAsia="Calibri" w:cs="Arial"/>
          <w:sz w:val="16"/>
          <w:szCs w:val="16"/>
          <w:lang w:val="en-US"/>
        </w:rPr>
        <w:t xml:space="preserve"> in Mallon, S, Māhina-Tuai, K &amp; Salesa, D (eds</w:t>
      </w:r>
      <w:r w:rsidR="00A671DF" w:rsidRPr="00CB4F47">
        <w:rPr>
          <w:rFonts w:eastAsia="Calibri" w:cs="Arial"/>
          <w:sz w:val="16"/>
          <w:szCs w:val="16"/>
          <w:lang w:val="en-US"/>
        </w:rPr>
        <w:t>),</w:t>
      </w:r>
      <w:r w:rsidRPr="00CB4F47">
        <w:rPr>
          <w:rFonts w:eastAsia="Calibri" w:cs="Arial"/>
          <w:sz w:val="16"/>
          <w:szCs w:val="16"/>
          <w:lang w:val="en-US"/>
        </w:rPr>
        <w:t xml:space="preserve"> Tangata o le Moana: New Zealand and the People of the Pacific (Te Papa Press, 2012</w:t>
      </w:r>
      <w:r w:rsidR="00A671DF" w:rsidRPr="00CB4F47">
        <w:rPr>
          <w:rFonts w:eastAsia="Calibri" w:cs="Arial"/>
          <w:sz w:val="16"/>
          <w:szCs w:val="16"/>
          <w:lang w:val="en-US"/>
        </w:rPr>
        <w:t>,</w:t>
      </w:r>
      <w:r w:rsidRPr="00CB4F47">
        <w:rPr>
          <w:rFonts w:eastAsia="Calibri" w:cs="Arial"/>
          <w:sz w:val="16"/>
          <w:szCs w:val="16"/>
          <w:lang w:val="en-US"/>
        </w:rPr>
        <w:t xml:space="preserve"> </w:t>
      </w:r>
      <w:r w:rsidRPr="00CB4F47">
        <w:rPr>
          <w:rFonts w:cs="Arial"/>
          <w:color w:val="auto"/>
          <w:sz w:val="16"/>
          <w:szCs w:val="16"/>
        </w:rPr>
        <w:t xml:space="preserve">pages </w:t>
      </w:r>
      <w:r w:rsidRPr="00CB4F47">
        <w:rPr>
          <w:rFonts w:eastAsia="Calibri" w:cs="Arial"/>
          <w:sz w:val="16"/>
          <w:szCs w:val="16"/>
          <w:lang w:val="en-US"/>
        </w:rPr>
        <w:t>161–177</w:t>
      </w:r>
      <w:r w:rsidR="008A3BD7">
        <w:rPr>
          <w:rFonts w:eastAsia="Calibri" w:cs="Arial"/>
          <w:sz w:val="16"/>
          <w:szCs w:val="16"/>
          <w:lang w:val="en-US"/>
        </w:rPr>
        <w:t>)</w:t>
      </w:r>
      <w:r w:rsidRPr="00CB4F47">
        <w:rPr>
          <w:rFonts w:eastAsia="Calibri" w:cs="Arial"/>
          <w:sz w:val="16"/>
          <w:szCs w:val="16"/>
          <w:lang w:val="en-US"/>
        </w:rPr>
        <w:t>.</w:t>
      </w:r>
    </w:p>
  </w:footnote>
  <w:footnote w:id="330">
    <w:p w14:paraId="6979809A" w14:textId="4CB672D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Salesa, D</w:t>
      </w:r>
      <w:r w:rsidR="00A671DF" w:rsidRPr="00CB4F47">
        <w:rPr>
          <w:rFonts w:cs="Arial"/>
          <w:color w:val="auto"/>
          <w:sz w:val="16"/>
          <w:szCs w:val="16"/>
        </w:rPr>
        <w:t>,</w:t>
      </w:r>
      <w:r w:rsidRPr="00CB4F47">
        <w:rPr>
          <w:rFonts w:cs="Arial"/>
          <w:color w:val="auto"/>
          <w:sz w:val="16"/>
          <w:szCs w:val="16"/>
        </w:rPr>
        <w:t xml:space="preserve"> Island time: New </w:t>
      </w:r>
      <w:r w:rsidR="00A671DF" w:rsidRPr="00CB4F47">
        <w:rPr>
          <w:rFonts w:cs="Arial"/>
          <w:color w:val="auto"/>
          <w:sz w:val="16"/>
          <w:szCs w:val="16"/>
        </w:rPr>
        <w:t>Zealand</w:t>
      </w:r>
      <w:r w:rsidR="00A671DF">
        <w:rPr>
          <w:rFonts w:cs="Arial"/>
          <w:color w:val="auto"/>
          <w:sz w:val="16"/>
          <w:szCs w:val="16"/>
        </w:rPr>
        <w:t>’</w:t>
      </w:r>
      <w:r w:rsidR="00A671DF" w:rsidRPr="00CB4F47">
        <w:rPr>
          <w:rFonts w:cs="Arial"/>
          <w:color w:val="auto"/>
          <w:sz w:val="16"/>
          <w:szCs w:val="16"/>
        </w:rPr>
        <w:t>s</w:t>
      </w:r>
      <w:r w:rsidRPr="00CB4F47">
        <w:rPr>
          <w:rFonts w:cs="Arial"/>
          <w:color w:val="auto"/>
          <w:sz w:val="16"/>
          <w:szCs w:val="16"/>
        </w:rPr>
        <w:t xml:space="preserve"> Pacific futures (Bridget Williams Books, 2017</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12</w:t>
      </w:r>
      <w:r w:rsidR="005A1BFE">
        <w:rPr>
          <w:rFonts w:cs="Arial"/>
          <w:color w:val="auto"/>
          <w:sz w:val="16"/>
          <w:szCs w:val="16"/>
        </w:rPr>
        <w:t>)</w:t>
      </w:r>
      <w:r w:rsidRPr="00CB4F47">
        <w:rPr>
          <w:rFonts w:cs="Arial"/>
          <w:color w:val="auto"/>
          <w:sz w:val="16"/>
          <w:szCs w:val="16"/>
        </w:rPr>
        <w:t>.</w:t>
      </w:r>
    </w:p>
  </w:footnote>
  <w:footnote w:id="331">
    <w:p w14:paraId="550B16F9" w14:textId="4FF97CC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Anae, M, “All power to the people: Overstayers, </w:t>
      </w:r>
      <w:r w:rsidR="00710E7E">
        <w:rPr>
          <w:rFonts w:cs="Arial"/>
          <w:color w:val="auto"/>
          <w:sz w:val="16"/>
          <w:szCs w:val="16"/>
        </w:rPr>
        <w:t>D</w:t>
      </w:r>
      <w:r w:rsidRPr="00CB4F47">
        <w:rPr>
          <w:rFonts w:cs="Arial"/>
          <w:color w:val="auto"/>
          <w:sz w:val="16"/>
          <w:szCs w:val="16"/>
        </w:rPr>
        <w:t xml:space="preserve">awn </w:t>
      </w:r>
      <w:r w:rsidR="00710E7E">
        <w:rPr>
          <w:rFonts w:cs="Arial"/>
          <w:color w:val="auto"/>
          <w:sz w:val="16"/>
          <w:szCs w:val="16"/>
        </w:rPr>
        <w:t>R</w:t>
      </w:r>
      <w:r w:rsidRPr="00CB4F47">
        <w:rPr>
          <w:rFonts w:cs="Arial"/>
          <w:color w:val="auto"/>
          <w:sz w:val="16"/>
          <w:szCs w:val="16"/>
        </w:rPr>
        <w:t xml:space="preserve">aids and the Polynesian Panthers” in </w:t>
      </w:r>
      <w:r w:rsidRPr="00CB4F47">
        <w:rPr>
          <w:rFonts w:eastAsia="Calibri" w:cs="Arial"/>
          <w:sz w:val="16"/>
          <w:szCs w:val="16"/>
          <w:lang w:val="en-US"/>
        </w:rPr>
        <w:t>Mallon, S, Māhina-Tuai, K &amp; Salesa, D (eds</w:t>
      </w:r>
      <w:r w:rsidR="00A671DF" w:rsidRPr="00CB4F47">
        <w:rPr>
          <w:rFonts w:eastAsia="Calibri" w:cs="Arial"/>
          <w:sz w:val="16"/>
          <w:szCs w:val="16"/>
          <w:lang w:val="en-US"/>
        </w:rPr>
        <w:t>),</w:t>
      </w:r>
      <w:r w:rsidRPr="00CB4F47">
        <w:rPr>
          <w:rFonts w:eastAsia="Calibri" w:cs="Arial"/>
          <w:sz w:val="16"/>
          <w:szCs w:val="16"/>
          <w:lang w:val="en-US"/>
        </w:rPr>
        <w:t xml:space="preserve"> </w:t>
      </w:r>
      <w:r w:rsidRPr="00CB4F47">
        <w:rPr>
          <w:rFonts w:cs="Arial"/>
          <w:color w:val="auto"/>
          <w:sz w:val="16"/>
          <w:szCs w:val="16"/>
        </w:rPr>
        <w:t>Tangata o le Moana:</w:t>
      </w:r>
      <w:r w:rsidRPr="00CB4F47">
        <w:rPr>
          <w:rStyle w:val="normaltextrun"/>
          <w:rFonts w:cs="Arial"/>
          <w:color w:val="auto"/>
          <w:sz w:val="16"/>
          <w:szCs w:val="16"/>
          <w:bdr w:val="none" w:sz="0" w:space="0" w:color="auto" w:frame="1"/>
        </w:rPr>
        <w:t xml:space="preserve"> New Zealand and the People of the Pacific</w:t>
      </w:r>
      <w:r w:rsidRPr="00CB4F47">
        <w:rPr>
          <w:rFonts w:cs="Arial"/>
          <w:color w:val="auto"/>
          <w:sz w:val="16"/>
          <w:szCs w:val="16"/>
        </w:rPr>
        <w:t xml:space="preserve"> (Te Papa Press, 2012</w:t>
      </w:r>
      <w:r w:rsidR="00A671DF" w:rsidRPr="00CB4F47">
        <w:rPr>
          <w:rFonts w:cs="Arial"/>
          <w:color w:val="auto"/>
          <w:sz w:val="16"/>
          <w:szCs w:val="16"/>
        </w:rPr>
        <w:t>,</w:t>
      </w:r>
      <w:r w:rsidRPr="00CB4F47">
        <w:rPr>
          <w:rFonts w:cs="Arial"/>
          <w:color w:val="auto"/>
          <w:sz w:val="16"/>
          <w:szCs w:val="16"/>
        </w:rPr>
        <w:t xml:space="preserve"> pages 221</w:t>
      </w:r>
      <w:r w:rsidRPr="00CB4F47">
        <w:rPr>
          <w:rFonts w:eastAsia="Calibri" w:cs="Arial"/>
          <w:sz w:val="16"/>
          <w:szCs w:val="16"/>
          <w:lang w:val="en-US"/>
        </w:rPr>
        <w:t>–</w:t>
      </w:r>
      <w:r w:rsidRPr="00CB4F47">
        <w:rPr>
          <w:rFonts w:cs="Arial"/>
          <w:color w:val="auto"/>
          <w:sz w:val="16"/>
          <w:szCs w:val="16"/>
        </w:rPr>
        <w:t>240, p</w:t>
      </w:r>
      <w:r w:rsidR="00F063AB" w:rsidRPr="00CB4F47">
        <w:rPr>
          <w:rFonts w:cs="Arial"/>
          <w:color w:val="auto"/>
          <w:sz w:val="16"/>
          <w:szCs w:val="16"/>
        </w:rPr>
        <w:t>age</w:t>
      </w:r>
      <w:r w:rsidRPr="00CB4F47">
        <w:rPr>
          <w:rFonts w:cs="Arial"/>
          <w:color w:val="auto"/>
          <w:sz w:val="16"/>
          <w:szCs w:val="16"/>
        </w:rPr>
        <w:t xml:space="preserve"> 221</w:t>
      </w:r>
      <w:r w:rsidR="00AF7568">
        <w:rPr>
          <w:rFonts w:cs="Arial"/>
          <w:color w:val="auto"/>
          <w:sz w:val="16"/>
          <w:szCs w:val="16"/>
        </w:rPr>
        <w:t>)</w:t>
      </w:r>
      <w:r w:rsidRPr="00CB4F47">
        <w:rPr>
          <w:rFonts w:cs="Arial"/>
          <w:color w:val="auto"/>
          <w:sz w:val="16"/>
          <w:szCs w:val="16"/>
        </w:rPr>
        <w:t>.</w:t>
      </w:r>
    </w:p>
  </w:footnote>
  <w:footnote w:id="332">
    <w:p w14:paraId="257D3B54" w14:textId="4500DF2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Anae, M, “All power to the people: Overstayers, </w:t>
      </w:r>
      <w:r w:rsidR="00BF34EE">
        <w:rPr>
          <w:rFonts w:cs="Arial"/>
          <w:color w:val="auto"/>
          <w:sz w:val="16"/>
          <w:szCs w:val="16"/>
        </w:rPr>
        <w:t>D</w:t>
      </w:r>
      <w:r w:rsidRPr="00CB4F47">
        <w:rPr>
          <w:rFonts w:cs="Arial"/>
          <w:color w:val="auto"/>
          <w:sz w:val="16"/>
          <w:szCs w:val="16"/>
        </w:rPr>
        <w:t xml:space="preserve">awn </w:t>
      </w:r>
      <w:r w:rsidR="00BF34EE">
        <w:rPr>
          <w:rFonts w:cs="Arial"/>
          <w:color w:val="auto"/>
          <w:sz w:val="16"/>
          <w:szCs w:val="16"/>
        </w:rPr>
        <w:t>R</w:t>
      </w:r>
      <w:r w:rsidRPr="00CB4F47">
        <w:rPr>
          <w:rFonts w:cs="Arial"/>
          <w:color w:val="auto"/>
          <w:sz w:val="16"/>
          <w:szCs w:val="16"/>
        </w:rPr>
        <w:t>aids and the Polynesian Panthers</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w:t>
      </w:r>
      <w:r w:rsidRPr="00CB4F47">
        <w:rPr>
          <w:rFonts w:eastAsia="Calibri" w:cs="Arial"/>
          <w:sz w:val="16"/>
          <w:szCs w:val="16"/>
          <w:lang w:val="en-US"/>
        </w:rPr>
        <w:t>Mallon, S, Māhina-Tuai, K &amp; Salesa, D (eds</w:t>
      </w:r>
      <w:r w:rsidR="00A671DF" w:rsidRPr="00CB4F47">
        <w:rPr>
          <w:rFonts w:eastAsia="Calibri" w:cs="Arial"/>
          <w:sz w:val="16"/>
          <w:szCs w:val="16"/>
          <w:lang w:val="en-US"/>
        </w:rPr>
        <w:t>),</w:t>
      </w:r>
      <w:r w:rsidRPr="00CB4F47">
        <w:rPr>
          <w:rFonts w:eastAsia="Calibri" w:cs="Arial"/>
          <w:sz w:val="16"/>
          <w:szCs w:val="16"/>
          <w:lang w:val="en-US"/>
        </w:rPr>
        <w:t xml:space="preserve"> </w:t>
      </w:r>
      <w:r w:rsidRPr="00CB4F47">
        <w:rPr>
          <w:rFonts w:cs="Arial"/>
          <w:color w:val="auto"/>
          <w:sz w:val="16"/>
          <w:szCs w:val="16"/>
        </w:rPr>
        <w:t xml:space="preserve">Tangata o le Moana: </w:t>
      </w:r>
      <w:r w:rsidRPr="00CB4F47">
        <w:rPr>
          <w:rStyle w:val="normaltextrun"/>
          <w:rFonts w:cs="Arial"/>
          <w:color w:val="auto"/>
          <w:sz w:val="16"/>
          <w:szCs w:val="16"/>
          <w:bdr w:val="none" w:sz="0" w:space="0" w:color="auto" w:frame="1"/>
        </w:rPr>
        <w:t>New Zealand and the People of the Pacific</w:t>
      </w:r>
      <w:r w:rsidRPr="00CB4F47">
        <w:rPr>
          <w:rFonts w:cs="Arial"/>
          <w:color w:val="auto"/>
          <w:sz w:val="16"/>
          <w:szCs w:val="16"/>
        </w:rPr>
        <w:t xml:space="preserve"> (Te Papa Press, 2012</w:t>
      </w:r>
      <w:r w:rsidR="00A671DF" w:rsidRPr="00CB4F47">
        <w:rPr>
          <w:rFonts w:cs="Arial"/>
          <w:color w:val="auto"/>
          <w:sz w:val="16"/>
          <w:szCs w:val="16"/>
        </w:rPr>
        <w:t>,</w:t>
      </w:r>
      <w:r w:rsidRPr="00CB4F47">
        <w:rPr>
          <w:rFonts w:cs="Arial"/>
          <w:color w:val="auto"/>
          <w:sz w:val="16"/>
          <w:szCs w:val="16"/>
        </w:rPr>
        <w:t xml:space="preserve"> pages 221</w:t>
      </w:r>
      <w:r w:rsidRPr="00CB4F47">
        <w:rPr>
          <w:rFonts w:eastAsia="Calibri" w:cs="Arial"/>
          <w:sz w:val="16"/>
          <w:szCs w:val="16"/>
          <w:lang w:val="en-US"/>
        </w:rPr>
        <w:t>–240</w:t>
      </w:r>
      <w:r w:rsidRPr="00CB4F47">
        <w:rPr>
          <w:rFonts w:cs="Arial"/>
          <w:color w:val="auto"/>
          <w:sz w:val="16"/>
          <w:szCs w:val="16"/>
        </w:rPr>
        <w:t>, p</w:t>
      </w:r>
      <w:r w:rsidR="00F063AB" w:rsidRPr="00CB4F47">
        <w:rPr>
          <w:rFonts w:cs="Arial"/>
          <w:color w:val="auto"/>
          <w:sz w:val="16"/>
          <w:szCs w:val="16"/>
        </w:rPr>
        <w:t>age</w:t>
      </w:r>
      <w:r w:rsidRPr="00CB4F47">
        <w:rPr>
          <w:rFonts w:cs="Arial"/>
          <w:color w:val="auto"/>
          <w:sz w:val="16"/>
          <w:szCs w:val="16"/>
        </w:rPr>
        <w:t xml:space="preserve"> 222</w:t>
      </w:r>
      <w:r w:rsidR="00AF7568">
        <w:rPr>
          <w:rFonts w:cs="Arial"/>
          <w:color w:val="auto"/>
          <w:sz w:val="16"/>
          <w:szCs w:val="16"/>
        </w:rPr>
        <w:t>)</w:t>
      </w:r>
      <w:r w:rsidRPr="00CB4F47">
        <w:rPr>
          <w:rFonts w:cs="Arial"/>
          <w:color w:val="auto"/>
          <w:sz w:val="16"/>
          <w:szCs w:val="16"/>
        </w:rPr>
        <w:t>.</w:t>
      </w:r>
    </w:p>
  </w:footnote>
  <w:footnote w:id="333">
    <w:p w14:paraId="5059DC6F" w14:textId="0318E51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Anae, M</w:t>
      </w:r>
      <w:r w:rsidR="00A671DF" w:rsidRPr="00CB4F47">
        <w:rPr>
          <w:rFonts w:cs="Arial"/>
          <w:color w:val="auto"/>
          <w:sz w:val="16"/>
          <w:szCs w:val="16"/>
        </w:rPr>
        <w:t>,</w:t>
      </w:r>
      <w:r w:rsidRPr="00CB4F47">
        <w:rPr>
          <w:rFonts w:cs="Arial"/>
          <w:color w:val="auto"/>
          <w:sz w:val="16"/>
          <w:szCs w:val="16"/>
        </w:rPr>
        <w:t xml:space="preserve"> “All power to the people: Overstayers, </w:t>
      </w:r>
      <w:r w:rsidR="00BF34EE">
        <w:rPr>
          <w:rFonts w:cs="Arial"/>
          <w:color w:val="auto"/>
          <w:sz w:val="16"/>
          <w:szCs w:val="16"/>
        </w:rPr>
        <w:t>D</w:t>
      </w:r>
      <w:r w:rsidRPr="00CB4F47">
        <w:rPr>
          <w:rFonts w:cs="Arial"/>
          <w:color w:val="auto"/>
          <w:sz w:val="16"/>
          <w:szCs w:val="16"/>
        </w:rPr>
        <w:t xml:space="preserve">awn </w:t>
      </w:r>
      <w:r w:rsidR="00BF34EE">
        <w:rPr>
          <w:rFonts w:cs="Arial"/>
          <w:color w:val="auto"/>
          <w:sz w:val="16"/>
          <w:szCs w:val="16"/>
        </w:rPr>
        <w:t>R</w:t>
      </w:r>
      <w:r w:rsidRPr="00CB4F47">
        <w:rPr>
          <w:rFonts w:cs="Arial"/>
          <w:color w:val="auto"/>
          <w:sz w:val="16"/>
          <w:szCs w:val="16"/>
        </w:rPr>
        <w:t xml:space="preserve">aids and the Polynesian Panthers” in </w:t>
      </w:r>
      <w:r w:rsidRPr="00CB4F47">
        <w:rPr>
          <w:rFonts w:eastAsia="Calibri" w:cs="Arial"/>
          <w:sz w:val="16"/>
          <w:szCs w:val="16"/>
          <w:lang w:val="en-US"/>
        </w:rPr>
        <w:t>Mallon, S, Māhina-Tuai, K &amp; Salesa, D (eds</w:t>
      </w:r>
      <w:r w:rsidR="00A671DF" w:rsidRPr="00CB4F47">
        <w:rPr>
          <w:rFonts w:eastAsia="Calibri" w:cs="Arial"/>
          <w:sz w:val="16"/>
          <w:szCs w:val="16"/>
          <w:lang w:val="en-US"/>
        </w:rPr>
        <w:t>),</w:t>
      </w:r>
      <w:r w:rsidRPr="00CB4F47">
        <w:rPr>
          <w:rFonts w:eastAsia="Calibri" w:cs="Arial"/>
          <w:sz w:val="16"/>
          <w:szCs w:val="16"/>
          <w:lang w:val="en-US"/>
        </w:rPr>
        <w:t xml:space="preserve"> </w:t>
      </w:r>
      <w:r w:rsidRPr="00CB4F47">
        <w:rPr>
          <w:rFonts w:cs="Arial"/>
          <w:color w:val="auto"/>
          <w:sz w:val="16"/>
          <w:szCs w:val="16"/>
        </w:rPr>
        <w:t>Tangata o le Moana:</w:t>
      </w:r>
      <w:r w:rsidRPr="00CB4F47">
        <w:rPr>
          <w:rStyle w:val="normaltextrun"/>
          <w:rFonts w:cs="Arial"/>
          <w:color w:val="auto"/>
          <w:sz w:val="16"/>
          <w:szCs w:val="16"/>
          <w:bdr w:val="none" w:sz="0" w:space="0" w:color="auto" w:frame="1"/>
        </w:rPr>
        <w:t xml:space="preserve"> New Zealand and the People of the Pacific</w:t>
      </w:r>
      <w:r w:rsidRPr="00CB4F47">
        <w:rPr>
          <w:rFonts w:cs="Arial"/>
          <w:color w:val="auto"/>
          <w:sz w:val="16"/>
          <w:szCs w:val="16"/>
        </w:rPr>
        <w:t xml:space="preserve"> (Te Papa Press, 2012</w:t>
      </w:r>
      <w:r w:rsidR="00A671DF" w:rsidRPr="00CB4F47">
        <w:rPr>
          <w:rFonts w:cs="Arial"/>
          <w:color w:val="auto"/>
          <w:sz w:val="16"/>
          <w:szCs w:val="16"/>
        </w:rPr>
        <w:t>,</w:t>
      </w:r>
      <w:r w:rsidRPr="00CB4F47">
        <w:rPr>
          <w:rFonts w:cs="Arial"/>
          <w:color w:val="auto"/>
          <w:sz w:val="16"/>
          <w:szCs w:val="16"/>
        </w:rPr>
        <w:t xml:space="preserve"> pages 221</w:t>
      </w:r>
      <w:r w:rsidRPr="00CB4F47">
        <w:rPr>
          <w:rFonts w:eastAsia="Calibri" w:cs="Arial"/>
          <w:sz w:val="16"/>
          <w:szCs w:val="16"/>
          <w:lang w:val="en-US"/>
        </w:rPr>
        <w:t>–</w:t>
      </w:r>
      <w:r w:rsidRPr="00CB4F47">
        <w:rPr>
          <w:rFonts w:cs="Arial"/>
          <w:color w:val="auto"/>
          <w:sz w:val="16"/>
          <w:szCs w:val="16"/>
        </w:rPr>
        <w:t>240</w:t>
      </w:r>
      <w:r w:rsidR="00AF7568">
        <w:rPr>
          <w:rFonts w:cs="Arial"/>
          <w:color w:val="auto"/>
          <w:sz w:val="16"/>
          <w:szCs w:val="16"/>
        </w:rPr>
        <w:t>)</w:t>
      </w:r>
      <w:r w:rsidRPr="00CB4F47">
        <w:rPr>
          <w:rFonts w:cs="Arial"/>
          <w:color w:val="auto"/>
          <w:sz w:val="16"/>
          <w:szCs w:val="16"/>
        </w:rPr>
        <w:t>.</w:t>
      </w:r>
    </w:p>
  </w:footnote>
  <w:footnote w:id="334">
    <w:p w14:paraId="226A5CC7" w14:textId="6D191CC2"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Barber, S &amp; Naepi, S, “Sociology in a crisis: Covid-19 and the colonial politics of knowledge production in Aotearoa New Zealand</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Journal of Sociology, 56(4) </w:t>
      </w:r>
      <w:r w:rsidRPr="00CB4F47">
        <w:rPr>
          <w:rFonts w:cs="Arial"/>
          <w:color w:val="000000"/>
          <w:sz w:val="16"/>
          <w:szCs w:val="16"/>
          <w:shd w:val="clear" w:color="auto" w:fill="FFFFFF"/>
        </w:rPr>
        <w:t>(</w:t>
      </w:r>
      <w:r w:rsidR="00A671DF" w:rsidRPr="00CB4F47">
        <w:rPr>
          <w:rFonts w:cs="Arial"/>
          <w:color w:val="000000"/>
          <w:sz w:val="16"/>
          <w:szCs w:val="16"/>
          <w:shd w:val="clear" w:color="auto" w:fill="FFFFFF"/>
        </w:rPr>
        <w:t>202</w:t>
      </w:r>
      <w:r w:rsidR="000A1872">
        <w:rPr>
          <w:rFonts w:cs="Arial"/>
          <w:color w:val="000000"/>
          <w:sz w:val="16"/>
          <w:szCs w:val="16"/>
          <w:shd w:val="clear" w:color="auto" w:fill="FFFFFF"/>
        </w:rPr>
        <w:t>0</w:t>
      </w:r>
      <w:r w:rsidR="00A671DF" w:rsidRPr="00CB4F47">
        <w:rPr>
          <w:rFonts w:cs="Arial"/>
          <w:color w:val="000000"/>
          <w:sz w:val="16"/>
          <w:szCs w:val="16"/>
          <w:shd w:val="clear" w:color="auto" w:fill="FFFFFF"/>
        </w:rPr>
        <w:t>,</w:t>
      </w:r>
      <w:r w:rsidRPr="00CB4F47">
        <w:rPr>
          <w:rFonts w:cs="Arial"/>
          <w:color w:val="auto"/>
          <w:sz w:val="16"/>
          <w:szCs w:val="16"/>
        </w:rPr>
        <w:t xml:space="preserve"> pages 693</w:t>
      </w:r>
      <w:r w:rsidRPr="00CB4F47">
        <w:rPr>
          <w:rFonts w:eastAsia="Calibri" w:cs="Arial"/>
          <w:sz w:val="16"/>
          <w:szCs w:val="16"/>
          <w:lang w:val="en-US"/>
        </w:rPr>
        <w:t>–</w:t>
      </w:r>
      <w:r w:rsidRPr="00CB4F47">
        <w:rPr>
          <w:rFonts w:cs="Arial"/>
          <w:color w:val="auto"/>
          <w:sz w:val="16"/>
          <w:szCs w:val="16"/>
        </w:rPr>
        <w:t>703, p</w:t>
      </w:r>
      <w:r w:rsidR="00F063AB" w:rsidRPr="00CB4F47">
        <w:rPr>
          <w:rFonts w:cs="Arial"/>
          <w:color w:val="auto"/>
          <w:sz w:val="16"/>
          <w:szCs w:val="16"/>
        </w:rPr>
        <w:t>age</w:t>
      </w:r>
      <w:r w:rsidRPr="00CB4F47">
        <w:rPr>
          <w:rFonts w:cs="Arial"/>
          <w:color w:val="auto"/>
          <w:sz w:val="16"/>
          <w:szCs w:val="16"/>
        </w:rPr>
        <w:t xml:space="preserve"> 701</w:t>
      </w:r>
      <w:r w:rsidR="00AF7568">
        <w:rPr>
          <w:rFonts w:cs="Arial"/>
          <w:color w:val="auto"/>
          <w:sz w:val="16"/>
          <w:szCs w:val="16"/>
        </w:rPr>
        <w:t>)</w:t>
      </w:r>
      <w:r w:rsidRPr="00CB4F47">
        <w:rPr>
          <w:rFonts w:cs="Arial"/>
          <w:color w:val="auto"/>
          <w:sz w:val="16"/>
          <w:szCs w:val="16"/>
        </w:rPr>
        <w:t xml:space="preserve">. </w:t>
      </w:r>
    </w:p>
  </w:footnote>
  <w:footnote w:id="335">
    <w:p w14:paraId="74CCF7E7" w14:textId="4E9580DA" w:rsidR="000E429D" w:rsidRPr="00CB4F47" w:rsidRDefault="000E429D" w:rsidP="002F3A8B">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sz w:val="16"/>
          <w:szCs w:val="16"/>
        </w:rPr>
        <w:t xml:space="preserve"> </w:t>
      </w:r>
      <w:r w:rsidRPr="00CB4F47">
        <w:rPr>
          <w:rFonts w:cs="Arial"/>
          <w:color w:val="auto"/>
          <w:sz w:val="16"/>
          <w:szCs w:val="16"/>
        </w:rPr>
        <w:t>Anae, M</w:t>
      </w:r>
      <w:r w:rsidR="00A671DF" w:rsidRPr="00CB4F47">
        <w:rPr>
          <w:rFonts w:cs="Arial"/>
          <w:color w:val="auto"/>
          <w:sz w:val="16"/>
          <w:szCs w:val="16"/>
        </w:rPr>
        <w:t>,</w:t>
      </w:r>
      <w:r w:rsidRPr="00CB4F47">
        <w:rPr>
          <w:rFonts w:cs="Arial"/>
          <w:color w:val="auto"/>
          <w:sz w:val="16"/>
          <w:szCs w:val="16"/>
        </w:rPr>
        <w:t xml:space="preserve"> “All power to the people: Overstayers, </w:t>
      </w:r>
      <w:r w:rsidR="002D52F1">
        <w:rPr>
          <w:rFonts w:cs="Arial"/>
          <w:color w:val="auto"/>
          <w:sz w:val="16"/>
          <w:szCs w:val="16"/>
        </w:rPr>
        <w:t>D</w:t>
      </w:r>
      <w:r w:rsidRPr="00CB4F47">
        <w:rPr>
          <w:rFonts w:cs="Arial"/>
          <w:color w:val="auto"/>
          <w:sz w:val="16"/>
          <w:szCs w:val="16"/>
        </w:rPr>
        <w:t xml:space="preserve">awn </w:t>
      </w:r>
      <w:r w:rsidR="002D52F1">
        <w:rPr>
          <w:rFonts w:cs="Arial"/>
          <w:color w:val="auto"/>
          <w:sz w:val="16"/>
          <w:szCs w:val="16"/>
        </w:rPr>
        <w:t>R</w:t>
      </w:r>
      <w:r w:rsidRPr="00CB4F47">
        <w:rPr>
          <w:rFonts w:cs="Arial"/>
          <w:color w:val="auto"/>
          <w:sz w:val="16"/>
          <w:szCs w:val="16"/>
        </w:rPr>
        <w:t>aids and the Polynesian Panthers</w:t>
      </w:r>
      <w:r w:rsidR="00957117">
        <w:rPr>
          <w:rFonts w:cs="Arial"/>
          <w:color w:val="auto"/>
          <w:sz w:val="16"/>
          <w:szCs w:val="16"/>
        </w:rPr>
        <w:t>,</w:t>
      </w:r>
      <w:r w:rsidRPr="00CB4F47">
        <w:rPr>
          <w:rFonts w:cs="Arial"/>
          <w:color w:val="auto"/>
          <w:sz w:val="16"/>
          <w:szCs w:val="16"/>
        </w:rPr>
        <w:t xml:space="preserve">” </w:t>
      </w:r>
      <w:r w:rsidR="00957117">
        <w:rPr>
          <w:rFonts w:cs="Arial"/>
          <w:color w:val="auto"/>
          <w:sz w:val="16"/>
          <w:szCs w:val="16"/>
        </w:rPr>
        <w:t xml:space="preserve">in </w:t>
      </w:r>
      <w:r w:rsidRPr="00CB4F47">
        <w:rPr>
          <w:rFonts w:eastAsia="Calibri" w:cs="Arial"/>
          <w:sz w:val="16"/>
          <w:szCs w:val="16"/>
          <w:lang w:val="en-US"/>
        </w:rPr>
        <w:t>Mallon, S, Māhina-Tuai, K &amp; Salesa, D (eds</w:t>
      </w:r>
      <w:r w:rsidR="00A671DF" w:rsidRPr="00CB4F47">
        <w:rPr>
          <w:rFonts w:eastAsia="Calibri" w:cs="Arial"/>
          <w:sz w:val="16"/>
          <w:szCs w:val="16"/>
          <w:lang w:val="en-US"/>
        </w:rPr>
        <w:t>),</w:t>
      </w:r>
      <w:r w:rsidRPr="00CB4F47">
        <w:rPr>
          <w:rFonts w:eastAsia="Calibri" w:cs="Arial"/>
          <w:sz w:val="16"/>
          <w:szCs w:val="16"/>
          <w:lang w:val="en-US"/>
        </w:rPr>
        <w:t xml:space="preserve"> </w:t>
      </w:r>
      <w:r w:rsidRPr="00CB4F47">
        <w:rPr>
          <w:rFonts w:cs="Arial"/>
          <w:color w:val="auto"/>
          <w:sz w:val="16"/>
          <w:szCs w:val="16"/>
        </w:rPr>
        <w:t>Tangata o le Moana:</w:t>
      </w:r>
      <w:r w:rsidRPr="00CB4F47">
        <w:rPr>
          <w:rStyle w:val="normaltextrun"/>
          <w:rFonts w:cs="Arial"/>
          <w:color w:val="auto"/>
          <w:sz w:val="16"/>
          <w:szCs w:val="16"/>
          <w:bdr w:val="none" w:sz="0" w:space="0" w:color="auto" w:frame="1"/>
        </w:rPr>
        <w:t xml:space="preserve"> New Zealand and the People of the Pacific</w:t>
      </w:r>
      <w:r w:rsidRPr="00CB4F47">
        <w:rPr>
          <w:rFonts w:cs="Arial"/>
          <w:color w:val="auto"/>
          <w:sz w:val="16"/>
          <w:szCs w:val="16"/>
        </w:rPr>
        <w:t xml:space="preserve"> (Te Papa Press, 2012</w:t>
      </w:r>
      <w:r w:rsidR="00A671DF" w:rsidRPr="00CB4F47">
        <w:rPr>
          <w:rFonts w:cs="Arial"/>
          <w:color w:val="auto"/>
          <w:sz w:val="16"/>
          <w:szCs w:val="16"/>
        </w:rPr>
        <w:t>,</w:t>
      </w:r>
      <w:r w:rsidRPr="00CB4F47">
        <w:rPr>
          <w:rFonts w:cs="Arial"/>
          <w:color w:val="auto"/>
          <w:sz w:val="16"/>
          <w:szCs w:val="16"/>
        </w:rPr>
        <w:t xml:space="preserve"> pages 221</w:t>
      </w:r>
      <w:r w:rsidRPr="00CB4F47">
        <w:rPr>
          <w:rFonts w:eastAsia="Calibri" w:cs="Arial"/>
          <w:sz w:val="16"/>
          <w:szCs w:val="16"/>
          <w:lang w:val="en-US"/>
        </w:rPr>
        <w:t>–</w:t>
      </w:r>
      <w:r w:rsidRPr="00CB4F47">
        <w:rPr>
          <w:rFonts w:cs="Arial"/>
          <w:color w:val="auto"/>
          <w:sz w:val="16"/>
          <w:szCs w:val="16"/>
        </w:rPr>
        <w:t>240, p</w:t>
      </w:r>
      <w:r w:rsidR="00F063AB" w:rsidRPr="00CB4F47">
        <w:rPr>
          <w:rFonts w:cs="Arial"/>
          <w:color w:val="auto"/>
          <w:sz w:val="16"/>
          <w:szCs w:val="16"/>
        </w:rPr>
        <w:t>age</w:t>
      </w:r>
      <w:r w:rsidRPr="00CB4F47">
        <w:rPr>
          <w:rFonts w:cs="Arial"/>
          <w:color w:val="auto"/>
          <w:sz w:val="16"/>
          <w:szCs w:val="16"/>
        </w:rPr>
        <w:t xml:space="preserve"> 238</w:t>
      </w:r>
      <w:r w:rsidR="00AF7568">
        <w:rPr>
          <w:rFonts w:cs="Arial"/>
          <w:color w:val="auto"/>
          <w:sz w:val="16"/>
          <w:szCs w:val="16"/>
        </w:rPr>
        <w:t>)</w:t>
      </w:r>
      <w:r w:rsidRPr="00CB4F47">
        <w:rPr>
          <w:rFonts w:cs="Arial"/>
          <w:color w:val="auto"/>
          <w:sz w:val="16"/>
          <w:szCs w:val="16"/>
        </w:rPr>
        <w:t>.</w:t>
      </w:r>
    </w:p>
  </w:footnote>
  <w:footnote w:id="336">
    <w:p w14:paraId="79CE7877" w14:textId="68798DF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Anae, M, “All Power to the People: Overstayers, Dawn Raids and the Polynesian Panthers</w:t>
      </w:r>
      <w:r w:rsidR="00957117">
        <w:rPr>
          <w:rFonts w:cs="Arial"/>
          <w:color w:val="auto"/>
          <w:sz w:val="16"/>
          <w:szCs w:val="16"/>
        </w:rPr>
        <w:t>,</w:t>
      </w:r>
      <w:r w:rsidRPr="00CB4F47">
        <w:rPr>
          <w:rFonts w:cs="Arial"/>
          <w:color w:val="auto"/>
          <w:sz w:val="16"/>
          <w:szCs w:val="16"/>
        </w:rPr>
        <w:t xml:space="preserve">” </w:t>
      </w:r>
      <w:r w:rsidR="00957117">
        <w:rPr>
          <w:rFonts w:cs="Arial"/>
          <w:color w:val="auto"/>
          <w:sz w:val="16"/>
          <w:szCs w:val="16"/>
        </w:rPr>
        <w:t xml:space="preserve">in </w:t>
      </w:r>
      <w:r w:rsidRPr="00CB4F47">
        <w:rPr>
          <w:rFonts w:eastAsia="Calibri" w:cs="Arial"/>
          <w:sz w:val="16"/>
          <w:szCs w:val="16"/>
          <w:lang w:val="en-US"/>
        </w:rPr>
        <w:t>Mallon, S, Māhina-Tuai, K &amp; Salesa, D (eds</w:t>
      </w:r>
      <w:r w:rsidR="00A671DF" w:rsidRPr="00CB4F47">
        <w:rPr>
          <w:rFonts w:eastAsia="Calibri" w:cs="Arial"/>
          <w:sz w:val="16"/>
          <w:szCs w:val="16"/>
          <w:lang w:val="en-US"/>
        </w:rPr>
        <w:t>),</w:t>
      </w:r>
      <w:r w:rsidRPr="00CB4F47">
        <w:rPr>
          <w:rFonts w:eastAsia="Calibri" w:cs="Arial"/>
          <w:sz w:val="16"/>
          <w:szCs w:val="16"/>
          <w:lang w:val="en-US"/>
        </w:rPr>
        <w:t xml:space="preserve"> </w:t>
      </w:r>
      <w:r w:rsidRPr="00CB4F47">
        <w:rPr>
          <w:rFonts w:cs="Arial"/>
          <w:color w:val="auto"/>
          <w:sz w:val="16"/>
          <w:szCs w:val="16"/>
        </w:rPr>
        <w:t>Tangata o le Moana:</w:t>
      </w:r>
      <w:r w:rsidRPr="00CB4F47">
        <w:rPr>
          <w:rStyle w:val="normaltextrun"/>
          <w:rFonts w:cs="Arial"/>
          <w:color w:val="auto"/>
          <w:sz w:val="16"/>
          <w:szCs w:val="16"/>
          <w:bdr w:val="none" w:sz="0" w:space="0" w:color="auto" w:frame="1"/>
        </w:rPr>
        <w:t xml:space="preserve"> New Zealand and the People of the Pacific</w:t>
      </w:r>
      <w:r w:rsidRPr="00CB4F47">
        <w:rPr>
          <w:rFonts w:cs="Arial"/>
          <w:color w:val="auto"/>
          <w:sz w:val="16"/>
          <w:szCs w:val="16"/>
        </w:rPr>
        <w:t xml:space="preserve"> (Te Papa Press, 2012</w:t>
      </w:r>
      <w:r w:rsidR="00A671DF" w:rsidRPr="00CB4F47">
        <w:rPr>
          <w:rFonts w:cs="Arial"/>
          <w:color w:val="auto"/>
          <w:sz w:val="16"/>
          <w:szCs w:val="16"/>
        </w:rPr>
        <w:t>,</w:t>
      </w:r>
      <w:r w:rsidRPr="00CB4F47">
        <w:rPr>
          <w:rFonts w:cs="Arial"/>
          <w:color w:val="auto"/>
          <w:sz w:val="16"/>
          <w:szCs w:val="16"/>
        </w:rPr>
        <w:t xml:space="preserve"> pages 221</w:t>
      </w:r>
      <w:r w:rsidRPr="00CB4F47">
        <w:rPr>
          <w:rFonts w:eastAsia="Calibri" w:cs="Arial"/>
          <w:sz w:val="16"/>
          <w:szCs w:val="16"/>
          <w:lang w:val="en-US"/>
        </w:rPr>
        <w:t>–</w:t>
      </w:r>
      <w:r w:rsidRPr="00CB4F47">
        <w:rPr>
          <w:rFonts w:cs="Arial"/>
          <w:color w:val="auto"/>
          <w:sz w:val="16"/>
          <w:szCs w:val="16"/>
        </w:rPr>
        <w:t>240, p</w:t>
      </w:r>
      <w:r w:rsidR="00F063AB" w:rsidRPr="00CB4F47">
        <w:rPr>
          <w:rFonts w:cs="Arial"/>
          <w:color w:val="auto"/>
          <w:sz w:val="16"/>
          <w:szCs w:val="16"/>
        </w:rPr>
        <w:t>age</w:t>
      </w:r>
      <w:r w:rsidRPr="00CB4F47">
        <w:rPr>
          <w:rFonts w:cs="Arial"/>
          <w:color w:val="auto"/>
          <w:sz w:val="16"/>
          <w:szCs w:val="16"/>
        </w:rPr>
        <w:t xml:space="preserve"> 233</w:t>
      </w:r>
      <w:r w:rsidR="00AF7568">
        <w:rPr>
          <w:rFonts w:cs="Arial"/>
          <w:color w:val="auto"/>
          <w:sz w:val="16"/>
          <w:szCs w:val="16"/>
        </w:rPr>
        <w:t>)</w:t>
      </w:r>
      <w:r w:rsidRPr="00CB4F47">
        <w:rPr>
          <w:rFonts w:cs="Arial"/>
          <w:color w:val="auto"/>
          <w:sz w:val="16"/>
          <w:szCs w:val="16"/>
        </w:rPr>
        <w:t>.</w:t>
      </w:r>
    </w:p>
  </w:footnote>
  <w:footnote w:id="337">
    <w:p w14:paraId="00F0759B" w14:textId="1A480FF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Macpherson, C, Pacific churches in New Zealand: Programmes and services (Te Ara</w:t>
      </w:r>
      <w:r w:rsidR="00A14F27">
        <w:rPr>
          <w:rFonts w:cs="Arial"/>
          <w:color w:val="auto"/>
          <w:sz w:val="16"/>
          <w:szCs w:val="16"/>
        </w:rPr>
        <w:t xml:space="preserve"> – </w:t>
      </w:r>
      <w:r w:rsidR="00186A37">
        <w:rPr>
          <w:rFonts w:cs="Arial"/>
          <w:color w:val="auto"/>
          <w:sz w:val="16"/>
          <w:szCs w:val="16"/>
        </w:rPr>
        <w:t>T</w:t>
      </w:r>
      <w:r w:rsidR="00A14F27">
        <w:rPr>
          <w:rFonts w:cs="Arial"/>
          <w:color w:val="auto"/>
          <w:sz w:val="16"/>
          <w:szCs w:val="16"/>
        </w:rPr>
        <w:t>he Ency</w:t>
      </w:r>
      <w:r w:rsidR="00186A37">
        <w:rPr>
          <w:rFonts w:cs="Arial"/>
          <w:color w:val="auto"/>
          <w:sz w:val="16"/>
          <w:szCs w:val="16"/>
        </w:rPr>
        <w:t>c</w:t>
      </w:r>
      <w:r w:rsidR="00A14F27">
        <w:rPr>
          <w:rFonts w:cs="Arial"/>
          <w:color w:val="auto"/>
          <w:sz w:val="16"/>
          <w:szCs w:val="16"/>
        </w:rPr>
        <w:t>lopedia of New Zealand</w:t>
      </w:r>
      <w:r w:rsidRPr="00CB4F47">
        <w:rPr>
          <w:rFonts w:cs="Arial"/>
          <w:color w:val="auto"/>
          <w:sz w:val="16"/>
          <w:szCs w:val="16"/>
        </w:rPr>
        <w:t>, 2018</w:t>
      </w:r>
      <w:r w:rsidR="00EC38C0">
        <w:rPr>
          <w:rFonts w:cs="Arial"/>
          <w:color w:val="auto"/>
          <w:sz w:val="16"/>
          <w:szCs w:val="16"/>
        </w:rPr>
        <w:t>, page 2</w:t>
      </w:r>
      <w:r w:rsidRPr="00CB4F47">
        <w:rPr>
          <w:rFonts w:cs="Arial"/>
          <w:color w:val="auto"/>
          <w:sz w:val="16"/>
          <w:szCs w:val="16"/>
        </w:rPr>
        <w:t>)</w:t>
      </w:r>
      <w:r w:rsidR="00EC38C0">
        <w:rPr>
          <w:rFonts w:cs="Arial"/>
          <w:color w:val="auto"/>
          <w:sz w:val="16"/>
          <w:szCs w:val="16"/>
        </w:rPr>
        <w:t xml:space="preserve">, </w:t>
      </w:r>
      <w:hyperlink r:id="rId89" w:history="1">
        <w:r w:rsidR="00EC38C0" w:rsidRPr="00EC38C0">
          <w:rPr>
            <w:rStyle w:val="Hyperlink"/>
            <w:rFonts w:cs="Arial"/>
            <w:sz w:val="16"/>
            <w:szCs w:val="16"/>
          </w:rPr>
          <w:t>https://teara.govt.nz/en/pacific-churches-in-new-zealand/page-2</w:t>
        </w:r>
      </w:hyperlink>
      <w:r w:rsidRPr="00CB4F47">
        <w:rPr>
          <w:rFonts w:cs="Arial"/>
          <w:color w:val="auto"/>
          <w:sz w:val="16"/>
          <w:szCs w:val="16"/>
        </w:rPr>
        <w:t>.</w:t>
      </w:r>
    </w:p>
  </w:footnote>
  <w:footnote w:id="338">
    <w:p w14:paraId="7F8841D2" w14:textId="64BD96F7" w:rsidR="000E429D" w:rsidRPr="00CB4F47" w:rsidRDefault="000E429D" w:rsidP="00C57877">
      <w:pPr>
        <w:pStyle w:val="NoSpacing"/>
        <w:spacing w:line="20" w:lineRule="atLeast"/>
        <w:rPr>
          <w:rFonts w:ascii="Arial" w:hAnsi="Arial" w:cs="Arial"/>
          <w:color w:val="000000" w:themeColor="text1"/>
          <w:sz w:val="16"/>
          <w:szCs w:val="16"/>
        </w:rPr>
      </w:pPr>
      <w:r w:rsidRPr="00536E67">
        <w:rPr>
          <w:rStyle w:val="StyleFootnoteReferenceFagoFunotenzeichenFagoFunotenzeichen"/>
          <w:sz w:val="16"/>
          <w:szCs w:val="16"/>
        </w:rPr>
        <w:footnoteRef/>
      </w:r>
      <w:r w:rsidRPr="00CB4F47">
        <w:rPr>
          <w:rFonts w:ascii="Arial" w:hAnsi="Arial" w:cs="Arial"/>
          <w:sz w:val="16"/>
          <w:szCs w:val="16"/>
        </w:rPr>
        <w:t xml:space="preserve"> </w:t>
      </w:r>
      <w:r w:rsidRPr="00CB4F47">
        <w:rPr>
          <w:rFonts w:ascii="Arial" w:hAnsi="Arial" w:cs="Arial"/>
          <w:color w:val="000000" w:themeColor="text1"/>
          <w:sz w:val="16"/>
          <w:szCs w:val="16"/>
        </w:rPr>
        <w:t>Else, A, A question of adoption: Closed stranger adoption in New Zealand, 1944</w:t>
      </w:r>
      <w:r w:rsidR="00A671DF">
        <w:rPr>
          <w:rFonts w:ascii="Arial" w:hAnsi="Arial" w:cs="Arial"/>
          <w:color w:val="000000" w:themeColor="text1"/>
          <w:sz w:val="16"/>
          <w:szCs w:val="16"/>
        </w:rPr>
        <w:t>–</w:t>
      </w:r>
      <w:r w:rsidRPr="00CB4F47">
        <w:rPr>
          <w:rFonts w:ascii="Arial" w:hAnsi="Arial" w:cs="Arial"/>
          <w:color w:val="000000" w:themeColor="text1"/>
          <w:sz w:val="16"/>
          <w:szCs w:val="16"/>
        </w:rPr>
        <w:t>1974 (Bridget Williams Books, 1991</w:t>
      </w:r>
      <w:r w:rsidR="00A671DF" w:rsidRPr="00CB4F47">
        <w:rPr>
          <w:rFonts w:ascii="Arial" w:hAnsi="Arial" w:cs="Arial"/>
          <w:color w:val="000000" w:themeColor="text1"/>
          <w:sz w:val="16"/>
          <w:szCs w:val="16"/>
        </w:rPr>
        <w:t>,</w:t>
      </w:r>
      <w:r w:rsidRPr="00CB4F47">
        <w:rPr>
          <w:rFonts w:ascii="Arial" w:hAnsi="Arial" w:cs="Arial"/>
          <w:color w:val="000000" w:themeColor="text1"/>
          <w:sz w:val="16"/>
          <w:szCs w:val="16"/>
        </w:rPr>
        <w:t xml:space="preserve"> </w:t>
      </w:r>
      <w:r w:rsidR="00C32E74" w:rsidRPr="00CB4F47">
        <w:rPr>
          <w:rFonts w:ascii="Arial" w:hAnsi="Arial" w:cs="Arial"/>
          <w:color w:val="auto"/>
          <w:sz w:val="16"/>
          <w:szCs w:val="16"/>
        </w:rPr>
        <w:t>page</w:t>
      </w:r>
      <w:r w:rsidRPr="00CB4F47">
        <w:rPr>
          <w:rFonts w:ascii="Arial" w:hAnsi="Arial" w:cs="Arial"/>
          <w:color w:val="000000" w:themeColor="text1"/>
          <w:sz w:val="16"/>
          <w:szCs w:val="16"/>
        </w:rPr>
        <w:t xml:space="preserve"> 159</w:t>
      </w:r>
      <w:r w:rsidR="00AF7568">
        <w:rPr>
          <w:rFonts w:ascii="Arial" w:hAnsi="Arial" w:cs="Arial"/>
          <w:color w:val="000000" w:themeColor="text1"/>
          <w:sz w:val="16"/>
          <w:szCs w:val="16"/>
        </w:rPr>
        <w:t>)</w:t>
      </w:r>
      <w:r w:rsidRPr="00CB4F47">
        <w:rPr>
          <w:rFonts w:ascii="Arial" w:hAnsi="Arial" w:cs="Arial"/>
          <w:color w:val="000000" w:themeColor="text1"/>
          <w:sz w:val="16"/>
          <w:szCs w:val="16"/>
        </w:rPr>
        <w:t>.</w:t>
      </w:r>
    </w:p>
  </w:footnote>
  <w:footnote w:id="339">
    <w:p w14:paraId="29520861" w14:textId="67623936" w:rsidR="000E429D" w:rsidRPr="00CB4F47" w:rsidRDefault="000E429D" w:rsidP="00C57877">
      <w:pPr>
        <w:pStyle w:val="NoSpacing"/>
        <w:spacing w:line="20" w:lineRule="atLeast"/>
        <w:rPr>
          <w:rFonts w:ascii="Arial" w:hAnsi="Arial" w:cs="Arial"/>
          <w:color w:val="000000" w:themeColor="text1"/>
          <w:sz w:val="16"/>
          <w:szCs w:val="16"/>
        </w:rPr>
      </w:pPr>
      <w:r w:rsidRPr="00536E67">
        <w:rPr>
          <w:rStyle w:val="StyleFootnoteReferenceFagoFunotenzeichenFagoFunotenzeichen"/>
          <w:sz w:val="16"/>
          <w:szCs w:val="16"/>
        </w:rPr>
        <w:footnoteRef/>
      </w:r>
      <w:r w:rsidRPr="00CB4F47">
        <w:rPr>
          <w:rFonts w:ascii="Arial" w:hAnsi="Arial" w:cs="Arial"/>
          <w:color w:val="000000" w:themeColor="text1"/>
          <w:sz w:val="16"/>
          <w:szCs w:val="16"/>
        </w:rPr>
        <w:t xml:space="preserve"> Tennant, M, The fabric of welfare: Voluntary organisations, government and welfare in New Zealand, 1840</w:t>
      </w:r>
      <w:r w:rsidR="00A671DF">
        <w:rPr>
          <w:rFonts w:ascii="Arial" w:hAnsi="Arial" w:cs="Arial"/>
          <w:color w:val="000000" w:themeColor="text1"/>
          <w:sz w:val="16"/>
          <w:szCs w:val="16"/>
        </w:rPr>
        <w:t>–</w:t>
      </w:r>
      <w:r w:rsidRPr="00CB4F47">
        <w:rPr>
          <w:rFonts w:ascii="Arial" w:hAnsi="Arial" w:cs="Arial"/>
          <w:color w:val="000000" w:themeColor="text1"/>
          <w:sz w:val="16"/>
          <w:szCs w:val="16"/>
        </w:rPr>
        <w:t>2005 (Bridget Williams Books, 2007</w:t>
      </w:r>
      <w:r w:rsidR="00A671DF" w:rsidRPr="00CB4F47">
        <w:rPr>
          <w:rFonts w:ascii="Arial" w:hAnsi="Arial" w:cs="Arial"/>
          <w:color w:val="000000" w:themeColor="text1"/>
          <w:sz w:val="16"/>
          <w:szCs w:val="16"/>
        </w:rPr>
        <w:t>,</w:t>
      </w:r>
      <w:r w:rsidRPr="00CB4F47">
        <w:rPr>
          <w:rFonts w:ascii="Arial" w:hAnsi="Arial" w:cs="Arial"/>
          <w:color w:val="000000" w:themeColor="text1"/>
          <w:sz w:val="16"/>
          <w:szCs w:val="16"/>
        </w:rPr>
        <w:t xml:space="preserve"> </w:t>
      </w:r>
      <w:r w:rsidR="00C32E74" w:rsidRPr="00CB4F47">
        <w:rPr>
          <w:rFonts w:ascii="Arial" w:hAnsi="Arial" w:cs="Arial"/>
          <w:color w:val="auto"/>
          <w:sz w:val="16"/>
          <w:szCs w:val="16"/>
        </w:rPr>
        <w:t>page</w:t>
      </w:r>
      <w:r w:rsidRPr="00CB4F47">
        <w:rPr>
          <w:rFonts w:ascii="Arial" w:hAnsi="Arial" w:cs="Arial"/>
          <w:color w:val="000000" w:themeColor="text1"/>
          <w:sz w:val="16"/>
          <w:szCs w:val="16"/>
        </w:rPr>
        <w:t xml:space="preserve"> 120</w:t>
      </w:r>
      <w:r w:rsidR="00A671DF">
        <w:rPr>
          <w:rFonts w:ascii="Arial" w:hAnsi="Arial" w:cs="Arial"/>
          <w:color w:val="000000" w:themeColor="text1"/>
          <w:sz w:val="16"/>
          <w:szCs w:val="16"/>
        </w:rPr>
        <w:t>);</w:t>
      </w:r>
      <w:r w:rsidRPr="00CB4F47">
        <w:rPr>
          <w:rFonts w:ascii="Arial" w:hAnsi="Arial" w:cs="Arial"/>
          <w:color w:val="000000" w:themeColor="text1"/>
          <w:sz w:val="16"/>
          <w:szCs w:val="16"/>
        </w:rPr>
        <w:t xml:space="preserve"> Dalley, B, Family matters: Child welfare in twentieth-century New Zealand (Auckland University Press, 1998</w:t>
      </w:r>
      <w:r w:rsidR="00A671DF" w:rsidRPr="00CB4F47">
        <w:rPr>
          <w:rFonts w:ascii="Arial" w:hAnsi="Arial" w:cs="Arial"/>
          <w:color w:val="000000" w:themeColor="text1"/>
          <w:sz w:val="16"/>
          <w:szCs w:val="16"/>
        </w:rPr>
        <w:t>,</w:t>
      </w:r>
      <w:r w:rsidRPr="00CB4F47">
        <w:rPr>
          <w:rFonts w:ascii="Arial" w:hAnsi="Arial" w:cs="Arial"/>
          <w:color w:val="000000" w:themeColor="text1"/>
          <w:sz w:val="16"/>
          <w:szCs w:val="16"/>
        </w:rPr>
        <w:t xml:space="preserve"> </w:t>
      </w:r>
      <w:r w:rsidR="00C32E74" w:rsidRPr="00CB4F47">
        <w:rPr>
          <w:rFonts w:ascii="Arial" w:hAnsi="Arial" w:cs="Arial"/>
          <w:color w:val="auto"/>
          <w:sz w:val="16"/>
          <w:szCs w:val="16"/>
        </w:rPr>
        <w:t>page</w:t>
      </w:r>
      <w:r w:rsidRPr="00CB4F47">
        <w:rPr>
          <w:rFonts w:ascii="Arial" w:hAnsi="Arial" w:cs="Arial"/>
          <w:color w:val="000000" w:themeColor="text1"/>
          <w:sz w:val="16"/>
          <w:szCs w:val="16"/>
        </w:rPr>
        <w:t xml:space="preserve"> 33</w:t>
      </w:r>
      <w:r w:rsidR="00AF7568">
        <w:rPr>
          <w:rFonts w:ascii="Arial" w:hAnsi="Arial" w:cs="Arial"/>
          <w:color w:val="000000" w:themeColor="text1"/>
          <w:sz w:val="16"/>
          <w:szCs w:val="16"/>
        </w:rPr>
        <w:t>)</w:t>
      </w:r>
      <w:r w:rsidRPr="00CB4F47">
        <w:rPr>
          <w:rFonts w:ascii="Arial" w:hAnsi="Arial" w:cs="Arial"/>
          <w:color w:val="000000" w:themeColor="text1"/>
          <w:sz w:val="16"/>
          <w:szCs w:val="16"/>
        </w:rPr>
        <w:t>7.</w:t>
      </w:r>
    </w:p>
  </w:footnote>
  <w:footnote w:id="340">
    <w:p w14:paraId="07617864" w14:textId="77777777" w:rsidR="00A671DF" w:rsidRPr="00536E67" w:rsidRDefault="00A671DF" w:rsidP="00BE049B">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Royal Commission of Inquiry into Social Security, quoted in Welfare Expert Advisory Group, A brief history of family support payments in New Zealand (Welfare Expert Advisory Group, 2018, page 5).</w:t>
      </w:r>
    </w:p>
  </w:footnote>
  <w:footnote w:id="341">
    <w:p w14:paraId="41544495" w14:textId="77777777" w:rsidR="00A671DF" w:rsidRPr="00536E67" w:rsidRDefault="00A671DF" w:rsidP="00BE049B">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sz w:val="16"/>
          <w:szCs w:val="16"/>
        </w:rPr>
        <w:t>Welfare Expert Advisory Group, A brief history of family support payments in New Zealand (Welfare Expert Advisory Group, 2018, page 5).</w:t>
      </w:r>
    </w:p>
  </w:footnote>
  <w:footnote w:id="342">
    <w:p w14:paraId="58D7E111" w14:textId="7F33B137" w:rsidR="00A671DF" w:rsidRPr="00536E67" w:rsidRDefault="00A671DF" w:rsidP="00BE049B">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754BF1">
        <w:rPr>
          <w:rFonts w:cs="Arial"/>
          <w:sz w:val="16"/>
          <w:szCs w:val="16"/>
        </w:rPr>
        <w:t xml:space="preserve">Calculated from the Reserve Bank of New Zealand inflation adjustment calculator using General CPI as a comparator, Reserve Bank of New Zealand Inflation Calculator </w:t>
      </w:r>
      <w:hyperlink r:id="rId90" w:history="1">
        <w:r w:rsidRPr="00754BF1">
          <w:rPr>
            <w:rStyle w:val="Hyperlink"/>
            <w:rFonts w:cs="Arial"/>
            <w:sz w:val="16"/>
            <w:szCs w:val="16"/>
          </w:rPr>
          <w:t>https://www.rbnz.govt.nz/monetary-policy/about-monetary-policy/inflation-calculator</w:t>
        </w:r>
      </w:hyperlink>
      <w:r w:rsidRPr="00754BF1">
        <w:rPr>
          <w:rStyle w:val="Hyperlink"/>
          <w:rFonts w:cs="Arial"/>
          <w:sz w:val="16"/>
          <w:szCs w:val="16"/>
        </w:rPr>
        <w:t>,</w:t>
      </w:r>
      <w:r w:rsidRPr="00754BF1">
        <w:rPr>
          <w:rFonts w:cs="Arial"/>
          <w:sz w:val="16"/>
          <w:szCs w:val="16"/>
        </w:rPr>
        <w:t xml:space="preserve"> </w:t>
      </w:r>
      <w:r w:rsidR="00EC619D">
        <w:rPr>
          <w:rFonts w:cs="Arial"/>
          <w:sz w:val="16"/>
          <w:szCs w:val="16"/>
        </w:rPr>
        <w:t>(</w:t>
      </w:r>
      <w:r w:rsidRPr="00754BF1">
        <w:rPr>
          <w:rFonts w:cs="Arial"/>
          <w:sz w:val="16"/>
          <w:szCs w:val="16"/>
        </w:rPr>
        <w:t xml:space="preserve">accessed </w:t>
      </w:r>
      <w:r>
        <w:rPr>
          <w:rFonts w:cs="Arial"/>
          <w:sz w:val="16"/>
          <w:szCs w:val="16"/>
        </w:rPr>
        <w:t>March</w:t>
      </w:r>
      <w:r w:rsidRPr="00754BF1">
        <w:rPr>
          <w:rFonts w:cs="Arial"/>
          <w:sz w:val="16"/>
          <w:szCs w:val="16"/>
        </w:rPr>
        <w:t xml:space="preserve"> 2024</w:t>
      </w:r>
      <w:r w:rsidR="00EC619D">
        <w:rPr>
          <w:rFonts w:cs="Arial"/>
          <w:sz w:val="16"/>
          <w:szCs w:val="16"/>
        </w:rPr>
        <w:t>)</w:t>
      </w:r>
      <w:r w:rsidRPr="00754BF1">
        <w:rPr>
          <w:rFonts w:cs="Arial"/>
          <w:sz w:val="16"/>
          <w:szCs w:val="16"/>
        </w:rPr>
        <w:t>.</w:t>
      </w:r>
    </w:p>
  </w:footnote>
  <w:footnote w:id="343">
    <w:p w14:paraId="174BEEFB" w14:textId="4891CFD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Forster, W, Removing disabling experiences: a vision for the future of our people (</w:t>
      </w:r>
      <w:r w:rsidR="00332BF4" w:rsidRPr="00CB4F47">
        <w:rPr>
          <w:rFonts w:cs="Arial"/>
          <w:color w:val="auto"/>
          <w:sz w:val="16"/>
          <w:szCs w:val="16"/>
        </w:rPr>
        <w:t>New Zealand</w:t>
      </w:r>
      <w:r w:rsidR="00332BF4" w:rsidRPr="00CB4F47" w:rsidDel="00332BF4">
        <w:rPr>
          <w:rFonts w:cs="Arial"/>
          <w:color w:val="auto"/>
          <w:sz w:val="16"/>
          <w:szCs w:val="16"/>
        </w:rPr>
        <w:t xml:space="preserve"> </w:t>
      </w:r>
      <w:r w:rsidRPr="00CB4F47">
        <w:rPr>
          <w:rFonts w:cs="Arial"/>
          <w:color w:val="auto"/>
          <w:sz w:val="16"/>
          <w:szCs w:val="16"/>
        </w:rPr>
        <w:t>Law Foundation, 2022</w:t>
      </w:r>
      <w:r w:rsidR="00A671DF" w:rsidRPr="00CB4F47">
        <w:rPr>
          <w:rFonts w:cs="Arial"/>
          <w:color w:val="auto"/>
          <w:sz w:val="16"/>
          <w:szCs w:val="16"/>
        </w:rPr>
        <w:t>,</w:t>
      </w:r>
      <w:r w:rsidRPr="00CB4F47">
        <w:rPr>
          <w:rFonts w:cs="Arial"/>
          <w:color w:val="auto"/>
          <w:sz w:val="16"/>
          <w:szCs w:val="16"/>
        </w:rPr>
        <w:t xml:space="preserve"> foreword and </w:t>
      </w:r>
      <w:r w:rsidR="00C32E74" w:rsidRPr="00CB4F47">
        <w:rPr>
          <w:rFonts w:cs="Arial"/>
          <w:color w:val="auto"/>
          <w:sz w:val="16"/>
          <w:szCs w:val="16"/>
        </w:rPr>
        <w:t>page</w:t>
      </w:r>
      <w:r w:rsidRPr="00CB4F47">
        <w:rPr>
          <w:rFonts w:cs="Arial"/>
          <w:color w:val="auto"/>
          <w:sz w:val="16"/>
          <w:szCs w:val="16"/>
        </w:rPr>
        <w:t xml:space="preserve"> 1</w:t>
      </w:r>
      <w:r w:rsidR="00AF7568">
        <w:rPr>
          <w:rFonts w:cs="Arial"/>
          <w:color w:val="auto"/>
          <w:sz w:val="16"/>
          <w:szCs w:val="16"/>
        </w:rPr>
        <w:t>)</w:t>
      </w:r>
      <w:r w:rsidRPr="00CB4F47">
        <w:rPr>
          <w:rFonts w:cs="Arial"/>
          <w:color w:val="auto"/>
          <w:sz w:val="16"/>
          <w:szCs w:val="16"/>
        </w:rPr>
        <w:t xml:space="preserve">. </w:t>
      </w:r>
    </w:p>
  </w:footnote>
  <w:footnote w:id="344">
    <w:p w14:paraId="571BD7CF" w14:textId="1CDF71D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Duncan, D, “50 years on from the Woodhouse Report </w:t>
      </w:r>
      <w:r w:rsidRPr="00CB4F47">
        <w:rPr>
          <w:rFonts w:eastAsia="Calibri" w:cs="Arial"/>
          <w:sz w:val="16"/>
          <w:szCs w:val="16"/>
          <w:lang w:val="en-US"/>
        </w:rPr>
        <w:t>–</w:t>
      </w:r>
      <w:r w:rsidRPr="00CB4F47">
        <w:rPr>
          <w:rFonts w:cs="Arial"/>
          <w:color w:val="auto"/>
          <w:sz w:val="16"/>
          <w:szCs w:val="16"/>
        </w:rPr>
        <w:t xml:space="preserve"> workers’ health in New Zealand’s ACC scheme”, Policy Quarterly, 15(1) </w:t>
      </w:r>
      <w:r w:rsidRPr="00CB4F47">
        <w:rPr>
          <w:rFonts w:cs="Arial"/>
          <w:color w:val="000000"/>
          <w:sz w:val="16"/>
          <w:szCs w:val="16"/>
          <w:shd w:val="clear" w:color="auto" w:fill="FFFFFF"/>
        </w:rPr>
        <w:t>(2019</w:t>
      </w:r>
      <w:r w:rsidR="00A671DF" w:rsidRPr="00CB4F47">
        <w:rPr>
          <w:rFonts w:cs="Arial"/>
          <w:color w:val="000000"/>
          <w:sz w:val="16"/>
          <w:szCs w:val="16"/>
          <w:shd w:val="clear" w:color="auto" w:fill="FFFFFF"/>
        </w:rPr>
        <w:t>,</w:t>
      </w:r>
      <w:r w:rsidRPr="00CB4F47">
        <w:rPr>
          <w:rFonts w:cs="Arial"/>
          <w:color w:val="000000"/>
          <w:sz w:val="16"/>
          <w:szCs w:val="16"/>
          <w:shd w:val="clear" w:color="auto" w:fill="FFFFFF"/>
        </w:rPr>
        <w:t xml:space="preserve"> </w:t>
      </w:r>
      <w:r w:rsidRPr="00CB4F47">
        <w:rPr>
          <w:rFonts w:cs="Arial"/>
          <w:color w:val="auto"/>
          <w:sz w:val="16"/>
          <w:szCs w:val="16"/>
        </w:rPr>
        <w:t>pages 54</w:t>
      </w:r>
      <w:r w:rsidRPr="00CB4F47">
        <w:rPr>
          <w:rFonts w:eastAsia="Calibri" w:cs="Arial"/>
          <w:sz w:val="16"/>
          <w:szCs w:val="16"/>
          <w:lang w:val="en-US"/>
        </w:rPr>
        <w:t>–</w:t>
      </w:r>
      <w:r w:rsidRPr="00CB4F47">
        <w:rPr>
          <w:rFonts w:cs="Arial"/>
          <w:color w:val="auto"/>
          <w:sz w:val="16"/>
          <w:szCs w:val="16"/>
        </w:rPr>
        <w:t>60</w:t>
      </w:r>
      <w:r w:rsidR="00AF7568">
        <w:rPr>
          <w:rFonts w:cs="Arial"/>
          <w:color w:val="auto"/>
          <w:sz w:val="16"/>
          <w:szCs w:val="16"/>
        </w:rPr>
        <w:t>)</w:t>
      </w:r>
      <w:r w:rsidRPr="00CB4F47">
        <w:rPr>
          <w:rFonts w:cs="Arial"/>
          <w:color w:val="auto"/>
          <w:sz w:val="16"/>
          <w:szCs w:val="16"/>
        </w:rPr>
        <w:t xml:space="preserve">. </w:t>
      </w:r>
    </w:p>
  </w:footnote>
  <w:footnote w:id="345">
    <w:p w14:paraId="6232F979" w14:textId="431E9C1F" w:rsidR="000E429D" w:rsidRPr="00CB4F47" w:rsidRDefault="000E429D" w:rsidP="00C57877">
      <w:pPr>
        <w:pStyle w:val="FootnoteText"/>
        <w:spacing w:before="0" w:after="0" w:line="20" w:lineRule="atLeast"/>
        <w:jc w:val="left"/>
        <w:rPr>
          <w:rFonts w:cs="Arial"/>
          <w:color w:val="auto"/>
          <w:kern w:val="2"/>
          <w:sz w:val="16"/>
          <w:szCs w:val="16"/>
          <w:u w:val="single"/>
          <w14:ligatures w14:val="standardContextual"/>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color w:val="auto"/>
          <w:kern w:val="2"/>
          <w:sz w:val="16"/>
          <w:szCs w:val="16"/>
          <w14:ligatures w14:val="standardContextual"/>
        </w:rPr>
        <w:t xml:space="preserve">Accident Compensation Corporation. Our history, </w:t>
      </w:r>
      <w:r w:rsidRPr="00CB4F47">
        <w:rPr>
          <w:rFonts w:cs="Arial"/>
          <w:color w:val="000000"/>
          <w:sz w:val="16"/>
          <w:szCs w:val="16"/>
        </w:rPr>
        <w:t>(</w:t>
      </w:r>
      <w:r w:rsidRPr="00CB4F47">
        <w:rPr>
          <w:rFonts w:cs="Arial"/>
          <w:color w:val="auto"/>
          <w:sz w:val="16"/>
          <w:szCs w:val="16"/>
        </w:rPr>
        <w:t>ACC, 2018</w:t>
      </w:r>
      <w:r w:rsidR="00A671DF" w:rsidRPr="00CB4F47">
        <w:rPr>
          <w:rFonts w:cs="Arial"/>
          <w:color w:val="auto"/>
          <w:sz w:val="16"/>
          <w:szCs w:val="16"/>
        </w:rPr>
        <w:t>)</w:t>
      </w:r>
      <w:r w:rsidR="00A671DF">
        <w:rPr>
          <w:rFonts w:cs="Arial"/>
          <w:color w:val="auto"/>
          <w:sz w:val="16"/>
          <w:szCs w:val="16"/>
        </w:rPr>
        <w:t>,</w:t>
      </w:r>
      <w:r w:rsidRPr="00CB4F47">
        <w:rPr>
          <w:rFonts w:cs="Arial"/>
          <w:color w:val="auto"/>
          <w:sz w:val="16"/>
          <w:szCs w:val="16"/>
        </w:rPr>
        <w:t xml:space="preserve"> </w:t>
      </w:r>
      <w:hyperlink r:id="rId91" w:anchor="1972--the-accident-compensation-act" w:history="1">
        <w:r w:rsidRPr="00CB4F47">
          <w:rPr>
            <w:rStyle w:val="Hyperlink"/>
            <w:rFonts w:cs="Arial"/>
            <w:kern w:val="2"/>
            <w:sz w:val="16"/>
            <w:szCs w:val="16"/>
            <w14:ligatures w14:val="standardContextual"/>
          </w:rPr>
          <w:t>https://www.acc.co.nz/about-us/who-we-are/our-history/#1972--the-accident-compensation-act</w:t>
        </w:r>
      </w:hyperlink>
      <w:r w:rsidRPr="00CB4F47">
        <w:rPr>
          <w:rFonts w:cs="Arial"/>
          <w:color w:val="auto"/>
          <w:kern w:val="2"/>
          <w:sz w:val="16"/>
          <w:szCs w:val="16"/>
          <w14:ligatures w14:val="standardContextual"/>
        </w:rPr>
        <w:t>.</w:t>
      </w:r>
      <w:r w:rsidRPr="00CB4F47">
        <w:rPr>
          <w:rFonts w:cs="Arial"/>
          <w:color w:val="auto"/>
          <w:sz w:val="16"/>
          <w:szCs w:val="16"/>
        </w:rPr>
        <w:t xml:space="preserve"> </w:t>
      </w:r>
    </w:p>
  </w:footnote>
  <w:footnote w:id="346">
    <w:p w14:paraId="5899943C" w14:textId="700E69D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Disabled Persons Community Welfare Act 1975, No 122, </w:t>
      </w:r>
      <w:r w:rsidR="00C51873">
        <w:rPr>
          <w:rFonts w:cs="Arial"/>
          <w:color w:val="auto"/>
          <w:sz w:val="16"/>
          <w:szCs w:val="16"/>
        </w:rPr>
        <w:t>section 4</w:t>
      </w:r>
      <w:r w:rsidRPr="00CB4F47">
        <w:rPr>
          <w:rFonts w:cs="Arial"/>
          <w:color w:val="auto"/>
          <w:sz w:val="16"/>
          <w:szCs w:val="16"/>
        </w:rPr>
        <w:t>.</w:t>
      </w:r>
    </w:p>
  </w:footnote>
  <w:footnote w:id="347">
    <w:p w14:paraId="16D8B69D" w14:textId="57482FC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Disabled Persons Community Welfare Act 1975, No 122, Part 4, General provisions.</w:t>
      </w:r>
    </w:p>
  </w:footnote>
  <w:footnote w:id="348">
    <w:p w14:paraId="2B89575B" w14:textId="77777777" w:rsidR="00A671DF" w:rsidRPr="00536E67" w:rsidRDefault="00A671DF" w:rsidP="00BA1007">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sz w:val="16"/>
          <w:szCs w:val="16"/>
        </w:rPr>
        <w:t>Welfare Expert Advisory Group, A brief history of family support payments in New Zealand (Welfare Expert Advisory Group, 2018, page 5).</w:t>
      </w:r>
    </w:p>
  </w:footnote>
  <w:footnote w:id="349">
    <w:p w14:paraId="30B59F5A" w14:textId="097C3042" w:rsidR="009A44EE" w:rsidRPr="00FC5F93" w:rsidRDefault="009A44EE" w:rsidP="009A44EE">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w:t>
      </w:r>
      <w:r>
        <w:rPr>
          <w:rFonts w:cs="Arial"/>
          <w:color w:val="auto"/>
          <w:sz w:val="16"/>
          <w:szCs w:val="16"/>
        </w:rPr>
        <w:t xml:space="preserve">Georgeson, S, </w:t>
      </w:r>
      <w:r w:rsidR="009A378C">
        <w:rPr>
          <w:rFonts w:cs="Arial"/>
          <w:color w:val="auto"/>
          <w:sz w:val="16"/>
          <w:szCs w:val="16"/>
        </w:rPr>
        <w:t xml:space="preserve">The Disabled Person’s Assembly 1983–1999: Successes, Challenges and Lessons for the Disability Movement in New Zealand, Master’s Thesis, Massey University (2000, </w:t>
      </w:r>
      <w:r>
        <w:rPr>
          <w:rFonts w:cs="Arial"/>
          <w:color w:val="auto"/>
          <w:sz w:val="16"/>
          <w:szCs w:val="16"/>
        </w:rPr>
        <w:t>page 53</w:t>
      </w:r>
      <w:r w:rsidR="009A378C">
        <w:rPr>
          <w:rFonts w:cs="Arial"/>
          <w:color w:val="auto"/>
          <w:sz w:val="16"/>
          <w:szCs w:val="16"/>
        </w:rPr>
        <w:t>)</w:t>
      </w:r>
      <w:r w:rsidRPr="00FC5F93">
        <w:rPr>
          <w:rFonts w:cs="Arial"/>
          <w:color w:val="auto"/>
          <w:sz w:val="16"/>
          <w:szCs w:val="16"/>
        </w:rPr>
        <w:t>.</w:t>
      </w:r>
    </w:p>
  </w:footnote>
  <w:footnote w:id="350">
    <w:p w14:paraId="7711BF32" w14:textId="6502BB59" w:rsidR="005426E8" w:rsidRPr="00DD5764" w:rsidRDefault="005426E8">
      <w:pPr>
        <w:pStyle w:val="FootnoteText"/>
        <w:rPr>
          <w:sz w:val="16"/>
          <w:szCs w:val="16"/>
        </w:rPr>
      </w:pPr>
      <w:r w:rsidRPr="00536E67">
        <w:rPr>
          <w:rStyle w:val="StyleFootnoteReferenceFagoFunotenzeichenFagoFunotenzeichen"/>
          <w:sz w:val="16"/>
          <w:szCs w:val="16"/>
        </w:rPr>
        <w:footnoteRef/>
      </w:r>
      <w:r w:rsidRPr="00DD5764" w:rsidDel="00D22D7D">
        <w:rPr>
          <w:sz w:val="16"/>
          <w:szCs w:val="16"/>
        </w:rPr>
        <w:t xml:space="preserve"> </w:t>
      </w:r>
      <w:r w:rsidRPr="00DD5764">
        <w:rPr>
          <w:sz w:val="16"/>
          <w:szCs w:val="16"/>
        </w:rPr>
        <w:t xml:space="preserve">The Treasury, Economic management: Part Two </w:t>
      </w:r>
      <w:r w:rsidR="00A671DF">
        <w:rPr>
          <w:sz w:val="16"/>
          <w:szCs w:val="16"/>
        </w:rPr>
        <w:t>–</w:t>
      </w:r>
      <w:r w:rsidRPr="00DD5764">
        <w:rPr>
          <w:sz w:val="16"/>
          <w:szCs w:val="16"/>
        </w:rPr>
        <w:t xml:space="preserve"> Policy and organisational issues</w:t>
      </w:r>
      <w:r w:rsidR="00A671DF" w:rsidRPr="00DD5764">
        <w:rPr>
          <w:sz w:val="16"/>
          <w:szCs w:val="16"/>
        </w:rPr>
        <w:t xml:space="preserve"> (</w:t>
      </w:r>
      <w:r w:rsidRPr="00DD5764">
        <w:rPr>
          <w:sz w:val="16"/>
          <w:szCs w:val="16"/>
        </w:rPr>
        <w:t>14 July 1984</w:t>
      </w:r>
      <w:r w:rsidR="00A671DF" w:rsidRPr="00DD5764">
        <w:rPr>
          <w:sz w:val="16"/>
          <w:szCs w:val="16"/>
        </w:rPr>
        <w:t>,</w:t>
      </w:r>
      <w:r w:rsidRPr="00DD5764">
        <w:rPr>
          <w:sz w:val="16"/>
          <w:szCs w:val="16"/>
        </w:rPr>
        <w:t xml:space="preserve"> pages 103–104</w:t>
      </w:r>
      <w:r w:rsidR="00AF7568">
        <w:rPr>
          <w:sz w:val="16"/>
          <w:szCs w:val="16"/>
        </w:rPr>
        <w:t>)</w:t>
      </w:r>
      <w:r w:rsidRPr="00DD5764">
        <w:rPr>
          <w:sz w:val="16"/>
          <w:szCs w:val="16"/>
        </w:rPr>
        <w:t>.</w:t>
      </w:r>
    </w:p>
  </w:footnote>
  <w:footnote w:id="351">
    <w:p w14:paraId="29FD6F4A" w14:textId="430995A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Shirley, I, Koopman-Boyden, P, Pool, I &amp; St John, S, </w:t>
      </w:r>
      <w:r w:rsidR="003B735B">
        <w:rPr>
          <w:rFonts w:cs="Arial"/>
          <w:color w:val="auto"/>
          <w:sz w:val="16"/>
          <w:szCs w:val="16"/>
        </w:rPr>
        <w:t>“</w:t>
      </w:r>
      <w:r w:rsidRPr="00CB4F47">
        <w:rPr>
          <w:rFonts w:cs="Arial"/>
          <w:color w:val="auto"/>
          <w:sz w:val="16"/>
          <w:szCs w:val="16"/>
        </w:rPr>
        <w:t>Family change and family policies: New Zealand,</w:t>
      </w:r>
      <w:r w:rsidR="003B735B">
        <w:rPr>
          <w:rFonts w:cs="Arial"/>
          <w:color w:val="auto"/>
          <w:sz w:val="16"/>
          <w:szCs w:val="16"/>
        </w:rPr>
        <w:t>”</w:t>
      </w:r>
      <w:r w:rsidRPr="00CB4F47">
        <w:rPr>
          <w:rFonts w:cs="Arial"/>
          <w:color w:val="auto"/>
          <w:sz w:val="16"/>
          <w:szCs w:val="16"/>
        </w:rPr>
        <w:t xml:space="preserve"> in Kamerman, SB &amp; Kahn, </w:t>
      </w:r>
      <w:r w:rsidR="00A671DF" w:rsidRPr="00CB4F47">
        <w:rPr>
          <w:rFonts w:cs="Arial"/>
          <w:color w:val="auto"/>
          <w:sz w:val="16"/>
          <w:szCs w:val="16"/>
        </w:rPr>
        <w:t>AJ</w:t>
      </w:r>
      <w:r w:rsidRPr="00CB4F47">
        <w:rPr>
          <w:rFonts w:cs="Arial"/>
          <w:color w:val="auto"/>
          <w:sz w:val="16"/>
          <w:szCs w:val="16"/>
        </w:rPr>
        <w:t xml:space="preserve"> (eds), Family change and family policies in Great Britain, Canada, New Zealand and the United States (Clarendon Press, Oxford 2007</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294</w:t>
      </w:r>
      <w:r w:rsidR="00165265">
        <w:rPr>
          <w:rFonts w:cs="Arial"/>
          <w:color w:val="auto"/>
          <w:sz w:val="16"/>
          <w:szCs w:val="16"/>
        </w:rPr>
        <w:t>)</w:t>
      </w:r>
      <w:r w:rsidRPr="00CB4F47">
        <w:rPr>
          <w:rFonts w:cs="Arial"/>
          <w:color w:val="auto"/>
          <w:sz w:val="16"/>
          <w:szCs w:val="16"/>
        </w:rPr>
        <w:t xml:space="preserve">. </w:t>
      </w:r>
    </w:p>
  </w:footnote>
  <w:footnote w:id="352">
    <w:p w14:paraId="7AA3364F" w14:textId="08581D6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Poata-Smith, </w:t>
      </w:r>
      <w:r w:rsidR="00A671DF" w:rsidRPr="00CB4F47">
        <w:rPr>
          <w:rFonts w:cs="Arial"/>
          <w:color w:val="auto"/>
          <w:sz w:val="16"/>
          <w:szCs w:val="16"/>
        </w:rPr>
        <w:t>ETA</w:t>
      </w:r>
      <w:r w:rsidRPr="00CB4F47">
        <w:rPr>
          <w:rFonts w:cs="Arial"/>
          <w:color w:val="auto"/>
          <w:sz w:val="16"/>
          <w:szCs w:val="16"/>
        </w:rPr>
        <w:t>, “Inequality and Māori</w:t>
      </w:r>
      <w:r w:rsidR="00EC619D">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Rashbrooke, M (ed</w:t>
      </w:r>
      <w:r w:rsidR="00A671DF" w:rsidRPr="00CB4F47">
        <w:rPr>
          <w:rFonts w:cs="Arial"/>
          <w:color w:val="auto"/>
          <w:sz w:val="16"/>
          <w:szCs w:val="16"/>
        </w:rPr>
        <w:t>)</w:t>
      </w:r>
      <w:r w:rsidR="00A671DF">
        <w:rPr>
          <w:rFonts w:cs="Arial"/>
          <w:color w:val="auto"/>
          <w:sz w:val="16"/>
          <w:szCs w:val="16"/>
        </w:rPr>
        <w:t>,</w:t>
      </w:r>
      <w:r w:rsidRPr="00CB4F47">
        <w:rPr>
          <w:rFonts w:cs="Arial"/>
          <w:color w:val="auto"/>
          <w:sz w:val="16"/>
          <w:szCs w:val="16"/>
        </w:rPr>
        <w:t xml:space="preserve"> Inequality: A New Zealand crisis (Bridget Williams Books Limited, 2013</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 xml:space="preserve">pages </w:t>
      </w:r>
      <w:r w:rsidRPr="00CB4F47">
        <w:rPr>
          <w:rFonts w:cs="Arial"/>
          <w:color w:val="auto"/>
          <w:sz w:val="16"/>
          <w:szCs w:val="16"/>
        </w:rPr>
        <w:t>148</w:t>
      </w:r>
      <w:r w:rsidRPr="00CB4F47">
        <w:rPr>
          <w:rFonts w:eastAsia="Calibri" w:cs="Arial"/>
          <w:sz w:val="16"/>
          <w:szCs w:val="16"/>
          <w:lang w:val="en-US"/>
        </w:rPr>
        <w:t>–</w:t>
      </w:r>
      <w:r w:rsidRPr="00CB4F47">
        <w:rPr>
          <w:rFonts w:cs="Arial"/>
          <w:color w:val="auto"/>
          <w:sz w:val="16"/>
          <w:szCs w:val="16"/>
        </w:rPr>
        <w:t>158</w:t>
      </w:r>
      <w:r w:rsidR="00165265">
        <w:rPr>
          <w:rFonts w:cs="Arial"/>
          <w:color w:val="auto"/>
          <w:sz w:val="16"/>
          <w:szCs w:val="16"/>
        </w:rPr>
        <w:t>)</w:t>
      </w:r>
      <w:r w:rsidRPr="00CB4F47">
        <w:rPr>
          <w:rFonts w:cs="Arial"/>
          <w:color w:val="auto"/>
          <w:sz w:val="16"/>
          <w:szCs w:val="16"/>
        </w:rPr>
        <w:t>.</w:t>
      </w:r>
    </w:p>
  </w:footnote>
  <w:footnote w:id="353">
    <w:p w14:paraId="3541BC26" w14:textId="50F0E44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Pōmare, E, Keefe-Ormsby, V, Ormsby, C, Pearce, N, Reid, P, Robson, B &amp; Watene-Haydon, N, Hauora: Māori standards of health 3: A study of the years 1970</w:t>
      </w:r>
      <w:r w:rsidR="007F6069">
        <w:rPr>
          <w:rFonts w:cs="Arial"/>
          <w:color w:val="auto"/>
          <w:sz w:val="16"/>
          <w:szCs w:val="16"/>
        </w:rPr>
        <w:t>–</w:t>
      </w:r>
      <w:r w:rsidRPr="00CB4F47">
        <w:rPr>
          <w:rFonts w:cs="Arial"/>
          <w:color w:val="auto"/>
          <w:sz w:val="16"/>
          <w:szCs w:val="16"/>
        </w:rPr>
        <w:t>1991 (Te Rōpū Rangahau Maori Research Centre, 1995</w:t>
      </w:r>
      <w:r w:rsidR="00A671DF">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149</w:t>
      </w:r>
      <w:r w:rsidR="004A5063">
        <w:rPr>
          <w:rFonts w:cs="Arial"/>
          <w:color w:val="auto"/>
          <w:sz w:val="16"/>
          <w:szCs w:val="16"/>
        </w:rPr>
        <w:t>)</w:t>
      </w:r>
      <w:r w:rsidR="00E96382" w:rsidRPr="00CB4F47">
        <w:rPr>
          <w:rFonts w:cs="Arial"/>
          <w:color w:val="auto"/>
          <w:sz w:val="16"/>
          <w:szCs w:val="16"/>
        </w:rPr>
        <w:t xml:space="preserve">; </w:t>
      </w:r>
      <w:r w:rsidR="00A9438A" w:rsidRPr="00CB4F47">
        <w:rPr>
          <w:rFonts w:cs="Arial"/>
          <w:color w:val="auto"/>
          <w:sz w:val="16"/>
          <w:szCs w:val="16"/>
        </w:rPr>
        <w:t>Williams, J, “Build a bridge and get over it – the role of colonial dispossession in contemporary indigenous offending and what we should do about it</w:t>
      </w:r>
      <w:r w:rsidR="00EC619D">
        <w:rPr>
          <w:rFonts w:cs="Arial"/>
          <w:color w:val="auto"/>
          <w:sz w:val="16"/>
          <w:szCs w:val="16"/>
        </w:rPr>
        <w:t>,</w:t>
      </w:r>
      <w:r w:rsidR="00A671DF" w:rsidRPr="00CB4F47">
        <w:rPr>
          <w:rFonts w:cs="Arial"/>
          <w:color w:val="auto"/>
          <w:sz w:val="16"/>
          <w:szCs w:val="16"/>
        </w:rPr>
        <w:t>”</w:t>
      </w:r>
      <w:r w:rsidR="00A9438A" w:rsidRPr="00CB4F47" w:rsidDel="005E2BD4">
        <w:rPr>
          <w:rFonts w:cs="Arial"/>
          <w:color w:val="auto"/>
          <w:sz w:val="16"/>
          <w:szCs w:val="16"/>
        </w:rPr>
        <w:t xml:space="preserve"> </w:t>
      </w:r>
      <w:r w:rsidR="005E2BD4">
        <w:rPr>
          <w:rFonts w:cs="Arial"/>
          <w:color w:val="auto"/>
          <w:sz w:val="16"/>
          <w:szCs w:val="16"/>
        </w:rPr>
        <w:t>s</w:t>
      </w:r>
      <w:r w:rsidR="005E2BD4" w:rsidRPr="00CB4F47">
        <w:rPr>
          <w:rFonts w:cs="Arial"/>
          <w:color w:val="auto"/>
          <w:sz w:val="16"/>
          <w:szCs w:val="16"/>
        </w:rPr>
        <w:t xml:space="preserve">peech </w:t>
      </w:r>
      <w:r w:rsidR="00A9438A" w:rsidRPr="00CB4F47">
        <w:rPr>
          <w:rFonts w:cs="Arial"/>
          <w:color w:val="auto"/>
          <w:sz w:val="16"/>
          <w:szCs w:val="16"/>
        </w:rPr>
        <w:t>for the Robin Cooke Memorial Lecture 2019, reproduced in the New Zealand Journal of Public and International Law 18 (2020</w:t>
      </w:r>
      <w:r w:rsidR="00A671DF" w:rsidRPr="00CB4F47">
        <w:rPr>
          <w:rFonts w:cs="Arial"/>
          <w:color w:val="auto"/>
          <w:sz w:val="16"/>
          <w:szCs w:val="16"/>
        </w:rPr>
        <w:t>,</w:t>
      </w:r>
      <w:r w:rsidR="00A9438A" w:rsidRPr="00CB4F47">
        <w:rPr>
          <w:rFonts w:cs="Arial"/>
          <w:color w:val="auto"/>
          <w:sz w:val="16"/>
          <w:szCs w:val="16"/>
        </w:rPr>
        <w:t xml:space="preserve"> page 14</w:t>
      </w:r>
      <w:r w:rsidR="004A5063">
        <w:rPr>
          <w:rFonts w:cs="Arial"/>
          <w:color w:val="auto"/>
          <w:sz w:val="16"/>
          <w:szCs w:val="16"/>
        </w:rPr>
        <w:t>)</w:t>
      </w:r>
      <w:r w:rsidR="00A9438A" w:rsidRPr="00CB4F47">
        <w:rPr>
          <w:rFonts w:cs="Arial"/>
          <w:color w:val="auto"/>
          <w:sz w:val="16"/>
          <w:szCs w:val="16"/>
        </w:rPr>
        <w:t>.</w:t>
      </w:r>
    </w:p>
  </w:footnote>
  <w:footnote w:id="354">
    <w:p w14:paraId="35DBBE18" w14:textId="6453151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Arial" w:cs="Arial"/>
          <w:color w:val="auto"/>
          <w:sz w:val="16"/>
          <w:szCs w:val="16"/>
        </w:rPr>
        <w:t xml:space="preserve">Smith, </w:t>
      </w:r>
      <w:r w:rsidR="00A671DF" w:rsidRPr="00CB4F47">
        <w:rPr>
          <w:rFonts w:eastAsia="Arial" w:cs="Arial"/>
          <w:color w:val="auto"/>
          <w:sz w:val="16"/>
          <w:szCs w:val="16"/>
        </w:rPr>
        <w:t>LT</w:t>
      </w:r>
      <w:r w:rsidRPr="00CB4F47">
        <w:rPr>
          <w:rFonts w:eastAsia="Arial" w:cs="Arial"/>
          <w:color w:val="auto"/>
          <w:sz w:val="16"/>
          <w:szCs w:val="16"/>
        </w:rPr>
        <w:t>, The native and the neoliberal down under: Neoliberalism and “endangered authenticities” in Indigenous experience today (Routledge, 2020</w:t>
      </w:r>
      <w:r w:rsidR="00A671DF" w:rsidRPr="00CB4F47">
        <w:rPr>
          <w:rFonts w:eastAsia="Arial" w:cs="Arial"/>
          <w:color w:val="auto"/>
          <w:sz w:val="16"/>
          <w:szCs w:val="16"/>
        </w:rPr>
        <w:t>,</w:t>
      </w:r>
      <w:r w:rsidRPr="00CB4F47">
        <w:rPr>
          <w:rFonts w:eastAsia="Arial" w:cs="Arial"/>
          <w:color w:val="auto"/>
          <w:sz w:val="16"/>
          <w:szCs w:val="16"/>
        </w:rPr>
        <w:t xml:space="preserve"> </w:t>
      </w:r>
      <w:r w:rsidRPr="00CB4F47">
        <w:rPr>
          <w:rFonts w:cs="Arial"/>
          <w:color w:val="auto"/>
          <w:sz w:val="16"/>
          <w:szCs w:val="16"/>
        </w:rPr>
        <w:t>pages</w:t>
      </w:r>
      <w:r w:rsidRPr="00CB4F47">
        <w:rPr>
          <w:rFonts w:eastAsia="Arial" w:cs="Arial"/>
          <w:color w:val="auto"/>
          <w:sz w:val="16"/>
          <w:szCs w:val="16"/>
        </w:rPr>
        <w:t xml:space="preserve"> 333</w:t>
      </w:r>
      <w:r w:rsidRPr="00CB4F47">
        <w:rPr>
          <w:rFonts w:eastAsia="Calibri" w:cs="Arial"/>
          <w:sz w:val="16"/>
          <w:szCs w:val="16"/>
          <w:lang w:val="en-US"/>
        </w:rPr>
        <w:t>–</w:t>
      </w:r>
      <w:r w:rsidRPr="00CB4F47">
        <w:rPr>
          <w:rFonts w:eastAsia="Arial" w:cs="Arial"/>
          <w:color w:val="auto"/>
          <w:sz w:val="16"/>
          <w:szCs w:val="16"/>
        </w:rPr>
        <w:t>352</w:t>
      </w:r>
      <w:r w:rsidR="004A5063">
        <w:rPr>
          <w:rFonts w:eastAsia="Arial" w:cs="Arial"/>
          <w:color w:val="auto"/>
          <w:sz w:val="16"/>
          <w:szCs w:val="16"/>
        </w:rPr>
        <w:t>)</w:t>
      </w:r>
      <w:r w:rsidR="006012EE">
        <w:rPr>
          <w:rFonts w:eastAsia="Arial" w:cs="Arial"/>
          <w:color w:val="auto"/>
          <w:sz w:val="16"/>
          <w:szCs w:val="16"/>
        </w:rPr>
        <w:t>.</w:t>
      </w:r>
    </w:p>
  </w:footnote>
  <w:footnote w:id="355">
    <w:p w14:paraId="14E3FD86" w14:textId="6C936CA9" w:rsidR="00F70146" w:rsidRPr="00CB4F47" w:rsidRDefault="00F70146">
      <w:pPr>
        <w:pStyle w:val="FootnoteText"/>
        <w:rPr>
          <w:sz w:val="16"/>
          <w:szCs w:val="16"/>
        </w:rPr>
      </w:pPr>
      <w:r w:rsidRPr="00536E67">
        <w:rPr>
          <w:rStyle w:val="StyleFootnoteReferenceFagoFunotenzeichenFagoFunotenzeichen"/>
          <w:sz w:val="16"/>
          <w:szCs w:val="16"/>
        </w:rPr>
        <w:footnoteRef/>
      </w:r>
      <w:r w:rsidRPr="00CB4F47">
        <w:rPr>
          <w:sz w:val="16"/>
          <w:szCs w:val="16"/>
        </w:rPr>
        <w:t xml:space="preserve"> </w:t>
      </w:r>
      <w:r w:rsidRPr="00CB4F47">
        <w:rPr>
          <w:rFonts w:cs="Arial"/>
          <w:color w:val="262626"/>
          <w:sz w:val="16"/>
          <w:szCs w:val="16"/>
        </w:rPr>
        <w:t>Hyslop, I &amp; Keddell, E, Changes needed to the current system of child protection and care in Aotearoa</w:t>
      </w:r>
      <w:r w:rsidR="000F4487">
        <w:rPr>
          <w:rFonts w:cs="Arial"/>
          <w:color w:val="262626"/>
          <w:sz w:val="16"/>
          <w:szCs w:val="16"/>
        </w:rPr>
        <w:t xml:space="preserve">, </w:t>
      </w:r>
      <w:r w:rsidR="000F4487" w:rsidRPr="00CB4F47">
        <w:rPr>
          <w:rFonts w:cs="Arial"/>
          <w:color w:val="262626"/>
          <w:sz w:val="16"/>
          <w:szCs w:val="16"/>
        </w:rPr>
        <w:t>Expert opinion</w:t>
      </w:r>
      <w:r w:rsidR="000F4487">
        <w:rPr>
          <w:rFonts w:cs="Arial"/>
          <w:color w:val="262626"/>
          <w:sz w:val="16"/>
          <w:szCs w:val="16"/>
        </w:rPr>
        <w:t xml:space="preserve"> pre</w:t>
      </w:r>
      <w:r w:rsidR="00915B53">
        <w:rPr>
          <w:rFonts w:cs="Arial"/>
          <w:color w:val="262626"/>
          <w:sz w:val="16"/>
          <w:szCs w:val="16"/>
        </w:rPr>
        <w:t>p</w:t>
      </w:r>
      <w:r w:rsidR="000F4487">
        <w:rPr>
          <w:rFonts w:cs="Arial"/>
          <w:color w:val="262626"/>
          <w:sz w:val="16"/>
          <w:szCs w:val="16"/>
        </w:rPr>
        <w:t>ared for the</w:t>
      </w:r>
      <w:r w:rsidR="00A671DF" w:rsidRPr="00CB4F47">
        <w:rPr>
          <w:rFonts w:cs="Arial"/>
          <w:color w:val="262626"/>
          <w:sz w:val="16"/>
          <w:szCs w:val="16"/>
        </w:rPr>
        <w:t xml:space="preserve"> </w:t>
      </w:r>
      <w:r w:rsidRPr="00CB4F47">
        <w:rPr>
          <w:rFonts w:cs="Arial"/>
          <w:color w:val="262626"/>
          <w:sz w:val="16"/>
          <w:szCs w:val="16"/>
        </w:rPr>
        <w:t>Royal Commission of Inquiry into Abuse in Care</w:t>
      </w:r>
      <w:r w:rsidR="000F4487">
        <w:rPr>
          <w:rFonts w:cs="Arial"/>
          <w:color w:val="262626"/>
          <w:sz w:val="16"/>
          <w:szCs w:val="16"/>
        </w:rPr>
        <w:t xml:space="preserve"> </w:t>
      </w:r>
      <w:r w:rsidR="00A671DF">
        <w:rPr>
          <w:rFonts w:cs="Arial"/>
          <w:color w:val="262626"/>
          <w:sz w:val="16"/>
          <w:szCs w:val="16"/>
        </w:rPr>
        <w:t>(</w:t>
      </w:r>
      <w:r w:rsidRPr="00CB4F47">
        <w:rPr>
          <w:rFonts w:cs="Arial"/>
          <w:color w:val="262626"/>
          <w:sz w:val="16"/>
          <w:szCs w:val="16"/>
        </w:rPr>
        <w:t>7 June 2022</w:t>
      </w:r>
      <w:r w:rsidR="00A671DF" w:rsidRPr="00CB4F47">
        <w:rPr>
          <w:rFonts w:cs="Arial"/>
          <w:color w:val="262626"/>
          <w:sz w:val="16"/>
          <w:szCs w:val="16"/>
        </w:rPr>
        <w:t>,</w:t>
      </w:r>
      <w:r w:rsidRPr="00CB4F47">
        <w:rPr>
          <w:rFonts w:cs="Arial"/>
          <w:color w:val="262626"/>
          <w:sz w:val="16"/>
          <w:szCs w:val="16"/>
        </w:rPr>
        <w:t xml:space="preserve"> </w:t>
      </w:r>
      <w:r w:rsidRPr="00CB4F47">
        <w:rPr>
          <w:rFonts w:cs="Arial"/>
          <w:color w:val="auto"/>
          <w:sz w:val="16"/>
          <w:szCs w:val="16"/>
        </w:rPr>
        <w:t>page</w:t>
      </w:r>
      <w:r w:rsidRPr="00CB4F47">
        <w:rPr>
          <w:rFonts w:cs="Arial"/>
          <w:color w:val="262626"/>
          <w:sz w:val="16"/>
          <w:szCs w:val="16"/>
        </w:rPr>
        <w:t xml:space="preserve"> 8</w:t>
      </w:r>
      <w:r w:rsidR="004A5063">
        <w:rPr>
          <w:rFonts w:cs="Arial"/>
          <w:color w:val="262626"/>
          <w:sz w:val="16"/>
          <w:szCs w:val="16"/>
        </w:rPr>
        <w:t>)</w:t>
      </w:r>
      <w:r w:rsidRPr="00CB4F47">
        <w:rPr>
          <w:rFonts w:cs="Arial"/>
          <w:color w:val="262626"/>
          <w:sz w:val="16"/>
          <w:szCs w:val="16"/>
        </w:rPr>
        <w:t>.</w:t>
      </w:r>
    </w:p>
  </w:footnote>
  <w:footnote w:id="356">
    <w:p w14:paraId="426C7285" w14:textId="1C82B456" w:rsidR="000E429D" w:rsidRPr="00CB4F47" w:rsidRDefault="000E429D" w:rsidP="00C57877">
      <w:pPr>
        <w:pStyle w:val="FootnoteText"/>
        <w:spacing w:line="20" w:lineRule="atLeast"/>
        <w:jc w:val="left"/>
        <w:rPr>
          <w:rFonts w:cs="Arial"/>
          <w:color w:val="262626"/>
          <w:sz w:val="16"/>
          <w:szCs w:val="16"/>
        </w:rPr>
      </w:pPr>
      <w:r w:rsidRPr="00536E67">
        <w:rPr>
          <w:rStyle w:val="StyleFootnoteReferenceFagoFunotenzeichenFagoFunotenzeichen"/>
          <w:sz w:val="16"/>
          <w:szCs w:val="16"/>
        </w:rPr>
        <w:footnoteRef/>
      </w:r>
      <w:r w:rsidRPr="00CB4F47">
        <w:rPr>
          <w:rFonts w:cs="Arial"/>
          <w:color w:val="262626"/>
          <w:sz w:val="16"/>
          <w:szCs w:val="16"/>
        </w:rPr>
        <w:t xml:space="preserve"> Belgrave, M, </w:t>
      </w:r>
      <w:r w:rsidRPr="00CB4F47">
        <w:rPr>
          <w:rFonts w:eastAsia="Calibri" w:cs="Arial"/>
          <w:color w:val="auto"/>
          <w:sz w:val="16"/>
          <w:szCs w:val="16"/>
        </w:rPr>
        <w:t>in Dalley, B &amp; Tennant, M (</w:t>
      </w:r>
      <w:r w:rsidR="00A671DF">
        <w:rPr>
          <w:rFonts w:eastAsia="Calibri" w:cs="Arial"/>
          <w:color w:val="auto"/>
          <w:sz w:val="16"/>
          <w:szCs w:val="16"/>
        </w:rPr>
        <w:t>e</w:t>
      </w:r>
      <w:r w:rsidR="00A671DF" w:rsidRPr="00CB4F47">
        <w:rPr>
          <w:rFonts w:eastAsia="Calibri" w:cs="Arial"/>
          <w:color w:val="auto"/>
          <w:sz w:val="16"/>
          <w:szCs w:val="16"/>
        </w:rPr>
        <w:t>ds),</w:t>
      </w:r>
      <w:r w:rsidRPr="00CB4F47">
        <w:rPr>
          <w:rFonts w:eastAsia="Calibri" w:cs="Arial"/>
          <w:color w:val="auto"/>
          <w:sz w:val="16"/>
          <w:szCs w:val="16"/>
        </w:rPr>
        <w:t xml:space="preserve"> Past judgement: Social policy in New Zealand history (Otago University Press, 2004</w:t>
      </w:r>
      <w:r w:rsidR="00A671DF" w:rsidRPr="00CB4F47">
        <w:rPr>
          <w:rFonts w:eastAsia="Calibri" w:cs="Arial"/>
          <w:color w:val="auto"/>
          <w:sz w:val="16"/>
          <w:szCs w:val="16"/>
        </w:rPr>
        <w:t>,</w:t>
      </w:r>
      <w:r w:rsidRPr="00CB4F47">
        <w:rPr>
          <w:rFonts w:eastAsia="Calibri" w:cs="Arial"/>
          <w:color w:val="auto"/>
          <w:sz w:val="16"/>
          <w:szCs w:val="16"/>
        </w:rPr>
        <w:t xml:space="preserve"> </w:t>
      </w:r>
      <w:r w:rsidR="00C32E74" w:rsidRPr="00CB4F47">
        <w:rPr>
          <w:rFonts w:cs="Arial"/>
          <w:color w:val="auto"/>
          <w:sz w:val="16"/>
          <w:szCs w:val="16"/>
        </w:rPr>
        <w:t>page</w:t>
      </w:r>
      <w:r w:rsidRPr="00CB4F47">
        <w:rPr>
          <w:rFonts w:cs="Arial"/>
          <w:color w:val="262626"/>
          <w:sz w:val="16"/>
          <w:szCs w:val="16"/>
        </w:rPr>
        <w:t xml:space="preserve"> 37</w:t>
      </w:r>
      <w:r w:rsidR="004A5063">
        <w:rPr>
          <w:rFonts w:cs="Arial"/>
          <w:color w:val="262626"/>
          <w:sz w:val="16"/>
          <w:szCs w:val="16"/>
        </w:rPr>
        <w:t>)</w:t>
      </w:r>
      <w:r w:rsidRPr="00CB4F47">
        <w:rPr>
          <w:rFonts w:cs="Arial"/>
          <w:color w:val="262626"/>
          <w:sz w:val="16"/>
          <w:szCs w:val="16"/>
        </w:rPr>
        <w:t xml:space="preserve">. </w:t>
      </w:r>
    </w:p>
  </w:footnote>
  <w:footnote w:id="357">
    <w:p w14:paraId="55723EAB" w14:textId="7A7965B3" w:rsidR="000E429D" w:rsidRPr="00CB4F47" w:rsidRDefault="000E429D" w:rsidP="00C57877">
      <w:pPr>
        <w:pStyle w:val="FootnoteText"/>
        <w:spacing w:line="20" w:lineRule="atLeast"/>
        <w:jc w:val="left"/>
        <w:rPr>
          <w:rFonts w:cs="Arial"/>
          <w:color w:val="262626"/>
          <w:sz w:val="16"/>
          <w:szCs w:val="16"/>
        </w:rPr>
      </w:pPr>
      <w:r w:rsidRPr="00536E67">
        <w:rPr>
          <w:rStyle w:val="StyleFootnoteReferenceFagoFunotenzeichenFagoFunotenzeichen"/>
          <w:sz w:val="16"/>
          <w:szCs w:val="16"/>
        </w:rPr>
        <w:footnoteRef/>
      </w:r>
      <w:r w:rsidRPr="00CB4F47">
        <w:rPr>
          <w:rFonts w:cs="Arial"/>
          <w:color w:val="262626"/>
          <w:sz w:val="16"/>
          <w:szCs w:val="16"/>
        </w:rPr>
        <w:t xml:space="preserve"> Rashbrook, M</w:t>
      </w:r>
      <w:r w:rsidRPr="00CB4F47" w:rsidDel="00707B59">
        <w:rPr>
          <w:rFonts w:cs="Arial"/>
          <w:color w:val="262626"/>
          <w:sz w:val="16"/>
          <w:szCs w:val="16"/>
        </w:rPr>
        <w:t xml:space="preserve"> </w:t>
      </w:r>
      <w:r w:rsidR="00707B59">
        <w:rPr>
          <w:rFonts w:cs="Arial"/>
          <w:color w:val="262626"/>
          <w:sz w:val="16"/>
          <w:szCs w:val="16"/>
        </w:rPr>
        <w:t>&amp;</w:t>
      </w:r>
      <w:r w:rsidR="00707B59" w:rsidRPr="00CB4F47">
        <w:rPr>
          <w:rFonts w:cs="Arial"/>
          <w:color w:val="262626"/>
          <w:sz w:val="16"/>
          <w:szCs w:val="16"/>
        </w:rPr>
        <w:t xml:space="preserve"> </w:t>
      </w:r>
      <w:r w:rsidRPr="00CB4F47">
        <w:rPr>
          <w:rFonts w:cs="Arial"/>
          <w:color w:val="262626"/>
          <w:sz w:val="16"/>
          <w:szCs w:val="16"/>
        </w:rPr>
        <w:t>Wilkinson, A</w:t>
      </w:r>
      <w:r w:rsidR="00A671DF" w:rsidRPr="00CB4F47">
        <w:rPr>
          <w:rFonts w:cs="Arial"/>
          <w:color w:val="262626"/>
          <w:sz w:val="16"/>
          <w:szCs w:val="16"/>
        </w:rPr>
        <w:t>,</w:t>
      </w:r>
      <w:r w:rsidRPr="00CB4F47">
        <w:rPr>
          <w:rFonts w:cs="Arial"/>
          <w:color w:val="262626"/>
          <w:sz w:val="16"/>
          <w:szCs w:val="16"/>
        </w:rPr>
        <w:t xml:space="preserve"> Cracks in the dam: The social and economic forces behind the placement of children into care (</w:t>
      </w:r>
      <w:r w:rsidR="00C32E74" w:rsidRPr="00CB4F47">
        <w:rPr>
          <w:rFonts w:cs="Arial"/>
          <w:color w:val="262626"/>
          <w:sz w:val="16"/>
          <w:szCs w:val="16"/>
        </w:rPr>
        <w:t>2019</w:t>
      </w:r>
      <w:r w:rsidR="00A671DF" w:rsidRPr="00CB4F47">
        <w:rPr>
          <w:rFonts w:eastAsia="Arial" w:cs="Arial"/>
          <w:color w:val="262626"/>
          <w:sz w:val="16"/>
          <w:szCs w:val="16"/>
        </w:rPr>
        <w:t>,</w:t>
      </w:r>
      <w:r w:rsidR="00C32E74" w:rsidRPr="00CB4F47">
        <w:rPr>
          <w:rFonts w:eastAsia="Arial" w:cs="Arial"/>
          <w:color w:val="262626"/>
          <w:sz w:val="16"/>
          <w:szCs w:val="16"/>
        </w:rPr>
        <w:t xml:space="preserve"> </w:t>
      </w:r>
      <w:r w:rsidR="00C32E74" w:rsidRPr="00CB4F47">
        <w:rPr>
          <w:rFonts w:cs="Arial"/>
          <w:color w:val="auto"/>
          <w:sz w:val="16"/>
          <w:szCs w:val="16"/>
        </w:rPr>
        <w:t>page</w:t>
      </w:r>
      <w:r w:rsidR="00C32E74" w:rsidRPr="00CB4F47">
        <w:rPr>
          <w:rFonts w:eastAsia="Arial" w:cs="Arial"/>
          <w:color w:val="262626"/>
          <w:sz w:val="16"/>
          <w:szCs w:val="16"/>
        </w:rPr>
        <w:t xml:space="preserve"> 27</w:t>
      </w:r>
      <w:r w:rsidR="004A5063">
        <w:rPr>
          <w:rFonts w:eastAsia="Arial" w:cs="Arial"/>
          <w:color w:val="262626"/>
          <w:sz w:val="16"/>
          <w:szCs w:val="16"/>
        </w:rPr>
        <w:t>)</w:t>
      </w:r>
      <w:r w:rsidR="00C32E74" w:rsidRPr="00CB4F47">
        <w:rPr>
          <w:rFonts w:eastAsia="Arial" w:cs="Arial"/>
          <w:color w:val="262626"/>
          <w:sz w:val="16"/>
          <w:szCs w:val="16"/>
        </w:rPr>
        <w:t>.</w:t>
      </w:r>
    </w:p>
  </w:footnote>
  <w:footnote w:id="358">
    <w:p w14:paraId="20C45D90" w14:textId="12A16BF5" w:rsidR="000E429D" w:rsidRPr="00CB4F47" w:rsidRDefault="000E429D" w:rsidP="00C57877">
      <w:pPr>
        <w:pStyle w:val="FootnoteText"/>
        <w:spacing w:line="20" w:lineRule="atLeast"/>
        <w:jc w:val="left"/>
        <w:rPr>
          <w:rFonts w:cs="Arial"/>
          <w:color w:val="262626" w:themeColor="text1" w:themeTint="D9"/>
          <w:sz w:val="16"/>
          <w:szCs w:val="16"/>
        </w:rPr>
      </w:pPr>
      <w:r w:rsidRPr="00536E67">
        <w:rPr>
          <w:rStyle w:val="StyleFootnoteReferenceFagoFunotenzeichenFagoFunotenzeichen"/>
          <w:sz w:val="16"/>
          <w:szCs w:val="16"/>
        </w:rPr>
        <w:footnoteRef/>
      </w:r>
      <w:r w:rsidRPr="00CB4F47">
        <w:rPr>
          <w:rFonts w:cs="Arial"/>
          <w:color w:val="262626" w:themeColor="text1" w:themeTint="D9"/>
          <w:sz w:val="16"/>
          <w:szCs w:val="16"/>
        </w:rPr>
        <w:t xml:space="preserve"> Rashbrooke, M</w:t>
      </w:r>
      <w:r w:rsidR="00A671DF" w:rsidRPr="00CB4F47">
        <w:rPr>
          <w:rFonts w:cs="Arial"/>
          <w:color w:val="262626" w:themeColor="text1" w:themeTint="D9"/>
          <w:sz w:val="16"/>
          <w:szCs w:val="16"/>
        </w:rPr>
        <w:t xml:space="preserve"> (</w:t>
      </w:r>
      <w:r w:rsidR="00A671DF">
        <w:rPr>
          <w:rFonts w:cs="Arial"/>
          <w:color w:val="262626" w:themeColor="text1" w:themeTint="D9"/>
          <w:sz w:val="16"/>
          <w:szCs w:val="16"/>
        </w:rPr>
        <w:t>e</w:t>
      </w:r>
      <w:r w:rsidR="00A671DF" w:rsidRPr="00CB4F47">
        <w:rPr>
          <w:rFonts w:cs="Arial"/>
          <w:color w:val="262626" w:themeColor="text1" w:themeTint="D9"/>
          <w:sz w:val="16"/>
          <w:szCs w:val="16"/>
        </w:rPr>
        <w:t>d)</w:t>
      </w:r>
      <w:r w:rsidR="00C95B69">
        <w:rPr>
          <w:rFonts w:cs="Arial"/>
          <w:color w:val="262626" w:themeColor="text1" w:themeTint="D9"/>
          <w:sz w:val="16"/>
          <w:szCs w:val="16"/>
        </w:rPr>
        <w:t>,</w:t>
      </w:r>
      <w:r w:rsidRPr="00CB4F47">
        <w:rPr>
          <w:rFonts w:cs="Arial"/>
          <w:color w:val="262626" w:themeColor="text1" w:themeTint="D9"/>
          <w:sz w:val="16"/>
          <w:szCs w:val="16"/>
        </w:rPr>
        <w:t xml:space="preserve"> Inequality: A New Zealand Crisis (Bridget Williams Books, 2013</w:t>
      </w:r>
      <w:r w:rsidR="00A671DF" w:rsidRPr="00CB4F47">
        <w:rPr>
          <w:rFonts w:cs="Arial"/>
          <w:color w:val="262626" w:themeColor="text1" w:themeTint="D9"/>
          <w:sz w:val="16"/>
          <w:szCs w:val="16"/>
        </w:rPr>
        <w:t>,</w:t>
      </w:r>
      <w:r w:rsidRPr="00CB4F47">
        <w:rPr>
          <w:rFonts w:cs="Arial"/>
          <w:color w:val="262626" w:themeColor="text1" w:themeTint="D9"/>
          <w:sz w:val="16"/>
          <w:szCs w:val="16"/>
        </w:rPr>
        <w:t xml:space="preserve"> </w:t>
      </w:r>
      <w:r w:rsidR="00C32E74" w:rsidRPr="00CB4F47">
        <w:rPr>
          <w:rFonts w:cs="Arial"/>
          <w:color w:val="auto"/>
          <w:sz w:val="16"/>
          <w:szCs w:val="16"/>
        </w:rPr>
        <w:t>page</w:t>
      </w:r>
      <w:r w:rsidRPr="00CB4F47">
        <w:rPr>
          <w:rFonts w:cs="Arial"/>
          <w:color w:val="262626" w:themeColor="text1" w:themeTint="D9"/>
          <w:sz w:val="16"/>
          <w:szCs w:val="16"/>
        </w:rPr>
        <w:t xml:space="preserve"> 1</w:t>
      </w:r>
      <w:r w:rsidR="004A5063">
        <w:rPr>
          <w:rFonts w:cs="Arial"/>
          <w:color w:val="262626" w:themeColor="text1" w:themeTint="D9"/>
          <w:sz w:val="16"/>
          <w:szCs w:val="16"/>
        </w:rPr>
        <w:t>)</w:t>
      </w:r>
      <w:r w:rsidRPr="00CB4F47">
        <w:rPr>
          <w:rFonts w:cs="Arial"/>
          <w:color w:val="262626" w:themeColor="text1" w:themeTint="D9"/>
          <w:sz w:val="16"/>
          <w:szCs w:val="16"/>
        </w:rPr>
        <w:t xml:space="preserve">. </w:t>
      </w:r>
    </w:p>
  </w:footnote>
  <w:footnote w:id="359">
    <w:p w14:paraId="0E9F85AB" w14:textId="7D379873" w:rsidR="00D4656F" w:rsidRPr="00DD5764" w:rsidRDefault="00D4656F">
      <w:pPr>
        <w:pStyle w:val="FootnoteText"/>
        <w:rPr>
          <w:sz w:val="16"/>
          <w:szCs w:val="16"/>
        </w:rPr>
      </w:pPr>
      <w:r w:rsidRPr="00536E67">
        <w:rPr>
          <w:rStyle w:val="StyleFootnoteReferenceFagoFunotenzeichenFagoFunotenzeichen"/>
          <w:sz w:val="16"/>
          <w:szCs w:val="16"/>
        </w:rPr>
        <w:footnoteRef/>
      </w:r>
      <w:r w:rsidRPr="00DD5764">
        <w:rPr>
          <w:sz w:val="16"/>
          <w:szCs w:val="16"/>
        </w:rPr>
        <w:t xml:space="preserve"> Mental Health Foundation, Change in mind: Kia puawai a mua, a history of the Mental Health Foundation of New Zealand (2008</w:t>
      </w:r>
      <w:r w:rsidR="00A671DF" w:rsidRPr="00DD5764">
        <w:rPr>
          <w:sz w:val="16"/>
          <w:szCs w:val="16"/>
        </w:rPr>
        <w:t>,</w:t>
      </w:r>
      <w:r w:rsidRPr="00DD5764">
        <w:rPr>
          <w:sz w:val="16"/>
          <w:szCs w:val="16"/>
        </w:rPr>
        <w:t xml:space="preserve"> pages 12–13 and page 17</w:t>
      </w:r>
      <w:r w:rsidR="004A5063">
        <w:rPr>
          <w:sz w:val="16"/>
          <w:szCs w:val="16"/>
        </w:rPr>
        <w:t>)</w:t>
      </w:r>
      <w:r w:rsidRPr="00DD5764">
        <w:rPr>
          <w:sz w:val="16"/>
          <w:szCs w:val="16"/>
        </w:rPr>
        <w:t>.</w:t>
      </w:r>
    </w:p>
  </w:footnote>
  <w:footnote w:id="360">
    <w:p w14:paraId="6A6A0DC0" w14:textId="293E3EA1"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Mason, K, Report of the Committee of Inquiry into </w:t>
      </w:r>
      <w:r w:rsidR="00A671DF">
        <w:rPr>
          <w:rFonts w:cs="Arial"/>
          <w:sz w:val="16"/>
          <w:szCs w:val="16"/>
        </w:rPr>
        <w:t>p</w:t>
      </w:r>
      <w:r w:rsidR="00A671DF" w:rsidRPr="00CB4F47">
        <w:rPr>
          <w:rFonts w:cs="Arial"/>
          <w:sz w:val="16"/>
          <w:szCs w:val="16"/>
        </w:rPr>
        <w:t>rocedures</w:t>
      </w:r>
      <w:r w:rsidRPr="00CB4F47" w:rsidDel="00142157">
        <w:rPr>
          <w:rFonts w:cs="Arial"/>
          <w:sz w:val="16"/>
          <w:szCs w:val="16"/>
        </w:rPr>
        <w:t xml:space="preserve"> </w:t>
      </w:r>
      <w:r w:rsidR="00142157">
        <w:rPr>
          <w:rFonts w:cs="Arial"/>
          <w:sz w:val="16"/>
          <w:szCs w:val="16"/>
        </w:rPr>
        <w:t>u</w:t>
      </w:r>
      <w:r w:rsidR="00142157" w:rsidRPr="00CB4F47">
        <w:rPr>
          <w:rFonts w:cs="Arial"/>
          <w:sz w:val="16"/>
          <w:szCs w:val="16"/>
        </w:rPr>
        <w:t xml:space="preserve">sed </w:t>
      </w:r>
      <w:r w:rsidR="00A671DF">
        <w:rPr>
          <w:rFonts w:cs="Arial"/>
          <w:sz w:val="16"/>
          <w:szCs w:val="16"/>
        </w:rPr>
        <w:t>i</w:t>
      </w:r>
      <w:r w:rsidR="00A671DF" w:rsidRPr="00CB4F47">
        <w:rPr>
          <w:rFonts w:cs="Arial"/>
          <w:sz w:val="16"/>
          <w:szCs w:val="16"/>
        </w:rPr>
        <w:t>n</w:t>
      </w:r>
      <w:r w:rsidRPr="00CB4F47" w:rsidDel="00142157">
        <w:rPr>
          <w:rFonts w:cs="Arial"/>
          <w:sz w:val="16"/>
          <w:szCs w:val="16"/>
        </w:rPr>
        <w:t xml:space="preserve"> </w:t>
      </w:r>
      <w:r w:rsidR="00142157">
        <w:rPr>
          <w:rFonts w:cs="Arial"/>
          <w:sz w:val="16"/>
          <w:szCs w:val="16"/>
        </w:rPr>
        <w:t>c</w:t>
      </w:r>
      <w:r w:rsidR="00142157" w:rsidRPr="00CB4F47">
        <w:rPr>
          <w:rFonts w:cs="Arial"/>
          <w:sz w:val="16"/>
          <w:szCs w:val="16"/>
        </w:rPr>
        <w:t xml:space="preserve">ertain </w:t>
      </w:r>
      <w:r w:rsidR="00142157">
        <w:rPr>
          <w:rFonts w:cs="Arial"/>
          <w:sz w:val="16"/>
          <w:szCs w:val="16"/>
        </w:rPr>
        <w:t>p</w:t>
      </w:r>
      <w:r w:rsidR="00142157" w:rsidRPr="00CB4F47">
        <w:rPr>
          <w:rFonts w:cs="Arial"/>
          <w:sz w:val="16"/>
          <w:szCs w:val="16"/>
        </w:rPr>
        <w:t xml:space="preserve">sychiatric </w:t>
      </w:r>
      <w:r w:rsidR="00142157">
        <w:rPr>
          <w:rFonts w:cs="Arial"/>
          <w:sz w:val="16"/>
          <w:szCs w:val="16"/>
        </w:rPr>
        <w:t>h</w:t>
      </w:r>
      <w:r w:rsidR="00142157" w:rsidRPr="00CB4F47">
        <w:rPr>
          <w:rFonts w:cs="Arial"/>
          <w:sz w:val="16"/>
          <w:szCs w:val="16"/>
        </w:rPr>
        <w:t xml:space="preserve">ospitals </w:t>
      </w:r>
      <w:r w:rsidR="00A671DF">
        <w:rPr>
          <w:rFonts w:cs="Arial"/>
          <w:sz w:val="16"/>
          <w:szCs w:val="16"/>
        </w:rPr>
        <w:t>i</w:t>
      </w:r>
      <w:r w:rsidR="00A671DF" w:rsidRPr="00CB4F47">
        <w:rPr>
          <w:rFonts w:cs="Arial"/>
          <w:sz w:val="16"/>
          <w:szCs w:val="16"/>
        </w:rPr>
        <w:t>n</w:t>
      </w:r>
      <w:r w:rsidRPr="00CB4F47" w:rsidDel="00142157">
        <w:rPr>
          <w:rFonts w:cs="Arial"/>
          <w:sz w:val="16"/>
          <w:szCs w:val="16"/>
        </w:rPr>
        <w:t xml:space="preserve"> </w:t>
      </w:r>
      <w:r w:rsidR="00142157">
        <w:rPr>
          <w:rFonts w:cs="Arial"/>
          <w:sz w:val="16"/>
          <w:szCs w:val="16"/>
        </w:rPr>
        <w:t>r</w:t>
      </w:r>
      <w:r w:rsidR="00142157" w:rsidRPr="00CB4F47">
        <w:rPr>
          <w:rFonts w:cs="Arial"/>
          <w:sz w:val="16"/>
          <w:szCs w:val="16"/>
        </w:rPr>
        <w:t xml:space="preserve">elation </w:t>
      </w:r>
      <w:r w:rsidR="00A671DF">
        <w:rPr>
          <w:rFonts w:cs="Arial"/>
          <w:sz w:val="16"/>
          <w:szCs w:val="16"/>
        </w:rPr>
        <w:t>t</w:t>
      </w:r>
      <w:r w:rsidR="00A671DF" w:rsidRPr="00CB4F47">
        <w:rPr>
          <w:rFonts w:cs="Arial"/>
          <w:sz w:val="16"/>
          <w:szCs w:val="16"/>
        </w:rPr>
        <w:t xml:space="preserve">o </w:t>
      </w:r>
      <w:r w:rsidR="00A671DF">
        <w:rPr>
          <w:rFonts w:cs="Arial"/>
          <w:sz w:val="16"/>
          <w:szCs w:val="16"/>
        </w:rPr>
        <w:t>a</w:t>
      </w:r>
      <w:r w:rsidR="00A671DF" w:rsidRPr="00CB4F47">
        <w:rPr>
          <w:rFonts w:cs="Arial"/>
          <w:sz w:val="16"/>
          <w:szCs w:val="16"/>
        </w:rPr>
        <w:t>dmission,</w:t>
      </w:r>
      <w:r w:rsidRPr="00CB4F47" w:rsidDel="00142157">
        <w:rPr>
          <w:rFonts w:cs="Arial"/>
          <w:sz w:val="16"/>
          <w:szCs w:val="16"/>
        </w:rPr>
        <w:t xml:space="preserve"> </w:t>
      </w:r>
      <w:r w:rsidR="00142157">
        <w:rPr>
          <w:rFonts w:cs="Arial"/>
          <w:sz w:val="16"/>
          <w:szCs w:val="16"/>
        </w:rPr>
        <w:t>d</w:t>
      </w:r>
      <w:r w:rsidR="00142157" w:rsidRPr="00CB4F47">
        <w:rPr>
          <w:rFonts w:cs="Arial"/>
          <w:sz w:val="16"/>
          <w:szCs w:val="16"/>
        </w:rPr>
        <w:t xml:space="preserve">ischarge </w:t>
      </w:r>
      <w:r w:rsidR="00142157">
        <w:rPr>
          <w:rFonts w:cs="Arial"/>
          <w:sz w:val="16"/>
          <w:szCs w:val="16"/>
        </w:rPr>
        <w:t>o</w:t>
      </w:r>
      <w:r w:rsidR="00142157" w:rsidRPr="00CB4F47">
        <w:rPr>
          <w:rFonts w:cs="Arial"/>
          <w:sz w:val="16"/>
          <w:szCs w:val="16"/>
        </w:rPr>
        <w:t xml:space="preserve">r </w:t>
      </w:r>
      <w:r w:rsidR="00A671DF">
        <w:rPr>
          <w:rFonts w:cs="Arial"/>
          <w:sz w:val="16"/>
          <w:szCs w:val="16"/>
        </w:rPr>
        <w:t>r</w:t>
      </w:r>
      <w:r w:rsidR="00A671DF" w:rsidRPr="00CB4F47">
        <w:rPr>
          <w:rFonts w:cs="Arial"/>
          <w:sz w:val="16"/>
          <w:szCs w:val="16"/>
        </w:rPr>
        <w:t>elease</w:t>
      </w:r>
      <w:r w:rsidRPr="00CB4F47" w:rsidDel="00142157">
        <w:rPr>
          <w:rFonts w:cs="Arial"/>
          <w:sz w:val="16"/>
          <w:szCs w:val="16"/>
        </w:rPr>
        <w:t xml:space="preserve"> </w:t>
      </w:r>
      <w:r w:rsidR="00142157">
        <w:rPr>
          <w:rFonts w:cs="Arial"/>
          <w:sz w:val="16"/>
          <w:szCs w:val="16"/>
        </w:rPr>
        <w:t>o</w:t>
      </w:r>
      <w:r w:rsidR="00142157" w:rsidRPr="00CB4F47">
        <w:rPr>
          <w:rFonts w:cs="Arial"/>
          <w:sz w:val="16"/>
          <w:szCs w:val="16"/>
        </w:rPr>
        <w:t xml:space="preserve">n </w:t>
      </w:r>
      <w:r w:rsidR="00142157">
        <w:rPr>
          <w:rFonts w:cs="Arial"/>
          <w:sz w:val="16"/>
          <w:szCs w:val="16"/>
        </w:rPr>
        <w:t>l</w:t>
      </w:r>
      <w:r w:rsidR="00142157" w:rsidRPr="00CB4F47">
        <w:rPr>
          <w:rFonts w:cs="Arial"/>
          <w:sz w:val="16"/>
          <w:szCs w:val="16"/>
        </w:rPr>
        <w:t xml:space="preserve">eave </w:t>
      </w:r>
      <w:r w:rsidR="00142157">
        <w:rPr>
          <w:rFonts w:cs="Arial"/>
          <w:sz w:val="16"/>
          <w:szCs w:val="16"/>
        </w:rPr>
        <w:t>o</w:t>
      </w:r>
      <w:r w:rsidR="00142157" w:rsidRPr="00CB4F47">
        <w:rPr>
          <w:rFonts w:cs="Arial"/>
          <w:sz w:val="16"/>
          <w:szCs w:val="16"/>
        </w:rPr>
        <w:t xml:space="preserve">f </w:t>
      </w:r>
      <w:r w:rsidR="00142157">
        <w:rPr>
          <w:rFonts w:cs="Arial"/>
          <w:sz w:val="16"/>
          <w:szCs w:val="16"/>
        </w:rPr>
        <w:t>c</w:t>
      </w:r>
      <w:r w:rsidR="00142157" w:rsidRPr="00CB4F47">
        <w:rPr>
          <w:rFonts w:cs="Arial"/>
          <w:sz w:val="16"/>
          <w:szCs w:val="16"/>
        </w:rPr>
        <w:t xml:space="preserve">ertain </w:t>
      </w:r>
      <w:r w:rsidR="00142157">
        <w:rPr>
          <w:rFonts w:cs="Arial"/>
          <w:sz w:val="16"/>
          <w:szCs w:val="16"/>
        </w:rPr>
        <w:t>c</w:t>
      </w:r>
      <w:r w:rsidR="00142157" w:rsidRPr="00CB4F47">
        <w:rPr>
          <w:rFonts w:cs="Arial"/>
          <w:sz w:val="16"/>
          <w:szCs w:val="16"/>
        </w:rPr>
        <w:t xml:space="preserve">lasses </w:t>
      </w:r>
      <w:r w:rsidR="00142157">
        <w:rPr>
          <w:rFonts w:cs="Arial"/>
          <w:sz w:val="16"/>
          <w:szCs w:val="16"/>
        </w:rPr>
        <w:t>o</w:t>
      </w:r>
      <w:r w:rsidR="00142157" w:rsidRPr="00CB4F47">
        <w:rPr>
          <w:rFonts w:cs="Arial"/>
          <w:sz w:val="16"/>
          <w:szCs w:val="16"/>
        </w:rPr>
        <w:t xml:space="preserve">f </w:t>
      </w:r>
      <w:r w:rsidR="00A671DF">
        <w:rPr>
          <w:rFonts w:cs="Arial"/>
          <w:sz w:val="16"/>
          <w:szCs w:val="16"/>
        </w:rPr>
        <w:t>p</w:t>
      </w:r>
      <w:r w:rsidR="00A671DF" w:rsidRPr="00CB4F47">
        <w:rPr>
          <w:rFonts w:cs="Arial"/>
          <w:sz w:val="16"/>
          <w:szCs w:val="16"/>
        </w:rPr>
        <w:t>atients</w:t>
      </w:r>
      <w:r w:rsidRPr="00CB4F47">
        <w:rPr>
          <w:rFonts w:cs="Arial"/>
          <w:sz w:val="16"/>
          <w:szCs w:val="16"/>
        </w:rPr>
        <w:t xml:space="preserve"> (Ministry of Health, 1988</w:t>
      </w:r>
      <w:r w:rsidR="008703AE">
        <w:rPr>
          <w:rFonts w:cs="Arial"/>
          <w:sz w:val="16"/>
          <w:szCs w:val="16"/>
        </w:rPr>
        <w:t xml:space="preserve">, </w:t>
      </w:r>
      <w:r w:rsidR="00C32E74" w:rsidRPr="00CB4F47">
        <w:rPr>
          <w:rFonts w:cs="Arial"/>
          <w:color w:val="auto"/>
          <w:sz w:val="16"/>
          <w:szCs w:val="16"/>
        </w:rPr>
        <w:t>page</w:t>
      </w:r>
      <w:r w:rsidRPr="00CB4F47">
        <w:rPr>
          <w:rFonts w:cs="Arial"/>
          <w:sz w:val="16"/>
          <w:szCs w:val="16"/>
        </w:rPr>
        <w:t xml:space="preserve"> 138</w:t>
      </w:r>
      <w:r w:rsidR="004A5063">
        <w:rPr>
          <w:rFonts w:cs="Arial"/>
          <w:sz w:val="16"/>
          <w:szCs w:val="16"/>
        </w:rPr>
        <w:t>)</w:t>
      </w:r>
      <w:r w:rsidRPr="00CB4F47">
        <w:rPr>
          <w:rFonts w:cs="Arial"/>
          <w:sz w:val="16"/>
          <w:szCs w:val="16"/>
        </w:rPr>
        <w:t xml:space="preserve">. </w:t>
      </w:r>
    </w:p>
  </w:footnote>
  <w:footnote w:id="361">
    <w:p w14:paraId="34BED340" w14:textId="44730E0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Mason, K</w:t>
      </w:r>
      <w:r w:rsidR="00A671DF" w:rsidRPr="00CB4F47">
        <w:rPr>
          <w:rFonts w:cs="Arial"/>
          <w:color w:val="auto"/>
          <w:sz w:val="16"/>
          <w:szCs w:val="16"/>
        </w:rPr>
        <w:t>,</w:t>
      </w:r>
      <w:r w:rsidRPr="00CB4F47">
        <w:rPr>
          <w:rFonts w:cs="Arial"/>
          <w:color w:val="auto"/>
          <w:sz w:val="16"/>
          <w:szCs w:val="16"/>
        </w:rPr>
        <w:t xml:space="preserve"> Report of the Committee of Inquiry </w:t>
      </w:r>
      <w:r w:rsidR="00872D8C">
        <w:rPr>
          <w:rFonts w:cs="Arial"/>
          <w:color w:val="auto"/>
          <w:sz w:val="16"/>
          <w:szCs w:val="16"/>
        </w:rPr>
        <w:t xml:space="preserve">into </w:t>
      </w:r>
      <w:r w:rsidR="00F44AB9">
        <w:rPr>
          <w:rFonts w:cs="Arial"/>
          <w:sz w:val="16"/>
          <w:szCs w:val="16"/>
        </w:rPr>
        <w:t>p</w:t>
      </w:r>
      <w:r w:rsidR="00F44AB9" w:rsidRPr="00CB4F47">
        <w:rPr>
          <w:rFonts w:cs="Arial"/>
          <w:sz w:val="16"/>
          <w:szCs w:val="16"/>
        </w:rPr>
        <w:t xml:space="preserve">rocedures </w:t>
      </w:r>
      <w:r w:rsidR="00F44AB9">
        <w:rPr>
          <w:rFonts w:cs="Arial"/>
          <w:sz w:val="16"/>
          <w:szCs w:val="16"/>
        </w:rPr>
        <w:t>u</w:t>
      </w:r>
      <w:r w:rsidR="00F44AB9" w:rsidRPr="00CB4F47">
        <w:rPr>
          <w:rFonts w:cs="Arial"/>
          <w:sz w:val="16"/>
          <w:szCs w:val="16"/>
        </w:rPr>
        <w:t xml:space="preserve">sed </w:t>
      </w:r>
      <w:r w:rsidR="00F44AB9">
        <w:rPr>
          <w:rFonts w:cs="Arial"/>
          <w:sz w:val="16"/>
          <w:szCs w:val="16"/>
        </w:rPr>
        <w:t>i</w:t>
      </w:r>
      <w:r w:rsidR="00F44AB9" w:rsidRPr="00CB4F47">
        <w:rPr>
          <w:rFonts w:cs="Arial"/>
          <w:sz w:val="16"/>
          <w:szCs w:val="16"/>
        </w:rPr>
        <w:t xml:space="preserve">n </w:t>
      </w:r>
      <w:r w:rsidR="00F44AB9">
        <w:rPr>
          <w:rFonts w:cs="Arial"/>
          <w:sz w:val="16"/>
          <w:szCs w:val="16"/>
        </w:rPr>
        <w:t>c</w:t>
      </w:r>
      <w:r w:rsidR="00F44AB9" w:rsidRPr="00CB4F47">
        <w:rPr>
          <w:rFonts w:cs="Arial"/>
          <w:sz w:val="16"/>
          <w:szCs w:val="16"/>
        </w:rPr>
        <w:t xml:space="preserve">ertain </w:t>
      </w:r>
      <w:r w:rsidR="00F44AB9">
        <w:rPr>
          <w:rFonts w:cs="Arial"/>
          <w:sz w:val="16"/>
          <w:szCs w:val="16"/>
        </w:rPr>
        <w:t>p</w:t>
      </w:r>
      <w:r w:rsidR="00F44AB9" w:rsidRPr="00CB4F47">
        <w:rPr>
          <w:rFonts w:cs="Arial"/>
          <w:sz w:val="16"/>
          <w:szCs w:val="16"/>
        </w:rPr>
        <w:t xml:space="preserve">sychiatric </w:t>
      </w:r>
      <w:r w:rsidR="00F44AB9">
        <w:rPr>
          <w:rFonts w:cs="Arial"/>
          <w:sz w:val="16"/>
          <w:szCs w:val="16"/>
        </w:rPr>
        <w:t>h</w:t>
      </w:r>
      <w:r w:rsidR="00F44AB9" w:rsidRPr="00CB4F47">
        <w:rPr>
          <w:rFonts w:cs="Arial"/>
          <w:sz w:val="16"/>
          <w:szCs w:val="16"/>
        </w:rPr>
        <w:t xml:space="preserve">ospitals </w:t>
      </w:r>
      <w:r w:rsidR="00F44AB9">
        <w:rPr>
          <w:rFonts w:cs="Arial"/>
          <w:sz w:val="16"/>
          <w:szCs w:val="16"/>
        </w:rPr>
        <w:t>i</w:t>
      </w:r>
      <w:r w:rsidR="00F44AB9" w:rsidRPr="00CB4F47">
        <w:rPr>
          <w:rFonts w:cs="Arial"/>
          <w:sz w:val="16"/>
          <w:szCs w:val="16"/>
        </w:rPr>
        <w:t xml:space="preserve">n </w:t>
      </w:r>
      <w:r w:rsidR="00F44AB9">
        <w:rPr>
          <w:rFonts w:cs="Arial"/>
          <w:sz w:val="16"/>
          <w:szCs w:val="16"/>
        </w:rPr>
        <w:t>r</w:t>
      </w:r>
      <w:r w:rsidR="00F44AB9" w:rsidRPr="00CB4F47">
        <w:rPr>
          <w:rFonts w:cs="Arial"/>
          <w:sz w:val="16"/>
          <w:szCs w:val="16"/>
        </w:rPr>
        <w:t xml:space="preserve">elation </w:t>
      </w:r>
      <w:r w:rsidR="00F44AB9">
        <w:rPr>
          <w:rFonts w:cs="Arial"/>
          <w:sz w:val="16"/>
          <w:szCs w:val="16"/>
        </w:rPr>
        <w:t>t</w:t>
      </w:r>
      <w:r w:rsidR="00F44AB9" w:rsidRPr="00CB4F47">
        <w:rPr>
          <w:rFonts w:cs="Arial"/>
          <w:sz w:val="16"/>
          <w:szCs w:val="16"/>
        </w:rPr>
        <w:t xml:space="preserve">o </w:t>
      </w:r>
      <w:r w:rsidR="00F44AB9">
        <w:rPr>
          <w:rFonts w:cs="Arial"/>
          <w:sz w:val="16"/>
          <w:szCs w:val="16"/>
        </w:rPr>
        <w:t>a</w:t>
      </w:r>
      <w:r w:rsidR="00F44AB9" w:rsidRPr="00CB4F47">
        <w:rPr>
          <w:rFonts w:cs="Arial"/>
          <w:sz w:val="16"/>
          <w:szCs w:val="16"/>
        </w:rPr>
        <w:t xml:space="preserve">dmission, </w:t>
      </w:r>
      <w:r w:rsidR="00F44AB9">
        <w:rPr>
          <w:rFonts w:cs="Arial"/>
          <w:sz w:val="16"/>
          <w:szCs w:val="16"/>
        </w:rPr>
        <w:t>d</w:t>
      </w:r>
      <w:r w:rsidR="00F44AB9" w:rsidRPr="00CB4F47">
        <w:rPr>
          <w:rFonts w:cs="Arial"/>
          <w:sz w:val="16"/>
          <w:szCs w:val="16"/>
        </w:rPr>
        <w:t xml:space="preserve">ischarge </w:t>
      </w:r>
      <w:r w:rsidR="00F44AB9">
        <w:rPr>
          <w:rFonts w:cs="Arial"/>
          <w:sz w:val="16"/>
          <w:szCs w:val="16"/>
        </w:rPr>
        <w:t>o</w:t>
      </w:r>
      <w:r w:rsidR="00F44AB9" w:rsidRPr="00CB4F47">
        <w:rPr>
          <w:rFonts w:cs="Arial"/>
          <w:sz w:val="16"/>
          <w:szCs w:val="16"/>
        </w:rPr>
        <w:t xml:space="preserve">r </w:t>
      </w:r>
      <w:r w:rsidR="00F44AB9">
        <w:rPr>
          <w:rFonts w:cs="Arial"/>
          <w:sz w:val="16"/>
          <w:szCs w:val="16"/>
        </w:rPr>
        <w:t>r</w:t>
      </w:r>
      <w:r w:rsidR="00F44AB9" w:rsidRPr="00CB4F47">
        <w:rPr>
          <w:rFonts w:cs="Arial"/>
          <w:sz w:val="16"/>
          <w:szCs w:val="16"/>
        </w:rPr>
        <w:t xml:space="preserve">elease </w:t>
      </w:r>
      <w:r w:rsidR="00F44AB9">
        <w:rPr>
          <w:rFonts w:cs="Arial"/>
          <w:sz w:val="16"/>
          <w:szCs w:val="16"/>
        </w:rPr>
        <w:t>o</w:t>
      </w:r>
      <w:r w:rsidR="00F44AB9" w:rsidRPr="00CB4F47">
        <w:rPr>
          <w:rFonts w:cs="Arial"/>
          <w:sz w:val="16"/>
          <w:szCs w:val="16"/>
        </w:rPr>
        <w:t xml:space="preserve">n </w:t>
      </w:r>
      <w:r w:rsidR="00F44AB9">
        <w:rPr>
          <w:rFonts w:cs="Arial"/>
          <w:sz w:val="16"/>
          <w:szCs w:val="16"/>
        </w:rPr>
        <w:t>l</w:t>
      </w:r>
      <w:r w:rsidR="00F44AB9" w:rsidRPr="00CB4F47">
        <w:rPr>
          <w:rFonts w:cs="Arial"/>
          <w:sz w:val="16"/>
          <w:szCs w:val="16"/>
        </w:rPr>
        <w:t xml:space="preserve">eave </w:t>
      </w:r>
      <w:r w:rsidR="00F44AB9">
        <w:rPr>
          <w:rFonts w:cs="Arial"/>
          <w:sz w:val="16"/>
          <w:szCs w:val="16"/>
        </w:rPr>
        <w:t>o</w:t>
      </w:r>
      <w:r w:rsidR="00F44AB9" w:rsidRPr="00CB4F47">
        <w:rPr>
          <w:rFonts w:cs="Arial"/>
          <w:sz w:val="16"/>
          <w:szCs w:val="16"/>
        </w:rPr>
        <w:t xml:space="preserve">f </w:t>
      </w:r>
      <w:r w:rsidR="00F44AB9">
        <w:rPr>
          <w:rFonts w:cs="Arial"/>
          <w:sz w:val="16"/>
          <w:szCs w:val="16"/>
        </w:rPr>
        <w:t>c</w:t>
      </w:r>
      <w:r w:rsidR="00F44AB9" w:rsidRPr="00CB4F47">
        <w:rPr>
          <w:rFonts w:cs="Arial"/>
          <w:sz w:val="16"/>
          <w:szCs w:val="16"/>
        </w:rPr>
        <w:t xml:space="preserve">ertain </w:t>
      </w:r>
      <w:r w:rsidR="00F44AB9">
        <w:rPr>
          <w:rFonts w:cs="Arial"/>
          <w:sz w:val="16"/>
          <w:szCs w:val="16"/>
        </w:rPr>
        <w:t>c</w:t>
      </w:r>
      <w:r w:rsidR="00F44AB9" w:rsidRPr="00CB4F47">
        <w:rPr>
          <w:rFonts w:cs="Arial"/>
          <w:sz w:val="16"/>
          <w:szCs w:val="16"/>
        </w:rPr>
        <w:t xml:space="preserve">lasses </w:t>
      </w:r>
      <w:r w:rsidR="00F44AB9">
        <w:rPr>
          <w:rFonts w:cs="Arial"/>
          <w:sz w:val="16"/>
          <w:szCs w:val="16"/>
        </w:rPr>
        <w:t>o</w:t>
      </w:r>
      <w:r w:rsidR="00F44AB9" w:rsidRPr="00CB4F47">
        <w:rPr>
          <w:rFonts w:cs="Arial"/>
          <w:sz w:val="16"/>
          <w:szCs w:val="16"/>
        </w:rPr>
        <w:t xml:space="preserve">f </w:t>
      </w:r>
      <w:r w:rsidR="00A671DF">
        <w:rPr>
          <w:rFonts w:cs="Arial"/>
          <w:sz w:val="16"/>
          <w:szCs w:val="16"/>
        </w:rPr>
        <w:t>p</w:t>
      </w:r>
      <w:r w:rsidR="00A671DF" w:rsidRPr="00CB4F47">
        <w:rPr>
          <w:rFonts w:cs="Arial"/>
          <w:sz w:val="16"/>
          <w:szCs w:val="16"/>
        </w:rPr>
        <w:t>atients</w:t>
      </w:r>
      <w:r w:rsidRPr="00CB4F47">
        <w:rPr>
          <w:rFonts w:cs="Arial"/>
          <w:color w:val="auto"/>
          <w:sz w:val="16"/>
          <w:szCs w:val="16"/>
        </w:rPr>
        <w:t xml:space="preserve"> (Ministry of Health, 1988)</w:t>
      </w:r>
      <w:r w:rsidR="00FD4F0D">
        <w:rPr>
          <w:rFonts w:cs="Arial"/>
          <w:color w:val="auto"/>
          <w:sz w:val="16"/>
          <w:szCs w:val="16"/>
        </w:rPr>
        <w:t>;</w:t>
      </w:r>
      <w:r w:rsidRPr="00CB4F47">
        <w:rPr>
          <w:rFonts w:cs="Arial"/>
          <w:color w:val="auto"/>
          <w:sz w:val="16"/>
          <w:szCs w:val="16"/>
        </w:rPr>
        <w:t xml:space="preserve"> Mason, K, Report of the Ministerial Inquiry to the Minister of Health Hon Jenny Shipley </w:t>
      </w:r>
      <w:r w:rsidR="00FB2F0E">
        <w:rPr>
          <w:rFonts w:cs="Arial"/>
          <w:color w:val="auto"/>
          <w:sz w:val="16"/>
          <w:szCs w:val="16"/>
        </w:rPr>
        <w:t xml:space="preserve">– </w:t>
      </w:r>
      <w:r w:rsidRPr="00CB4F47">
        <w:rPr>
          <w:rFonts w:cs="Arial"/>
          <w:color w:val="auto"/>
          <w:sz w:val="16"/>
          <w:szCs w:val="16"/>
        </w:rPr>
        <w:t>Inquiry under section 47 of the Health and Disability Services Act 1993 in respect of certain mental health services (Information Centre, Ministry of Health, 1996).</w:t>
      </w:r>
    </w:p>
  </w:footnote>
  <w:footnote w:id="362">
    <w:p w14:paraId="17BB0AC1" w14:textId="5DC98AC9"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Mental Health (Compulsory Assessment and Treatment) Act 1992, </w:t>
      </w:r>
      <w:r w:rsidR="00C32E74" w:rsidRPr="00CB4F47">
        <w:rPr>
          <w:rFonts w:cs="Arial"/>
          <w:sz w:val="16"/>
          <w:szCs w:val="16"/>
        </w:rPr>
        <w:t>sections</w:t>
      </w:r>
      <w:r w:rsidRPr="00CB4F47">
        <w:rPr>
          <w:rFonts w:cs="Arial"/>
          <w:sz w:val="16"/>
          <w:szCs w:val="16"/>
        </w:rPr>
        <w:t xml:space="preserve"> 2, 57</w:t>
      </w:r>
      <w:r w:rsidRPr="00CB4F47">
        <w:rPr>
          <w:rFonts w:eastAsia="Calibri" w:cs="Arial"/>
          <w:sz w:val="16"/>
          <w:szCs w:val="16"/>
          <w:lang w:val="en-US"/>
        </w:rPr>
        <w:t>–</w:t>
      </w:r>
      <w:r w:rsidRPr="00CB4F47">
        <w:rPr>
          <w:rFonts w:cs="Arial"/>
          <w:sz w:val="16"/>
          <w:szCs w:val="16"/>
        </w:rPr>
        <w:t>63 and Part VI.</w:t>
      </w:r>
    </w:p>
  </w:footnote>
  <w:footnote w:id="363">
    <w:p w14:paraId="7D985E8C" w14:textId="7061C76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Gawith, L &amp; Abrams, P, “Long journey to recovery for Kiwi consumers: Recent developments in mental health policy and practice in New Zealand</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Australian Psychologist (2006</w:t>
      </w:r>
      <w:r w:rsidR="00A671DF" w:rsidRPr="00CB4F47">
        <w:rPr>
          <w:rFonts w:cs="Arial"/>
          <w:color w:val="auto"/>
          <w:sz w:val="16"/>
          <w:szCs w:val="16"/>
        </w:rPr>
        <w:t>,</w:t>
      </w:r>
      <w:r w:rsidRPr="00CB4F47">
        <w:rPr>
          <w:rFonts w:cs="Arial"/>
          <w:color w:val="000000"/>
          <w:sz w:val="16"/>
          <w:szCs w:val="16"/>
          <w:shd w:val="clear" w:color="auto" w:fill="FFFFFF"/>
        </w:rPr>
        <w:t xml:space="preserve"> </w:t>
      </w:r>
      <w:r w:rsidR="00C32E74" w:rsidRPr="00CB4F47">
        <w:rPr>
          <w:rFonts w:cs="Arial"/>
          <w:color w:val="000000"/>
          <w:sz w:val="16"/>
          <w:szCs w:val="16"/>
          <w:shd w:val="clear" w:color="auto" w:fill="FFFFFF"/>
        </w:rPr>
        <w:t xml:space="preserve">pages </w:t>
      </w:r>
      <w:r w:rsidRPr="00CB4F47">
        <w:rPr>
          <w:rFonts w:cs="Arial"/>
          <w:color w:val="auto"/>
          <w:sz w:val="16"/>
          <w:szCs w:val="16"/>
        </w:rPr>
        <w:t>140</w:t>
      </w:r>
      <w:r w:rsidRPr="00CB4F47">
        <w:rPr>
          <w:rFonts w:eastAsia="Calibri" w:cs="Arial"/>
          <w:sz w:val="16"/>
          <w:szCs w:val="16"/>
          <w:lang w:val="en-US"/>
        </w:rPr>
        <w:t>–</w:t>
      </w:r>
      <w:r w:rsidRPr="00CB4F47">
        <w:rPr>
          <w:rFonts w:cs="Arial"/>
          <w:color w:val="auto"/>
          <w:sz w:val="16"/>
          <w:szCs w:val="16"/>
        </w:rPr>
        <w:t>148, p</w:t>
      </w:r>
      <w:r w:rsidR="00B51132" w:rsidRPr="00CB4F47">
        <w:rPr>
          <w:rFonts w:cs="Arial"/>
          <w:color w:val="auto"/>
          <w:sz w:val="16"/>
          <w:szCs w:val="16"/>
        </w:rPr>
        <w:t xml:space="preserve">age </w:t>
      </w:r>
      <w:r w:rsidRPr="00CB4F47">
        <w:rPr>
          <w:rFonts w:cs="Arial"/>
          <w:color w:val="auto"/>
          <w:sz w:val="16"/>
          <w:szCs w:val="16"/>
        </w:rPr>
        <w:t>142</w:t>
      </w:r>
      <w:r w:rsidR="00BB159E">
        <w:rPr>
          <w:rFonts w:cs="Arial"/>
          <w:color w:val="auto"/>
          <w:sz w:val="16"/>
          <w:szCs w:val="16"/>
        </w:rPr>
        <w:t>)</w:t>
      </w:r>
      <w:r w:rsidRPr="00CB4F47">
        <w:rPr>
          <w:rFonts w:cs="Arial"/>
          <w:color w:val="auto"/>
          <w:sz w:val="16"/>
          <w:szCs w:val="16"/>
        </w:rPr>
        <w:t xml:space="preserve">. </w:t>
      </w:r>
    </w:p>
  </w:footnote>
  <w:footnote w:id="364">
    <w:p w14:paraId="59700D8B" w14:textId="0CED0067"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Mason, K, Report of the Ministerial Inquiry to the Minister of Health Hon Jenny Shipley </w:t>
      </w:r>
      <w:r w:rsidR="00D92218">
        <w:rPr>
          <w:rFonts w:cs="Arial"/>
          <w:color w:val="auto"/>
          <w:sz w:val="16"/>
          <w:szCs w:val="16"/>
        </w:rPr>
        <w:t>–</w:t>
      </w:r>
      <w:r w:rsidR="00D92218" w:rsidRPr="00CB4F47">
        <w:rPr>
          <w:rFonts w:cs="Arial"/>
          <w:color w:val="auto"/>
          <w:sz w:val="16"/>
          <w:szCs w:val="16"/>
        </w:rPr>
        <w:t xml:space="preserve"> </w:t>
      </w:r>
      <w:r w:rsidRPr="00CB4F47">
        <w:rPr>
          <w:rFonts w:cs="Arial"/>
          <w:color w:val="auto"/>
          <w:sz w:val="16"/>
          <w:szCs w:val="16"/>
        </w:rPr>
        <w:t>Inquiry under section 47 of the Health and Disability Services Act 1993 in respect of certain mental health services (Information Centre, Ministry of Health, 1996</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3</w:t>
      </w:r>
      <w:r w:rsidR="00BB159E">
        <w:rPr>
          <w:rFonts w:cs="Arial"/>
          <w:color w:val="auto"/>
          <w:sz w:val="16"/>
          <w:szCs w:val="16"/>
        </w:rPr>
        <w:t>)</w:t>
      </w:r>
      <w:r w:rsidRPr="00CB4F47">
        <w:rPr>
          <w:rFonts w:cs="Arial"/>
          <w:color w:val="auto"/>
          <w:sz w:val="16"/>
          <w:szCs w:val="16"/>
        </w:rPr>
        <w:t>.</w:t>
      </w:r>
    </w:p>
  </w:footnote>
  <w:footnote w:id="365">
    <w:p w14:paraId="3AC46649" w14:textId="7B35203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Mason, K, Report of the Ministerial Inquiry to the Minister of Health Hon Jenny Shipley </w:t>
      </w:r>
      <w:r w:rsidR="00D92218">
        <w:rPr>
          <w:rFonts w:cs="Arial"/>
          <w:color w:val="auto"/>
          <w:sz w:val="16"/>
          <w:szCs w:val="16"/>
        </w:rPr>
        <w:t>–</w:t>
      </w:r>
      <w:r w:rsidR="00D92218" w:rsidRPr="00CB4F47">
        <w:rPr>
          <w:rFonts w:cs="Arial"/>
          <w:color w:val="auto"/>
          <w:sz w:val="16"/>
          <w:szCs w:val="16"/>
        </w:rPr>
        <w:t xml:space="preserve"> </w:t>
      </w:r>
      <w:r w:rsidRPr="00CB4F47">
        <w:rPr>
          <w:rFonts w:cs="Arial"/>
          <w:color w:val="auto"/>
          <w:sz w:val="16"/>
          <w:szCs w:val="16"/>
        </w:rPr>
        <w:t>Inquiry under section 47 of the Health and Disability Services Act 1993 in respect of certain mental health services (Information Centre, Ministry of Health, 1996</w:t>
      </w:r>
      <w:r w:rsidR="00A671DF" w:rsidRPr="001A740B">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3</w:t>
      </w:r>
      <w:r w:rsidR="00BB159E">
        <w:rPr>
          <w:rFonts w:cs="Arial"/>
          <w:color w:val="auto"/>
          <w:sz w:val="16"/>
          <w:szCs w:val="16"/>
        </w:rPr>
        <w:t>)</w:t>
      </w:r>
      <w:r w:rsidRPr="00CB4F47">
        <w:rPr>
          <w:rFonts w:cs="Arial"/>
          <w:color w:val="auto"/>
          <w:sz w:val="16"/>
          <w:szCs w:val="16"/>
        </w:rPr>
        <w:t>.</w:t>
      </w:r>
    </w:p>
  </w:footnote>
  <w:footnote w:id="366">
    <w:p w14:paraId="1B94E1BA" w14:textId="2AA7698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Ministry of Health, Like minds, like mine: National plan 2007</w:t>
      </w:r>
      <w:r w:rsidR="00A671DF" w:rsidRPr="001A740B">
        <w:rPr>
          <w:rFonts w:cs="Arial"/>
          <w:color w:val="auto"/>
          <w:sz w:val="16"/>
          <w:szCs w:val="16"/>
        </w:rPr>
        <w:t>–</w:t>
      </w:r>
      <w:r w:rsidRPr="00CB4F47">
        <w:rPr>
          <w:rFonts w:cs="Arial"/>
          <w:color w:val="auto"/>
          <w:sz w:val="16"/>
          <w:szCs w:val="16"/>
        </w:rPr>
        <w:t>2013: Programme to counter stigma and discrimination associated with mental illness</w:t>
      </w:r>
      <w:r w:rsidR="00A671DF" w:rsidRPr="001A740B">
        <w:rPr>
          <w:rFonts w:cs="Arial"/>
          <w:color w:val="auto"/>
          <w:sz w:val="16"/>
          <w:szCs w:val="16"/>
        </w:rPr>
        <w:t xml:space="preserve"> (</w:t>
      </w:r>
      <w:r w:rsidRPr="00CB4F47">
        <w:rPr>
          <w:rFonts w:cs="Arial"/>
          <w:color w:val="auto"/>
          <w:sz w:val="16"/>
          <w:szCs w:val="16"/>
        </w:rPr>
        <w:t>2007</w:t>
      </w:r>
      <w:r w:rsidR="00A671DF" w:rsidRPr="001A740B">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w:t>
      </w:r>
      <w:r w:rsidR="00BB159E">
        <w:rPr>
          <w:rFonts w:cs="Arial"/>
          <w:color w:val="auto"/>
          <w:sz w:val="16"/>
          <w:szCs w:val="16"/>
        </w:rPr>
        <w:t>)</w:t>
      </w:r>
      <w:r w:rsidRPr="00CB4F47">
        <w:rPr>
          <w:rFonts w:cs="Arial"/>
          <w:color w:val="auto"/>
          <w:sz w:val="16"/>
          <w:szCs w:val="16"/>
        </w:rPr>
        <w:t>.</w:t>
      </w:r>
    </w:p>
  </w:footnote>
  <w:footnote w:id="367">
    <w:p w14:paraId="0158534B" w14:textId="792BBDE4" w:rsidR="00076784" w:rsidRPr="001A740B" w:rsidRDefault="00076784">
      <w:pPr>
        <w:pStyle w:val="FootnoteText"/>
        <w:rPr>
          <w:color w:val="auto"/>
          <w:sz w:val="16"/>
          <w:szCs w:val="16"/>
        </w:rPr>
      </w:pPr>
      <w:r w:rsidRPr="00536E67">
        <w:rPr>
          <w:rStyle w:val="StyleFootnoteReferenceFagoFunotenzeichenFagoFunotenzeichen"/>
          <w:sz w:val="16"/>
          <w:szCs w:val="16"/>
        </w:rPr>
        <w:footnoteRef/>
      </w:r>
      <w:r w:rsidRPr="001A740B">
        <w:rPr>
          <w:color w:val="auto"/>
          <w:sz w:val="16"/>
          <w:szCs w:val="16"/>
        </w:rPr>
        <w:t xml:space="preserve"> </w:t>
      </w:r>
      <w:r w:rsidR="001935F5" w:rsidRPr="001A740B">
        <w:rPr>
          <w:rFonts w:cs="Arial"/>
          <w:color w:val="auto"/>
          <w:sz w:val="16"/>
          <w:szCs w:val="16"/>
        </w:rPr>
        <w:t xml:space="preserve">National Advisory Committee on Health and Disability, To </w:t>
      </w:r>
      <w:r w:rsidR="00A671DF" w:rsidRPr="001A740B">
        <w:rPr>
          <w:rFonts w:cs="Arial"/>
          <w:iCs/>
          <w:color w:val="auto"/>
          <w:sz w:val="16"/>
          <w:szCs w:val="16"/>
        </w:rPr>
        <w:t>have</w:t>
      </w:r>
      <w:r w:rsidR="001935F5" w:rsidRPr="001A740B">
        <w:rPr>
          <w:rFonts w:cs="Arial"/>
          <w:color w:val="auto"/>
          <w:sz w:val="16"/>
          <w:szCs w:val="16"/>
        </w:rPr>
        <w:t xml:space="preserve"> an ‘</w:t>
      </w:r>
      <w:r w:rsidR="00A671DF" w:rsidRPr="001A740B">
        <w:rPr>
          <w:rFonts w:cs="Arial"/>
          <w:iCs/>
          <w:color w:val="auto"/>
          <w:sz w:val="16"/>
          <w:szCs w:val="16"/>
        </w:rPr>
        <w:t>ordinary’ life:</w:t>
      </w:r>
      <w:r w:rsidR="00D92218" w:rsidRPr="001A740B">
        <w:rPr>
          <w:rFonts w:cs="Arial"/>
          <w:color w:val="auto"/>
          <w:sz w:val="16"/>
          <w:szCs w:val="16"/>
        </w:rPr>
        <w:t xml:space="preserve"> </w:t>
      </w:r>
      <w:r w:rsidR="001935F5" w:rsidRPr="001A740B">
        <w:rPr>
          <w:rFonts w:cs="Arial"/>
          <w:color w:val="auto"/>
          <w:sz w:val="16"/>
          <w:szCs w:val="16"/>
        </w:rPr>
        <w:t xml:space="preserve">Kia </w:t>
      </w:r>
      <w:r w:rsidR="00A358E4" w:rsidRPr="001A740B">
        <w:rPr>
          <w:rFonts w:cs="Arial"/>
          <w:color w:val="auto"/>
          <w:sz w:val="16"/>
          <w:szCs w:val="16"/>
        </w:rPr>
        <w:t xml:space="preserve">whai </w:t>
      </w:r>
      <w:r w:rsidR="00A671DF" w:rsidRPr="001A740B">
        <w:rPr>
          <w:rFonts w:cs="Arial"/>
          <w:iCs/>
          <w:color w:val="auto"/>
          <w:sz w:val="16"/>
          <w:szCs w:val="16"/>
        </w:rPr>
        <w:t>oranga ‘noa’</w:t>
      </w:r>
      <w:r w:rsidR="00196B52" w:rsidRPr="001A740B">
        <w:rPr>
          <w:rFonts w:cs="Arial"/>
          <w:color w:val="auto"/>
          <w:sz w:val="16"/>
          <w:szCs w:val="16"/>
        </w:rPr>
        <w:t>: Background papers to inform the National Advisory Committee on Health and Disability</w:t>
      </w:r>
      <w:r w:rsidR="00A671DF" w:rsidRPr="001A740B">
        <w:rPr>
          <w:rFonts w:cs="Arial"/>
          <w:color w:val="auto"/>
          <w:sz w:val="16"/>
          <w:szCs w:val="16"/>
        </w:rPr>
        <w:t xml:space="preserve"> (</w:t>
      </w:r>
      <w:r w:rsidR="001935F5" w:rsidRPr="001A740B">
        <w:rPr>
          <w:rFonts w:cs="Arial"/>
          <w:color w:val="auto"/>
          <w:sz w:val="16"/>
          <w:szCs w:val="16"/>
        </w:rPr>
        <w:t>200</w:t>
      </w:r>
      <w:r w:rsidR="0090692C" w:rsidRPr="001A740B">
        <w:rPr>
          <w:rFonts w:cs="Arial"/>
          <w:color w:val="auto"/>
          <w:sz w:val="16"/>
          <w:szCs w:val="16"/>
        </w:rPr>
        <w:t>4</w:t>
      </w:r>
      <w:r w:rsidR="00A671DF" w:rsidRPr="001A740B">
        <w:rPr>
          <w:rFonts w:cs="Arial"/>
          <w:color w:val="auto"/>
          <w:sz w:val="16"/>
          <w:szCs w:val="16"/>
        </w:rPr>
        <w:t>,</w:t>
      </w:r>
      <w:r w:rsidR="0090692C" w:rsidRPr="001A740B">
        <w:rPr>
          <w:rFonts w:cs="Arial"/>
          <w:color w:val="auto"/>
          <w:sz w:val="16"/>
          <w:szCs w:val="16"/>
        </w:rPr>
        <w:t xml:space="preserve"> page 1</w:t>
      </w:r>
      <w:r w:rsidR="00490590" w:rsidRPr="001A740B">
        <w:rPr>
          <w:rFonts w:cs="Arial"/>
          <w:color w:val="auto"/>
          <w:sz w:val="16"/>
          <w:szCs w:val="16"/>
        </w:rPr>
        <w:t>6</w:t>
      </w:r>
      <w:r w:rsidR="002A7AEA" w:rsidRPr="001A740B">
        <w:rPr>
          <w:rFonts w:cs="Arial"/>
          <w:color w:val="auto"/>
          <w:sz w:val="16"/>
          <w:szCs w:val="16"/>
        </w:rPr>
        <w:t>)</w:t>
      </w:r>
      <w:r w:rsidR="001935F5" w:rsidRPr="001A740B">
        <w:rPr>
          <w:rFonts w:cs="Arial"/>
          <w:color w:val="auto"/>
          <w:sz w:val="16"/>
          <w:szCs w:val="16"/>
        </w:rPr>
        <w:t>.</w:t>
      </w:r>
    </w:p>
  </w:footnote>
  <w:footnote w:id="368">
    <w:p w14:paraId="35748AFB" w14:textId="6D8F9BEC" w:rsidR="00490590" w:rsidRPr="00CB4F47" w:rsidRDefault="00490590">
      <w:pPr>
        <w:pStyle w:val="FootnoteText"/>
        <w:rPr>
          <w:color w:val="FF0000"/>
          <w:sz w:val="16"/>
          <w:szCs w:val="16"/>
        </w:rPr>
      </w:pPr>
      <w:r w:rsidRPr="00536E67">
        <w:rPr>
          <w:rStyle w:val="StyleFootnoteReferenceFagoFunotenzeichenFagoFunotenzeichen"/>
          <w:sz w:val="16"/>
          <w:szCs w:val="16"/>
        </w:rPr>
        <w:footnoteRef/>
      </w:r>
      <w:r w:rsidRPr="001A740B">
        <w:rPr>
          <w:color w:val="auto"/>
          <w:sz w:val="16"/>
          <w:szCs w:val="16"/>
        </w:rPr>
        <w:t xml:space="preserve"> </w:t>
      </w:r>
      <w:r w:rsidR="00252030" w:rsidRPr="001A740B">
        <w:rPr>
          <w:color w:val="auto"/>
          <w:sz w:val="16"/>
          <w:szCs w:val="16"/>
        </w:rPr>
        <w:t xml:space="preserve">Gassin, </w:t>
      </w:r>
      <w:r w:rsidR="00A671DF" w:rsidRPr="001A740B">
        <w:rPr>
          <w:color w:val="auto"/>
          <w:sz w:val="16"/>
          <w:szCs w:val="16"/>
        </w:rPr>
        <w:t>T</w:t>
      </w:r>
      <w:r w:rsidR="008C05FE" w:rsidRPr="001A740B">
        <w:rPr>
          <w:color w:val="auto"/>
          <w:sz w:val="16"/>
          <w:szCs w:val="16"/>
        </w:rPr>
        <w:t>, M</w:t>
      </w:r>
      <w:r w:rsidR="00D62920" w:rsidRPr="001A740B">
        <w:rPr>
          <w:color w:val="auto"/>
          <w:sz w:val="16"/>
          <w:szCs w:val="16"/>
        </w:rPr>
        <w:t>ā</w:t>
      </w:r>
      <w:r w:rsidR="008C05FE" w:rsidRPr="001A740B">
        <w:rPr>
          <w:color w:val="auto"/>
          <w:sz w:val="16"/>
          <w:szCs w:val="16"/>
        </w:rPr>
        <w:t xml:space="preserve">ori Mental Health – a report commissioned by the Waitangi Tribunal for the Health Services and Outcomes Kaupapa Inquiry </w:t>
      </w:r>
      <w:r w:rsidR="000F57FC" w:rsidRPr="001A740B">
        <w:rPr>
          <w:color w:val="auto"/>
          <w:sz w:val="16"/>
          <w:szCs w:val="16"/>
        </w:rPr>
        <w:t>(Waitangi Tribunal, 2019</w:t>
      </w:r>
      <w:r w:rsidR="00A671DF" w:rsidRPr="001A740B">
        <w:rPr>
          <w:color w:val="auto"/>
          <w:sz w:val="16"/>
          <w:szCs w:val="16"/>
        </w:rPr>
        <w:t>,</w:t>
      </w:r>
      <w:r w:rsidR="000F57FC" w:rsidRPr="001A740B">
        <w:rPr>
          <w:color w:val="auto"/>
          <w:sz w:val="16"/>
          <w:szCs w:val="16"/>
        </w:rPr>
        <w:t xml:space="preserve"> page</w:t>
      </w:r>
      <w:r w:rsidR="00D62920" w:rsidRPr="001A740B">
        <w:rPr>
          <w:color w:val="auto"/>
          <w:sz w:val="16"/>
          <w:szCs w:val="16"/>
        </w:rPr>
        <w:t xml:space="preserve"> 10</w:t>
      </w:r>
      <w:r w:rsidR="002A7AEA" w:rsidRPr="001A740B">
        <w:rPr>
          <w:color w:val="auto"/>
          <w:sz w:val="16"/>
          <w:szCs w:val="16"/>
        </w:rPr>
        <w:t>)</w:t>
      </w:r>
      <w:r w:rsidR="00D62920" w:rsidRPr="001A740B">
        <w:rPr>
          <w:color w:val="auto"/>
          <w:sz w:val="16"/>
          <w:szCs w:val="16"/>
        </w:rPr>
        <w:t>.</w:t>
      </w:r>
    </w:p>
  </w:footnote>
  <w:footnote w:id="369">
    <w:p w14:paraId="5D0ED69F" w14:textId="49834A84" w:rsidR="000E429D" w:rsidRPr="00CB4F47" w:rsidRDefault="000E429D" w:rsidP="00F31E79">
      <w:pPr>
        <w:pStyle w:val="FootnoteText"/>
        <w:spacing w:line="20" w:lineRule="atLeast"/>
        <w:jc w:val="left"/>
        <w:rPr>
          <w:color w:val="auto"/>
          <w:sz w:val="16"/>
          <w:szCs w:val="16"/>
        </w:rPr>
      </w:pPr>
      <w:r w:rsidRPr="00536E67">
        <w:rPr>
          <w:rStyle w:val="StyleFootnoteReferenceFagoFunotenzeichenFagoFunotenzeichen"/>
          <w:sz w:val="16"/>
          <w:szCs w:val="16"/>
        </w:rPr>
        <w:footnoteRef/>
      </w:r>
      <w:r w:rsidRPr="00CB4F47">
        <w:rPr>
          <w:color w:val="auto"/>
          <w:sz w:val="16"/>
          <w:szCs w:val="16"/>
        </w:rPr>
        <w:t xml:space="preserve"> </w:t>
      </w:r>
      <w:r w:rsidRPr="00CB4F47">
        <w:rPr>
          <w:rFonts w:cs="Arial"/>
          <w:color w:val="auto"/>
          <w:sz w:val="16"/>
          <w:szCs w:val="16"/>
        </w:rPr>
        <w:t xml:space="preserve">Bronfenbrenner, U, “The </w:t>
      </w:r>
      <w:r w:rsidR="00DA6D26">
        <w:rPr>
          <w:rFonts w:cs="Arial"/>
          <w:color w:val="auto"/>
          <w:sz w:val="16"/>
          <w:szCs w:val="16"/>
        </w:rPr>
        <w:t>e</w:t>
      </w:r>
      <w:r w:rsidRPr="00CB4F47">
        <w:rPr>
          <w:rFonts w:cs="Arial"/>
          <w:color w:val="auto"/>
          <w:sz w:val="16"/>
          <w:szCs w:val="16"/>
        </w:rPr>
        <w:t xml:space="preserve">cology of </w:t>
      </w:r>
      <w:r w:rsidR="00DA6D26">
        <w:rPr>
          <w:rFonts w:cs="Arial"/>
          <w:color w:val="auto"/>
          <w:sz w:val="16"/>
          <w:szCs w:val="16"/>
        </w:rPr>
        <w:t>h</w:t>
      </w:r>
      <w:r w:rsidRPr="00CB4F47">
        <w:rPr>
          <w:rFonts w:cs="Arial"/>
          <w:color w:val="auto"/>
          <w:sz w:val="16"/>
          <w:szCs w:val="16"/>
        </w:rPr>
        <w:t xml:space="preserve">uman </w:t>
      </w:r>
      <w:r w:rsidR="00DA6D26">
        <w:rPr>
          <w:rFonts w:cs="Arial"/>
          <w:color w:val="auto"/>
          <w:sz w:val="16"/>
          <w:szCs w:val="16"/>
        </w:rPr>
        <w:t>d</w:t>
      </w:r>
      <w:r w:rsidRPr="00CB4F47">
        <w:rPr>
          <w:rFonts w:cs="Arial"/>
          <w:color w:val="auto"/>
          <w:sz w:val="16"/>
          <w:szCs w:val="16"/>
        </w:rPr>
        <w:t>evelopment</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19, in </w:t>
      </w:r>
      <w:r w:rsidRPr="00CB4F47">
        <w:rPr>
          <w:rFonts w:cs="Arial"/>
          <w:color w:val="auto"/>
          <w:sz w:val="16"/>
          <w:szCs w:val="16"/>
          <w:lang w:eastAsia="en-NZ"/>
        </w:rPr>
        <w:t>Shonkoff</w:t>
      </w:r>
      <w:r w:rsidR="00CE02A6">
        <w:rPr>
          <w:rFonts w:cs="Arial"/>
          <w:color w:val="auto"/>
          <w:sz w:val="16"/>
          <w:szCs w:val="16"/>
          <w:lang w:eastAsia="en-NZ"/>
        </w:rPr>
        <w:t>,</w:t>
      </w:r>
      <w:r w:rsidRPr="00CB4F47">
        <w:rPr>
          <w:rFonts w:cs="Arial"/>
          <w:color w:val="auto"/>
          <w:sz w:val="16"/>
          <w:szCs w:val="16"/>
          <w:lang w:eastAsia="en-NZ"/>
        </w:rPr>
        <w:t xml:space="preserve"> JP</w:t>
      </w:r>
      <w:r w:rsidR="00CE02A6">
        <w:rPr>
          <w:rFonts w:cs="Arial"/>
          <w:color w:val="auto"/>
          <w:sz w:val="16"/>
          <w:szCs w:val="16"/>
          <w:lang w:eastAsia="en-NZ"/>
        </w:rPr>
        <w:t xml:space="preserve"> </w:t>
      </w:r>
      <w:r w:rsidR="00A671DF">
        <w:rPr>
          <w:rFonts w:cs="Arial"/>
          <w:color w:val="auto"/>
          <w:sz w:val="16"/>
          <w:szCs w:val="16"/>
          <w:lang w:eastAsia="en-NZ"/>
        </w:rPr>
        <w:t>&amp;</w:t>
      </w:r>
      <w:r w:rsidRPr="00CB4F47">
        <w:rPr>
          <w:rFonts w:cs="Arial"/>
          <w:color w:val="auto"/>
          <w:sz w:val="16"/>
          <w:szCs w:val="16"/>
          <w:lang w:eastAsia="en-NZ"/>
        </w:rPr>
        <w:t xml:space="preserve"> Phillips</w:t>
      </w:r>
      <w:r w:rsidR="00CE02A6">
        <w:rPr>
          <w:rFonts w:cs="Arial"/>
          <w:color w:val="auto"/>
          <w:sz w:val="16"/>
          <w:szCs w:val="16"/>
          <w:lang w:eastAsia="en-NZ"/>
        </w:rPr>
        <w:t>,</w:t>
      </w:r>
      <w:r w:rsidRPr="00CB4F47">
        <w:rPr>
          <w:rFonts w:cs="Arial"/>
          <w:color w:val="auto"/>
          <w:sz w:val="16"/>
          <w:szCs w:val="16"/>
          <w:lang w:eastAsia="en-NZ"/>
        </w:rPr>
        <w:t xml:space="preserve"> DA (eds</w:t>
      </w:r>
      <w:r w:rsidR="00A671DF" w:rsidRPr="00CB4F47">
        <w:rPr>
          <w:rFonts w:cs="Arial"/>
          <w:color w:val="auto"/>
          <w:sz w:val="16"/>
          <w:szCs w:val="16"/>
          <w:lang w:eastAsia="en-NZ"/>
        </w:rPr>
        <w:t>)</w:t>
      </w:r>
      <w:r w:rsidR="00A671DF">
        <w:rPr>
          <w:rFonts w:cs="Arial"/>
          <w:color w:val="auto"/>
          <w:sz w:val="16"/>
          <w:szCs w:val="16"/>
          <w:lang w:eastAsia="en-NZ"/>
        </w:rPr>
        <w:t>,</w:t>
      </w:r>
      <w:r w:rsidRPr="00CB4F47">
        <w:rPr>
          <w:rFonts w:cs="Arial"/>
          <w:color w:val="auto"/>
          <w:sz w:val="16"/>
          <w:szCs w:val="16"/>
          <w:lang w:eastAsia="en-NZ"/>
        </w:rPr>
        <w:t xml:space="preserve"> From </w:t>
      </w:r>
      <w:r w:rsidR="00793B08">
        <w:rPr>
          <w:rFonts w:cs="Arial"/>
          <w:color w:val="auto"/>
          <w:sz w:val="16"/>
          <w:szCs w:val="16"/>
          <w:lang w:eastAsia="en-NZ"/>
        </w:rPr>
        <w:t>n</w:t>
      </w:r>
      <w:r w:rsidR="00793B08" w:rsidRPr="00CB4F47">
        <w:rPr>
          <w:rFonts w:cs="Arial"/>
          <w:color w:val="auto"/>
          <w:sz w:val="16"/>
          <w:szCs w:val="16"/>
          <w:lang w:eastAsia="en-NZ"/>
        </w:rPr>
        <w:t xml:space="preserve">eurons </w:t>
      </w:r>
      <w:r w:rsidRPr="00CB4F47">
        <w:rPr>
          <w:rFonts w:cs="Arial"/>
          <w:color w:val="auto"/>
          <w:sz w:val="16"/>
          <w:szCs w:val="16"/>
          <w:lang w:eastAsia="en-NZ"/>
        </w:rPr>
        <w:t xml:space="preserve">to </w:t>
      </w:r>
      <w:r w:rsidR="00A671DF">
        <w:rPr>
          <w:rFonts w:cs="Arial"/>
          <w:color w:val="auto"/>
          <w:sz w:val="16"/>
          <w:szCs w:val="16"/>
          <w:lang w:eastAsia="en-NZ"/>
        </w:rPr>
        <w:t>n</w:t>
      </w:r>
      <w:r w:rsidR="00A671DF" w:rsidRPr="00CB4F47">
        <w:rPr>
          <w:rFonts w:cs="Arial"/>
          <w:color w:val="auto"/>
          <w:sz w:val="16"/>
          <w:szCs w:val="16"/>
          <w:lang w:eastAsia="en-NZ"/>
        </w:rPr>
        <w:t>eighborhoods</w:t>
      </w:r>
      <w:r w:rsidRPr="00CB4F47">
        <w:rPr>
          <w:rFonts w:cs="Arial"/>
          <w:color w:val="auto"/>
          <w:sz w:val="16"/>
          <w:szCs w:val="16"/>
          <w:lang w:eastAsia="en-NZ"/>
        </w:rPr>
        <w:t xml:space="preserve">: The </w:t>
      </w:r>
      <w:r w:rsidR="00793B08">
        <w:rPr>
          <w:rFonts w:cs="Arial"/>
          <w:color w:val="auto"/>
          <w:sz w:val="16"/>
          <w:szCs w:val="16"/>
          <w:lang w:eastAsia="en-NZ"/>
        </w:rPr>
        <w:t>s</w:t>
      </w:r>
      <w:r w:rsidR="00793B08" w:rsidRPr="00CB4F47">
        <w:rPr>
          <w:rFonts w:cs="Arial"/>
          <w:color w:val="auto"/>
          <w:sz w:val="16"/>
          <w:szCs w:val="16"/>
          <w:lang w:eastAsia="en-NZ"/>
        </w:rPr>
        <w:t xml:space="preserve">cience </w:t>
      </w:r>
      <w:r w:rsidRPr="00CB4F47">
        <w:rPr>
          <w:rFonts w:cs="Arial"/>
          <w:color w:val="auto"/>
          <w:sz w:val="16"/>
          <w:szCs w:val="16"/>
          <w:lang w:eastAsia="en-NZ"/>
        </w:rPr>
        <w:t xml:space="preserve">of </w:t>
      </w:r>
      <w:r w:rsidR="00793B08">
        <w:rPr>
          <w:rFonts w:cs="Arial"/>
          <w:color w:val="auto"/>
          <w:sz w:val="16"/>
          <w:szCs w:val="16"/>
          <w:lang w:eastAsia="en-NZ"/>
        </w:rPr>
        <w:t>e</w:t>
      </w:r>
      <w:r w:rsidR="00793B08" w:rsidRPr="00CB4F47">
        <w:rPr>
          <w:rFonts w:cs="Arial"/>
          <w:color w:val="auto"/>
          <w:sz w:val="16"/>
          <w:szCs w:val="16"/>
          <w:lang w:eastAsia="en-NZ"/>
        </w:rPr>
        <w:t xml:space="preserve">arly </w:t>
      </w:r>
      <w:r w:rsidR="00793B08">
        <w:rPr>
          <w:rFonts w:cs="Arial"/>
          <w:color w:val="auto"/>
          <w:sz w:val="16"/>
          <w:szCs w:val="16"/>
          <w:lang w:eastAsia="en-NZ"/>
        </w:rPr>
        <w:t>c</w:t>
      </w:r>
      <w:r w:rsidR="00793B08" w:rsidRPr="00CB4F47">
        <w:rPr>
          <w:rFonts w:cs="Arial"/>
          <w:color w:val="auto"/>
          <w:sz w:val="16"/>
          <w:szCs w:val="16"/>
          <w:lang w:eastAsia="en-NZ"/>
        </w:rPr>
        <w:t xml:space="preserve">hildhood </w:t>
      </w:r>
      <w:r w:rsidR="00A671DF">
        <w:rPr>
          <w:rFonts w:cs="Arial"/>
          <w:color w:val="auto"/>
          <w:sz w:val="16"/>
          <w:szCs w:val="16"/>
          <w:lang w:eastAsia="en-NZ"/>
        </w:rPr>
        <w:t>d</w:t>
      </w:r>
      <w:r w:rsidR="00A671DF" w:rsidRPr="00CB4F47">
        <w:rPr>
          <w:rFonts w:cs="Arial"/>
          <w:color w:val="auto"/>
          <w:sz w:val="16"/>
          <w:szCs w:val="16"/>
          <w:lang w:eastAsia="en-NZ"/>
        </w:rPr>
        <w:t>evelopment</w:t>
      </w:r>
      <w:r w:rsidRPr="00CB4F47">
        <w:rPr>
          <w:rFonts w:cs="Arial"/>
          <w:color w:val="auto"/>
          <w:sz w:val="16"/>
          <w:szCs w:val="16"/>
          <w:lang w:eastAsia="en-NZ"/>
        </w:rPr>
        <w:t xml:space="preserve"> (Committee on Integrating the Science of Early Childhood Development, 2000</w:t>
      </w:r>
      <w:r w:rsidR="00A671DF" w:rsidRPr="00CB4F47">
        <w:rPr>
          <w:rFonts w:cs="Arial"/>
          <w:color w:val="auto"/>
          <w:sz w:val="16"/>
          <w:szCs w:val="16"/>
          <w:lang w:eastAsia="en-NZ"/>
        </w:rPr>
        <w:t>,</w:t>
      </w:r>
      <w:r w:rsidRPr="00CB4F47">
        <w:rPr>
          <w:rFonts w:cs="Arial"/>
          <w:color w:val="auto"/>
          <w:sz w:val="16"/>
          <w:szCs w:val="16"/>
          <w:lang w:eastAsia="en-NZ"/>
        </w:rPr>
        <w:t xml:space="preserve"> </w:t>
      </w:r>
      <w:r w:rsidR="00C32E74" w:rsidRPr="00CB4F47">
        <w:rPr>
          <w:rFonts w:cs="Arial"/>
          <w:color w:val="auto"/>
          <w:sz w:val="16"/>
          <w:szCs w:val="16"/>
        </w:rPr>
        <w:t>page</w:t>
      </w:r>
      <w:r w:rsidRPr="00CB4F47">
        <w:rPr>
          <w:rFonts w:cs="Arial"/>
          <w:color w:val="auto"/>
          <w:sz w:val="16"/>
          <w:szCs w:val="16"/>
          <w:lang w:eastAsia="en-NZ"/>
        </w:rPr>
        <w:t xml:space="preserve"> 58</w:t>
      </w:r>
      <w:r w:rsidR="002A7AEA">
        <w:rPr>
          <w:rFonts w:cs="Arial"/>
          <w:color w:val="auto"/>
          <w:sz w:val="16"/>
          <w:szCs w:val="16"/>
          <w:lang w:eastAsia="en-NZ"/>
        </w:rPr>
        <w:t>)</w:t>
      </w:r>
      <w:r w:rsidRPr="00CB4F47">
        <w:rPr>
          <w:rFonts w:cs="Arial"/>
          <w:color w:val="auto"/>
          <w:sz w:val="16"/>
          <w:szCs w:val="16"/>
          <w:lang w:eastAsia="en-NZ"/>
        </w:rPr>
        <w:t>.</w:t>
      </w:r>
    </w:p>
  </w:footnote>
  <w:footnote w:id="370">
    <w:p w14:paraId="72DCFC27" w14:textId="68DFFD2A" w:rsidR="00204FC4" w:rsidRPr="001142DD" w:rsidRDefault="00204FC4">
      <w:pPr>
        <w:pStyle w:val="FootnoteText"/>
        <w:rPr>
          <w:sz w:val="16"/>
          <w:szCs w:val="16"/>
        </w:rPr>
      </w:pPr>
      <w:r>
        <w:rPr>
          <w:rStyle w:val="FootnoteReference"/>
        </w:rPr>
        <w:footnoteRef/>
      </w:r>
      <w:hyperlink r:id="rId92" w:history="1">
        <w:r w:rsidR="005435A3" w:rsidRPr="001142DD">
          <w:rPr>
            <w:rStyle w:val="Hyperlink"/>
            <w:sz w:val="16"/>
            <w:szCs w:val="16"/>
          </w:rPr>
          <w:t xml:space="preserve"> </w:t>
        </w:r>
        <w:r w:rsidR="005435A3" w:rsidRPr="00317445">
          <w:rPr>
            <w:rFonts w:cs="Arial"/>
            <w:color w:val="auto"/>
            <w:sz w:val="16"/>
            <w:szCs w:val="16"/>
            <w:shd w:val="clear" w:color="auto" w:fill="FFFFFF"/>
          </w:rPr>
          <w:t>Ritchie</w:t>
        </w:r>
        <w:r w:rsidR="0034107F" w:rsidRPr="00317445">
          <w:rPr>
            <w:rFonts w:cs="Arial"/>
            <w:color w:val="auto"/>
            <w:sz w:val="16"/>
            <w:szCs w:val="16"/>
            <w:shd w:val="clear" w:color="auto" w:fill="FFFFFF"/>
          </w:rPr>
          <w:t>, J</w:t>
        </w:r>
        <w:r w:rsidR="005435A3" w:rsidRPr="00317445">
          <w:rPr>
            <w:rFonts w:cs="Arial"/>
            <w:color w:val="auto"/>
            <w:sz w:val="16"/>
            <w:szCs w:val="16"/>
            <w:shd w:val="clear" w:color="auto" w:fill="FFFFFF"/>
          </w:rPr>
          <w:t xml:space="preserve"> </w:t>
        </w:r>
        <w:r w:rsidR="00AF416F" w:rsidRPr="00317445">
          <w:rPr>
            <w:rFonts w:cs="Arial"/>
            <w:color w:val="auto"/>
            <w:sz w:val="16"/>
            <w:szCs w:val="16"/>
            <w:shd w:val="clear" w:color="auto" w:fill="FFFFFF"/>
          </w:rPr>
          <w:t>&amp; Ritchie, JE, Spare the rod (Allen &amp; Unwin, 1981)</w:t>
        </w:r>
        <w:r w:rsidR="00920C27" w:rsidRPr="00317445">
          <w:rPr>
            <w:rFonts w:cs="Arial"/>
            <w:color w:val="auto"/>
            <w:sz w:val="16"/>
            <w:szCs w:val="16"/>
            <w:shd w:val="clear" w:color="auto" w:fill="FFFFFF"/>
          </w:rPr>
          <w:t>.</w:t>
        </w:r>
      </w:hyperlink>
    </w:p>
  </w:footnote>
  <w:footnote w:id="371">
    <w:p w14:paraId="747A5913" w14:textId="09EF6D5C" w:rsidR="000E429D" w:rsidRPr="00CB4F47" w:rsidRDefault="000E429D" w:rsidP="002F3A8B">
      <w:pPr>
        <w:pStyle w:val="FootnoteText"/>
        <w:spacing w:line="20" w:lineRule="atLeast"/>
        <w:jc w:val="left"/>
        <w:rPr>
          <w:rFonts w:cs="Arial"/>
          <w:color w:val="auto"/>
          <w:sz w:val="16"/>
          <w:szCs w:val="16"/>
          <w:shd w:val="clear" w:color="auto" w:fill="FFFFFF"/>
        </w:rPr>
      </w:pPr>
      <w:r w:rsidRPr="00536E67">
        <w:rPr>
          <w:rStyle w:val="StyleFootnoteReferenceFagoFunotenzeichenFagoFunotenzeichen"/>
          <w:sz w:val="16"/>
          <w:szCs w:val="16"/>
        </w:rPr>
        <w:footnoteRef/>
      </w:r>
      <w:r w:rsidRPr="00CB4F47">
        <w:rPr>
          <w:color w:val="auto"/>
          <w:sz w:val="16"/>
          <w:szCs w:val="16"/>
        </w:rPr>
        <w:t xml:space="preserve"> </w:t>
      </w:r>
      <w:r w:rsidRPr="00CB4F47">
        <w:rPr>
          <w:rFonts w:cs="Arial"/>
          <w:color w:val="auto"/>
          <w:sz w:val="16"/>
          <w:szCs w:val="16"/>
          <w:shd w:val="clear" w:color="auto" w:fill="FFFFFF"/>
        </w:rPr>
        <w:t xml:space="preserve">Tangaere, </w:t>
      </w:r>
      <w:r w:rsidR="00A671DF" w:rsidRPr="00CB4F47">
        <w:rPr>
          <w:rFonts w:cs="Arial"/>
          <w:color w:val="auto"/>
          <w:sz w:val="16"/>
          <w:szCs w:val="16"/>
          <w:shd w:val="clear" w:color="auto" w:fill="FFFFFF"/>
        </w:rPr>
        <w:t>AR</w:t>
      </w:r>
      <w:r w:rsidRPr="00CB4F47">
        <w:rPr>
          <w:rFonts w:cs="Arial"/>
          <w:color w:val="auto"/>
          <w:sz w:val="16"/>
          <w:szCs w:val="16"/>
          <w:shd w:val="clear" w:color="auto" w:fill="FFFFFF"/>
        </w:rPr>
        <w:t>, “Māori human development learning theory</w:t>
      </w:r>
      <w:r w:rsidR="00A671DF">
        <w:rPr>
          <w:rFonts w:cs="Arial"/>
          <w:color w:val="auto"/>
          <w:sz w:val="16"/>
          <w:szCs w:val="16"/>
          <w:shd w:val="clear" w:color="auto" w:fill="FFFFFF"/>
        </w:rPr>
        <w:t>,</w:t>
      </w:r>
      <w:r w:rsidR="00A671DF" w:rsidRPr="00CB4F47">
        <w:rPr>
          <w:rFonts w:cs="Arial"/>
          <w:color w:val="auto"/>
          <w:sz w:val="16"/>
          <w:szCs w:val="16"/>
          <w:shd w:val="clear" w:color="auto" w:fill="FFFFFF"/>
        </w:rPr>
        <w:t>”</w:t>
      </w:r>
      <w:r w:rsidRPr="00CB4F47">
        <w:rPr>
          <w:rFonts w:cs="Arial"/>
          <w:color w:val="auto"/>
          <w:sz w:val="16"/>
          <w:szCs w:val="16"/>
          <w:shd w:val="clear" w:color="auto" w:fill="FFFFFF"/>
        </w:rPr>
        <w:t xml:space="preserve"> in Te Whāiti, P, McCarthy, B &amp; Durie, A (eds</w:t>
      </w:r>
      <w:r w:rsidR="00A671DF" w:rsidRPr="00CB4F47">
        <w:rPr>
          <w:rFonts w:cs="Arial"/>
          <w:color w:val="auto"/>
          <w:sz w:val="16"/>
          <w:szCs w:val="16"/>
          <w:shd w:val="clear" w:color="auto" w:fill="FFFFFF"/>
        </w:rPr>
        <w:t>)</w:t>
      </w:r>
      <w:r w:rsidR="00A671DF">
        <w:rPr>
          <w:rFonts w:cs="Arial"/>
          <w:color w:val="auto"/>
          <w:sz w:val="16"/>
          <w:szCs w:val="16"/>
          <w:shd w:val="clear" w:color="auto" w:fill="FFFFFF"/>
        </w:rPr>
        <w:t>,</w:t>
      </w:r>
      <w:r w:rsidRPr="00CB4F47">
        <w:rPr>
          <w:rFonts w:cs="Arial"/>
          <w:color w:val="auto"/>
          <w:sz w:val="16"/>
          <w:szCs w:val="16"/>
          <w:shd w:val="clear" w:color="auto" w:fill="FFFFFF"/>
        </w:rPr>
        <w:t xml:space="preserve"> Mai i rangiātea: Māori wellbeing and development (Auckland University Press, 1997</w:t>
      </w:r>
      <w:r w:rsidR="00A671DF" w:rsidRPr="00CB4F47">
        <w:rPr>
          <w:rFonts w:cs="Arial"/>
          <w:color w:val="auto"/>
          <w:sz w:val="16"/>
          <w:szCs w:val="16"/>
          <w:shd w:val="clear" w:color="auto" w:fill="FFFFFF"/>
        </w:rPr>
        <w:t>,</w:t>
      </w:r>
      <w:r w:rsidRPr="00CB4F47">
        <w:rPr>
          <w:rFonts w:cs="Arial"/>
          <w:color w:val="auto"/>
          <w:sz w:val="16"/>
          <w:szCs w:val="16"/>
          <w:shd w:val="clear" w:color="auto" w:fill="FFFFFF"/>
        </w:rPr>
        <w:t xml:space="preserve"> </w:t>
      </w:r>
      <w:r w:rsidRPr="00CB4F47">
        <w:rPr>
          <w:rFonts w:cs="Arial"/>
          <w:color w:val="auto"/>
          <w:sz w:val="16"/>
          <w:szCs w:val="16"/>
        </w:rPr>
        <w:t xml:space="preserve">pages </w:t>
      </w:r>
      <w:r w:rsidRPr="00CB4F47">
        <w:rPr>
          <w:rFonts w:cs="Arial"/>
          <w:color w:val="auto"/>
          <w:sz w:val="16"/>
          <w:szCs w:val="16"/>
          <w:shd w:val="clear" w:color="auto" w:fill="FFFFFF"/>
        </w:rPr>
        <w:t>46</w:t>
      </w:r>
      <w:r w:rsidRPr="00CB4F47">
        <w:rPr>
          <w:rFonts w:eastAsia="Calibri" w:cs="Arial"/>
          <w:sz w:val="16"/>
          <w:szCs w:val="16"/>
          <w:lang w:val="en-US"/>
        </w:rPr>
        <w:t>–</w:t>
      </w:r>
      <w:r w:rsidRPr="00CB4F47">
        <w:rPr>
          <w:rFonts w:cs="Arial"/>
          <w:color w:val="auto"/>
          <w:sz w:val="16"/>
          <w:szCs w:val="16"/>
          <w:shd w:val="clear" w:color="auto" w:fill="FFFFFF"/>
        </w:rPr>
        <w:t>60</w:t>
      </w:r>
      <w:r w:rsidR="002A7AEA">
        <w:rPr>
          <w:rFonts w:cs="Arial"/>
          <w:color w:val="auto"/>
          <w:sz w:val="16"/>
          <w:szCs w:val="16"/>
          <w:shd w:val="clear" w:color="auto" w:fill="FFFFFF"/>
        </w:rPr>
        <w:t>)</w:t>
      </w:r>
      <w:r w:rsidRPr="00CB4F47">
        <w:rPr>
          <w:rFonts w:cs="Arial"/>
          <w:color w:val="auto"/>
          <w:sz w:val="16"/>
          <w:szCs w:val="16"/>
          <w:shd w:val="clear" w:color="auto" w:fill="FFFFFF"/>
        </w:rPr>
        <w:t>.</w:t>
      </w:r>
    </w:p>
  </w:footnote>
  <w:footnote w:id="372">
    <w:p w14:paraId="6ABDB753" w14:textId="4A2F5483" w:rsidR="000E429D" w:rsidRPr="00CB4F47" w:rsidRDefault="000E429D" w:rsidP="002F3A8B">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color w:val="auto"/>
          <w:sz w:val="16"/>
          <w:szCs w:val="16"/>
        </w:rPr>
        <w:t xml:space="preserve"> </w:t>
      </w:r>
      <w:r w:rsidRPr="00CB4F47">
        <w:rPr>
          <w:rFonts w:cs="Arial"/>
          <w:color w:val="auto"/>
          <w:sz w:val="16"/>
          <w:szCs w:val="16"/>
          <w:shd w:val="clear" w:color="auto" w:fill="FFFFFF"/>
        </w:rPr>
        <w:t xml:space="preserve">Tangaere, </w:t>
      </w:r>
      <w:r w:rsidR="00A671DF" w:rsidRPr="00CB4F47">
        <w:rPr>
          <w:rFonts w:cs="Arial"/>
          <w:color w:val="auto"/>
          <w:sz w:val="16"/>
          <w:szCs w:val="16"/>
          <w:shd w:val="clear" w:color="auto" w:fill="FFFFFF"/>
        </w:rPr>
        <w:t>AR</w:t>
      </w:r>
      <w:r w:rsidRPr="00CB4F47">
        <w:rPr>
          <w:rFonts w:cs="Arial"/>
          <w:color w:val="auto"/>
          <w:sz w:val="16"/>
          <w:szCs w:val="16"/>
          <w:shd w:val="clear" w:color="auto" w:fill="FFFFFF"/>
        </w:rPr>
        <w:t>, “Māori human development learning theory</w:t>
      </w:r>
      <w:r w:rsidR="00A671DF">
        <w:rPr>
          <w:rFonts w:cs="Arial"/>
          <w:color w:val="auto"/>
          <w:sz w:val="16"/>
          <w:szCs w:val="16"/>
          <w:shd w:val="clear" w:color="auto" w:fill="FFFFFF"/>
        </w:rPr>
        <w:t>,</w:t>
      </w:r>
      <w:r w:rsidR="00A671DF" w:rsidRPr="00CB4F47">
        <w:rPr>
          <w:rFonts w:cs="Arial"/>
          <w:color w:val="auto"/>
          <w:sz w:val="16"/>
          <w:szCs w:val="16"/>
          <w:shd w:val="clear" w:color="auto" w:fill="FFFFFF"/>
        </w:rPr>
        <w:t>”</w:t>
      </w:r>
      <w:r w:rsidRPr="00CB4F47">
        <w:rPr>
          <w:rFonts w:cs="Arial"/>
          <w:color w:val="auto"/>
          <w:sz w:val="16"/>
          <w:szCs w:val="16"/>
          <w:shd w:val="clear" w:color="auto" w:fill="FFFFFF"/>
        </w:rPr>
        <w:t xml:space="preserve"> in Te Whāiti, P, McCarthy, B &amp; Durie, A (eds</w:t>
      </w:r>
      <w:r w:rsidR="00A671DF" w:rsidRPr="00CB4F47">
        <w:rPr>
          <w:rFonts w:cs="Arial"/>
          <w:color w:val="auto"/>
          <w:sz w:val="16"/>
          <w:szCs w:val="16"/>
          <w:shd w:val="clear" w:color="auto" w:fill="FFFFFF"/>
        </w:rPr>
        <w:t>)</w:t>
      </w:r>
      <w:r w:rsidR="00A671DF">
        <w:rPr>
          <w:rFonts w:cs="Arial"/>
          <w:color w:val="auto"/>
          <w:sz w:val="16"/>
          <w:szCs w:val="16"/>
          <w:shd w:val="clear" w:color="auto" w:fill="FFFFFF"/>
        </w:rPr>
        <w:t>,</w:t>
      </w:r>
      <w:r w:rsidRPr="00CB4F47">
        <w:rPr>
          <w:rFonts w:cs="Arial"/>
          <w:color w:val="auto"/>
          <w:sz w:val="16"/>
          <w:szCs w:val="16"/>
          <w:shd w:val="clear" w:color="auto" w:fill="FFFFFF"/>
        </w:rPr>
        <w:t xml:space="preserve"> Mai i rangiātea: Māori wellbeing and development (Auckland University Press, 1997</w:t>
      </w:r>
      <w:r w:rsidR="00A671DF" w:rsidRPr="00CB4F47">
        <w:rPr>
          <w:rFonts w:cs="Arial"/>
          <w:color w:val="auto"/>
          <w:sz w:val="16"/>
          <w:szCs w:val="16"/>
          <w:shd w:val="clear" w:color="auto" w:fill="FFFFFF"/>
        </w:rPr>
        <w:t>,</w:t>
      </w:r>
      <w:r w:rsidRPr="00CB4F47">
        <w:rPr>
          <w:rFonts w:cs="Arial"/>
          <w:color w:val="auto"/>
          <w:sz w:val="16"/>
          <w:szCs w:val="16"/>
          <w:shd w:val="clear" w:color="auto" w:fill="FFFFFF"/>
        </w:rPr>
        <w:t xml:space="preserve"> </w:t>
      </w:r>
      <w:r w:rsidR="00C32E74" w:rsidRPr="00CB4F47">
        <w:rPr>
          <w:rFonts w:cs="Arial"/>
          <w:color w:val="auto"/>
          <w:sz w:val="16"/>
          <w:szCs w:val="16"/>
        </w:rPr>
        <w:t>page</w:t>
      </w:r>
      <w:r w:rsidRPr="00CB4F47">
        <w:rPr>
          <w:rFonts w:cs="Arial"/>
          <w:color w:val="auto"/>
          <w:sz w:val="16"/>
          <w:szCs w:val="16"/>
          <w:shd w:val="clear" w:color="auto" w:fill="FFFFFF"/>
        </w:rPr>
        <w:t xml:space="preserve"> 58</w:t>
      </w:r>
      <w:r w:rsidR="002A7AEA">
        <w:rPr>
          <w:rFonts w:cs="Arial"/>
          <w:color w:val="auto"/>
          <w:sz w:val="16"/>
          <w:szCs w:val="16"/>
          <w:shd w:val="clear" w:color="auto" w:fill="FFFFFF"/>
        </w:rPr>
        <w:t>)</w:t>
      </w:r>
      <w:r w:rsidRPr="00CB4F47">
        <w:rPr>
          <w:rFonts w:cs="Arial"/>
          <w:color w:val="auto"/>
          <w:sz w:val="16"/>
          <w:szCs w:val="16"/>
          <w:shd w:val="clear" w:color="auto" w:fill="FFFFFF"/>
        </w:rPr>
        <w:t>.</w:t>
      </w:r>
    </w:p>
  </w:footnote>
  <w:footnote w:id="373">
    <w:p w14:paraId="4371CBCC" w14:textId="22A1246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color w:val="auto"/>
          <w:sz w:val="16"/>
          <w:szCs w:val="16"/>
          <w:shd w:val="clear" w:color="auto" w:fill="F9F7F4"/>
        </w:rPr>
        <w:t xml:space="preserve">Dalley, B, Child </w:t>
      </w:r>
      <w:r w:rsidR="00A671DF" w:rsidRPr="00CB4F47">
        <w:rPr>
          <w:rFonts w:cs="Arial"/>
          <w:color w:val="auto"/>
          <w:sz w:val="16"/>
          <w:szCs w:val="16"/>
          <w:shd w:val="clear" w:color="auto" w:fill="F9F7F4"/>
        </w:rPr>
        <w:t>abuse</w:t>
      </w:r>
      <w:r w:rsidRPr="00CB4F47">
        <w:rPr>
          <w:rFonts w:cs="Arial"/>
          <w:color w:val="auto"/>
          <w:sz w:val="16"/>
          <w:szCs w:val="16"/>
          <w:shd w:val="clear" w:color="auto" w:fill="F9F7F4"/>
        </w:rPr>
        <w:t xml:space="preserve"> (Te Ara</w:t>
      </w:r>
      <w:r w:rsidR="008E6071">
        <w:rPr>
          <w:rFonts w:cs="Arial"/>
          <w:color w:val="auto"/>
          <w:sz w:val="16"/>
          <w:szCs w:val="16"/>
          <w:shd w:val="clear" w:color="auto" w:fill="F9F7F4"/>
        </w:rPr>
        <w:t xml:space="preserve"> – </w:t>
      </w:r>
      <w:r w:rsidR="00AE722A">
        <w:rPr>
          <w:rFonts w:cs="Arial"/>
          <w:color w:val="auto"/>
          <w:sz w:val="16"/>
          <w:szCs w:val="16"/>
          <w:shd w:val="clear" w:color="auto" w:fill="F9F7F4"/>
        </w:rPr>
        <w:t>T</w:t>
      </w:r>
      <w:r w:rsidR="008E6071">
        <w:rPr>
          <w:rFonts w:cs="Arial"/>
          <w:color w:val="auto"/>
          <w:sz w:val="16"/>
          <w:szCs w:val="16"/>
          <w:shd w:val="clear" w:color="auto" w:fill="F9F7F4"/>
        </w:rPr>
        <w:t>he Encyclopedia of New Zealand</w:t>
      </w:r>
      <w:r w:rsidRPr="00CB4F47">
        <w:rPr>
          <w:rFonts w:cs="Arial"/>
          <w:color w:val="auto"/>
          <w:sz w:val="16"/>
          <w:szCs w:val="16"/>
          <w:shd w:val="clear" w:color="auto" w:fill="F9F7F4"/>
        </w:rPr>
        <w:t>, 5 May 2011)</w:t>
      </w:r>
      <w:r w:rsidR="00AE6EAE">
        <w:rPr>
          <w:rFonts w:cs="Arial"/>
          <w:color w:val="auto"/>
          <w:sz w:val="16"/>
          <w:szCs w:val="16"/>
          <w:shd w:val="clear" w:color="auto" w:fill="F9F7F4"/>
        </w:rPr>
        <w:t xml:space="preserve">, </w:t>
      </w:r>
      <w:hyperlink r:id="rId93" w:history="1">
        <w:r w:rsidR="00AE6EAE" w:rsidRPr="00AE6EAE">
          <w:rPr>
            <w:rStyle w:val="Hyperlink"/>
            <w:rFonts w:cs="Arial"/>
            <w:sz w:val="16"/>
            <w:szCs w:val="16"/>
            <w:shd w:val="clear" w:color="auto" w:fill="F9F7F4"/>
          </w:rPr>
          <w:t>https://teara.govt.nz/en/child-abuse</w:t>
        </w:r>
      </w:hyperlink>
      <w:r w:rsidRPr="00CB4F47">
        <w:rPr>
          <w:rFonts w:cs="Arial"/>
          <w:color w:val="auto"/>
          <w:sz w:val="16"/>
          <w:szCs w:val="16"/>
          <w:shd w:val="clear" w:color="auto" w:fill="F9F7F4"/>
        </w:rPr>
        <w:t>.</w:t>
      </w:r>
    </w:p>
  </w:footnote>
  <w:footnote w:id="374">
    <w:p w14:paraId="56757071" w14:textId="5DA2620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Fanslow, J, Hashem, L, Gulliver, P &amp; McIntosh, T, “A </w:t>
      </w:r>
      <w:r w:rsidRPr="00CB4F47">
        <w:rPr>
          <w:rFonts w:cs="Arial"/>
          <w:sz w:val="16"/>
          <w:szCs w:val="16"/>
        </w:rPr>
        <w:t>century of sexual abuse victimisation: A birth cohort analysis</w:t>
      </w:r>
      <w:r w:rsidR="00A671DF">
        <w:rPr>
          <w:rFonts w:cs="Arial"/>
          <w:sz w:val="16"/>
          <w:szCs w:val="16"/>
        </w:rPr>
        <w:t>,</w:t>
      </w:r>
      <w:r w:rsidR="00A671DF" w:rsidRPr="00CB4F47">
        <w:rPr>
          <w:rFonts w:cs="Arial"/>
          <w:color w:val="auto"/>
          <w:sz w:val="16"/>
          <w:szCs w:val="16"/>
        </w:rPr>
        <w:t>”</w:t>
      </w:r>
      <w:r w:rsidRPr="00CB4F47">
        <w:rPr>
          <w:rFonts w:cs="Arial"/>
          <w:color w:val="auto"/>
          <w:sz w:val="16"/>
          <w:szCs w:val="16"/>
        </w:rPr>
        <w:t xml:space="preserve"> Social Science and Medicine (2021</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4</w:t>
      </w:r>
      <w:r w:rsidR="002A7AEA">
        <w:rPr>
          <w:rFonts w:cs="Arial"/>
          <w:color w:val="auto"/>
          <w:sz w:val="16"/>
          <w:szCs w:val="16"/>
        </w:rPr>
        <w:t>)</w:t>
      </w:r>
      <w:r w:rsidRPr="00CB4F47">
        <w:rPr>
          <w:rFonts w:cs="Arial"/>
          <w:color w:val="auto"/>
          <w:sz w:val="16"/>
          <w:szCs w:val="16"/>
        </w:rPr>
        <w:t xml:space="preserve">. </w:t>
      </w:r>
    </w:p>
  </w:footnote>
  <w:footnote w:id="375">
    <w:p w14:paraId="36F6B190" w14:textId="7D28E9C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00A671DF" w:rsidRPr="00CB4F47">
        <w:rPr>
          <w:rFonts w:cs="Arial"/>
          <w:color w:val="auto"/>
          <w:sz w:val="16"/>
          <w:szCs w:val="16"/>
        </w:rPr>
        <w:t xml:space="preserve"> Friedman, MJ, PTSD History and Overview (US Department of Veterans Affairs</w:t>
      </w:r>
      <w:r w:rsidR="00A671DF">
        <w:rPr>
          <w:rFonts w:cs="Arial"/>
          <w:color w:val="auto"/>
          <w:sz w:val="16"/>
          <w:szCs w:val="16"/>
        </w:rPr>
        <w:t xml:space="preserve"> accessed 9 March 2024), </w:t>
      </w:r>
      <w:hyperlink r:id="rId94" w:tgtFrame="_blank" w:tooltip="https://www.ptsd.va.gov/professional/treat/essentials/history_ptsd.asp" w:history="1">
        <w:r w:rsidR="00A671DF" w:rsidRPr="001A740B">
          <w:rPr>
            <w:rFonts w:cs="Arial"/>
            <w:color w:val="auto"/>
            <w:sz w:val="16"/>
            <w:szCs w:val="16"/>
          </w:rPr>
          <w:t>https://www.ptsd.va.gov/professional/treat/essentials/history_ptsd.asp</w:t>
        </w:r>
      </w:hyperlink>
      <w:r w:rsidR="00A671DF" w:rsidRPr="001A740B">
        <w:rPr>
          <w:rFonts w:cs="Arial"/>
          <w:color w:val="auto"/>
          <w:sz w:val="16"/>
          <w:szCs w:val="16"/>
        </w:rPr>
        <w:t>.</w:t>
      </w:r>
    </w:p>
  </w:footnote>
  <w:footnote w:id="376">
    <w:p w14:paraId="3F6E1843" w14:textId="1C674B87" w:rsidR="001773BD" w:rsidRPr="001A740B" w:rsidRDefault="001773BD">
      <w:pPr>
        <w:pStyle w:val="FootnoteText"/>
        <w:rPr>
          <w:sz w:val="16"/>
          <w:szCs w:val="16"/>
        </w:rPr>
      </w:pPr>
      <w:r w:rsidRPr="00536E67">
        <w:rPr>
          <w:rStyle w:val="StyleFootnoteReferenceFagoFunotenzeichenFagoFunotenzeichen"/>
          <w:sz w:val="16"/>
          <w:szCs w:val="16"/>
        </w:rPr>
        <w:footnoteRef/>
      </w:r>
      <w:r w:rsidRPr="001A740B">
        <w:rPr>
          <w:sz w:val="16"/>
          <w:szCs w:val="16"/>
        </w:rPr>
        <w:t xml:space="preserve"> American Psychiatric Association, Diagnostic and Statistical </w:t>
      </w:r>
      <w:r w:rsidR="00A73405">
        <w:rPr>
          <w:sz w:val="16"/>
          <w:szCs w:val="16"/>
        </w:rPr>
        <w:t>M</w:t>
      </w:r>
      <w:r w:rsidR="00A73405" w:rsidRPr="00FC5F93">
        <w:rPr>
          <w:sz w:val="16"/>
          <w:szCs w:val="16"/>
        </w:rPr>
        <w:t xml:space="preserve">anual </w:t>
      </w:r>
      <w:r w:rsidRPr="00FC5F93">
        <w:rPr>
          <w:sz w:val="16"/>
          <w:szCs w:val="16"/>
        </w:rPr>
        <w:t xml:space="preserve">of </w:t>
      </w:r>
      <w:r w:rsidR="00A73405">
        <w:rPr>
          <w:sz w:val="16"/>
          <w:szCs w:val="16"/>
        </w:rPr>
        <w:t>M</w:t>
      </w:r>
      <w:r w:rsidRPr="00FC5F93">
        <w:rPr>
          <w:sz w:val="16"/>
          <w:szCs w:val="16"/>
        </w:rPr>
        <w:t xml:space="preserve">ental </w:t>
      </w:r>
      <w:r w:rsidR="00A73405">
        <w:rPr>
          <w:sz w:val="16"/>
          <w:szCs w:val="16"/>
        </w:rPr>
        <w:t>D</w:t>
      </w:r>
      <w:r w:rsidRPr="00FC5F93">
        <w:rPr>
          <w:sz w:val="16"/>
          <w:szCs w:val="16"/>
        </w:rPr>
        <w:t>isorders</w:t>
      </w:r>
      <w:r w:rsidRPr="001A740B">
        <w:rPr>
          <w:sz w:val="16"/>
          <w:szCs w:val="16"/>
        </w:rPr>
        <w:t xml:space="preserve"> (5</w:t>
      </w:r>
      <w:r w:rsidRPr="001A740B">
        <w:rPr>
          <w:sz w:val="16"/>
          <w:szCs w:val="16"/>
          <w:vertAlign w:val="superscript"/>
        </w:rPr>
        <w:t>th</w:t>
      </w:r>
      <w:r w:rsidRPr="001A740B">
        <w:rPr>
          <w:sz w:val="16"/>
          <w:szCs w:val="16"/>
        </w:rPr>
        <w:t xml:space="preserve"> edition</w:t>
      </w:r>
      <w:r w:rsidR="00CF21E3">
        <w:rPr>
          <w:sz w:val="16"/>
          <w:szCs w:val="16"/>
        </w:rPr>
        <w:t xml:space="preserve">, </w:t>
      </w:r>
      <w:r w:rsidRPr="001A740B">
        <w:rPr>
          <w:sz w:val="16"/>
          <w:szCs w:val="16"/>
        </w:rPr>
        <w:t>American Psychiatric Association</w:t>
      </w:r>
      <w:r w:rsidR="00A73405">
        <w:rPr>
          <w:sz w:val="16"/>
          <w:szCs w:val="16"/>
        </w:rPr>
        <w:t>,</w:t>
      </w:r>
      <w:r w:rsidRPr="001A740B">
        <w:rPr>
          <w:sz w:val="16"/>
          <w:szCs w:val="16"/>
        </w:rPr>
        <w:t xml:space="preserve"> 2013).</w:t>
      </w:r>
    </w:p>
  </w:footnote>
  <w:footnote w:id="377">
    <w:p w14:paraId="51CF2927" w14:textId="06A7614B" w:rsidR="004606C7" w:rsidRDefault="004606C7">
      <w:pPr>
        <w:pStyle w:val="FootnoteText"/>
      </w:pPr>
      <w:r>
        <w:rPr>
          <w:rStyle w:val="FootnoteReference"/>
        </w:rPr>
        <w:footnoteRef/>
      </w:r>
      <w:r>
        <w:t xml:space="preserve"> </w:t>
      </w:r>
      <w:r w:rsidR="009331A8" w:rsidRPr="00D668D0">
        <w:rPr>
          <w:sz w:val="16"/>
          <w:szCs w:val="18"/>
        </w:rPr>
        <w:t>Ministry of Social Development, Recognising and responding to child neglect in New Zealand</w:t>
      </w:r>
      <w:r w:rsidR="00C663F6" w:rsidRPr="00D668D0">
        <w:rPr>
          <w:sz w:val="16"/>
          <w:szCs w:val="18"/>
        </w:rPr>
        <w:t xml:space="preserve"> (Ministry of Social Development 2010, page</w:t>
      </w:r>
      <w:r w:rsidR="007C0D70" w:rsidRPr="00D668D0">
        <w:rPr>
          <w:sz w:val="16"/>
          <w:szCs w:val="18"/>
        </w:rPr>
        <w:t xml:space="preserve"> 10)</w:t>
      </w:r>
      <w:r w:rsidR="005E32C2">
        <w:rPr>
          <w:sz w:val="16"/>
          <w:szCs w:val="18"/>
        </w:rPr>
        <w:t>.</w:t>
      </w:r>
    </w:p>
  </w:footnote>
  <w:footnote w:id="378">
    <w:p w14:paraId="2DDAABD1" w14:textId="379F9B28" w:rsidR="00B3766E" w:rsidRDefault="00B3766E">
      <w:pPr>
        <w:pStyle w:val="FootnoteText"/>
      </w:pPr>
      <w:r>
        <w:rPr>
          <w:rStyle w:val="FootnoteReference"/>
        </w:rPr>
        <w:footnoteRef/>
      </w:r>
      <w:r>
        <w:t xml:space="preserve"> </w:t>
      </w:r>
      <w:r w:rsidR="00A73290" w:rsidRPr="00D668D0">
        <w:rPr>
          <w:sz w:val="16"/>
          <w:szCs w:val="18"/>
        </w:rPr>
        <w:t xml:space="preserve">Weir, Kirsten, </w:t>
      </w:r>
      <w:r w:rsidRPr="00D668D0">
        <w:rPr>
          <w:sz w:val="16"/>
          <w:szCs w:val="18"/>
        </w:rPr>
        <w:t xml:space="preserve">The lasting impact of </w:t>
      </w:r>
      <w:r w:rsidR="006234C3" w:rsidRPr="00D668D0">
        <w:rPr>
          <w:sz w:val="16"/>
          <w:szCs w:val="18"/>
        </w:rPr>
        <w:t>neglect</w:t>
      </w:r>
      <w:r w:rsidR="006234C3" w:rsidRPr="00D668D0">
        <w:t xml:space="preserve"> </w:t>
      </w:r>
      <w:r w:rsidR="006234C3" w:rsidRPr="00D668D0">
        <w:rPr>
          <w:sz w:val="16"/>
          <w:szCs w:val="18"/>
        </w:rPr>
        <w:t>(</w:t>
      </w:r>
      <w:r w:rsidR="0084437E" w:rsidRPr="00D668D0">
        <w:rPr>
          <w:sz w:val="16"/>
          <w:szCs w:val="18"/>
        </w:rPr>
        <w:t>American Ps</w:t>
      </w:r>
      <w:r w:rsidR="003D4D1D" w:rsidRPr="00D668D0">
        <w:rPr>
          <w:sz w:val="16"/>
          <w:szCs w:val="18"/>
        </w:rPr>
        <w:t>ychological Association</w:t>
      </w:r>
      <w:r w:rsidR="00724601" w:rsidRPr="00D668D0">
        <w:rPr>
          <w:sz w:val="16"/>
          <w:szCs w:val="18"/>
        </w:rPr>
        <w:t xml:space="preserve"> Monitor on Psychology, June </w:t>
      </w:r>
      <w:r w:rsidR="00D67826" w:rsidRPr="00D668D0">
        <w:rPr>
          <w:sz w:val="16"/>
          <w:szCs w:val="18"/>
        </w:rPr>
        <w:t xml:space="preserve">2014, </w:t>
      </w:r>
      <w:r w:rsidR="004F1E5A">
        <w:rPr>
          <w:sz w:val="16"/>
          <w:szCs w:val="18"/>
        </w:rPr>
        <w:t>Vol 45, No.6)</w:t>
      </w:r>
      <w:r w:rsidR="005E32C2">
        <w:rPr>
          <w:sz w:val="16"/>
          <w:szCs w:val="18"/>
        </w:rPr>
        <w:t>.</w:t>
      </w:r>
      <w:r w:rsidRPr="00D668D0">
        <w:rPr>
          <w:sz w:val="16"/>
          <w:szCs w:val="18"/>
        </w:rPr>
        <w:t xml:space="preserve"> </w:t>
      </w:r>
    </w:p>
  </w:footnote>
  <w:footnote w:id="379">
    <w:p w14:paraId="616B468F" w14:textId="5C242AC1" w:rsidR="007C210C" w:rsidRDefault="007C210C">
      <w:pPr>
        <w:pStyle w:val="FootnoteText"/>
      </w:pPr>
      <w:r>
        <w:rPr>
          <w:rStyle w:val="FootnoteReference"/>
        </w:rPr>
        <w:footnoteRef/>
      </w:r>
      <w:r>
        <w:t xml:space="preserve"> </w:t>
      </w:r>
      <w:r w:rsidRPr="00C74981">
        <w:rPr>
          <w:sz w:val="16"/>
          <w:szCs w:val="18"/>
        </w:rPr>
        <w:t xml:space="preserve">Ministry of Social Development, Recognising and responding to child neglect in New Zealand (Ministry of Social Development 2010, page </w:t>
      </w:r>
      <w:r>
        <w:rPr>
          <w:sz w:val="16"/>
          <w:szCs w:val="18"/>
        </w:rPr>
        <w:t>2).</w:t>
      </w:r>
    </w:p>
  </w:footnote>
  <w:footnote w:id="380">
    <w:p w14:paraId="4F5DEE5F" w14:textId="7E924703" w:rsidR="000E429D" w:rsidRPr="001A740B" w:rsidRDefault="000E429D" w:rsidP="007C417E">
      <w:pPr>
        <w:pStyle w:val="FootnoteText"/>
        <w:rPr>
          <w:color w:val="auto"/>
          <w:sz w:val="16"/>
          <w:szCs w:val="16"/>
        </w:rPr>
      </w:pPr>
      <w:r w:rsidRPr="00536E67">
        <w:rPr>
          <w:rStyle w:val="StyleFootnoteReferenceFagoFunotenzeichenFagoFunotenzeichen"/>
          <w:sz w:val="16"/>
          <w:szCs w:val="16"/>
        </w:rPr>
        <w:footnoteRef/>
      </w:r>
      <w:r w:rsidRPr="001A740B">
        <w:rPr>
          <w:color w:val="auto"/>
          <w:sz w:val="16"/>
          <w:szCs w:val="16"/>
        </w:rPr>
        <w:t xml:space="preserve"> McGregor, J, Bell, S &amp; Wilson, M, Fault </w:t>
      </w:r>
      <w:r w:rsidR="00A671DF" w:rsidRPr="001A740B">
        <w:rPr>
          <w:color w:val="auto"/>
          <w:sz w:val="16"/>
          <w:szCs w:val="16"/>
        </w:rPr>
        <w:t>lines</w:t>
      </w:r>
      <w:r w:rsidRPr="001A740B">
        <w:rPr>
          <w:color w:val="auto"/>
          <w:sz w:val="16"/>
          <w:szCs w:val="16"/>
        </w:rPr>
        <w:t xml:space="preserve">: Human </w:t>
      </w:r>
      <w:r w:rsidR="00397B08" w:rsidRPr="001A740B">
        <w:rPr>
          <w:color w:val="auto"/>
          <w:sz w:val="16"/>
          <w:szCs w:val="16"/>
        </w:rPr>
        <w:t xml:space="preserve">rights </w:t>
      </w:r>
      <w:r w:rsidRPr="001A740B">
        <w:rPr>
          <w:color w:val="auto"/>
          <w:sz w:val="16"/>
          <w:szCs w:val="16"/>
        </w:rPr>
        <w:t>in New Zealand (Auckland University of Technology 2018</w:t>
      </w:r>
      <w:r w:rsidR="00A671DF" w:rsidRPr="001A740B">
        <w:rPr>
          <w:color w:val="auto"/>
          <w:sz w:val="16"/>
          <w:szCs w:val="16"/>
        </w:rPr>
        <w:t>,</w:t>
      </w:r>
      <w:r w:rsidRPr="001A740B">
        <w:rPr>
          <w:color w:val="auto"/>
          <w:sz w:val="16"/>
          <w:szCs w:val="16"/>
        </w:rPr>
        <w:t xml:space="preserve"> </w:t>
      </w:r>
      <w:r w:rsidRPr="001A740B">
        <w:rPr>
          <w:rFonts w:cs="Arial"/>
          <w:color w:val="auto"/>
          <w:sz w:val="16"/>
          <w:szCs w:val="16"/>
        </w:rPr>
        <w:t xml:space="preserve">pages </w:t>
      </w:r>
      <w:r w:rsidRPr="001A740B">
        <w:rPr>
          <w:color w:val="auto"/>
          <w:sz w:val="16"/>
          <w:szCs w:val="16"/>
        </w:rPr>
        <w:t>13 and 14</w:t>
      </w:r>
      <w:r w:rsidR="002A7AEA" w:rsidRPr="001A740B">
        <w:rPr>
          <w:color w:val="auto"/>
          <w:sz w:val="16"/>
          <w:szCs w:val="16"/>
        </w:rPr>
        <w:t>)</w:t>
      </w:r>
      <w:r w:rsidRPr="001A740B">
        <w:rPr>
          <w:color w:val="auto"/>
          <w:sz w:val="16"/>
          <w:szCs w:val="16"/>
        </w:rPr>
        <w:t>.</w:t>
      </w:r>
    </w:p>
  </w:footnote>
  <w:footnote w:id="381">
    <w:p w14:paraId="618E9D6F" w14:textId="33D271B6" w:rsidR="000E429D" w:rsidRPr="00CB4F47" w:rsidRDefault="000E429D" w:rsidP="007C417E">
      <w:pPr>
        <w:pStyle w:val="FootnoteText"/>
        <w:rPr>
          <w:sz w:val="16"/>
          <w:szCs w:val="16"/>
        </w:rPr>
      </w:pPr>
      <w:r w:rsidRPr="00536E67">
        <w:rPr>
          <w:rStyle w:val="StyleFootnoteReferenceFagoFunotenzeichenFagoFunotenzeichen"/>
          <w:sz w:val="16"/>
          <w:szCs w:val="16"/>
        </w:rPr>
        <w:footnoteRef/>
      </w:r>
      <w:r w:rsidRPr="001A740B">
        <w:rPr>
          <w:color w:val="auto"/>
          <w:sz w:val="16"/>
          <w:szCs w:val="16"/>
        </w:rPr>
        <w:t xml:space="preserve"> McGregor, J, Bell, S &amp; Wilson, M, Fault </w:t>
      </w:r>
      <w:r w:rsidR="00A671DF" w:rsidRPr="001A740B">
        <w:rPr>
          <w:color w:val="auto"/>
          <w:sz w:val="16"/>
          <w:szCs w:val="16"/>
        </w:rPr>
        <w:t>lines</w:t>
      </w:r>
      <w:r w:rsidRPr="001A740B">
        <w:rPr>
          <w:color w:val="auto"/>
          <w:sz w:val="16"/>
          <w:szCs w:val="16"/>
        </w:rPr>
        <w:t xml:space="preserve">: Human </w:t>
      </w:r>
      <w:r w:rsidR="00397B08" w:rsidRPr="001A740B">
        <w:rPr>
          <w:color w:val="auto"/>
          <w:sz w:val="16"/>
          <w:szCs w:val="16"/>
        </w:rPr>
        <w:t xml:space="preserve">rights </w:t>
      </w:r>
      <w:r w:rsidRPr="001A740B">
        <w:rPr>
          <w:color w:val="auto"/>
          <w:sz w:val="16"/>
          <w:szCs w:val="16"/>
        </w:rPr>
        <w:t>in New Zealand (Auckland University of Technology 2018</w:t>
      </w:r>
      <w:r w:rsidR="00A671DF" w:rsidRPr="001A740B">
        <w:rPr>
          <w:color w:val="auto"/>
          <w:sz w:val="16"/>
          <w:szCs w:val="16"/>
        </w:rPr>
        <w:t>,</w:t>
      </w:r>
      <w:r w:rsidRPr="001A740B">
        <w:rPr>
          <w:color w:val="auto"/>
          <w:sz w:val="16"/>
          <w:szCs w:val="16"/>
        </w:rPr>
        <w:t xml:space="preserve"> </w:t>
      </w:r>
      <w:r w:rsidR="00C32E74" w:rsidRPr="001A740B">
        <w:rPr>
          <w:rFonts w:cs="Arial"/>
          <w:color w:val="auto"/>
          <w:sz w:val="16"/>
          <w:szCs w:val="16"/>
        </w:rPr>
        <w:t>page</w:t>
      </w:r>
      <w:r w:rsidRPr="001A740B">
        <w:rPr>
          <w:color w:val="auto"/>
          <w:sz w:val="16"/>
          <w:szCs w:val="16"/>
        </w:rPr>
        <w:t xml:space="preserve"> 175</w:t>
      </w:r>
      <w:r w:rsidR="002A7AEA" w:rsidRPr="001A740B">
        <w:rPr>
          <w:color w:val="auto"/>
          <w:sz w:val="16"/>
          <w:szCs w:val="16"/>
        </w:rPr>
        <w:t>)</w:t>
      </w:r>
      <w:r w:rsidRPr="001A740B">
        <w:rPr>
          <w:color w:val="auto"/>
          <w:sz w:val="16"/>
          <w:szCs w:val="16"/>
        </w:rPr>
        <w:t>.</w:t>
      </w:r>
    </w:p>
  </w:footnote>
  <w:footnote w:id="382">
    <w:p w14:paraId="5C3B809C" w14:textId="2B61313B" w:rsidR="000E429D" w:rsidRPr="00CB4F47" w:rsidRDefault="000E429D" w:rsidP="0048334E">
      <w:pPr>
        <w:pStyle w:val="FootnoteText"/>
        <w:spacing w:line="240" w:lineRule="auto"/>
        <w:rPr>
          <w:sz w:val="16"/>
          <w:szCs w:val="16"/>
        </w:rPr>
      </w:pPr>
      <w:r w:rsidRPr="00536E67">
        <w:rPr>
          <w:rStyle w:val="StyleFootnoteReferenceFagoFunotenzeichenFagoFunotenzeichen"/>
          <w:sz w:val="16"/>
          <w:szCs w:val="16"/>
        </w:rPr>
        <w:footnoteRef/>
      </w:r>
      <w:r w:rsidRPr="00CB4F47">
        <w:rPr>
          <w:sz w:val="16"/>
          <w:szCs w:val="16"/>
        </w:rPr>
        <w:t xml:space="preserve"> </w:t>
      </w:r>
      <w:r w:rsidRPr="00CB4F47">
        <w:rPr>
          <w:rFonts w:cs="Arial"/>
          <w:sz w:val="16"/>
          <w:szCs w:val="16"/>
        </w:rPr>
        <w:t>United Nations, Concluding observations of the Committee on Economic, Social and Cultural Rights: New Zealand E/C.12/NZL/CO/4 (2018</w:t>
      </w:r>
      <w:r w:rsidR="00A671DF" w:rsidRPr="001A740B">
        <w:rPr>
          <w:rFonts w:cs="Arial"/>
          <w:sz w:val="16"/>
          <w:szCs w:val="16"/>
        </w:rPr>
        <w:t>,</w:t>
      </w:r>
      <w:r w:rsidRPr="00CB4F47">
        <w:rPr>
          <w:rFonts w:cs="Arial"/>
          <w:sz w:val="16"/>
          <w:szCs w:val="16"/>
        </w:rPr>
        <w:t xml:space="preserve"> para 6</w:t>
      </w:r>
      <w:r w:rsidR="002A7AEA">
        <w:rPr>
          <w:rFonts w:cs="Arial"/>
          <w:sz w:val="16"/>
          <w:szCs w:val="16"/>
        </w:rPr>
        <w:t>)</w:t>
      </w:r>
      <w:r w:rsidRPr="00CB4F47">
        <w:rPr>
          <w:rFonts w:cs="Arial"/>
          <w:sz w:val="16"/>
          <w:szCs w:val="16"/>
        </w:rPr>
        <w:t>.</w:t>
      </w:r>
    </w:p>
  </w:footnote>
  <w:footnote w:id="383">
    <w:p w14:paraId="1AA0EB0F" w14:textId="45A1657D" w:rsidR="000E429D" w:rsidRPr="00CB4F47" w:rsidRDefault="000E429D" w:rsidP="00E65CD4">
      <w:pPr>
        <w:pStyle w:val="FootnoteText"/>
        <w:spacing w:before="0" w:after="0" w:line="240" w:lineRule="auto"/>
        <w:jc w:val="left"/>
        <w:rPr>
          <w:rFonts w:eastAsia="BatangChe"/>
          <w:sz w:val="16"/>
          <w:szCs w:val="16"/>
        </w:rPr>
      </w:pPr>
      <w:r w:rsidRPr="00536E67">
        <w:rPr>
          <w:rStyle w:val="StyleFootnoteReferenceFagoFunotenzeichenFagoFunotenzeichen"/>
          <w:sz w:val="16"/>
          <w:szCs w:val="16"/>
        </w:rPr>
        <w:footnoteRef/>
      </w:r>
      <w:r w:rsidRPr="00CB4F47">
        <w:rPr>
          <w:rFonts w:eastAsia="BatangChe"/>
          <w:sz w:val="16"/>
          <w:szCs w:val="16"/>
        </w:rPr>
        <w:t xml:space="preserve"> Glazebrook, S, Baird, N &amp; Holden, S, “New Zealand: Country Report on Human Rights</w:t>
      </w:r>
      <w:r w:rsidR="00075676">
        <w:rPr>
          <w:rFonts w:eastAsia="BatangChe"/>
          <w:sz w:val="16"/>
          <w:szCs w:val="16"/>
        </w:rPr>
        <w:t>,</w:t>
      </w:r>
      <w:r w:rsidRPr="00CB4F47">
        <w:rPr>
          <w:rFonts w:eastAsia="BatangChe"/>
          <w:sz w:val="16"/>
          <w:szCs w:val="16"/>
        </w:rPr>
        <w:t>” Victoria University of Wellington Law Review</w:t>
      </w:r>
      <w:r w:rsidR="000A08F4">
        <w:rPr>
          <w:rFonts w:eastAsia="BatangChe"/>
          <w:sz w:val="16"/>
          <w:szCs w:val="16"/>
        </w:rPr>
        <w:t>, Volume 40</w:t>
      </w:r>
      <w:r w:rsidRPr="00CB4F47" w:rsidDel="00075676">
        <w:rPr>
          <w:rFonts w:eastAsia="BatangChe"/>
          <w:sz w:val="16"/>
          <w:szCs w:val="16"/>
        </w:rPr>
        <w:t xml:space="preserve"> </w:t>
      </w:r>
      <w:r w:rsidRPr="00CB4F47">
        <w:rPr>
          <w:rFonts w:eastAsia="BatangChe"/>
          <w:sz w:val="16"/>
          <w:szCs w:val="16"/>
        </w:rPr>
        <w:t>(2009</w:t>
      </w:r>
      <w:r w:rsidR="00A671DF" w:rsidRPr="00CB4F47">
        <w:rPr>
          <w:rFonts w:eastAsia="BatangChe"/>
          <w:sz w:val="16"/>
          <w:szCs w:val="16"/>
        </w:rPr>
        <w:t>,</w:t>
      </w:r>
      <w:r w:rsidRPr="00CB4F47">
        <w:rPr>
          <w:rFonts w:eastAsia="BatangChe"/>
          <w:sz w:val="16"/>
          <w:szCs w:val="16"/>
        </w:rPr>
        <w:t xml:space="preserve"> </w:t>
      </w:r>
      <w:r w:rsidR="00C32E74" w:rsidRPr="00CB4F47">
        <w:rPr>
          <w:rFonts w:cs="Arial"/>
          <w:color w:val="auto"/>
          <w:sz w:val="16"/>
          <w:szCs w:val="16"/>
        </w:rPr>
        <w:t>page</w:t>
      </w:r>
      <w:r w:rsidRPr="00CB4F47">
        <w:rPr>
          <w:rFonts w:eastAsia="BatangChe"/>
          <w:sz w:val="16"/>
          <w:szCs w:val="16"/>
        </w:rPr>
        <w:t xml:space="preserve"> 58</w:t>
      </w:r>
      <w:r w:rsidR="00F22F71">
        <w:rPr>
          <w:rFonts w:eastAsia="BatangChe"/>
          <w:sz w:val="16"/>
          <w:szCs w:val="16"/>
        </w:rPr>
        <w:t>)</w:t>
      </w:r>
      <w:r w:rsidRPr="00CB4F47">
        <w:rPr>
          <w:rFonts w:eastAsia="BatangChe"/>
          <w:sz w:val="16"/>
          <w:szCs w:val="16"/>
        </w:rPr>
        <w:t>.</w:t>
      </w:r>
    </w:p>
  </w:footnote>
  <w:footnote w:id="384">
    <w:p w14:paraId="3E0592F8" w14:textId="3E7A4767" w:rsidR="00A671DF" w:rsidRPr="00CB4F47" w:rsidRDefault="00A671DF">
      <w:pPr>
        <w:pStyle w:val="FootnoteText"/>
        <w:rPr>
          <w:sz w:val="16"/>
          <w:szCs w:val="16"/>
        </w:rPr>
      </w:pPr>
      <w:r w:rsidRPr="00536E67">
        <w:rPr>
          <w:rStyle w:val="StyleFootnoteReferenceFagoFunotenzeichenFagoFunotenzeichen"/>
          <w:sz w:val="16"/>
          <w:szCs w:val="16"/>
        </w:rPr>
        <w:footnoteRef/>
      </w:r>
      <w:r w:rsidRPr="00DD5764">
        <w:rPr>
          <w:color w:val="auto"/>
          <w:sz w:val="16"/>
          <w:szCs w:val="16"/>
        </w:rPr>
        <w:t xml:space="preserve"> McGregor, J, Bell, S &amp; Wilson, M, Fault </w:t>
      </w:r>
      <w:r>
        <w:rPr>
          <w:color w:val="auto"/>
          <w:sz w:val="16"/>
          <w:szCs w:val="16"/>
        </w:rPr>
        <w:t>l</w:t>
      </w:r>
      <w:r w:rsidRPr="00DD5764">
        <w:rPr>
          <w:color w:val="auto"/>
          <w:sz w:val="16"/>
          <w:szCs w:val="16"/>
        </w:rPr>
        <w:t xml:space="preserve">ines: Human </w:t>
      </w:r>
      <w:r>
        <w:rPr>
          <w:color w:val="auto"/>
          <w:sz w:val="16"/>
          <w:szCs w:val="16"/>
        </w:rPr>
        <w:t>r</w:t>
      </w:r>
      <w:r w:rsidRPr="00DD5764">
        <w:rPr>
          <w:color w:val="auto"/>
          <w:sz w:val="16"/>
          <w:szCs w:val="16"/>
        </w:rPr>
        <w:t>ights in New Zealand (Auckland University of Technology</w:t>
      </w:r>
      <w:r>
        <w:rPr>
          <w:color w:val="auto"/>
          <w:sz w:val="16"/>
          <w:szCs w:val="16"/>
        </w:rPr>
        <w:t>,</w:t>
      </w:r>
      <w:r w:rsidRPr="00DD5764">
        <w:rPr>
          <w:color w:val="auto"/>
          <w:sz w:val="16"/>
          <w:szCs w:val="16"/>
        </w:rPr>
        <w:t xml:space="preserve"> 2018, </w:t>
      </w:r>
      <w:r w:rsidRPr="00DD5764">
        <w:rPr>
          <w:rFonts w:cs="Arial"/>
          <w:color w:val="auto"/>
          <w:sz w:val="16"/>
          <w:szCs w:val="16"/>
        </w:rPr>
        <w:t>page</w:t>
      </w:r>
      <w:r w:rsidRPr="00DD5764">
        <w:rPr>
          <w:color w:val="auto"/>
          <w:sz w:val="16"/>
          <w:szCs w:val="16"/>
        </w:rPr>
        <w:t xml:space="preserve"> 135</w:t>
      </w:r>
      <w:r>
        <w:rPr>
          <w:color w:val="auto"/>
          <w:sz w:val="16"/>
          <w:szCs w:val="16"/>
        </w:rPr>
        <w:t>)</w:t>
      </w:r>
      <w:r w:rsidRPr="00DD5764">
        <w:rPr>
          <w:color w:val="auto"/>
          <w:sz w:val="16"/>
          <w:szCs w:val="16"/>
        </w:rPr>
        <w:t>.</w:t>
      </w:r>
    </w:p>
  </w:footnote>
  <w:footnote w:id="385">
    <w:p w14:paraId="6B5BC1EB" w14:textId="5CA65B0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Consedine, R, Anti-racism and Treaty of Waitangi activism: Government and community anti-racism organisations (Te Ara </w:t>
      </w:r>
      <w:r w:rsidR="00A671DF">
        <w:rPr>
          <w:rFonts w:cs="Arial"/>
          <w:color w:val="auto"/>
          <w:sz w:val="16"/>
          <w:szCs w:val="16"/>
        </w:rPr>
        <w:t>–</w:t>
      </w:r>
      <w:r w:rsidR="00A671DF" w:rsidRPr="00CB4F47">
        <w:rPr>
          <w:rFonts w:cs="Arial"/>
          <w:color w:val="auto"/>
          <w:sz w:val="16"/>
          <w:szCs w:val="16"/>
        </w:rPr>
        <w:t xml:space="preserve"> </w:t>
      </w:r>
      <w:r w:rsidR="00A671DF">
        <w:rPr>
          <w:rFonts w:cs="Arial"/>
          <w:color w:val="auto"/>
          <w:sz w:val="16"/>
          <w:szCs w:val="16"/>
        </w:rPr>
        <w:t>T</w:t>
      </w:r>
      <w:r w:rsidR="00A671DF" w:rsidRPr="00CB4F47">
        <w:rPr>
          <w:rFonts w:cs="Arial"/>
          <w:color w:val="auto"/>
          <w:sz w:val="16"/>
          <w:szCs w:val="16"/>
        </w:rPr>
        <w:t xml:space="preserve">he </w:t>
      </w:r>
      <w:r w:rsidR="00A671DF">
        <w:rPr>
          <w:rFonts w:cs="Arial"/>
          <w:color w:val="auto"/>
          <w:sz w:val="16"/>
          <w:szCs w:val="16"/>
        </w:rPr>
        <w:t>Encyclopedia</w:t>
      </w:r>
      <w:r w:rsidRPr="00CB4F47">
        <w:rPr>
          <w:rFonts w:cs="Arial"/>
          <w:color w:val="auto"/>
          <w:sz w:val="16"/>
          <w:szCs w:val="16"/>
        </w:rPr>
        <w:t xml:space="preserve"> of New Zealand</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5</w:t>
      </w:r>
      <w:r w:rsidR="00B865B9">
        <w:rPr>
          <w:rFonts w:cs="Arial"/>
          <w:color w:val="auto"/>
          <w:sz w:val="16"/>
          <w:szCs w:val="16"/>
        </w:rPr>
        <w:t>)</w:t>
      </w:r>
      <w:r w:rsidR="00414AB9">
        <w:rPr>
          <w:rFonts w:cs="Arial"/>
          <w:color w:val="auto"/>
          <w:sz w:val="16"/>
          <w:szCs w:val="16"/>
        </w:rPr>
        <w:t xml:space="preserve">, </w:t>
      </w:r>
      <w:hyperlink r:id="rId95" w:history="1">
        <w:r w:rsidR="00414AB9" w:rsidRPr="00414AB9">
          <w:rPr>
            <w:rStyle w:val="Hyperlink"/>
            <w:rFonts w:cs="Arial"/>
            <w:sz w:val="16"/>
            <w:szCs w:val="16"/>
          </w:rPr>
          <w:t>https://teara.govt.nz/en/anti-racism-and-treaty-of-waitangi-activism/page-5</w:t>
        </w:r>
      </w:hyperlink>
      <w:r w:rsidRPr="00CB4F47">
        <w:rPr>
          <w:rFonts w:cs="Arial"/>
          <w:color w:val="auto"/>
          <w:sz w:val="16"/>
          <w:szCs w:val="16"/>
        </w:rPr>
        <w:t>.</w:t>
      </w:r>
    </w:p>
  </w:footnote>
  <w:footnote w:id="386">
    <w:p w14:paraId="3A2B32EE" w14:textId="4D400C5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Royal Commission of Inquiry into the terrorist attack on Christchurch masjidain on 15 March 2019, “Ko tō tātou kāinga tēnei: Report of the Royal Commission of Inquiry</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w:t>
      </w:r>
      <w:r w:rsidR="00F144B7" w:rsidRPr="00CB4F47">
        <w:rPr>
          <w:rFonts w:cs="Arial"/>
          <w:color w:val="auto"/>
          <w:sz w:val="16"/>
          <w:szCs w:val="16"/>
        </w:rPr>
        <w:t>Volume 1: Parts 1</w:t>
      </w:r>
      <w:r w:rsidR="00F144B7" w:rsidRPr="00CB4F47">
        <w:rPr>
          <w:rStyle w:val="normaltextrun"/>
          <w:rFonts w:cs="Arial"/>
          <w:color w:val="000000"/>
          <w:sz w:val="16"/>
          <w:szCs w:val="16"/>
          <w:bdr w:val="none" w:sz="0" w:space="0" w:color="auto" w:frame="1"/>
        </w:rPr>
        <w:t>–</w:t>
      </w:r>
      <w:r w:rsidR="00F144B7" w:rsidRPr="00CB4F47">
        <w:rPr>
          <w:rFonts w:cs="Arial"/>
          <w:color w:val="auto"/>
          <w:sz w:val="16"/>
          <w:szCs w:val="16"/>
        </w:rPr>
        <w:t xml:space="preserve">3 </w:t>
      </w:r>
      <w:r w:rsidRPr="00CB4F47">
        <w:rPr>
          <w:rFonts w:cs="Arial"/>
          <w:color w:val="auto"/>
          <w:sz w:val="16"/>
          <w:szCs w:val="16"/>
        </w:rPr>
        <w:t>(2020</w:t>
      </w:r>
      <w:r w:rsidRPr="00CB4F47" w:rsidDel="00F144B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84</w:t>
      </w:r>
      <w:r w:rsidR="00B865B9">
        <w:rPr>
          <w:rFonts w:cs="Arial"/>
          <w:color w:val="auto"/>
          <w:sz w:val="16"/>
          <w:szCs w:val="16"/>
        </w:rPr>
        <w:t>)</w:t>
      </w:r>
      <w:r w:rsidRPr="00CB4F47">
        <w:rPr>
          <w:rFonts w:cs="Arial"/>
          <w:color w:val="auto"/>
          <w:sz w:val="16"/>
          <w:szCs w:val="16"/>
        </w:rPr>
        <w:t>.</w:t>
      </w:r>
    </w:p>
  </w:footnote>
  <w:footnote w:id="387">
    <w:p w14:paraId="264DB74B" w14:textId="15A120D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Royal Commission of Inquiry into the terrorist attack on Christchurch masjidain on 15 March 2019, “Ko tō tātou kāinga tēnei: Report of the Royal Commission of Inquiry</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w:t>
      </w:r>
      <w:r w:rsidR="00F144B7" w:rsidRPr="00CB4F47">
        <w:rPr>
          <w:rFonts w:cs="Arial"/>
          <w:color w:val="auto"/>
          <w:sz w:val="16"/>
          <w:szCs w:val="16"/>
        </w:rPr>
        <w:t>Volume 1: Parts 1</w:t>
      </w:r>
      <w:r w:rsidR="00F144B7" w:rsidRPr="00CB4F47">
        <w:rPr>
          <w:rStyle w:val="normaltextrun"/>
          <w:rFonts w:cs="Arial"/>
          <w:color w:val="000000"/>
          <w:sz w:val="16"/>
          <w:szCs w:val="16"/>
          <w:bdr w:val="none" w:sz="0" w:space="0" w:color="auto" w:frame="1"/>
        </w:rPr>
        <w:t>–</w:t>
      </w:r>
      <w:r w:rsidR="00F144B7" w:rsidRPr="00CB4F47">
        <w:rPr>
          <w:rFonts w:cs="Arial"/>
          <w:color w:val="auto"/>
          <w:sz w:val="16"/>
          <w:szCs w:val="16"/>
        </w:rPr>
        <w:t xml:space="preserve">3 </w:t>
      </w:r>
      <w:r w:rsidRPr="00CB4F47">
        <w:rPr>
          <w:rFonts w:cs="Arial"/>
          <w:color w:val="auto"/>
          <w:sz w:val="16"/>
          <w:szCs w:val="16"/>
        </w:rPr>
        <w:t>(2020</w:t>
      </w:r>
      <w:r w:rsidRPr="00CB4F47" w:rsidDel="00F144B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82</w:t>
      </w:r>
      <w:r w:rsidR="00B865B9">
        <w:rPr>
          <w:rFonts w:cs="Arial"/>
          <w:color w:val="auto"/>
          <w:sz w:val="16"/>
          <w:szCs w:val="16"/>
        </w:rPr>
        <w:t>)</w:t>
      </w:r>
      <w:r w:rsidRPr="00CB4F47">
        <w:rPr>
          <w:rFonts w:cs="Arial"/>
          <w:color w:val="auto"/>
          <w:sz w:val="16"/>
          <w:szCs w:val="16"/>
        </w:rPr>
        <w:t>.</w:t>
      </w:r>
    </w:p>
  </w:footnote>
  <w:footnote w:id="388">
    <w:p w14:paraId="0E7D8221" w14:textId="3A2A580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National </w:t>
      </w:r>
      <w:r w:rsidR="005770A3" w:rsidRPr="005770A3">
        <w:rPr>
          <w:rFonts w:cs="Arial"/>
          <w:color w:val="auto"/>
          <w:sz w:val="16"/>
          <w:szCs w:val="16"/>
        </w:rPr>
        <w:t xml:space="preserve">Advisory Committee on Health and Disability, To have an </w:t>
      </w:r>
      <w:r w:rsidR="00C2470B">
        <w:rPr>
          <w:rFonts w:cs="Arial"/>
          <w:color w:val="auto"/>
          <w:sz w:val="16"/>
          <w:szCs w:val="16"/>
        </w:rPr>
        <w:t>‘</w:t>
      </w:r>
      <w:r w:rsidR="005770A3" w:rsidRPr="005770A3">
        <w:rPr>
          <w:rFonts w:cs="Arial"/>
          <w:color w:val="auto"/>
          <w:sz w:val="16"/>
          <w:szCs w:val="16"/>
        </w:rPr>
        <w:t xml:space="preserve">ordinary' life, Kia whai oranga </w:t>
      </w:r>
      <w:r w:rsidR="00C2470B">
        <w:rPr>
          <w:rFonts w:cs="Arial"/>
          <w:color w:val="auto"/>
          <w:sz w:val="16"/>
          <w:szCs w:val="16"/>
        </w:rPr>
        <w:t>‘</w:t>
      </w:r>
      <w:r w:rsidR="005770A3" w:rsidRPr="005770A3">
        <w:rPr>
          <w:rFonts w:cs="Arial"/>
          <w:color w:val="auto"/>
          <w:sz w:val="16"/>
          <w:szCs w:val="16"/>
        </w:rPr>
        <w:t>noa</w:t>
      </w:r>
      <w:r w:rsidR="00C2470B">
        <w:rPr>
          <w:rFonts w:cs="Arial"/>
          <w:color w:val="auto"/>
          <w:sz w:val="16"/>
          <w:szCs w:val="16"/>
        </w:rPr>
        <w:t>’</w:t>
      </w:r>
      <w:r w:rsidR="005770A3" w:rsidRPr="005770A3">
        <w:rPr>
          <w:rFonts w:cs="Arial"/>
          <w:color w:val="auto"/>
          <w:sz w:val="16"/>
          <w:szCs w:val="16"/>
        </w:rPr>
        <w:t>: Background papers to inform the National Advisory Committee on Health and Disability (2004</w:t>
      </w:r>
      <w:r w:rsidR="005770A3">
        <w:rPr>
          <w:rFonts w:cs="Arial"/>
          <w:color w:val="auto"/>
          <w:sz w:val="16"/>
          <w:szCs w:val="16"/>
        </w:rPr>
        <w:t>,</w:t>
      </w:r>
      <w:r w:rsidR="005770A3" w:rsidRPr="005770A3" w:rsidDel="005770A3">
        <w:rPr>
          <w:rFonts w:cs="Arial"/>
          <w:color w:val="auto"/>
          <w:sz w:val="16"/>
          <w:szCs w:val="16"/>
        </w:rPr>
        <w:t xml:space="preserve"> </w:t>
      </w:r>
      <w:r w:rsidR="00A671DF" w:rsidRPr="00CB4F47">
        <w:rPr>
          <w:rFonts w:cs="Arial"/>
          <w:color w:val="auto"/>
          <w:sz w:val="16"/>
          <w:szCs w:val="16"/>
        </w:rPr>
        <w:t>page 27</w:t>
      </w:r>
      <w:r w:rsidR="00A671DF">
        <w:rPr>
          <w:rFonts w:cs="Arial"/>
          <w:color w:val="auto"/>
          <w:sz w:val="16"/>
          <w:szCs w:val="16"/>
        </w:rPr>
        <w:t>)</w:t>
      </w:r>
      <w:r w:rsidR="00A671DF" w:rsidRPr="00CB4F47">
        <w:rPr>
          <w:rFonts w:cs="Arial"/>
          <w:color w:val="auto"/>
          <w:sz w:val="16"/>
          <w:szCs w:val="16"/>
        </w:rPr>
        <w:t>.</w:t>
      </w:r>
    </w:p>
  </w:footnote>
  <w:footnote w:id="389">
    <w:p w14:paraId="7A1E8B5A" w14:textId="02D003B5" w:rsidR="001179E5" w:rsidRPr="00536E67" w:rsidRDefault="001179E5">
      <w:pPr>
        <w:pStyle w:val="FootnoteText"/>
        <w:rPr>
          <w:sz w:val="16"/>
          <w:szCs w:val="16"/>
        </w:rPr>
      </w:pPr>
      <w:r w:rsidRPr="00536E67">
        <w:rPr>
          <w:rStyle w:val="StyleFootnoteReferenceFagoFunotenzeichenFagoFunotenzeichen"/>
          <w:sz w:val="16"/>
          <w:szCs w:val="16"/>
        </w:rPr>
        <w:footnoteRef/>
      </w:r>
      <w:r w:rsidRPr="00DD5764">
        <w:rPr>
          <w:sz w:val="16"/>
          <w:szCs w:val="16"/>
        </w:rPr>
        <w:t xml:space="preserve"> Witness </w:t>
      </w:r>
      <w:r w:rsidR="00A671DF">
        <w:rPr>
          <w:sz w:val="16"/>
          <w:szCs w:val="16"/>
        </w:rPr>
        <w:t>s</w:t>
      </w:r>
      <w:r w:rsidR="00A671DF" w:rsidRPr="00DD5764">
        <w:rPr>
          <w:sz w:val="16"/>
          <w:szCs w:val="16"/>
        </w:rPr>
        <w:t>tatement</w:t>
      </w:r>
      <w:r w:rsidRPr="00DD5764">
        <w:rPr>
          <w:sz w:val="16"/>
          <w:szCs w:val="16"/>
        </w:rPr>
        <w:t xml:space="preserve"> of Dr Oliver Sutherland (4 October 2019</w:t>
      </w:r>
      <w:r w:rsidR="00A671DF" w:rsidRPr="00DD5764">
        <w:rPr>
          <w:sz w:val="16"/>
          <w:szCs w:val="16"/>
        </w:rPr>
        <w:t>,</w:t>
      </w:r>
      <w:r w:rsidRPr="00DD5764">
        <w:rPr>
          <w:sz w:val="16"/>
          <w:szCs w:val="16"/>
        </w:rPr>
        <w:t xml:space="preserve"> page 20</w:t>
      </w:r>
      <w:r w:rsidR="00B865B9">
        <w:rPr>
          <w:sz w:val="16"/>
          <w:szCs w:val="16"/>
        </w:rPr>
        <w:t>)</w:t>
      </w:r>
      <w:r w:rsidRPr="00DD5764">
        <w:rPr>
          <w:sz w:val="16"/>
          <w:szCs w:val="16"/>
        </w:rPr>
        <w:t>; United Nations, Decision adopted by the Committee under article 22 of the Convention concerning communication No 852/2017 CAT/C/68/D/852/2017 (2020</w:t>
      </w:r>
      <w:r w:rsidR="00A671DF" w:rsidRPr="00DD5764">
        <w:rPr>
          <w:sz w:val="16"/>
          <w:szCs w:val="16"/>
        </w:rPr>
        <w:t>,</w:t>
      </w:r>
      <w:r w:rsidRPr="00DD5764">
        <w:rPr>
          <w:sz w:val="16"/>
          <w:szCs w:val="16"/>
        </w:rPr>
        <w:t xml:space="preserve"> para 9.7</w:t>
      </w:r>
      <w:r w:rsidR="005B45AC">
        <w:rPr>
          <w:sz w:val="16"/>
          <w:szCs w:val="16"/>
        </w:rPr>
        <w:t>)</w:t>
      </w:r>
      <w:r w:rsidRPr="00DD5764">
        <w:rPr>
          <w:sz w:val="16"/>
          <w:szCs w:val="16"/>
        </w:rPr>
        <w:t>; United Nations, Decision adopted by the Committee under article 22 of the Convention, concerning communication No 934/2019 CAT/C/73/D/934/2019 (2022</w:t>
      </w:r>
      <w:r w:rsidR="00A671DF" w:rsidRPr="00DD5764">
        <w:rPr>
          <w:sz w:val="16"/>
          <w:szCs w:val="16"/>
        </w:rPr>
        <w:t>,</w:t>
      </w:r>
      <w:r w:rsidRPr="00DD5764">
        <w:rPr>
          <w:sz w:val="16"/>
          <w:szCs w:val="16"/>
        </w:rPr>
        <w:t xml:space="preserve"> para 8.8</w:t>
      </w:r>
      <w:r w:rsidR="005B45AC">
        <w:rPr>
          <w:sz w:val="16"/>
          <w:szCs w:val="16"/>
        </w:rPr>
        <w:t>)</w:t>
      </w:r>
      <w:r w:rsidRPr="00536E67">
        <w:rPr>
          <w:sz w:val="16"/>
          <w:szCs w:val="16"/>
        </w:rPr>
        <w:t>.</w:t>
      </w:r>
    </w:p>
  </w:footnote>
  <w:footnote w:id="390">
    <w:p w14:paraId="1AC2CB4C" w14:textId="057FB600"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Consedine, R, Anti-racism and Treaty of Waitangi activism: Government and community anti-racism organisations (Te Ara </w:t>
      </w:r>
      <w:r w:rsidR="00707B59">
        <w:rPr>
          <w:rFonts w:cs="Arial"/>
          <w:color w:val="auto"/>
          <w:sz w:val="16"/>
          <w:szCs w:val="16"/>
        </w:rPr>
        <w:t>–</w:t>
      </w:r>
      <w:r w:rsidR="00707B59" w:rsidRPr="00CB4F47">
        <w:rPr>
          <w:rFonts w:cs="Arial"/>
          <w:color w:val="auto"/>
          <w:sz w:val="16"/>
          <w:szCs w:val="16"/>
        </w:rPr>
        <w:t xml:space="preserve"> </w:t>
      </w:r>
      <w:r w:rsidR="00990E32">
        <w:rPr>
          <w:rFonts w:cs="Arial"/>
          <w:color w:val="auto"/>
          <w:sz w:val="16"/>
          <w:szCs w:val="16"/>
        </w:rPr>
        <w:t>T</w:t>
      </w:r>
      <w:r w:rsidRPr="00CB4F47">
        <w:rPr>
          <w:rFonts w:cs="Arial"/>
          <w:color w:val="auto"/>
          <w:sz w:val="16"/>
          <w:szCs w:val="16"/>
        </w:rPr>
        <w:t xml:space="preserve">he </w:t>
      </w:r>
      <w:r w:rsidRPr="00CB4F47" w:rsidDel="00207C05">
        <w:rPr>
          <w:rFonts w:cs="Arial"/>
          <w:color w:val="auto"/>
          <w:sz w:val="16"/>
          <w:szCs w:val="16"/>
        </w:rPr>
        <w:t>Encyclopedia</w:t>
      </w:r>
      <w:r w:rsidRPr="00CB4F47">
        <w:rPr>
          <w:rFonts w:cs="Arial"/>
          <w:color w:val="auto"/>
          <w:sz w:val="16"/>
          <w:szCs w:val="16"/>
        </w:rPr>
        <w:t xml:space="preserve"> of New Zealand</w:t>
      </w:r>
      <w:r w:rsidR="00A671DF" w:rsidRPr="00CB4F47">
        <w:rPr>
          <w:rFonts w:cs="Arial"/>
          <w:color w:val="auto"/>
          <w:sz w:val="16"/>
          <w:szCs w:val="16"/>
        </w:rPr>
        <w:t>,</w:t>
      </w:r>
      <w:r w:rsidRPr="00CB4F47">
        <w:rPr>
          <w:rFonts w:cs="Arial"/>
          <w:color w:val="auto"/>
          <w:sz w:val="16"/>
          <w:szCs w:val="16"/>
        </w:rPr>
        <w:t xml:space="preserve"> page 5</w:t>
      </w:r>
      <w:r w:rsidR="005B45AC">
        <w:rPr>
          <w:rFonts w:cs="Arial"/>
          <w:color w:val="auto"/>
          <w:sz w:val="16"/>
          <w:szCs w:val="16"/>
        </w:rPr>
        <w:t>)</w:t>
      </w:r>
      <w:r w:rsidR="00414AB9">
        <w:rPr>
          <w:rFonts w:cs="Arial"/>
          <w:color w:val="auto"/>
          <w:sz w:val="16"/>
          <w:szCs w:val="16"/>
        </w:rPr>
        <w:t xml:space="preserve">, </w:t>
      </w:r>
      <w:hyperlink r:id="rId96" w:history="1">
        <w:r w:rsidR="00414AB9" w:rsidRPr="00414AB9">
          <w:rPr>
            <w:rStyle w:val="Hyperlink"/>
            <w:rFonts w:cs="Arial"/>
            <w:sz w:val="16"/>
            <w:szCs w:val="16"/>
          </w:rPr>
          <w:t>https://teara.govt.nz/en/anti-racism-and-treaty-of-waitangi-activism/page-5</w:t>
        </w:r>
      </w:hyperlink>
      <w:r w:rsidRPr="00CB4F47">
        <w:rPr>
          <w:rFonts w:cs="Arial"/>
          <w:color w:val="auto"/>
          <w:sz w:val="16"/>
          <w:szCs w:val="16"/>
        </w:rPr>
        <w:t>.</w:t>
      </w:r>
    </w:p>
  </w:footnote>
  <w:footnote w:id="391">
    <w:p w14:paraId="0AAEE8DC" w14:textId="16EA666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00A671DF" w:rsidRPr="00CB4F47">
        <w:rPr>
          <w:rFonts w:cs="Arial"/>
          <w:color w:val="auto"/>
          <w:sz w:val="16"/>
          <w:szCs w:val="16"/>
        </w:rPr>
        <w:t xml:space="preserve"> </w:t>
      </w:r>
      <w:r w:rsidR="00A671DF" w:rsidRPr="0098561E">
        <w:rPr>
          <w:rFonts w:cs="Arial"/>
          <w:color w:val="auto"/>
          <w:sz w:val="16"/>
          <w:szCs w:val="16"/>
        </w:rPr>
        <w:t>Te tai – Treaty Settlement Stories, Ngā Tamatoa and Te Reo Māori society (</w:t>
      </w:r>
      <w:r w:rsidR="00A671DF" w:rsidRPr="0012481A">
        <w:rPr>
          <w:rFonts w:cs="Arial"/>
          <w:color w:val="auto"/>
          <w:sz w:val="16"/>
          <w:szCs w:val="16"/>
        </w:rPr>
        <w:t xml:space="preserve">Te Ara </w:t>
      </w:r>
      <w:r w:rsidR="00A671DF" w:rsidRPr="00381A77">
        <w:rPr>
          <w:rFonts w:cs="Arial"/>
          <w:color w:val="auto"/>
          <w:sz w:val="16"/>
          <w:szCs w:val="16"/>
        </w:rPr>
        <w:t>–</w:t>
      </w:r>
      <w:r w:rsidR="00A671DF" w:rsidRPr="007D7054">
        <w:rPr>
          <w:rFonts w:cs="Arial"/>
          <w:color w:val="auto"/>
          <w:sz w:val="16"/>
          <w:szCs w:val="16"/>
        </w:rPr>
        <w:t xml:space="preserve"> the Encyclop</w:t>
      </w:r>
      <w:r w:rsidR="00A671DF" w:rsidRPr="00112E87">
        <w:rPr>
          <w:rFonts w:cs="Arial"/>
          <w:color w:val="auto"/>
          <w:sz w:val="16"/>
          <w:szCs w:val="16"/>
        </w:rPr>
        <w:t>edia</w:t>
      </w:r>
      <w:r w:rsidR="00A671DF" w:rsidRPr="0021284F">
        <w:rPr>
          <w:rFonts w:cs="Arial"/>
          <w:color w:val="auto"/>
          <w:sz w:val="16"/>
          <w:szCs w:val="16"/>
        </w:rPr>
        <w:t xml:space="preserve"> of New Zealand, 2023</w:t>
      </w:r>
      <w:r w:rsidR="00A671DF" w:rsidRPr="0098561E">
        <w:rPr>
          <w:rFonts w:cs="Arial"/>
          <w:color w:val="auto"/>
          <w:sz w:val="16"/>
          <w:szCs w:val="16"/>
        </w:rPr>
        <w:t>)</w:t>
      </w:r>
      <w:r w:rsidR="00A671DF" w:rsidRPr="0012481A">
        <w:rPr>
          <w:rFonts w:cs="Arial"/>
          <w:color w:val="auto"/>
          <w:sz w:val="16"/>
          <w:szCs w:val="16"/>
        </w:rPr>
        <w:t xml:space="preserve">, </w:t>
      </w:r>
      <w:hyperlink r:id="rId97" w:tgtFrame="_blank" w:tooltip="https://teara.govt.nz/en/te-tai/te-mana-o-te-reo-maori-nga-tamatoa" w:history="1">
        <w:r w:rsidR="00A671DF" w:rsidRPr="00DD5764">
          <w:rPr>
            <w:rFonts w:cs="Arial"/>
            <w:color w:val="auto"/>
            <w:sz w:val="16"/>
            <w:szCs w:val="16"/>
          </w:rPr>
          <w:t>https://teara.govt.nz/en/te-tai/te-mana-o-te-reo-maori-nga-tamatoa</w:t>
        </w:r>
      </w:hyperlink>
      <w:r w:rsidR="00A671DF" w:rsidRPr="0098561E">
        <w:rPr>
          <w:rFonts w:cs="Arial"/>
          <w:color w:val="auto"/>
          <w:sz w:val="16"/>
          <w:szCs w:val="16"/>
        </w:rPr>
        <w:t>.</w:t>
      </w:r>
    </w:p>
  </w:footnote>
  <w:footnote w:id="392">
    <w:p w14:paraId="04F7D9CD" w14:textId="6658E77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Witness statement of Dr Oliver Sutherland </w:t>
      </w:r>
      <w:r w:rsidR="00196E0E">
        <w:rPr>
          <w:rFonts w:cs="Arial"/>
          <w:color w:val="auto"/>
          <w:sz w:val="16"/>
          <w:szCs w:val="16"/>
        </w:rPr>
        <w:t>(</w:t>
      </w:r>
      <w:r w:rsidRPr="00CB4F47">
        <w:rPr>
          <w:rFonts w:cs="Arial"/>
          <w:color w:val="auto"/>
          <w:sz w:val="16"/>
          <w:szCs w:val="16"/>
        </w:rPr>
        <w:t>4 October 2019</w:t>
      </w:r>
      <w:r w:rsidR="00A671DF" w:rsidRPr="00CB4F47">
        <w:rPr>
          <w:rFonts w:cs="Arial"/>
          <w:color w:val="auto"/>
          <w:sz w:val="16"/>
          <w:szCs w:val="16"/>
        </w:rPr>
        <w:t>,</w:t>
      </w:r>
      <w:r w:rsidRPr="00CB4F47">
        <w:rPr>
          <w:rFonts w:cs="Arial"/>
          <w:color w:val="auto"/>
          <w:sz w:val="16"/>
          <w:szCs w:val="16"/>
        </w:rPr>
        <w:t xml:space="preserve"> page </w:t>
      </w:r>
      <w:r w:rsidR="00D83CFA" w:rsidRPr="00CB4F47">
        <w:rPr>
          <w:rFonts w:cs="Arial"/>
          <w:color w:val="auto"/>
          <w:sz w:val="16"/>
          <w:szCs w:val="16"/>
        </w:rPr>
        <w:t>9</w:t>
      </w:r>
      <w:r w:rsidR="005B45AC">
        <w:rPr>
          <w:rFonts w:cs="Arial"/>
          <w:color w:val="auto"/>
          <w:sz w:val="16"/>
          <w:szCs w:val="16"/>
        </w:rPr>
        <w:t>)</w:t>
      </w:r>
      <w:r w:rsidRPr="00CB4F47">
        <w:rPr>
          <w:rFonts w:cs="Arial"/>
          <w:color w:val="auto"/>
          <w:sz w:val="16"/>
          <w:szCs w:val="16"/>
        </w:rPr>
        <w:t>.</w:t>
      </w:r>
    </w:p>
  </w:footnote>
  <w:footnote w:id="393">
    <w:p w14:paraId="3B760072" w14:textId="0F75CCFC"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00A671DF" w:rsidRPr="00CB4F47">
        <w:rPr>
          <w:rFonts w:cs="Arial"/>
          <w:color w:val="auto"/>
          <w:sz w:val="16"/>
          <w:szCs w:val="16"/>
        </w:rPr>
        <w:t xml:space="preserve"> </w:t>
      </w:r>
      <w:r w:rsidR="00A671DF" w:rsidRPr="00CB4F47">
        <w:rPr>
          <w:rFonts w:eastAsia="BatangChe" w:cs="Arial"/>
          <w:sz w:val="16"/>
          <w:szCs w:val="16"/>
        </w:rPr>
        <w:t xml:space="preserve">Savage, C, Moyle, P, Kus-Harbord, L, Ahuriri-Driscoll, A, Hynds, A, Paipa, K, Leonard, G, Maraki, J &amp; Leonard, J, Hāhā-uri, hāhā-tea: Māori involvement in State </w:t>
      </w:r>
      <w:r w:rsidR="00A671DF">
        <w:rPr>
          <w:rFonts w:eastAsia="BatangChe" w:cs="Arial"/>
          <w:sz w:val="16"/>
          <w:szCs w:val="16"/>
        </w:rPr>
        <w:t>c</w:t>
      </w:r>
      <w:r w:rsidR="00A671DF" w:rsidRPr="00CB4F47">
        <w:rPr>
          <w:rFonts w:eastAsia="BatangChe" w:cs="Arial"/>
          <w:sz w:val="16"/>
          <w:szCs w:val="16"/>
        </w:rPr>
        <w:t xml:space="preserve">are 1950–1999 </w:t>
      </w:r>
      <w:r w:rsidR="00A671DF" w:rsidRPr="00CB4F47">
        <w:rPr>
          <w:rFonts w:eastAsia="BatangChe" w:cs="Arial"/>
          <w:color w:val="001C2E"/>
          <w:sz w:val="16"/>
          <w:szCs w:val="16"/>
          <w:shd w:val="clear" w:color="auto" w:fill="FFFFFF"/>
        </w:rPr>
        <w:t xml:space="preserve">(Ihi Research, 2021, </w:t>
      </w:r>
      <w:r w:rsidR="00A671DF" w:rsidRPr="00CB4F47">
        <w:rPr>
          <w:rFonts w:cs="Arial"/>
          <w:color w:val="auto"/>
          <w:sz w:val="16"/>
          <w:szCs w:val="16"/>
        </w:rPr>
        <w:t>page 14</w:t>
      </w:r>
      <w:r w:rsidR="00A671DF">
        <w:rPr>
          <w:rFonts w:cs="Arial"/>
          <w:color w:val="auto"/>
          <w:sz w:val="16"/>
          <w:szCs w:val="16"/>
        </w:rPr>
        <w:t>)</w:t>
      </w:r>
      <w:r w:rsidR="00A671DF" w:rsidRPr="00CB4F47">
        <w:rPr>
          <w:rFonts w:cs="Arial"/>
          <w:color w:val="auto"/>
          <w:sz w:val="16"/>
          <w:szCs w:val="16"/>
        </w:rPr>
        <w:t>.</w:t>
      </w:r>
    </w:p>
  </w:footnote>
  <w:footnote w:id="394">
    <w:p w14:paraId="7A210DDF" w14:textId="48824639"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Segoe UI" w:cs="Arial"/>
          <w:sz w:val="16"/>
          <w:szCs w:val="16"/>
        </w:rPr>
        <w:t>Waitangi Tribunal, He Pāharakeke, He Rito Whakakīkīnga Whāruarua: Oranga Tamariki Urgent Inquiry</w:t>
      </w:r>
      <w:r w:rsidR="00461067">
        <w:rPr>
          <w:rFonts w:eastAsia="Segoe UI" w:cs="Arial"/>
          <w:sz w:val="16"/>
          <w:szCs w:val="16"/>
        </w:rPr>
        <w:t xml:space="preserve">, </w:t>
      </w:r>
      <w:r w:rsidRPr="00CB4F47">
        <w:rPr>
          <w:rFonts w:eastAsia="Segoe UI" w:cs="Arial"/>
          <w:sz w:val="16"/>
          <w:szCs w:val="16"/>
        </w:rPr>
        <w:t>pre-publication version</w:t>
      </w:r>
      <w:r w:rsidR="00461067">
        <w:rPr>
          <w:rFonts w:eastAsia="Segoe UI" w:cs="Arial"/>
          <w:sz w:val="16"/>
          <w:szCs w:val="16"/>
        </w:rPr>
        <w:t xml:space="preserve"> (</w:t>
      </w:r>
      <w:r w:rsidRPr="00CB4F47">
        <w:rPr>
          <w:rFonts w:eastAsia="Segoe UI" w:cs="Arial"/>
          <w:sz w:val="16"/>
          <w:szCs w:val="16"/>
        </w:rPr>
        <w:t>Wai 2915</w:t>
      </w:r>
      <w:r w:rsidR="00461067">
        <w:rPr>
          <w:rFonts w:eastAsia="Segoe UI" w:cs="Arial"/>
          <w:sz w:val="16"/>
          <w:szCs w:val="16"/>
        </w:rPr>
        <w:t>)</w:t>
      </w:r>
      <w:r w:rsidRPr="00CB4F47">
        <w:rPr>
          <w:rFonts w:eastAsia="Segoe UI" w:cs="Arial"/>
          <w:sz w:val="16"/>
          <w:szCs w:val="16"/>
        </w:rPr>
        <w:t xml:space="preserve">, </w:t>
      </w:r>
      <w:r w:rsidR="00461067">
        <w:rPr>
          <w:rFonts w:eastAsia="Segoe UI" w:cs="Arial"/>
          <w:sz w:val="16"/>
          <w:szCs w:val="16"/>
        </w:rPr>
        <w:t>(</w:t>
      </w:r>
      <w:r w:rsidRPr="00CB4F47">
        <w:rPr>
          <w:rFonts w:eastAsia="Segoe UI" w:cs="Arial"/>
          <w:sz w:val="16"/>
          <w:szCs w:val="16"/>
        </w:rPr>
        <w:t>2021</w:t>
      </w:r>
      <w:r w:rsidR="00A671DF" w:rsidRPr="00CB4F47">
        <w:rPr>
          <w:rFonts w:cs="Arial"/>
          <w:sz w:val="16"/>
          <w:szCs w:val="16"/>
        </w:rPr>
        <w:t>,</w:t>
      </w:r>
      <w:r w:rsidRPr="00CB4F47">
        <w:rPr>
          <w:rFonts w:cs="Arial"/>
          <w:sz w:val="16"/>
          <w:szCs w:val="16"/>
        </w:rPr>
        <w:t xml:space="preserve"> </w:t>
      </w:r>
      <w:r w:rsidR="00C32E74" w:rsidRPr="00CB4F47">
        <w:rPr>
          <w:rFonts w:cs="Arial"/>
          <w:color w:val="auto"/>
          <w:sz w:val="16"/>
          <w:szCs w:val="16"/>
        </w:rPr>
        <w:t>page</w:t>
      </w:r>
      <w:r w:rsidRPr="00CB4F47">
        <w:rPr>
          <w:rFonts w:cs="Arial"/>
          <w:color w:val="auto"/>
          <w:sz w:val="16"/>
          <w:szCs w:val="16"/>
        </w:rPr>
        <w:t xml:space="preserve"> 32</w:t>
      </w:r>
      <w:r w:rsidR="005B45AC">
        <w:rPr>
          <w:rFonts w:cs="Arial"/>
          <w:color w:val="auto"/>
          <w:sz w:val="16"/>
          <w:szCs w:val="16"/>
        </w:rPr>
        <w:t>)</w:t>
      </w:r>
      <w:r w:rsidRPr="00CB4F47">
        <w:rPr>
          <w:rFonts w:cs="Arial"/>
          <w:color w:val="auto"/>
          <w:sz w:val="16"/>
          <w:szCs w:val="16"/>
        </w:rPr>
        <w:t>.</w:t>
      </w:r>
    </w:p>
  </w:footnote>
  <w:footnote w:id="395">
    <w:p w14:paraId="611E0F88" w14:textId="4CC2CF14"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Māori Perspective Advisory Committee, Puao-te-ata-tu (day break): The report of the Ministerial Advisory Committee on a Māori perspective for the Department of Social Welfare (Department of Social Welfare, 1988</w:t>
      </w:r>
      <w:r w:rsidR="00A671DF" w:rsidRPr="00CB4F47">
        <w:rPr>
          <w:rFonts w:cs="Arial"/>
          <w:sz w:val="16"/>
          <w:szCs w:val="16"/>
        </w:rPr>
        <w:t>,</w:t>
      </w:r>
      <w:r w:rsidRPr="00CB4F47">
        <w:rPr>
          <w:rFonts w:cs="Arial"/>
          <w:sz w:val="16"/>
          <w:szCs w:val="16"/>
        </w:rPr>
        <w:t xml:space="preserve"> </w:t>
      </w:r>
      <w:r w:rsidR="00C32E74" w:rsidRPr="00CB4F47">
        <w:rPr>
          <w:rFonts w:cs="Arial"/>
          <w:color w:val="auto"/>
          <w:sz w:val="16"/>
          <w:szCs w:val="16"/>
        </w:rPr>
        <w:t>page</w:t>
      </w:r>
      <w:r w:rsidRPr="00CB4F47">
        <w:rPr>
          <w:rFonts w:cs="Arial"/>
          <w:color w:val="auto"/>
          <w:sz w:val="16"/>
          <w:szCs w:val="16"/>
        </w:rPr>
        <w:t xml:space="preserve"> 7</w:t>
      </w:r>
      <w:r w:rsidR="009961FE">
        <w:rPr>
          <w:rFonts w:cs="Arial"/>
          <w:color w:val="auto"/>
          <w:sz w:val="16"/>
          <w:szCs w:val="16"/>
        </w:rPr>
        <w:t>)</w:t>
      </w:r>
      <w:r w:rsidRPr="00CB4F47">
        <w:rPr>
          <w:rFonts w:cs="Arial"/>
          <w:color w:val="auto"/>
          <w:sz w:val="16"/>
          <w:szCs w:val="16"/>
        </w:rPr>
        <w:t>.</w:t>
      </w:r>
    </w:p>
  </w:footnote>
  <w:footnote w:id="396">
    <w:p w14:paraId="5946C76C" w14:textId="56231333"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Māori Perspective Advisory Committee, Puao-te-ata-tu (day break): The report of the Ministerial Advisory Committee on a Māori perspective for the Department of Social Welfare (Department of Social Welfare, 1988</w:t>
      </w:r>
      <w:r w:rsidR="00A671DF" w:rsidRPr="00CB4F47">
        <w:rPr>
          <w:rFonts w:cs="Arial"/>
          <w:sz w:val="16"/>
          <w:szCs w:val="16"/>
        </w:rPr>
        <w:t>,</w:t>
      </w:r>
      <w:r w:rsidRPr="00CB4F47">
        <w:rPr>
          <w:rFonts w:cs="Arial"/>
          <w:sz w:val="16"/>
          <w:szCs w:val="16"/>
        </w:rPr>
        <w:t xml:space="preserve"> </w:t>
      </w:r>
      <w:r w:rsidR="00C32E74" w:rsidRPr="00CB4F47">
        <w:rPr>
          <w:rFonts w:cs="Arial"/>
          <w:color w:val="auto"/>
          <w:sz w:val="16"/>
          <w:szCs w:val="16"/>
        </w:rPr>
        <w:t>page</w:t>
      </w:r>
      <w:r w:rsidRPr="00CB4F47">
        <w:rPr>
          <w:rFonts w:cs="Arial"/>
          <w:color w:val="auto"/>
          <w:sz w:val="16"/>
          <w:szCs w:val="16"/>
        </w:rPr>
        <w:t xml:space="preserve"> 7</w:t>
      </w:r>
      <w:r w:rsidR="009961FE">
        <w:rPr>
          <w:rFonts w:cs="Arial"/>
          <w:color w:val="auto"/>
          <w:sz w:val="16"/>
          <w:szCs w:val="16"/>
        </w:rPr>
        <w:t>)</w:t>
      </w:r>
      <w:r w:rsidRPr="00CB4F47">
        <w:rPr>
          <w:rFonts w:cs="Arial"/>
          <w:color w:val="auto"/>
          <w:sz w:val="16"/>
          <w:szCs w:val="16"/>
        </w:rPr>
        <w:t>.</w:t>
      </w:r>
    </w:p>
  </w:footnote>
  <w:footnote w:id="397">
    <w:p w14:paraId="0B5D4D1C" w14:textId="1AA46CB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Māori Perspective Advisory Committee, Puao-te-ata-tu (day break): The report of the Ministerial Advisory Committee on a Māori perspective for the Department of Social Welfare (Department of Social Welfare, 1988</w:t>
      </w:r>
      <w:r w:rsidR="00A671DF" w:rsidRPr="00CB4F47">
        <w:rPr>
          <w:rFonts w:cs="Arial"/>
          <w:sz w:val="16"/>
          <w:szCs w:val="16"/>
        </w:rPr>
        <w:t>,</w:t>
      </w:r>
      <w:r w:rsidRPr="00CB4F47">
        <w:rPr>
          <w:rFonts w:cs="Arial"/>
          <w:sz w:val="16"/>
          <w:szCs w:val="16"/>
        </w:rPr>
        <w:t xml:space="preserve"> </w:t>
      </w:r>
      <w:r w:rsidRPr="00CB4F47">
        <w:rPr>
          <w:rFonts w:cs="Arial"/>
          <w:color w:val="auto"/>
          <w:sz w:val="16"/>
          <w:szCs w:val="16"/>
        </w:rPr>
        <w:t>pages 12 and 34</w:t>
      </w:r>
      <w:r w:rsidR="009961FE">
        <w:rPr>
          <w:rFonts w:cs="Arial"/>
          <w:color w:val="auto"/>
          <w:sz w:val="16"/>
          <w:szCs w:val="16"/>
        </w:rPr>
        <w:t>)</w:t>
      </w:r>
      <w:r w:rsidRPr="00CB4F47">
        <w:rPr>
          <w:rFonts w:cs="Arial"/>
          <w:color w:val="auto"/>
          <w:sz w:val="16"/>
          <w:szCs w:val="16"/>
        </w:rPr>
        <w:t>.</w:t>
      </w:r>
    </w:p>
  </w:footnote>
  <w:footnote w:id="398">
    <w:p w14:paraId="1563DA9B" w14:textId="30EB4C2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Smale, A, “The Misery-Go-Round</w:t>
      </w:r>
      <w:r w:rsidR="00A671DF" w:rsidRPr="00CB4F47">
        <w:rPr>
          <w:rFonts w:cs="Arial"/>
          <w:color w:val="auto"/>
          <w:sz w:val="16"/>
          <w:szCs w:val="16"/>
        </w:rPr>
        <w:t>”</w:t>
      </w:r>
      <w:r w:rsidRPr="00CB4F47">
        <w:rPr>
          <w:rFonts w:cs="Arial"/>
          <w:color w:val="auto"/>
          <w:sz w:val="16"/>
          <w:szCs w:val="16"/>
        </w:rPr>
        <w:t xml:space="preserve"> (North &amp; South, September 2022).</w:t>
      </w:r>
    </w:p>
  </w:footnote>
  <w:footnote w:id="399">
    <w:p w14:paraId="303E8A09" w14:textId="65756423" w:rsidR="006F25DB" w:rsidRPr="00771FAC" w:rsidRDefault="00170F74" w:rsidP="006F25DB">
      <w:pPr>
        <w:pStyle w:val="FootnoteText"/>
        <w:spacing w:before="0" w:after="0"/>
        <w:rPr>
          <w:sz w:val="16"/>
          <w:szCs w:val="16"/>
        </w:rPr>
      </w:pPr>
      <w:r w:rsidRPr="00536E67">
        <w:rPr>
          <w:rStyle w:val="StyleFootnoteReferenceFagoFunotenzeichenFagoFunotenzeichen"/>
          <w:sz w:val="16"/>
          <w:szCs w:val="16"/>
        </w:rPr>
        <w:footnoteRef/>
      </w:r>
      <w:r w:rsidRPr="00CB4F47">
        <w:rPr>
          <w:sz w:val="16"/>
          <w:szCs w:val="16"/>
        </w:rPr>
        <w:t xml:space="preserve"> </w:t>
      </w:r>
      <w:r w:rsidRPr="00CB4F47">
        <w:rPr>
          <w:rFonts w:cs="Arial"/>
          <w:sz w:val="16"/>
          <w:szCs w:val="16"/>
        </w:rPr>
        <w:t>Transcript of evidence of Chief Ombudsman Peter Boshier (26 August 2022</w:t>
      </w:r>
      <w:r>
        <w:rPr>
          <w:rFonts w:cs="Arial"/>
          <w:sz w:val="16"/>
          <w:szCs w:val="16"/>
        </w:rPr>
        <w:t>,</w:t>
      </w:r>
      <w:r w:rsidRPr="00CB4F47">
        <w:rPr>
          <w:rFonts w:cs="Arial"/>
          <w:sz w:val="16"/>
          <w:szCs w:val="16"/>
        </w:rPr>
        <w:t xml:space="preserve"> pages 1041</w:t>
      </w:r>
      <w:r>
        <w:rPr>
          <w:rFonts w:cs="Arial"/>
          <w:sz w:val="16"/>
          <w:szCs w:val="16"/>
        </w:rPr>
        <w:t>–</w:t>
      </w:r>
      <w:r w:rsidRPr="00CB4F47">
        <w:rPr>
          <w:rFonts w:cs="Arial"/>
          <w:sz w:val="16"/>
          <w:szCs w:val="16"/>
        </w:rPr>
        <w:t>1042</w:t>
      </w:r>
      <w:r>
        <w:rPr>
          <w:rFonts w:cs="Arial"/>
          <w:sz w:val="16"/>
          <w:szCs w:val="16"/>
        </w:rPr>
        <w:t>)</w:t>
      </w:r>
      <w:r w:rsidRPr="00CB4F47">
        <w:rPr>
          <w:rFonts w:cs="Arial"/>
          <w:sz w:val="16"/>
          <w:szCs w:val="16"/>
        </w:rPr>
        <w:t xml:space="preserve">; </w:t>
      </w:r>
      <w:r w:rsidRPr="00CB4F47">
        <w:rPr>
          <w:rFonts w:cs="Arial"/>
          <w:color w:val="262626"/>
          <w:sz w:val="16"/>
          <w:szCs w:val="16"/>
        </w:rPr>
        <w:t>Hyslop, I &amp; Keddell, E, Changes needed to the current system of child protection and care in Aotearoa,</w:t>
      </w:r>
      <w:r>
        <w:rPr>
          <w:rFonts w:cs="Arial"/>
          <w:color w:val="262626"/>
          <w:sz w:val="16"/>
          <w:szCs w:val="16"/>
        </w:rPr>
        <w:t xml:space="preserve"> Expert opinion prepared for</w:t>
      </w:r>
      <w:r w:rsidRPr="00CB4F47" w:rsidDel="00390577">
        <w:rPr>
          <w:rFonts w:cs="Arial"/>
          <w:color w:val="262626"/>
          <w:sz w:val="16"/>
          <w:szCs w:val="16"/>
        </w:rPr>
        <w:t xml:space="preserve"> </w:t>
      </w:r>
      <w:r>
        <w:rPr>
          <w:rFonts w:cs="Arial"/>
          <w:color w:val="262626"/>
          <w:sz w:val="16"/>
          <w:szCs w:val="16"/>
        </w:rPr>
        <w:t xml:space="preserve">the </w:t>
      </w:r>
      <w:r w:rsidRPr="00CB4F47">
        <w:rPr>
          <w:rFonts w:cs="Arial"/>
          <w:color w:val="262626"/>
          <w:sz w:val="16"/>
          <w:szCs w:val="16"/>
        </w:rPr>
        <w:t xml:space="preserve">Royal Commission of Inquiry into Abuse in Care </w:t>
      </w:r>
      <w:r>
        <w:rPr>
          <w:rFonts w:cs="Arial"/>
          <w:color w:val="262626"/>
          <w:sz w:val="16"/>
          <w:szCs w:val="16"/>
        </w:rPr>
        <w:t>(</w:t>
      </w:r>
      <w:r w:rsidRPr="00CB4F47">
        <w:rPr>
          <w:rFonts w:cs="Arial"/>
          <w:color w:val="262626"/>
          <w:sz w:val="16"/>
          <w:szCs w:val="16"/>
        </w:rPr>
        <w:t xml:space="preserve">7 June 2022, </w:t>
      </w:r>
      <w:r w:rsidRPr="00CB4F47">
        <w:rPr>
          <w:rFonts w:cs="Arial"/>
          <w:color w:val="auto"/>
          <w:sz w:val="16"/>
          <w:szCs w:val="16"/>
        </w:rPr>
        <w:t>page</w:t>
      </w:r>
      <w:r w:rsidRPr="00CB4F47">
        <w:rPr>
          <w:rFonts w:cs="Arial"/>
          <w:color w:val="262626"/>
          <w:sz w:val="16"/>
          <w:szCs w:val="16"/>
        </w:rPr>
        <w:t xml:space="preserve"> 5</w:t>
      </w:r>
      <w:r>
        <w:rPr>
          <w:rFonts w:cs="Arial"/>
          <w:color w:val="262626"/>
          <w:sz w:val="16"/>
          <w:szCs w:val="16"/>
        </w:rPr>
        <w:t>)</w:t>
      </w:r>
      <w:r w:rsidR="006F25DB">
        <w:rPr>
          <w:rFonts w:cs="Arial"/>
          <w:color w:val="262626"/>
          <w:sz w:val="16"/>
          <w:szCs w:val="16"/>
        </w:rPr>
        <w:t xml:space="preserve">; </w:t>
      </w:r>
      <w:r w:rsidR="006F25DB" w:rsidRPr="00FD11CA">
        <w:rPr>
          <w:rFonts w:cs="Arial"/>
          <w:sz w:val="16"/>
          <w:szCs w:val="16"/>
        </w:rPr>
        <w:t xml:space="preserve">Dalley, B, Family matters: Child welfare in twentieth-century New Zealand (Auckland University Press, 1998, </w:t>
      </w:r>
      <w:r w:rsidR="006F25DB" w:rsidRPr="00FD11CA">
        <w:rPr>
          <w:rFonts w:cs="Arial"/>
          <w:color w:val="auto"/>
          <w:sz w:val="16"/>
          <w:szCs w:val="16"/>
        </w:rPr>
        <w:t>page</w:t>
      </w:r>
      <w:r w:rsidR="006F25DB">
        <w:rPr>
          <w:rFonts w:cs="Arial"/>
          <w:color w:val="auto"/>
          <w:sz w:val="16"/>
          <w:szCs w:val="16"/>
        </w:rPr>
        <w:t>s 265 – 266)</w:t>
      </w:r>
      <w:r w:rsidR="006F25DB" w:rsidRPr="00FD11CA">
        <w:rPr>
          <w:rFonts w:cs="Arial"/>
          <w:color w:val="auto"/>
          <w:sz w:val="16"/>
          <w:szCs w:val="16"/>
        </w:rPr>
        <w:t>.</w:t>
      </w:r>
    </w:p>
    <w:p w14:paraId="093A235D" w14:textId="6A425388" w:rsidR="00170F74" w:rsidRPr="00CB4F47" w:rsidRDefault="006F25DB" w:rsidP="006F25DB">
      <w:pPr>
        <w:pStyle w:val="FootnoteText"/>
        <w:rPr>
          <w:sz w:val="16"/>
          <w:szCs w:val="16"/>
        </w:rPr>
      </w:pPr>
      <w:r w:rsidRPr="00CB4F47">
        <w:rPr>
          <w:rFonts w:cs="Arial"/>
          <w:color w:val="262626"/>
          <w:sz w:val="16"/>
          <w:szCs w:val="16"/>
        </w:rPr>
        <w:t>.</w:t>
      </w:r>
      <w:r w:rsidR="00170F74" w:rsidRPr="00CB4F47">
        <w:rPr>
          <w:rFonts w:cs="Arial"/>
          <w:color w:val="262626"/>
          <w:sz w:val="16"/>
          <w:szCs w:val="16"/>
        </w:rPr>
        <w:t>.</w:t>
      </w:r>
    </w:p>
  </w:footnote>
  <w:footnote w:id="400">
    <w:p w14:paraId="4C3D5A3F" w14:textId="7559EF28"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sidDel="00A04830">
        <w:rPr>
          <w:rFonts w:cs="Arial"/>
          <w:color w:val="auto"/>
          <w:sz w:val="16"/>
          <w:szCs w:val="16"/>
        </w:rPr>
        <w:t xml:space="preserve"> </w:t>
      </w:r>
      <w:r w:rsidRPr="00CB4F47">
        <w:rPr>
          <w:rFonts w:cs="Arial"/>
          <w:color w:val="auto"/>
          <w:sz w:val="16"/>
          <w:szCs w:val="16"/>
        </w:rPr>
        <w:t>Powell</w:t>
      </w:r>
      <w:r w:rsidR="005718E4">
        <w:rPr>
          <w:rFonts w:cs="Arial"/>
          <w:color w:val="auto"/>
          <w:sz w:val="16"/>
          <w:szCs w:val="16"/>
        </w:rPr>
        <w:t>,</w:t>
      </w:r>
      <w:r w:rsidRPr="00CB4F47">
        <w:rPr>
          <w:rFonts w:cs="Arial"/>
          <w:color w:val="auto"/>
          <w:sz w:val="16"/>
          <w:szCs w:val="16"/>
        </w:rPr>
        <w:t xml:space="preserve"> D &amp; Hyde</w:t>
      </w:r>
      <w:r w:rsidR="005718E4">
        <w:rPr>
          <w:rFonts w:cs="Arial"/>
          <w:color w:val="auto"/>
          <w:sz w:val="16"/>
          <w:szCs w:val="16"/>
        </w:rPr>
        <w:t>,</w:t>
      </w:r>
      <w:r w:rsidRPr="00CB4F47">
        <w:rPr>
          <w:rFonts w:cs="Arial"/>
          <w:color w:val="auto"/>
          <w:sz w:val="16"/>
          <w:szCs w:val="16"/>
        </w:rPr>
        <w:t xml:space="preserve"> M, “Deaf Education in New Zealand: Where we have been and where we are going</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Deafness &amp; Education International, 16(3) (2014</w:t>
      </w:r>
      <w:r w:rsidR="00A671DF" w:rsidRPr="00CB4F47">
        <w:rPr>
          <w:rFonts w:cs="Arial"/>
          <w:color w:val="auto"/>
          <w:sz w:val="16"/>
          <w:szCs w:val="16"/>
        </w:rPr>
        <w:t>,</w:t>
      </w:r>
      <w:r w:rsidRPr="00CB4F47">
        <w:rPr>
          <w:rFonts w:cs="Arial"/>
          <w:color w:val="auto"/>
          <w:sz w:val="16"/>
          <w:szCs w:val="16"/>
        </w:rPr>
        <w:t xml:space="preserve"> pages 129–145, p</w:t>
      </w:r>
      <w:r w:rsidR="00945A09" w:rsidRPr="00CB4F47">
        <w:rPr>
          <w:rFonts w:cs="Arial"/>
          <w:color w:val="auto"/>
          <w:sz w:val="16"/>
          <w:szCs w:val="16"/>
        </w:rPr>
        <w:t>age</w:t>
      </w:r>
      <w:r w:rsidRPr="00CB4F47">
        <w:rPr>
          <w:rFonts w:cs="Arial"/>
          <w:color w:val="auto"/>
          <w:sz w:val="16"/>
          <w:szCs w:val="16"/>
        </w:rPr>
        <w:t xml:space="preserve"> </w:t>
      </w:r>
      <w:r w:rsidR="00A671DF" w:rsidRPr="00CB4F47">
        <w:rPr>
          <w:rFonts w:cs="Arial"/>
          <w:color w:val="auto"/>
          <w:sz w:val="16"/>
          <w:szCs w:val="16"/>
        </w:rPr>
        <w:t>13</w:t>
      </w:r>
      <w:r w:rsidR="00A671DF">
        <w:rPr>
          <w:rFonts w:cs="Arial"/>
          <w:color w:val="auto"/>
          <w:sz w:val="16"/>
          <w:szCs w:val="16"/>
        </w:rPr>
        <w:t>1</w:t>
      </w:r>
      <w:r w:rsidR="00970C03">
        <w:rPr>
          <w:rFonts w:cs="Arial"/>
          <w:color w:val="auto"/>
          <w:sz w:val="16"/>
          <w:szCs w:val="16"/>
        </w:rPr>
        <w:t>)</w:t>
      </w:r>
      <w:r w:rsidRPr="00CB4F47">
        <w:rPr>
          <w:rFonts w:cs="Arial"/>
          <w:color w:val="auto"/>
          <w:sz w:val="16"/>
          <w:szCs w:val="16"/>
        </w:rPr>
        <w:t xml:space="preserve">. </w:t>
      </w:r>
    </w:p>
  </w:footnote>
  <w:footnote w:id="401">
    <w:p w14:paraId="68BC0D22" w14:textId="55739C4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Hopkins</w:t>
      </w:r>
      <w:r w:rsidR="006E2C5F">
        <w:rPr>
          <w:rFonts w:cs="Arial"/>
          <w:color w:val="auto"/>
          <w:sz w:val="16"/>
          <w:szCs w:val="16"/>
        </w:rPr>
        <w:t>,</w:t>
      </w:r>
      <w:r w:rsidRPr="00CB4F47">
        <w:rPr>
          <w:rFonts w:cs="Arial"/>
          <w:color w:val="auto"/>
          <w:sz w:val="16"/>
          <w:szCs w:val="16"/>
        </w:rPr>
        <w:t xml:space="preserve"> R, Listening eyes, speaking hands: The story of Deaf Education in New Zealand (Ministry of Education, 2018</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w:t>
      </w:r>
      <w:r w:rsidR="00B539C1">
        <w:rPr>
          <w:rFonts w:cs="Arial"/>
          <w:color w:val="auto"/>
          <w:sz w:val="16"/>
          <w:szCs w:val="16"/>
        </w:rPr>
        <w:t>)</w:t>
      </w:r>
      <w:r w:rsidRPr="00CB4F47">
        <w:rPr>
          <w:rFonts w:cs="Arial"/>
          <w:color w:val="auto"/>
          <w:sz w:val="16"/>
          <w:szCs w:val="16"/>
        </w:rPr>
        <w:t>.</w:t>
      </w:r>
    </w:p>
  </w:footnote>
  <w:footnote w:id="402">
    <w:p w14:paraId="1150C0EC" w14:textId="1638CC9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sidDel="00A04830">
        <w:rPr>
          <w:rFonts w:cs="Arial"/>
          <w:color w:val="auto"/>
          <w:sz w:val="16"/>
          <w:szCs w:val="16"/>
        </w:rPr>
        <w:t xml:space="preserve"> </w:t>
      </w:r>
      <w:r w:rsidRPr="00CB4F47">
        <w:rPr>
          <w:rFonts w:cs="Arial"/>
          <w:color w:val="auto"/>
          <w:sz w:val="16"/>
          <w:szCs w:val="16"/>
        </w:rPr>
        <w:t>Powell</w:t>
      </w:r>
      <w:r w:rsidR="006E2C5F">
        <w:rPr>
          <w:rFonts w:cs="Arial"/>
          <w:color w:val="auto"/>
          <w:sz w:val="16"/>
          <w:szCs w:val="16"/>
        </w:rPr>
        <w:t>,</w:t>
      </w:r>
      <w:r w:rsidRPr="00CB4F47">
        <w:rPr>
          <w:rFonts w:cs="Arial"/>
          <w:color w:val="auto"/>
          <w:sz w:val="16"/>
          <w:szCs w:val="16"/>
        </w:rPr>
        <w:t xml:space="preserve"> D &amp; Hyde</w:t>
      </w:r>
      <w:r w:rsidR="006E2C5F">
        <w:rPr>
          <w:rFonts w:cs="Arial"/>
          <w:color w:val="auto"/>
          <w:sz w:val="16"/>
          <w:szCs w:val="16"/>
        </w:rPr>
        <w:t>,</w:t>
      </w:r>
      <w:r w:rsidRPr="00CB4F47">
        <w:rPr>
          <w:rFonts w:cs="Arial"/>
          <w:color w:val="auto"/>
          <w:sz w:val="16"/>
          <w:szCs w:val="16"/>
        </w:rPr>
        <w:t xml:space="preserve"> M, “Deaf Education in New Zealand: Where we have been and where we are going</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Deafness &amp; Education International, 16(3) (2014</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 xml:space="preserve">pages </w:t>
      </w:r>
      <w:r w:rsidR="007E7349" w:rsidRPr="00CB4F47">
        <w:rPr>
          <w:rFonts w:cs="Arial"/>
          <w:color w:val="auto"/>
          <w:sz w:val="16"/>
          <w:szCs w:val="16"/>
        </w:rPr>
        <w:t>129–145</w:t>
      </w:r>
      <w:r w:rsidR="007E7349">
        <w:rPr>
          <w:rFonts w:cs="Arial"/>
          <w:color w:val="auto"/>
          <w:sz w:val="16"/>
          <w:szCs w:val="16"/>
        </w:rPr>
        <w:t xml:space="preserve">, </w:t>
      </w:r>
      <w:r w:rsidR="00C60FDD">
        <w:rPr>
          <w:rFonts w:cs="Arial"/>
          <w:color w:val="auto"/>
          <w:sz w:val="16"/>
          <w:szCs w:val="16"/>
        </w:rPr>
        <w:t xml:space="preserve">page </w:t>
      </w:r>
      <w:r w:rsidRPr="00CB4F47">
        <w:rPr>
          <w:rFonts w:cs="Arial"/>
          <w:color w:val="auto"/>
          <w:sz w:val="16"/>
          <w:szCs w:val="16"/>
        </w:rPr>
        <w:t>131</w:t>
      </w:r>
      <w:r w:rsidR="00B539C1">
        <w:rPr>
          <w:rFonts w:cs="Arial"/>
          <w:color w:val="auto"/>
          <w:sz w:val="16"/>
          <w:szCs w:val="16"/>
        </w:rPr>
        <w:t>)</w:t>
      </w:r>
      <w:r w:rsidRPr="00CB4F47">
        <w:rPr>
          <w:rFonts w:cs="Arial"/>
          <w:color w:val="auto"/>
          <w:sz w:val="16"/>
          <w:szCs w:val="16"/>
        </w:rPr>
        <w:t>.</w:t>
      </w:r>
    </w:p>
  </w:footnote>
  <w:footnote w:id="403">
    <w:p w14:paraId="6790F12E" w14:textId="08274FC6" w:rsidR="006C4B89" w:rsidRPr="00DD5764" w:rsidRDefault="006C4B89">
      <w:pPr>
        <w:pStyle w:val="FootnoteText"/>
        <w:rPr>
          <w:sz w:val="16"/>
          <w:szCs w:val="16"/>
        </w:rPr>
      </w:pPr>
      <w:r w:rsidRPr="00536E67">
        <w:rPr>
          <w:rStyle w:val="StyleFootnoteReferenceFagoFunotenzeichenFagoFunotenzeichen"/>
          <w:sz w:val="16"/>
          <w:szCs w:val="16"/>
        </w:rPr>
        <w:footnoteRef/>
      </w:r>
      <w:r w:rsidRPr="00DD5764">
        <w:rPr>
          <w:sz w:val="16"/>
          <w:szCs w:val="16"/>
        </w:rPr>
        <w:t xml:space="preserve"> Deaf Aotearoa</w:t>
      </w:r>
      <w:r w:rsidR="00953D66">
        <w:rPr>
          <w:sz w:val="16"/>
          <w:szCs w:val="16"/>
        </w:rPr>
        <w:t xml:space="preserve"> website</w:t>
      </w:r>
      <w:r w:rsidRPr="00DD5764">
        <w:rPr>
          <w:sz w:val="16"/>
          <w:szCs w:val="16"/>
        </w:rPr>
        <w:t>, History</w:t>
      </w:r>
      <w:r w:rsidR="00C60FDD">
        <w:rPr>
          <w:sz w:val="16"/>
          <w:szCs w:val="16"/>
        </w:rPr>
        <w:t xml:space="preserve"> (accessed 11 March 2024)</w:t>
      </w:r>
      <w:r w:rsidR="0014119E">
        <w:rPr>
          <w:sz w:val="16"/>
          <w:szCs w:val="16"/>
        </w:rPr>
        <w:t>,</w:t>
      </w:r>
      <w:r w:rsidRPr="00DD5764">
        <w:rPr>
          <w:sz w:val="16"/>
          <w:szCs w:val="16"/>
        </w:rPr>
        <w:t xml:space="preserve"> </w:t>
      </w:r>
      <w:hyperlink r:id="rId98" w:history="1">
        <w:r w:rsidR="000454DB" w:rsidRPr="000454DB">
          <w:rPr>
            <w:rStyle w:val="Hyperlink"/>
            <w:sz w:val="16"/>
            <w:szCs w:val="16"/>
          </w:rPr>
          <w:t>https://www.deaf.org.nz/about/history/</w:t>
        </w:r>
      </w:hyperlink>
      <w:r w:rsidR="00C60FDD">
        <w:rPr>
          <w:sz w:val="16"/>
          <w:szCs w:val="16"/>
        </w:rPr>
        <w:t>.</w:t>
      </w:r>
    </w:p>
  </w:footnote>
  <w:footnote w:id="404">
    <w:p w14:paraId="18E8E580" w14:textId="61C6AC3D" w:rsidR="0029319A" w:rsidRDefault="0029319A">
      <w:pPr>
        <w:pStyle w:val="FootnoteText"/>
      </w:pPr>
      <w:r>
        <w:rPr>
          <w:rStyle w:val="FootnoteReference"/>
        </w:rPr>
        <w:footnoteRef/>
      </w:r>
      <w:r>
        <w:t xml:space="preserve"> </w:t>
      </w:r>
      <w:r w:rsidR="00F036E0" w:rsidRPr="00536E67">
        <w:rPr>
          <w:sz w:val="16"/>
          <w:szCs w:val="18"/>
        </w:rPr>
        <w:t>Bennion Law, amended Statement of Claim</w:t>
      </w:r>
      <w:r w:rsidR="008005C4" w:rsidRPr="00536E67">
        <w:rPr>
          <w:sz w:val="16"/>
          <w:szCs w:val="18"/>
        </w:rPr>
        <w:t xml:space="preserve">, Wai 2575 and Wai 2143 (Bennion Law 2019 pages 3–4). </w:t>
      </w:r>
    </w:p>
  </w:footnote>
  <w:footnote w:id="405">
    <w:p w14:paraId="67A0222B" w14:textId="672C018B"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Oliver, M, The politics of disablement (Springer, 1990</w:t>
      </w:r>
      <w:r w:rsidR="00A671DF" w:rsidRPr="00CB4F47">
        <w:rPr>
          <w:rFonts w:cs="Arial"/>
          <w:color w:val="auto"/>
          <w:sz w:val="16"/>
          <w:szCs w:val="16"/>
        </w:rPr>
        <w:t>,</w:t>
      </w:r>
      <w:r w:rsidRPr="00CB4F47">
        <w:rPr>
          <w:rFonts w:cs="Arial"/>
          <w:color w:val="auto"/>
          <w:sz w:val="16"/>
          <w:szCs w:val="16"/>
        </w:rPr>
        <w:t xml:space="preserve"> pages 1–11</w:t>
      </w:r>
      <w:r w:rsidR="0092452E">
        <w:rPr>
          <w:rFonts w:cs="Arial"/>
          <w:color w:val="auto"/>
          <w:sz w:val="16"/>
          <w:szCs w:val="16"/>
        </w:rPr>
        <w:t>)</w:t>
      </w:r>
      <w:r w:rsidRPr="00CB4F47">
        <w:rPr>
          <w:rFonts w:cs="Arial"/>
          <w:color w:val="auto"/>
          <w:sz w:val="16"/>
          <w:szCs w:val="16"/>
        </w:rPr>
        <w:t>.</w:t>
      </w:r>
    </w:p>
  </w:footnote>
  <w:footnote w:id="406">
    <w:p w14:paraId="054BB32D" w14:textId="0459E396"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Webb, </w:t>
      </w:r>
      <w:r w:rsidR="00A671DF" w:rsidRPr="00CB4F47">
        <w:rPr>
          <w:rFonts w:cs="Arial"/>
          <w:color w:val="auto"/>
          <w:sz w:val="16"/>
          <w:szCs w:val="16"/>
        </w:rPr>
        <w:t>OJ,</w:t>
      </w:r>
      <w:r w:rsidRPr="00CB4F47" w:rsidDel="00176687">
        <w:rPr>
          <w:rFonts w:cs="Arial"/>
          <w:color w:val="auto"/>
          <w:sz w:val="16"/>
          <w:szCs w:val="16"/>
        </w:rPr>
        <w:t xml:space="preserve"> </w:t>
      </w:r>
      <w:r w:rsidRPr="00CB4F47">
        <w:rPr>
          <w:rFonts w:cs="Arial"/>
          <w:color w:val="auto"/>
          <w:sz w:val="16"/>
          <w:szCs w:val="16"/>
        </w:rPr>
        <w:t>The likely impact of prevailing conditions and environments on people now considered to be neurodiverse, between 1950 and 1990</w:t>
      </w:r>
      <w:r w:rsidR="00176687">
        <w:rPr>
          <w:rFonts w:cs="Arial"/>
          <w:color w:val="auto"/>
          <w:sz w:val="16"/>
          <w:szCs w:val="16"/>
        </w:rPr>
        <w:t xml:space="preserve">, </w:t>
      </w:r>
      <w:r w:rsidR="00176687" w:rsidRPr="00CB4F47">
        <w:rPr>
          <w:rFonts w:cs="Arial"/>
          <w:color w:val="auto"/>
          <w:sz w:val="16"/>
          <w:szCs w:val="16"/>
        </w:rPr>
        <w:t>Paper prepared for the Royal Commission</w:t>
      </w:r>
      <w:r w:rsidR="00176687">
        <w:rPr>
          <w:rFonts w:cs="Arial"/>
          <w:color w:val="auto"/>
          <w:sz w:val="16"/>
          <w:szCs w:val="16"/>
        </w:rPr>
        <w:t xml:space="preserve"> of Inquiry into Abuse in Care</w:t>
      </w:r>
      <w:r w:rsidRPr="00CB4F47">
        <w:rPr>
          <w:rFonts w:cs="Arial"/>
          <w:color w:val="auto"/>
          <w:sz w:val="16"/>
          <w:szCs w:val="16"/>
        </w:rPr>
        <w:t xml:space="preserve"> (25 Nov</w:t>
      </w:r>
      <w:r w:rsidR="00B913DB">
        <w:rPr>
          <w:rFonts w:cs="Arial"/>
          <w:color w:val="auto"/>
          <w:sz w:val="16"/>
          <w:szCs w:val="16"/>
        </w:rPr>
        <w:t>ember</w:t>
      </w:r>
      <w:r w:rsidRPr="00CB4F47">
        <w:rPr>
          <w:rFonts w:cs="Arial"/>
          <w:color w:val="auto"/>
          <w:sz w:val="16"/>
          <w:szCs w:val="16"/>
        </w:rPr>
        <w:t xml:space="preserve"> 2022</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11</w:t>
      </w:r>
      <w:r w:rsidR="005853D8">
        <w:rPr>
          <w:rFonts w:cs="Arial"/>
          <w:color w:val="auto"/>
          <w:sz w:val="16"/>
          <w:szCs w:val="16"/>
        </w:rPr>
        <w:t>)</w:t>
      </w:r>
      <w:r w:rsidRPr="00CB4F47">
        <w:rPr>
          <w:rFonts w:cs="Arial"/>
          <w:color w:val="auto"/>
          <w:sz w:val="16"/>
          <w:szCs w:val="16"/>
        </w:rPr>
        <w:t>.</w:t>
      </w:r>
    </w:p>
  </w:footnote>
  <w:footnote w:id="407">
    <w:p w14:paraId="6CC14683" w14:textId="2CA8FEC3" w:rsidR="000E429D" w:rsidRPr="00CB4F47" w:rsidRDefault="000E429D" w:rsidP="00E4178E">
      <w:pPr>
        <w:pStyle w:val="FootnoteText"/>
        <w:spacing w:before="0" w:after="0" w:line="240" w:lineRule="auto"/>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Third Report of the Royal Commission of Inquiry into </w:t>
      </w:r>
      <w:r w:rsidR="005D3F6C">
        <w:rPr>
          <w:rFonts w:cs="Arial"/>
          <w:color w:val="auto"/>
          <w:sz w:val="16"/>
          <w:szCs w:val="16"/>
        </w:rPr>
        <w:t>h</w:t>
      </w:r>
      <w:r w:rsidRPr="00CB4F47">
        <w:rPr>
          <w:rFonts w:cs="Arial"/>
          <w:color w:val="auto"/>
          <w:sz w:val="16"/>
          <w:szCs w:val="16"/>
        </w:rPr>
        <w:t xml:space="preserve">ospital and </w:t>
      </w:r>
      <w:r w:rsidR="005D3F6C">
        <w:rPr>
          <w:rFonts w:cs="Arial"/>
          <w:color w:val="auto"/>
          <w:sz w:val="16"/>
          <w:szCs w:val="16"/>
        </w:rPr>
        <w:t>r</w:t>
      </w:r>
      <w:r w:rsidRPr="00CB4F47">
        <w:rPr>
          <w:rFonts w:cs="Arial"/>
          <w:color w:val="auto"/>
          <w:sz w:val="16"/>
          <w:szCs w:val="16"/>
        </w:rPr>
        <w:t xml:space="preserve">elated </w:t>
      </w:r>
      <w:r w:rsidR="005D3F6C">
        <w:rPr>
          <w:rFonts w:cs="Arial"/>
          <w:color w:val="auto"/>
          <w:sz w:val="16"/>
          <w:szCs w:val="16"/>
        </w:rPr>
        <w:t>s</w:t>
      </w:r>
      <w:r w:rsidRPr="00CB4F47">
        <w:rPr>
          <w:rFonts w:cs="Arial"/>
          <w:color w:val="auto"/>
          <w:sz w:val="16"/>
          <w:szCs w:val="16"/>
        </w:rPr>
        <w:t xml:space="preserve">ervices, </w:t>
      </w:r>
      <w:r w:rsidR="005D3F6C">
        <w:rPr>
          <w:rFonts w:cs="Arial"/>
          <w:color w:val="auto"/>
          <w:sz w:val="16"/>
          <w:szCs w:val="16"/>
        </w:rPr>
        <w:t>s</w:t>
      </w:r>
      <w:r w:rsidRPr="00CB4F47">
        <w:rPr>
          <w:rFonts w:cs="Arial"/>
          <w:color w:val="auto"/>
          <w:sz w:val="16"/>
          <w:szCs w:val="16"/>
        </w:rPr>
        <w:t xml:space="preserve">ervices for the </w:t>
      </w:r>
      <w:r w:rsidR="005D3F6C">
        <w:rPr>
          <w:rFonts w:cs="Arial"/>
          <w:color w:val="auto"/>
          <w:sz w:val="16"/>
          <w:szCs w:val="16"/>
        </w:rPr>
        <w:t>m</w:t>
      </w:r>
      <w:r w:rsidRPr="00CB4F47">
        <w:rPr>
          <w:rFonts w:cs="Arial"/>
          <w:color w:val="auto"/>
          <w:sz w:val="16"/>
          <w:szCs w:val="16"/>
        </w:rPr>
        <w:t xml:space="preserve">entally </w:t>
      </w:r>
      <w:r w:rsidR="005D3F6C">
        <w:rPr>
          <w:rFonts w:cs="Arial"/>
          <w:color w:val="auto"/>
          <w:sz w:val="16"/>
          <w:szCs w:val="16"/>
        </w:rPr>
        <w:t>h</w:t>
      </w:r>
      <w:r w:rsidRPr="00CB4F47">
        <w:rPr>
          <w:rFonts w:cs="Arial"/>
          <w:color w:val="auto"/>
          <w:sz w:val="16"/>
          <w:szCs w:val="16"/>
        </w:rPr>
        <w:t>andicapped (1973</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15</w:t>
      </w:r>
      <w:r w:rsidR="005853D8">
        <w:rPr>
          <w:rFonts w:cs="Arial"/>
          <w:color w:val="auto"/>
          <w:sz w:val="16"/>
          <w:szCs w:val="16"/>
        </w:rPr>
        <w:t>)</w:t>
      </w:r>
      <w:r w:rsidRPr="00CB4F47">
        <w:rPr>
          <w:rFonts w:cs="Arial"/>
          <w:color w:val="auto"/>
          <w:sz w:val="16"/>
          <w:szCs w:val="16"/>
        </w:rPr>
        <w:t xml:space="preserve">. </w:t>
      </w:r>
    </w:p>
  </w:footnote>
  <w:footnote w:id="408">
    <w:p w14:paraId="4DBAFC03" w14:textId="6A424A97" w:rsidR="000E429D" w:rsidRPr="00CB4F47" w:rsidRDefault="000E429D" w:rsidP="00E4178E">
      <w:pPr>
        <w:pStyle w:val="FootnoteText"/>
        <w:spacing w:before="0" w:after="0" w:line="240" w:lineRule="auto"/>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eastAsia="Calibri" w:cs="Arial"/>
          <w:color w:val="auto"/>
          <w:sz w:val="16"/>
          <w:szCs w:val="16"/>
        </w:rPr>
        <w:t xml:space="preserve">Millen, </w:t>
      </w:r>
      <w:r w:rsidRPr="00CB4F47">
        <w:rPr>
          <w:rFonts w:cs="Arial"/>
          <w:color w:val="auto"/>
          <w:sz w:val="16"/>
          <w:szCs w:val="16"/>
        </w:rPr>
        <w:t xml:space="preserve">J, Breaking barriers: IHC's first 50 years (IHC </w:t>
      </w:r>
      <w:r w:rsidR="00C33FAB">
        <w:rPr>
          <w:rFonts w:cs="Arial"/>
          <w:color w:val="auto"/>
          <w:sz w:val="16"/>
          <w:szCs w:val="16"/>
        </w:rPr>
        <w:t>New Zealand</w:t>
      </w:r>
      <w:r w:rsidRPr="00CB4F47">
        <w:rPr>
          <w:rFonts w:cs="Arial"/>
          <w:color w:val="auto"/>
          <w:sz w:val="16"/>
          <w:szCs w:val="16"/>
        </w:rPr>
        <w:t xml:space="preserve">, </w:t>
      </w:r>
      <w:r w:rsidRPr="00CB4F47">
        <w:rPr>
          <w:rFonts w:eastAsia="Calibri" w:cs="Arial"/>
          <w:color w:val="auto"/>
          <w:sz w:val="16"/>
          <w:szCs w:val="16"/>
        </w:rPr>
        <w:t>1999</w:t>
      </w:r>
      <w:r w:rsidR="00A671DF" w:rsidRPr="00CB4F47">
        <w:rPr>
          <w:rFonts w:eastAsia="Calibri" w:cs="Arial"/>
          <w:color w:val="auto"/>
          <w:sz w:val="16"/>
          <w:szCs w:val="16"/>
        </w:rPr>
        <w:t>,</w:t>
      </w:r>
      <w:r w:rsidRPr="00CB4F47">
        <w:rPr>
          <w:rFonts w:eastAsia="Calibri" w:cs="Arial"/>
          <w:color w:val="auto"/>
          <w:sz w:val="16"/>
          <w:szCs w:val="16"/>
        </w:rPr>
        <w:t xml:space="preserve"> </w:t>
      </w:r>
      <w:r w:rsidR="00C32E74" w:rsidRPr="00CB4F47">
        <w:rPr>
          <w:rFonts w:cs="Arial"/>
          <w:color w:val="auto"/>
          <w:sz w:val="16"/>
          <w:szCs w:val="16"/>
        </w:rPr>
        <w:t>page</w:t>
      </w:r>
      <w:r w:rsidRPr="00CB4F47">
        <w:rPr>
          <w:rFonts w:eastAsia="Calibri" w:cs="Arial"/>
          <w:color w:val="auto"/>
          <w:sz w:val="16"/>
          <w:szCs w:val="16"/>
        </w:rPr>
        <w:t xml:space="preserve"> 81</w:t>
      </w:r>
      <w:r w:rsidR="005853D8">
        <w:rPr>
          <w:rFonts w:eastAsia="Calibri" w:cs="Arial"/>
          <w:color w:val="auto"/>
          <w:sz w:val="16"/>
          <w:szCs w:val="16"/>
        </w:rPr>
        <w:t>)</w:t>
      </w:r>
      <w:r w:rsidRPr="00CB4F47">
        <w:rPr>
          <w:rFonts w:eastAsia="Calibri" w:cs="Arial"/>
          <w:color w:val="auto"/>
          <w:sz w:val="16"/>
          <w:szCs w:val="16"/>
        </w:rPr>
        <w:t>.</w:t>
      </w:r>
    </w:p>
  </w:footnote>
  <w:footnote w:id="409">
    <w:p w14:paraId="1962D2A3" w14:textId="031C093B" w:rsidR="000E429D" w:rsidRPr="00CB4F47" w:rsidRDefault="000E429D" w:rsidP="00E4178E">
      <w:pPr>
        <w:pStyle w:val="FootnoteText"/>
        <w:spacing w:before="0" w:after="0" w:line="240" w:lineRule="auto"/>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Fonts w:cs="Arial"/>
          <w:sz w:val="16"/>
          <w:szCs w:val="16"/>
        </w:rPr>
        <w:t>Sullivan, M &amp; Stace, H, A brief history of disability in Aotearoa New Zealand (Office for Disability Issues, 2020</w:t>
      </w:r>
      <w:r w:rsidR="00A671DF" w:rsidRPr="00CB4F47">
        <w:rPr>
          <w:rFonts w:cs="Arial"/>
          <w:sz w:val="16"/>
          <w:szCs w:val="16"/>
        </w:rPr>
        <w:t>,</w:t>
      </w:r>
      <w:r w:rsidRPr="00CB4F47">
        <w:rPr>
          <w:rFonts w:cs="Arial"/>
          <w:sz w:val="16"/>
          <w:szCs w:val="16"/>
        </w:rPr>
        <w:t xml:space="preserve"> </w:t>
      </w:r>
      <w:r w:rsidR="00C32E74" w:rsidRPr="00CB4F47">
        <w:rPr>
          <w:rFonts w:cs="Arial"/>
          <w:color w:val="auto"/>
          <w:sz w:val="16"/>
          <w:szCs w:val="16"/>
        </w:rPr>
        <w:t>page</w:t>
      </w:r>
      <w:r w:rsidRPr="00CB4F47">
        <w:rPr>
          <w:rFonts w:cs="Arial"/>
          <w:color w:val="auto"/>
          <w:sz w:val="16"/>
          <w:szCs w:val="16"/>
        </w:rPr>
        <w:t xml:space="preserve"> 22</w:t>
      </w:r>
      <w:r w:rsidR="005853D8">
        <w:rPr>
          <w:rFonts w:cs="Arial"/>
          <w:color w:val="auto"/>
          <w:sz w:val="16"/>
          <w:szCs w:val="16"/>
        </w:rPr>
        <w:t>)</w:t>
      </w:r>
      <w:r w:rsidRPr="00CB4F47">
        <w:rPr>
          <w:rFonts w:cs="Arial"/>
          <w:color w:val="auto"/>
          <w:sz w:val="16"/>
          <w:szCs w:val="16"/>
        </w:rPr>
        <w:t>.</w:t>
      </w:r>
    </w:p>
  </w:footnote>
  <w:footnote w:id="410">
    <w:p w14:paraId="7F377EFE" w14:textId="33CB7E10" w:rsidR="000E429D" w:rsidRPr="00CB4F47" w:rsidRDefault="000E429D" w:rsidP="00E4178E">
      <w:pPr>
        <w:pStyle w:val="FootnoteText"/>
        <w:spacing w:before="0" w:after="0" w:line="240" w:lineRule="auto"/>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Sullivan, M, Disability and disability organisations (Te Ara </w:t>
      </w:r>
      <w:r w:rsidR="00A671DF">
        <w:rPr>
          <w:rFonts w:cs="Arial"/>
          <w:sz w:val="16"/>
          <w:szCs w:val="16"/>
        </w:rPr>
        <w:t>–</w:t>
      </w:r>
      <w:r w:rsidR="00A671DF" w:rsidRPr="00CB4F47">
        <w:rPr>
          <w:rFonts w:cs="Arial"/>
          <w:sz w:val="16"/>
          <w:szCs w:val="16"/>
        </w:rPr>
        <w:t xml:space="preserve"> </w:t>
      </w:r>
      <w:r w:rsidR="00A671DF">
        <w:rPr>
          <w:rFonts w:cs="Arial"/>
          <w:sz w:val="16"/>
          <w:szCs w:val="16"/>
        </w:rPr>
        <w:t>T</w:t>
      </w:r>
      <w:r w:rsidR="00A671DF" w:rsidRPr="00CB4F47">
        <w:rPr>
          <w:rFonts w:cs="Arial"/>
          <w:sz w:val="16"/>
          <w:szCs w:val="16"/>
        </w:rPr>
        <w:t xml:space="preserve">he </w:t>
      </w:r>
      <w:r w:rsidR="00A671DF">
        <w:rPr>
          <w:rFonts w:cs="Arial"/>
          <w:sz w:val="16"/>
          <w:szCs w:val="16"/>
        </w:rPr>
        <w:t>Encyclopedia</w:t>
      </w:r>
      <w:r w:rsidRPr="00CB4F47">
        <w:rPr>
          <w:rFonts w:cs="Arial"/>
          <w:sz w:val="16"/>
          <w:szCs w:val="16"/>
        </w:rPr>
        <w:t xml:space="preserve"> of New Zealand, 2018)</w:t>
      </w:r>
      <w:r w:rsidR="0012481A">
        <w:rPr>
          <w:rFonts w:cs="Arial"/>
          <w:sz w:val="16"/>
          <w:szCs w:val="16"/>
        </w:rPr>
        <w:t xml:space="preserve">, </w:t>
      </w:r>
      <w:hyperlink r:id="rId99" w:history="1">
        <w:r w:rsidR="0012481A" w:rsidRPr="0012481A">
          <w:rPr>
            <w:rStyle w:val="Hyperlink"/>
            <w:rFonts w:cs="Arial"/>
            <w:sz w:val="16"/>
            <w:szCs w:val="16"/>
          </w:rPr>
          <w:t>https://teara.govt.nz/en/disability-and-disability-organisations</w:t>
        </w:r>
        <w:r w:rsidRPr="0012481A">
          <w:rPr>
            <w:rStyle w:val="Hyperlink"/>
            <w:rFonts w:cs="Arial"/>
            <w:sz w:val="16"/>
            <w:szCs w:val="16"/>
          </w:rPr>
          <w:t>.</w:t>
        </w:r>
      </w:hyperlink>
    </w:p>
  </w:footnote>
  <w:footnote w:id="411">
    <w:p w14:paraId="0E959961" w14:textId="06FCB157" w:rsidR="00556929" w:rsidRPr="00536E67" w:rsidRDefault="00556929">
      <w:pPr>
        <w:pStyle w:val="FootnoteText"/>
        <w:rPr>
          <w:sz w:val="16"/>
          <w:szCs w:val="16"/>
        </w:rPr>
      </w:pPr>
      <w:r w:rsidRPr="00536E67">
        <w:rPr>
          <w:rStyle w:val="FootnoteReference"/>
          <w:sz w:val="16"/>
          <w:szCs w:val="16"/>
        </w:rPr>
        <w:footnoteRef/>
      </w:r>
      <w:r w:rsidRPr="00536E67">
        <w:rPr>
          <w:sz w:val="16"/>
          <w:szCs w:val="16"/>
        </w:rPr>
        <w:t xml:space="preserve"> </w:t>
      </w:r>
      <w:r w:rsidR="00E15DAD" w:rsidRPr="00536E67">
        <w:rPr>
          <w:sz w:val="16"/>
          <w:szCs w:val="16"/>
        </w:rPr>
        <w:t xml:space="preserve">Hickey, H </w:t>
      </w:r>
      <w:r w:rsidR="0067484A">
        <w:rPr>
          <w:sz w:val="16"/>
          <w:szCs w:val="16"/>
        </w:rPr>
        <w:t>&amp;</w:t>
      </w:r>
      <w:r w:rsidR="00E15DAD" w:rsidRPr="00536E67">
        <w:rPr>
          <w:sz w:val="16"/>
          <w:szCs w:val="16"/>
        </w:rPr>
        <w:t xml:space="preserve"> Wilson, D, Wh</w:t>
      </w:r>
      <w:r w:rsidR="002E1BF8">
        <w:rPr>
          <w:sz w:val="16"/>
          <w:szCs w:val="16"/>
        </w:rPr>
        <w:t>ā</w:t>
      </w:r>
      <w:r w:rsidR="00E15DAD" w:rsidRPr="00536E67">
        <w:rPr>
          <w:sz w:val="16"/>
          <w:szCs w:val="16"/>
        </w:rPr>
        <w:t xml:space="preserve">nau </w:t>
      </w:r>
      <w:r w:rsidR="002E1BF8">
        <w:rPr>
          <w:sz w:val="16"/>
          <w:szCs w:val="16"/>
        </w:rPr>
        <w:t>h</w:t>
      </w:r>
      <w:r w:rsidR="00E15DAD" w:rsidRPr="00536E67">
        <w:rPr>
          <w:sz w:val="16"/>
          <w:szCs w:val="16"/>
        </w:rPr>
        <w:t>au</w:t>
      </w:r>
      <w:r w:rsidR="002E1BF8">
        <w:rPr>
          <w:sz w:val="16"/>
          <w:szCs w:val="16"/>
        </w:rPr>
        <w:t>ā</w:t>
      </w:r>
      <w:r w:rsidR="00831202" w:rsidRPr="00536E67">
        <w:rPr>
          <w:sz w:val="16"/>
          <w:szCs w:val="16"/>
        </w:rPr>
        <w:t>: reframing disability from an indigenous perspective</w:t>
      </w:r>
      <w:r w:rsidR="002E1BF8">
        <w:rPr>
          <w:sz w:val="16"/>
          <w:szCs w:val="16"/>
        </w:rPr>
        <w:t>,</w:t>
      </w:r>
      <w:r w:rsidR="00831202" w:rsidRPr="00536E67">
        <w:rPr>
          <w:sz w:val="16"/>
          <w:szCs w:val="16"/>
        </w:rPr>
        <w:t xml:space="preserve"> MAI Journal </w:t>
      </w:r>
      <w:r w:rsidR="002E1BF8">
        <w:rPr>
          <w:sz w:val="16"/>
          <w:szCs w:val="16"/>
        </w:rPr>
        <w:t>(</w:t>
      </w:r>
      <w:r w:rsidR="00831202" w:rsidRPr="00536E67">
        <w:rPr>
          <w:sz w:val="16"/>
          <w:szCs w:val="16"/>
        </w:rPr>
        <w:t>2017, page</w:t>
      </w:r>
      <w:r w:rsidR="006F32B5" w:rsidRPr="00536E67">
        <w:rPr>
          <w:sz w:val="16"/>
          <w:szCs w:val="16"/>
        </w:rPr>
        <w:t>s</w:t>
      </w:r>
      <w:r w:rsidR="00831202" w:rsidRPr="00536E67">
        <w:rPr>
          <w:sz w:val="16"/>
          <w:szCs w:val="16"/>
        </w:rPr>
        <w:t xml:space="preserve"> 1 and 7)</w:t>
      </w:r>
      <w:r w:rsidR="002E1BF8">
        <w:rPr>
          <w:sz w:val="16"/>
          <w:szCs w:val="16"/>
        </w:rPr>
        <w:t>.</w:t>
      </w:r>
    </w:p>
  </w:footnote>
  <w:footnote w:id="412">
    <w:p w14:paraId="1D80F341" w14:textId="4E1FB3B5" w:rsidR="00B663EF" w:rsidRDefault="00B663EF">
      <w:pPr>
        <w:pStyle w:val="FootnoteText"/>
      </w:pPr>
      <w:r w:rsidRPr="00536E67">
        <w:rPr>
          <w:rStyle w:val="FootnoteReference"/>
          <w:sz w:val="16"/>
          <w:szCs w:val="16"/>
        </w:rPr>
        <w:footnoteRef/>
      </w:r>
      <w:r w:rsidRPr="00536E67">
        <w:rPr>
          <w:sz w:val="16"/>
          <w:szCs w:val="16"/>
        </w:rPr>
        <w:t xml:space="preserve"> </w:t>
      </w:r>
      <w:r w:rsidR="00E04203" w:rsidRPr="00536E67">
        <w:rPr>
          <w:sz w:val="16"/>
          <w:szCs w:val="16"/>
        </w:rPr>
        <w:t xml:space="preserve">Hickey, H </w:t>
      </w:r>
      <w:r w:rsidR="002E1BF8">
        <w:rPr>
          <w:sz w:val="16"/>
          <w:szCs w:val="16"/>
        </w:rPr>
        <w:t>&amp;</w:t>
      </w:r>
      <w:r w:rsidR="00E04203" w:rsidRPr="00536E67">
        <w:rPr>
          <w:sz w:val="16"/>
          <w:szCs w:val="16"/>
        </w:rPr>
        <w:t xml:space="preserve"> Wilson, D, Wh</w:t>
      </w:r>
      <w:r w:rsidR="002E1BF8">
        <w:rPr>
          <w:sz w:val="16"/>
          <w:szCs w:val="16"/>
        </w:rPr>
        <w:t>ā</w:t>
      </w:r>
      <w:r w:rsidR="00E04203" w:rsidRPr="00536E67">
        <w:rPr>
          <w:sz w:val="16"/>
          <w:szCs w:val="16"/>
        </w:rPr>
        <w:t xml:space="preserve">nau </w:t>
      </w:r>
      <w:r w:rsidR="002E1BF8">
        <w:rPr>
          <w:sz w:val="16"/>
          <w:szCs w:val="16"/>
        </w:rPr>
        <w:t>h</w:t>
      </w:r>
      <w:r w:rsidR="00E04203" w:rsidRPr="00536E67">
        <w:rPr>
          <w:sz w:val="16"/>
          <w:szCs w:val="16"/>
        </w:rPr>
        <w:t>au</w:t>
      </w:r>
      <w:r w:rsidR="002E1BF8">
        <w:rPr>
          <w:sz w:val="16"/>
          <w:szCs w:val="16"/>
        </w:rPr>
        <w:t>ā</w:t>
      </w:r>
      <w:r w:rsidR="00E04203" w:rsidRPr="00536E67">
        <w:rPr>
          <w:sz w:val="16"/>
          <w:szCs w:val="16"/>
        </w:rPr>
        <w:t>: reframing disability from an indigenous perspective</w:t>
      </w:r>
      <w:r w:rsidR="002E1BF8">
        <w:rPr>
          <w:sz w:val="16"/>
          <w:szCs w:val="16"/>
        </w:rPr>
        <w:t>,</w:t>
      </w:r>
      <w:r w:rsidR="00E04203" w:rsidRPr="00536E67">
        <w:rPr>
          <w:sz w:val="16"/>
          <w:szCs w:val="16"/>
        </w:rPr>
        <w:t xml:space="preserve"> MAI Journal </w:t>
      </w:r>
      <w:r w:rsidR="002E1BF8">
        <w:rPr>
          <w:sz w:val="16"/>
          <w:szCs w:val="16"/>
        </w:rPr>
        <w:t>(</w:t>
      </w:r>
      <w:r w:rsidR="00E04203" w:rsidRPr="00536E67">
        <w:rPr>
          <w:sz w:val="16"/>
          <w:szCs w:val="16"/>
        </w:rPr>
        <w:t>2017, page 1)</w:t>
      </w:r>
      <w:r w:rsidR="002E1BF8">
        <w:rPr>
          <w:sz w:val="16"/>
          <w:szCs w:val="16"/>
        </w:rPr>
        <w:t>.</w:t>
      </w:r>
    </w:p>
  </w:footnote>
  <w:footnote w:id="413">
    <w:p w14:paraId="0F0FD6EE" w14:textId="20AFF193" w:rsidR="000E429D" w:rsidRPr="00CB4F47" w:rsidRDefault="000E429D" w:rsidP="00E4178E">
      <w:pPr>
        <w:pStyle w:val="FootnoteText"/>
        <w:spacing w:before="0" w:after="0" w:line="240" w:lineRule="auto"/>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normaltextrun"/>
          <w:rFonts w:cs="Arial"/>
          <w:color w:val="auto"/>
          <w:sz w:val="16"/>
          <w:szCs w:val="16"/>
          <w:shd w:val="clear" w:color="auto" w:fill="FFFFFF"/>
        </w:rPr>
        <w:t>Craig, T &amp; Mills, M, Care and control: The role of institutions in New Zealand (New Zealand Planning Council, 1987</w:t>
      </w:r>
      <w:r w:rsidR="00A671DF" w:rsidRPr="00CB4F47">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 xml:space="preserve"> </w:t>
      </w:r>
      <w:r w:rsidR="00C32E74" w:rsidRPr="00CB4F47">
        <w:rPr>
          <w:rFonts w:cs="Arial"/>
          <w:color w:val="auto"/>
          <w:sz w:val="16"/>
          <w:szCs w:val="16"/>
        </w:rPr>
        <w:t>page</w:t>
      </w:r>
      <w:r w:rsidRPr="00CB4F47">
        <w:rPr>
          <w:rFonts w:cs="Arial"/>
          <w:color w:val="auto"/>
          <w:sz w:val="16"/>
          <w:szCs w:val="16"/>
        </w:rPr>
        <w:t xml:space="preserve"> 44</w:t>
      </w:r>
      <w:r w:rsidR="000C09D7">
        <w:rPr>
          <w:rFonts w:cs="Arial"/>
          <w:color w:val="auto"/>
          <w:sz w:val="16"/>
          <w:szCs w:val="16"/>
        </w:rPr>
        <w:t>)</w:t>
      </w:r>
      <w:r w:rsidRPr="00CB4F47">
        <w:rPr>
          <w:rFonts w:cs="Arial"/>
          <w:color w:val="auto"/>
          <w:sz w:val="16"/>
          <w:szCs w:val="16"/>
        </w:rPr>
        <w:t>.</w:t>
      </w:r>
    </w:p>
  </w:footnote>
  <w:footnote w:id="414">
    <w:p w14:paraId="6DB5174A" w14:textId="5380E00C" w:rsidR="000E429D" w:rsidRPr="00CB4F47" w:rsidRDefault="000E429D" w:rsidP="00E4178E">
      <w:pPr>
        <w:pStyle w:val="FootnoteText"/>
        <w:spacing w:before="0" w:after="0" w:line="240" w:lineRule="auto"/>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Moore, D, Anderson, A, Timperley, H, Macfarlane, A, Brown, D, Thomson, C &amp; Glynn, T, “Caught between stories: Special Education in New Zealand” (New Zealand Council for Educational Research</w:t>
      </w:r>
      <w:r w:rsidRPr="00CB4F47" w:rsidDel="005871A8">
        <w:rPr>
          <w:rFonts w:cs="Arial"/>
          <w:color w:val="auto"/>
          <w:sz w:val="16"/>
          <w:szCs w:val="16"/>
        </w:rPr>
        <w:t xml:space="preserve">, </w:t>
      </w:r>
      <w:r w:rsidR="00A671DF" w:rsidRPr="00CB4F47">
        <w:rPr>
          <w:rFonts w:cs="Arial"/>
          <w:color w:val="auto"/>
          <w:sz w:val="16"/>
          <w:szCs w:val="16"/>
        </w:rPr>
        <w:t>1999)</w:t>
      </w:r>
      <w:r w:rsidR="00A671DF">
        <w:rPr>
          <w:rFonts w:cs="Arial"/>
          <w:color w:val="auto"/>
          <w:sz w:val="16"/>
          <w:szCs w:val="16"/>
        </w:rPr>
        <w:t>,</w:t>
      </w:r>
      <w:r w:rsidRPr="00CB4F47">
        <w:rPr>
          <w:rFonts w:cs="Arial"/>
          <w:color w:val="auto"/>
          <w:sz w:val="16"/>
          <w:szCs w:val="16"/>
        </w:rPr>
        <w:t xml:space="preserve"> in Selvaraj, </w:t>
      </w:r>
      <w:r w:rsidR="00A671DF" w:rsidRPr="00CB4F47">
        <w:rPr>
          <w:rFonts w:cs="Arial"/>
          <w:color w:val="auto"/>
          <w:sz w:val="16"/>
          <w:szCs w:val="16"/>
        </w:rPr>
        <w:t>JA</w:t>
      </w:r>
      <w:r w:rsidRPr="00CB4F47">
        <w:rPr>
          <w:rFonts w:cs="Arial"/>
          <w:color w:val="auto"/>
          <w:sz w:val="16"/>
          <w:szCs w:val="16"/>
        </w:rPr>
        <w:t>, “Inclusive education in New Zealand: rhetoric and reality</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History of Education Review 45(1)</w:t>
      </w:r>
      <w:r w:rsidR="0005001A">
        <w:rPr>
          <w:rFonts w:cs="Arial"/>
          <w:color w:val="auto"/>
          <w:sz w:val="16"/>
          <w:szCs w:val="16"/>
        </w:rPr>
        <w:t>,</w:t>
      </w:r>
      <w:r w:rsidRPr="00CB4F47">
        <w:rPr>
          <w:rFonts w:cs="Arial"/>
          <w:color w:val="auto"/>
          <w:sz w:val="16"/>
          <w:szCs w:val="16"/>
        </w:rPr>
        <w:t xml:space="preserve"> (2016</w:t>
      </w:r>
      <w:r w:rsidR="00A671DF" w:rsidRPr="00CB4F47">
        <w:rPr>
          <w:rFonts w:cs="Arial"/>
          <w:color w:val="auto"/>
          <w:sz w:val="16"/>
          <w:szCs w:val="16"/>
        </w:rPr>
        <w:t>,</w:t>
      </w:r>
      <w:r w:rsidRPr="00CB4F47">
        <w:rPr>
          <w:rFonts w:cs="Arial"/>
          <w:color w:val="auto"/>
          <w:sz w:val="16"/>
          <w:szCs w:val="16"/>
        </w:rPr>
        <w:t xml:space="preserve"> pages 54–68, p</w:t>
      </w:r>
      <w:r w:rsidR="00EE412F" w:rsidRPr="00CB4F47">
        <w:rPr>
          <w:rFonts w:cs="Arial"/>
          <w:color w:val="auto"/>
          <w:sz w:val="16"/>
          <w:szCs w:val="16"/>
        </w:rPr>
        <w:t>age</w:t>
      </w:r>
      <w:r w:rsidRPr="00CB4F47">
        <w:rPr>
          <w:rFonts w:cs="Arial"/>
          <w:color w:val="auto"/>
          <w:sz w:val="16"/>
          <w:szCs w:val="16"/>
        </w:rPr>
        <w:t xml:space="preserve"> 61</w:t>
      </w:r>
      <w:r w:rsidR="000C09D7">
        <w:rPr>
          <w:rFonts w:cs="Arial"/>
          <w:color w:val="auto"/>
          <w:sz w:val="16"/>
          <w:szCs w:val="16"/>
        </w:rPr>
        <w:t>)</w:t>
      </w:r>
      <w:r w:rsidRPr="00CB4F47">
        <w:rPr>
          <w:rFonts w:cs="Arial"/>
          <w:color w:val="auto"/>
          <w:sz w:val="16"/>
          <w:szCs w:val="16"/>
        </w:rPr>
        <w:t>.</w:t>
      </w:r>
    </w:p>
  </w:footnote>
  <w:footnote w:id="415">
    <w:p w14:paraId="18ACAFCA" w14:textId="583625B6" w:rsidR="000E429D" w:rsidRPr="00CB4F47" w:rsidRDefault="000E429D" w:rsidP="00E4178E">
      <w:pPr>
        <w:spacing w:before="0" w:after="0"/>
        <w:rPr>
          <w:rFonts w:ascii="Calibri" w:eastAsia="Calibri" w:hAnsi="Calibri"/>
          <w:sz w:val="16"/>
          <w:szCs w:val="16"/>
        </w:rPr>
      </w:pPr>
      <w:r w:rsidRPr="00536E67">
        <w:rPr>
          <w:rStyle w:val="StyleFootnoteReferenceFagoFunotenzeichenFagoFunotenzeichen"/>
          <w:sz w:val="16"/>
          <w:szCs w:val="16"/>
        </w:rPr>
        <w:footnoteRef/>
      </w:r>
      <w:r w:rsidRPr="00CB4F47">
        <w:rPr>
          <w:rStyle w:val="FootnoteReference"/>
          <w:rFonts w:ascii="Arial" w:hAnsi="Arial"/>
          <w:color w:val="000000" w:themeColor="text1"/>
          <w:sz w:val="16"/>
          <w:szCs w:val="16"/>
        </w:rPr>
        <w:t xml:space="preserve"> </w:t>
      </w:r>
      <w:r w:rsidRPr="00CB4F47">
        <w:rPr>
          <w:rFonts w:ascii="Arial" w:eastAsia="Calibri" w:hAnsi="Arial" w:cs="Arial"/>
          <w:color w:val="0A0A0A"/>
          <w:sz w:val="16"/>
          <w:szCs w:val="16"/>
        </w:rPr>
        <w:t>National Health &amp; Disability Advocacy Service</w:t>
      </w:r>
      <w:r w:rsidR="00207D43">
        <w:rPr>
          <w:rFonts w:ascii="Arial" w:eastAsia="Calibri" w:hAnsi="Arial" w:cs="Arial"/>
          <w:color w:val="0A0A0A"/>
          <w:sz w:val="16"/>
          <w:szCs w:val="16"/>
        </w:rPr>
        <w:t xml:space="preserve"> website</w:t>
      </w:r>
      <w:r w:rsidRPr="00CB4F47">
        <w:rPr>
          <w:rFonts w:ascii="Arial" w:eastAsia="Calibri" w:hAnsi="Arial" w:cs="Arial"/>
          <w:color w:val="0A0A0A"/>
          <w:sz w:val="16"/>
          <w:szCs w:val="16"/>
        </w:rPr>
        <w:t xml:space="preserve">, </w:t>
      </w:r>
      <w:r w:rsidRPr="00DD5764">
        <w:rPr>
          <w:rFonts w:ascii="Arial" w:eastAsia="Calibri" w:hAnsi="Arial" w:cs="Arial"/>
          <w:color w:val="0A0A0A"/>
          <w:sz w:val="16"/>
          <w:szCs w:val="16"/>
        </w:rPr>
        <w:t>About us</w:t>
      </w:r>
      <w:r w:rsidDel="00207D43">
        <w:rPr>
          <w:rFonts w:ascii="Arial" w:eastAsia="Calibri" w:hAnsi="Arial" w:cs="Arial"/>
          <w:color w:val="0A0A0A"/>
          <w:sz w:val="16"/>
          <w:szCs w:val="16"/>
        </w:rPr>
        <w:t xml:space="preserve"> (</w:t>
      </w:r>
      <w:r w:rsidR="002A215D">
        <w:rPr>
          <w:rFonts w:ascii="Arial" w:eastAsia="Calibri" w:hAnsi="Arial" w:cs="Arial"/>
          <w:color w:val="0A0A0A"/>
          <w:sz w:val="16"/>
          <w:szCs w:val="16"/>
        </w:rPr>
        <w:t>accessed 2023),</w:t>
      </w:r>
      <w:r w:rsidRPr="00DD5764">
        <w:rPr>
          <w:rFonts w:ascii="Arial" w:eastAsia="Calibri" w:hAnsi="Arial" w:cs="Arial"/>
          <w:color w:val="0A0A0A"/>
          <w:sz w:val="16"/>
          <w:szCs w:val="16"/>
        </w:rPr>
        <w:t xml:space="preserve"> </w:t>
      </w:r>
      <w:hyperlink r:id="rId100" w:history="1">
        <w:r w:rsidR="006B2EA6" w:rsidRPr="00DD5764">
          <w:rPr>
            <w:rStyle w:val="Hyperlink"/>
            <w:rFonts w:ascii="Arial" w:eastAsia="Calibri" w:hAnsi="Arial" w:cs="Arial"/>
            <w:sz w:val="16"/>
            <w:szCs w:val="16"/>
          </w:rPr>
          <w:t>https://advocacy.org.nz/abo</w:t>
        </w:r>
        <w:bookmarkStart w:id="455" w:name="_Hlt165014410"/>
        <w:bookmarkStart w:id="456" w:name="_Hlt165014411"/>
        <w:r w:rsidR="006B2EA6" w:rsidRPr="00DD5764">
          <w:rPr>
            <w:rStyle w:val="Hyperlink"/>
            <w:rFonts w:ascii="Arial" w:eastAsia="Calibri" w:hAnsi="Arial" w:cs="Arial"/>
            <w:sz w:val="16"/>
            <w:szCs w:val="16"/>
          </w:rPr>
          <w:t>u</w:t>
        </w:r>
        <w:bookmarkEnd w:id="455"/>
        <w:bookmarkEnd w:id="456"/>
        <w:r w:rsidR="006B2EA6" w:rsidRPr="00DD5764">
          <w:rPr>
            <w:rStyle w:val="Hyperlink"/>
            <w:rFonts w:ascii="Arial" w:eastAsia="Calibri" w:hAnsi="Arial" w:cs="Arial"/>
            <w:sz w:val="16"/>
            <w:szCs w:val="16"/>
          </w:rPr>
          <w:t>t-the-advocacy-service/</w:t>
        </w:r>
      </w:hyperlink>
      <w:r w:rsidRPr="00DD5764">
        <w:rPr>
          <w:rFonts w:ascii="Arial" w:eastAsia="Calibri" w:hAnsi="Arial" w:cs="Arial"/>
          <w:color w:val="0A0A0A"/>
          <w:sz w:val="16"/>
          <w:szCs w:val="16"/>
        </w:rPr>
        <w:t>.</w:t>
      </w:r>
      <w:r w:rsidRPr="00CB4F47">
        <w:rPr>
          <w:rFonts w:ascii="Calibri" w:eastAsia="Calibri" w:hAnsi="Calibri"/>
          <w:sz w:val="16"/>
          <w:szCs w:val="16"/>
        </w:rPr>
        <w:t xml:space="preserve"> </w:t>
      </w:r>
    </w:p>
  </w:footnote>
  <w:footnote w:id="416">
    <w:p w14:paraId="57A4A3C0" w14:textId="122000E2" w:rsidR="000E429D" w:rsidRPr="00CB4F47" w:rsidRDefault="000E429D" w:rsidP="00E4178E">
      <w:pPr>
        <w:pStyle w:val="FootnoteText"/>
        <w:spacing w:before="0" w:after="0" w:line="240" w:lineRule="auto"/>
        <w:rPr>
          <w:sz w:val="16"/>
          <w:szCs w:val="16"/>
        </w:rPr>
      </w:pPr>
      <w:r w:rsidRPr="00536E67">
        <w:rPr>
          <w:rStyle w:val="StyleFootnoteReferenceFagoFunotenzeichenFagoFunotenzeichen"/>
          <w:sz w:val="16"/>
          <w:szCs w:val="16"/>
        </w:rPr>
        <w:footnoteRef/>
      </w:r>
      <w:r w:rsidRPr="00CB4F47">
        <w:rPr>
          <w:sz w:val="16"/>
          <w:szCs w:val="16"/>
        </w:rPr>
        <w:t xml:space="preserve"> </w:t>
      </w:r>
      <w:r w:rsidRPr="00CB4F47">
        <w:rPr>
          <w:rFonts w:cs="Arial"/>
          <w:sz w:val="16"/>
          <w:szCs w:val="16"/>
        </w:rPr>
        <w:t>Mental Health (Compulsory Assessment and Treatment) Act 1992, sections 101</w:t>
      </w:r>
      <w:r w:rsidR="00A671DF">
        <w:rPr>
          <w:rFonts w:cs="Arial"/>
          <w:sz w:val="16"/>
          <w:szCs w:val="16"/>
        </w:rPr>
        <w:t xml:space="preserve"> and </w:t>
      </w:r>
      <w:r w:rsidRPr="00CB4F47">
        <w:rPr>
          <w:rFonts w:cs="Arial"/>
          <w:sz w:val="16"/>
          <w:szCs w:val="16"/>
        </w:rPr>
        <w:t>102(1).</w:t>
      </w:r>
    </w:p>
  </w:footnote>
  <w:footnote w:id="417">
    <w:p w14:paraId="01AA0718" w14:textId="09267877"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Charlton, </w:t>
      </w:r>
      <w:r w:rsidR="00A671DF" w:rsidRPr="00CB4F47">
        <w:rPr>
          <w:rFonts w:cs="Arial"/>
          <w:sz w:val="16"/>
          <w:szCs w:val="16"/>
        </w:rPr>
        <w:t>JI</w:t>
      </w:r>
      <w:r w:rsidRPr="00CB4F47">
        <w:rPr>
          <w:rFonts w:cs="Arial"/>
          <w:sz w:val="16"/>
          <w:szCs w:val="16"/>
        </w:rPr>
        <w:t>, Nothing about us without us: Disability oppression and empowerment (University of California Press, 1998</w:t>
      </w:r>
      <w:r w:rsidR="00A671DF" w:rsidRPr="00CB4F47">
        <w:rPr>
          <w:rFonts w:cs="Arial"/>
          <w:sz w:val="16"/>
          <w:szCs w:val="16"/>
        </w:rPr>
        <w:t>,</w:t>
      </w:r>
      <w:r w:rsidRPr="00CB4F47">
        <w:rPr>
          <w:rFonts w:cs="Arial"/>
          <w:sz w:val="16"/>
          <w:szCs w:val="16"/>
        </w:rPr>
        <w:t xml:space="preserve"> </w:t>
      </w:r>
      <w:r w:rsidR="00C32E74" w:rsidRPr="00CB4F47">
        <w:rPr>
          <w:rFonts w:cs="Arial"/>
          <w:color w:val="auto"/>
          <w:sz w:val="16"/>
          <w:szCs w:val="16"/>
        </w:rPr>
        <w:t>page</w:t>
      </w:r>
      <w:r w:rsidRPr="00CB4F47">
        <w:rPr>
          <w:rFonts w:cs="Arial"/>
          <w:sz w:val="16"/>
          <w:szCs w:val="16"/>
        </w:rPr>
        <w:t xml:space="preserve"> 3</w:t>
      </w:r>
      <w:r w:rsidR="008B0A22">
        <w:rPr>
          <w:rFonts w:cs="Arial"/>
          <w:sz w:val="16"/>
          <w:szCs w:val="16"/>
        </w:rPr>
        <w:t>)</w:t>
      </w:r>
      <w:r w:rsidRPr="00CB4F47">
        <w:rPr>
          <w:rFonts w:cs="Arial"/>
          <w:sz w:val="16"/>
          <w:szCs w:val="16"/>
        </w:rPr>
        <w:t>.</w:t>
      </w:r>
    </w:p>
  </w:footnote>
  <w:footnote w:id="418">
    <w:p w14:paraId="7F9CC50F" w14:textId="5B362034"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Lesbian and Gay Archives of New Zealand, “Legislating homosexuality</w:t>
      </w:r>
      <w:r w:rsidR="00A671DF">
        <w:rPr>
          <w:rFonts w:cs="Arial"/>
          <w:color w:val="auto"/>
          <w:sz w:val="16"/>
          <w:szCs w:val="16"/>
        </w:rPr>
        <w:t>,</w:t>
      </w:r>
      <w:r w:rsidR="00A671DF" w:rsidRPr="00CB4F47">
        <w:rPr>
          <w:rFonts w:cs="Arial"/>
          <w:color w:val="auto"/>
          <w:sz w:val="16"/>
          <w:szCs w:val="16"/>
        </w:rPr>
        <w:t>”</w:t>
      </w:r>
      <w:r w:rsidRPr="00CB4F47">
        <w:rPr>
          <w:rFonts w:cs="Arial"/>
          <w:color w:val="auto"/>
          <w:sz w:val="16"/>
          <w:szCs w:val="16"/>
        </w:rPr>
        <w:t xml:space="preserve"> in Laurie, A &amp; Evans, L (eds</w:t>
      </w:r>
      <w:r w:rsidR="00A671DF" w:rsidRPr="00CB4F47">
        <w:rPr>
          <w:rFonts w:cs="Arial"/>
          <w:color w:val="auto"/>
          <w:sz w:val="16"/>
          <w:szCs w:val="16"/>
        </w:rPr>
        <w:t>)</w:t>
      </w:r>
      <w:r w:rsidR="00A671DF">
        <w:rPr>
          <w:rFonts w:cs="Arial"/>
          <w:color w:val="auto"/>
          <w:sz w:val="16"/>
          <w:szCs w:val="16"/>
        </w:rPr>
        <w:t>,</w:t>
      </w:r>
      <w:r w:rsidRPr="00CB4F47">
        <w:rPr>
          <w:rFonts w:cs="Arial"/>
          <w:color w:val="auto"/>
          <w:sz w:val="16"/>
          <w:szCs w:val="16"/>
        </w:rPr>
        <w:t xml:space="preserve"> Twenty years on: Histories of homosexual law reform in New Zealand (Massey University, 2009</w:t>
      </w:r>
      <w:r w:rsidR="00A671DF" w:rsidRPr="00CB4F47">
        <w:rPr>
          <w:rFonts w:cs="Arial"/>
          <w:color w:val="auto"/>
          <w:sz w:val="16"/>
          <w:szCs w:val="16"/>
        </w:rPr>
        <w:t>,</w:t>
      </w:r>
      <w:r w:rsidRPr="00CB4F47">
        <w:rPr>
          <w:rFonts w:cs="Arial"/>
          <w:color w:val="auto"/>
          <w:sz w:val="16"/>
          <w:szCs w:val="16"/>
        </w:rPr>
        <w:t xml:space="preserve"> pages 95</w:t>
      </w:r>
      <w:r w:rsidRPr="00CB4F47">
        <w:rPr>
          <w:rFonts w:cs="Arial"/>
          <w:sz w:val="16"/>
          <w:szCs w:val="16"/>
        </w:rPr>
        <w:t>–</w:t>
      </w:r>
      <w:r w:rsidRPr="00CB4F47">
        <w:rPr>
          <w:rFonts w:cs="Arial"/>
          <w:color w:val="auto"/>
          <w:sz w:val="16"/>
          <w:szCs w:val="16"/>
        </w:rPr>
        <w:t>97</w:t>
      </w:r>
      <w:r w:rsidR="008B0A22">
        <w:rPr>
          <w:rFonts w:cs="Arial"/>
          <w:color w:val="auto"/>
          <w:sz w:val="16"/>
          <w:szCs w:val="16"/>
        </w:rPr>
        <w:t>)</w:t>
      </w:r>
      <w:r w:rsidRPr="00CB4F47">
        <w:rPr>
          <w:rFonts w:cs="Arial"/>
          <w:color w:val="auto"/>
          <w:sz w:val="16"/>
          <w:szCs w:val="16"/>
        </w:rPr>
        <w:t>.</w:t>
      </w:r>
    </w:p>
  </w:footnote>
  <w:footnote w:id="419">
    <w:p w14:paraId="450357B3" w14:textId="77777777" w:rsidR="000E429D" w:rsidRPr="00CB4F47" w:rsidRDefault="000E429D" w:rsidP="00867B0B">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Children and Young Persons Act 1974, </w:t>
      </w:r>
      <w:r w:rsidRPr="00CB4F47">
        <w:rPr>
          <w:rStyle w:val="normaltextrun"/>
          <w:rFonts w:cs="Arial"/>
          <w:color w:val="auto"/>
          <w:sz w:val="16"/>
          <w:szCs w:val="16"/>
          <w:shd w:val="clear" w:color="auto" w:fill="FFFFFF"/>
        </w:rPr>
        <w:t>section 20(1).</w:t>
      </w:r>
    </w:p>
  </w:footnote>
  <w:footnote w:id="420">
    <w:p w14:paraId="2C484552" w14:textId="77777777" w:rsidR="000E429D" w:rsidRPr="00CB4F47" w:rsidRDefault="000E429D" w:rsidP="00867B0B">
      <w:pPr>
        <w:pStyle w:val="FootnoteText"/>
        <w:spacing w:line="20" w:lineRule="atLeast"/>
        <w:jc w:val="left"/>
        <w:rPr>
          <w:sz w:val="16"/>
          <w:szCs w:val="16"/>
        </w:rPr>
      </w:pPr>
      <w:r w:rsidRPr="00536E67">
        <w:rPr>
          <w:rStyle w:val="StyleFootnoteReferenceFagoFunotenzeichenFagoFunotenzeichen"/>
          <w:sz w:val="16"/>
          <w:szCs w:val="16"/>
        </w:rPr>
        <w:footnoteRef/>
      </w:r>
      <w:r w:rsidRPr="00CB4F47">
        <w:rPr>
          <w:sz w:val="16"/>
          <w:szCs w:val="16"/>
        </w:rPr>
        <w:t xml:space="preserve"> Criminal Justice Act 1985, section 8.</w:t>
      </w:r>
    </w:p>
  </w:footnote>
  <w:footnote w:id="421">
    <w:p w14:paraId="60F8923D" w14:textId="70CE8D61" w:rsidR="000E429D" w:rsidRPr="00CB4F47" w:rsidRDefault="000E429D" w:rsidP="00EC3169">
      <w:pPr>
        <w:pStyle w:val="footnotes"/>
        <w:rPr>
          <w:rFonts w:ascii="Arial" w:hAnsi="Arial" w:cs="Arial"/>
          <w:sz w:val="16"/>
          <w:szCs w:val="16"/>
        </w:rPr>
      </w:pPr>
      <w:r w:rsidRPr="00536E67">
        <w:rPr>
          <w:rStyle w:val="StyleFootnoteReferenceFagoFunotenzeichenFagoFunotenzeichen"/>
          <w:sz w:val="16"/>
          <w:szCs w:val="16"/>
        </w:rPr>
        <w:footnoteRef/>
      </w:r>
      <w:r w:rsidRPr="00CB4F47">
        <w:rPr>
          <w:rFonts w:ascii="Arial" w:hAnsi="Arial" w:cs="Arial"/>
          <w:sz w:val="16"/>
          <w:szCs w:val="16"/>
        </w:rPr>
        <w:t xml:space="preserve"> Children, Young Persons, and Their Families Act 1989, </w:t>
      </w:r>
      <w:r w:rsidR="00A671DF">
        <w:rPr>
          <w:rFonts w:ascii="Arial" w:hAnsi="Arial" w:cs="Arial"/>
          <w:sz w:val="16"/>
          <w:szCs w:val="16"/>
        </w:rPr>
        <w:t>s</w:t>
      </w:r>
      <w:r w:rsidRPr="00CB4F47">
        <w:rPr>
          <w:rFonts w:ascii="Arial" w:hAnsi="Arial" w:cs="Arial"/>
          <w:sz w:val="16"/>
          <w:szCs w:val="16"/>
        </w:rPr>
        <w:t>ection 410.</w:t>
      </w:r>
    </w:p>
  </w:footnote>
  <w:footnote w:id="422">
    <w:p w14:paraId="3B0F2991" w14:textId="3F12B3AE" w:rsidR="000E429D" w:rsidRPr="00CB4F47" w:rsidRDefault="000E429D" w:rsidP="00EC3169">
      <w:pPr>
        <w:pStyle w:val="footnotes"/>
        <w:rPr>
          <w:rFonts w:ascii="Arial" w:hAnsi="Arial" w:cs="Arial"/>
          <w:sz w:val="16"/>
          <w:szCs w:val="16"/>
        </w:rPr>
      </w:pPr>
      <w:r w:rsidRPr="00536E67">
        <w:rPr>
          <w:rStyle w:val="StyleFootnoteReferenceFagoFunotenzeichenFagoFunotenzeichen"/>
          <w:sz w:val="16"/>
          <w:szCs w:val="16"/>
        </w:rPr>
        <w:footnoteRef/>
      </w:r>
      <w:r w:rsidRPr="00CB4F47">
        <w:rPr>
          <w:rFonts w:ascii="Arial" w:hAnsi="Arial" w:cs="Arial"/>
          <w:sz w:val="16"/>
          <w:szCs w:val="16"/>
        </w:rPr>
        <w:t xml:space="preserve"> Children, Young Persons, and Their Families Act 1989, </w:t>
      </w:r>
      <w:r w:rsidR="00A671DF">
        <w:rPr>
          <w:rFonts w:ascii="Arial" w:hAnsi="Arial" w:cs="Arial"/>
          <w:sz w:val="16"/>
          <w:szCs w:val="16"/>
        </w:rPr>
        <w:t>s</w:t>
      </w:r>
      <w:r w:rsidRPr="00CB4F47">
        <w:rPr>
          <w:rFonts w:ascii="Arial" w:hAnsi="Arial" w:cs="Arial"/>
          <w:sz w:val="16"/>
          <w:szCs w:val="16"/>
        </w:rPr>
        <w:t>ection 411.</w:t>
      </w:r>
    </w:p>
  </w:footnote>
  <w:footnote w:id="423">
    <w:p w14:paraId="6B9825B7" w14:textId="4B83F459" w:rsidR="000E429D" w:rsidRPr="00CB4F47" w:rsidRDefault="000E429D" w:rsidP="00867B0B">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United Nations General Assembly, Convention on the Rights of the Child (entry into force on 2 September 1990)</w:t>
      </w:r>
      <w:r w:rsidR="00827AEA">
        <w:rPr>
          <w:rFonts w:cs="Arial"/>
          <w:color w:val="auto"/>
          <w:sz w:val="16"/>
          <w:szCs w:val="16"/>
        </w:rPr>
        <w:t>,</w:t>
      </w:r>
      <w:r w:rsidRPr="00CB4F47">
        <w:rPr>
          <w:rFonts w:cs="Arial"/>
          <w:color w:val="auto"/>
          <w:sz w:val="16"/>
          <w:szCs w:val="16"/>
        </w:rPr>
        <w:t xml:space="preserve"> </w:t>
      </w:r>
      <w:r w:rsidR="00A671DF">
        <w:rPr>
          <w:rFonts w:cs="Arial"/>
          <w:color w:val="auto"/>
          <w:sz w:val="16"/>
          <w:szCs w:val="16"/>
        </w:rPr>
        <w:t>(</w:t>
      </w:r>
      <w:r w:rsidR="00C32E74" w:rsidRPr="00CB4F47">
        <w:rPr>
          <w:rFonts w:cs="Arial"/>
          <w:color w:val="auto"/>
          <w:sz w:val="16"/>
          <w:szCs w:val="16"/>
        </w:rPr>
        <w:t>page</w:t>
      </w:r>
      <w:r w:rsidRPr="00CB4F47">
        <w:rPr>
          <w:rFonts w:cs="Arial"/>
          <w:color w:val="auto"/>
          <w:sz w:val="16"/>
          <w:szCs w:val="16"/>
        </w:rPr>
        <w:t xml:space="preserve"> 5</w:t>
      </w:r>
      <w:r w:rsidR="00A671DF">
        <w:rPr>
          <w:rFonts w:cs="Arial"/>
          <w:color w:val="auto"/>
          <w:sz w:val="16"/>
          <w:szCs w:val="16"/>
        </w:rPr>
        <w:t>)</w:t>
      </w:r>
      <w:r w:rsidR="00A671DF" w:rsidRPr="00CB4F47">
        <w:rPr>
          <w:rFonts w:cs="Arial"/>
          <w:color w:val="auto"/>
          <w:sz w:val="16"/>
          <w:szCs w:val="16"/>
        </w:rPr>
        <w:t>.</w:t>
      </w:r>
    </w:p>
  </w:footnote>
  <w:footnote w:id="424">
    <w:p w14:paraId="46EBCFE5" w14:textId="467E4E9F" w:rsidR="000E429D" w:rsidRPr="00CB4F47" w:rsidRDefault="000E429D" w:rsidP="00867B0B">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Ministry of Justice, United Nations Convention on the Rights of the Child (2020).</w:t>
      </w:r>
    </w:p>
  </w:footnote>
  <w:footnote w:id="425">
    <w:p w14:paraId="0D582EF3" w14:textId="328A2C44" w:rsidR="000E429D" w:rsidRPr="00CB4F47" w:rsidRDefault="000E429D" w:rsidP="007A349A">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United Nations, Committee on the Rights of the Child: Concluding observations of the Committee on the Rights of the Child: New Zealand CRC/C/15/Add.71 (1997</w:t>
      </w:r>
      <w:r w:rsidR="00A671DF" w:rsidRPr="00CB4F47">
        <w:rPr>
          <w:rFonts w:cs="Arial"/>
          <w:color w:val="auto"/>
          <w:sz w:val="16"/>
          <w:szCs w:val="16"/>
        </w:rPr>
        <w:t>,</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4, para 23</w:t>
      </w:r>
      <w:r w:rsidR="005435B7">
        <w:rPr>
          <w:rFonts w:cs="Arial"/>
          <w:color w:val="auto"/>
          <w:sz w:val="16"/>
          <w:szCs w:val="16"/>
        </w:rPr>
        <w:t>)</w:t>
      </w:r>
      <w:r w:rsidRPr="00CB4F47">
        <w:rPr>
          <w:rFonts w:cs="Arial"/>
          <w:color w:val="auto"/>
          <w:sz w:val="16"/>
          <w:szCs w:val="16"/>
        </w:rPr>
        <w:t xml:space="preserve">. </w:t>
      </w:r>
    </w:p>
  </w:footnote>
  <w:footnote w:id="426">
    <w:p w14:paraId="6AC84A9C" w14:textId="1B696BA5" w:rsidR="000E429D" w:rsidRPr="00CB4F47" w:rsidRDefault="000E429D" w:rsidP="00C57877">
      <w:pPr>
        <w:pStyle w:val="EndNoteBibliography"/>
        <w:spacing w:before="0" w:line="20" w:lineRule="atLeast"/>
        <w:rPr>
          <w:rFonts w:ascii="Arial" w:hAnsi="Arial" w:cs="Arial"/>
          <w:sz w:val="16"/>
          <w:szCs w:val="16"/>
          <w:lang w:val="en-NZ"/>
        </w:rPr>
      </w:pPr>
      <w:r w:rsidRPr="00536E67">
        <w:rPr>
          <w:rStyle w:val="StyleFootnoteReferenceFagoFunotenzeichenFagoFunotenzeichen"/>
          <w:sz w:val="16"/>
          <w:szCs w:val="16"/>
        </w:rPr>
        <w:footnoteRef/>
      </w:r>
      <w:r w:rsidRPr="00CB4F47">
        <w:rPr>
          <w:rFonts w:ascii="Arial" w:hAnsi="Arial" w:cs="Arial"/>
          <w:sz w:val="16"/>
          <w:szCs w:val="16"/>
          <w:lang w:val="en-NZ"/>
        </w:rPr>
        <w:t xml:space="preserve"> </w:t>
      </w:r>
      <w:r w:rsidRPr="00CB4F47">
        <w:rPr>
          <w:rFonts w:ascii="Arial" w:eastAsiaTheme="minorHAnsi" w:hAnsi="Arial" w:cs="Arial"/>
          <w:sz w:val="16"/>
          <w:szCs w:val="16"/>
        </w:rPr>
        <w:t>Anae, M</w:t>
      </w:r>
      <w:r w:rsidRPr="00CB4F47">
        <w:rPr>
          <w:rFonts w:ascii="Arial" w:hAnsi="Arial" w:cs="Arial"/>
          <w:sz w:val="16"/>
          <w:szCs w:val="16"/>
        </w:rPr>
        <w:t>,</w:t>
      </w:r>
      <w:r w:rsidRPr="00CB4F47">
        <w:rPr>
          <w:rFonts w:ascii="Arial" w:eastAsiaTheme="minorHAnsi" w:hAnsi="Arial" w:cs="Arial"/>
          <w:sz w:val="16"/>
          <w:szCs w:val="16"/>
        </w:rPr>
        <w:t xml:space="preserve"> “All power to the people: Overstayers, </w:t>
      </w:r>
      <w:r w:rsidR="00281DF1">
        <w:rPr>
          <w:rFonts w:ascii="Arial" w:eastAsiaTheme="minorHAnsi" w:hAnsi="Arial" w:cs="Arial"/>
          <w:sz w:val="16"/>
          <w:szCs w:val="16"/>
        </w:rPr>
        <w:t>D</w:t>
      </w:r>
      <w:r w:rsidRPr="00CB4F47">
        <w:rPr>
          <w:rFonts w:ascii="Arial" w:eastAsiaTheme="minorHAnsi" w:hAnsi="Arial" w:cs="Arial"/>
          <w:sz w:val="16"/>
          <w:szCs w:val="16"/>
        </w:rPr>
        <w:t xml:space="preserve">awn </w:t>
      </w:r>
      <w:r w:rsidR="00281DF1">
        <w:rPr>
          <w:rFonts w:ascii="Arial" w:eastAsiaTheme="minorHAnsi" w:hAnsi="Arial" w:cs="Arial"/>
          <w:sz w:val="16"/>
          <w:szCs w:val="16"/>
        </w:rPr>
        <w:t>R</w:t>
      </w:r>
      <w:r w:rsidRPr="00CB4F47">
        <w:rPr>
          <w:rFonts w:ascii="Arial" w:eastAsiaTheme="minorHAnsi" w:hAnsi="Arial" w:cs="Arial"/>
          <w:sz w:val="16"/>
          <w:szCs w:val="16"/>
        </w:rPr>
        <w:t xml:space="preserve">aids and the Polynesian Panthers” in </w:t>
      </w:r>
      <w:r w:rsidRPr="00CB4F47">
        <w:rPr>
          <w:rFonts w:ascii="Arial" w:eastAsia="Calibri" w:hAnsi="Arial" w:cs="Arial"/>
          <w:sz w:val="16"/>
          <w:szCs w:val="16"/>
          <w:lang w:val="en-US"/>
        </w:rPr>
        <w:t>Mallon, S, Māhina-Tuai, K &amp; Salesa, D (eds</w:t>
      </w:r>
      <w:r w:rsidR="00A671DF" w:rsidRPr="00CB4F47">
        <w:rPr>
          <w:rFonts w:ascii="Arial" w:eastAsia="Calibri" w:hAnsi="Arial" w:cs="Arial"/>
          <w:sz w:val="16"/>
          <w:szCs w:val="16"/>
          <w:lang w:val="en-US"/>
        </w:rPr>
        <w:t>),</w:t>
      </w:r>
      <w:r w:rsidRPr="00CB4F47">
        <w:rPr>
          <w:rFonts w:ascii="Arial" w:eastAsia="Calibri" w:hAnsi="Arial" w:cs="Arial"/>
          <w:sz w:val="16"/>
          <w:szCs w:val="16"/>
          <w:lang w:val="en-US"/>
        </w:rPr>
        <w:t xml:space="preserve"> </w:t>
      </w:r>
      <w:r w:rsidRPr="00CB4F47">
        <w:rPr>
          <w:rFonts w:ascii="Arial" w:eastAsiaTheme="minorHAnsi" w:hAnsi="Arial" w:cs="Arial"/>
          <w:sz w:val="16"/>
          <w:szCs w:val="16"/>
        </w:rPr>
        <w:t>Tangata o le Moana:</w:t>
      </w:r>
      <w:r w:rsidRPr="00CB4F47">
        <w:rPr>
          <w:rStyle w:val="normaltextrun"/>
          <w:rFonts w:ascii="Arial" w:eastAsiaTheme="minorHAnsi" w:hAnsi="Arial" w:cs="Arial"/>
          <w:sz w:val="16"/>
          <w:szCs w:val="16"/>
          <w:bdr w:val="none" w:sz="0" w:space="0" w:color="auto" w:frame="1"/>
        </w:rPr>
        <w:t xml:space="preserve"> </w:t>
      </w:r>
      <w:r w:rsidRPr="00CB4F47">
        <w:rPr>
          <w:rStyle w:val="normaltextrun"/>
          <w:rFonts w:ascii="Arial" w:hAnsi="Arial" w:cs="Arial"/>
          <w:sz w:val="16"/>
          <w:szCs w:val="16"/>
          <w:bdr w:val="none" w:sz="0" w:space="0" w:color="auto" w:frame="1"/>
        </w:rPr>
        <w:t>New Zealand and the People of the Pacific</w:t>
      </w:r>
      <w:r w:rsidRPr="00CB4F47">
        <w:rPr>
          <w:rFonts w:ascii="Arial" w:hAnsi="Arial" w:cs="Arial"/>
          <w:sz w:val="16"/>
          <w:szCs w:val="16"/>
        </w:rPr>
        <w:t xml:space="preserve"> </w:t>
      </w:r>
      <w:r w:rsidRPr="00CB4F47">
        <w:rPr>
          <w:rFonts w:ascii="Arial" w:eastAsiaTheme="minorHAnsi" w:hAnsi="Arial" w:cs="Arial"/>
          <w:sz w:val="16"/>
          <w:szCs w:val="16"/>
        </w:rPr>
        <w:t>(Te Papa Press, 2012</w:t>
      </w:r>
      <w:r w:rsidR="00A671DF" w:rsidRPr="00CB4F47">
        <w:rPr>
          <w:rFonts w:ascii="Arial" w:eastAsiaTheme="minorHAnsi" w:hAnsi="Arial" w:cs="Arial"/>
          <w:sz w:val="16"/>
          <w:szCs w:val="16"/>
        </w:rPr>
        <w:t>,</w:t>
      </w:r>
      <w:r w:rsidRPr="00CB4F47">
        <w:rPr>
          <w:rFonts w:ascii="Arial" w:eastAsiaTheme="minorHAnsi" w:hAnsi="Arial" w:cs="Arial"/>
          <w:sz w:val="16"/>
          <w:szCs w:val="16"/>
        </w:rPr>
        <w:t xml:space="preserve"> </w:t>
      </w:r>
      <w:r w:rsidRPr="00CB4F47">
        <w:rPr>
          <w:rFonts w:ascii="Arial" w:hAnsi="Arial" w:cs="Arial"/>
          <w:sz w:val="16"/>
          <w:szCs w:val="16"/>
        </w:rPr>
        <w:t>pages</w:t>
      </w:r>
      <w:r w:rsidRPr="00CB4F47">
        <w:rPr>
          <w:rFonts w:ascii="Arial" w:eastAsiaTheme="minorHAnsi" w:hAnsi="Arial" w:cs="Arial"/>
          <w:sz w:val="16"/>
          <w:szCs w:val="16"/>
        </w:rPr>
        <w:t xml:space="preserve"> 221</w:t>
      </w:r>
      <w:r w:rsidRPr="00CB4F47">
        <w:rPr>
          <w:rFonts w:ascii="Arial" w:eastAsia="Calibri" w:hAnsi="Arial" w:cs="Arial"/>
          <w:sz w:val="16"/>
          <w:szCs w:val="16"/>
          <w:lang w:val="en-US"/>
        </w:rPr>
        <w:t>–</w:t>
      </w:r>
      <w:r w:rsidRPr="00CB4F47">
        <w:rPr>
          <w:rFonts w:ascii="Arial" w:eastAsiaTheme="minorHAnsi" w:hAnsi="Arial" w:cs="Arial"/>
          <w:sz w:val="16"/>
          <w:szCs w:val="16"/>
        </w:rPr>
        <w:t>240</w:t>
      </w:r>
      <w:r w:rsidR="00465E7A">
        <w:rPr>
          <w:rFonts w:ascii="Arial" w:eastAsiaTheme="minorHAnsi" w:hAnsi="Arial" w:cs="Arial"/>
          <w:sz w:val="16"/>
          <w:szCs w:val="16"/>
        </w:rPr>
        <w:t>)</w:t>
      </w:r>
      <w:r w:rsidRPr="00CB4F47">
        <w:rPr>
          <w:rFonts w:ascii="Arial" w:eastAsiaTheme="minorHAnsi" w:hAnsi="Arial" w:cs="Arial"/>
          <w:sz w:val="16"/>
          <w:szCs w:val="16"/>
          <w:lang w:val="en-NZ" w:eastAsia="en-US"/>
        </w:rPr>
        <w:t>.</w:t>
      </w:r>
    </w:p>
  </w:footnote>
  <w:footnote w:id="427">
    <w:p w14:paraId="20E323DB" w14:textId="38E325CA" w:rsidR="000E429D" w:rsidRPr="00CB4F47" w:rsidRDefault="000E429D" w:rsidP="00C57877">
      <w:pPr>
        <w:pStyle w:val="EndNoteBibliography"/>
        <w:spacing w:before="0" w:line="20" w:lineRule="atLeast"/>
        <w:rPr>
          <w:rFonts w:ascii="Arial" w:hAnsi="Arial" w:cs="Arial"/>
          <w:sz w:val="16"/>
          <w:szCs w:val="16"/>
          <w:lang w:val="en-NZ"/>
        </w:rPr>
      </w:pPr>
      <w:r w:rsidRPr="00536E67">
        <w:rPr>
          <w:rStyle w:val="StyleFootnoteReferenceFagoFunotenzeichenFagoFunotenzeichen"/>
          <w:sz w:val="16"/>
          <w:szCs w:val="16"/>
        </w:rPr>
        <w:footnoteRef/>
      </w:r>
      <w:r w:rsidRPr="00CB4F47">
        <w:rPr>
          <w:rFonts w:ascii="Arial" w:hAnsi="Arial" w:cs="Arial"/>
          <w:sz w:val="16"/>
          <w:szCs w:val="16"/>
          <w:lang w:val="en-NZ"/>
        </w:rPr>
        <w:t xml:space="preserve"> </w:t>
      </w:r>
      <w:r w:rsidRPr="00CB4F47">
        <w:rPr>
          <w:rFonts w:ascii="Arial" w:eastAsiaTheme="minorHAnsi" w:hAnsi="Arial" w:cs="Arial"/>
          <w:sz w:val="16"/>
          <w:szCs w:val="16"/>
        </w:rPr>
        <w:t>Anae, M</w:t>
      </w:r>
      <w:r w:rsidRPr="00CB4F47">
        <w:rPr>
          <w:rFonts w:ascii="Arial" w:hAnsi="Arial" w:cs="Arial"/>
          <w:sz w:val="16"/>
          <w:szCs w:val="16"/>
        </w:rPr>
        <w:t>,</w:t>
      </w:r>
      <w:r w:rsidRPr="00CB4F47">
        <w:rPr>
          <w:rFonts w:ascii="Arial" w:eastAsiaTheme="minorHAnsi" w:hAnsi="Arial" w:cs="Arial"/>
          <w:sz w:val="16"/>
          <w:szCs w:val="16"/>
        </w:rPr>
        <w:t xml:space="preserve"> “All power to the people: Overstayers, </w:t>
      </w:r>
      <w:r w:rsidR="00281DF1">
        <w:rPr>
          <w:rFonts w:ascii="Arial" w:eastAsiaTheme="minorHAnsi" w:hAnsi="Arial" w:cs="Arial"/>
          <w:sz w:val="16"/>
          <w:szCs w:val="16"/>
        </w:rPr>
        <w:t>D</w:t>
      </w:r>
      <w:r w:rsidRPr="00CB4F47">
        <w:rPr>
          <w:rFonts w:ascii="Arial" w:eastAsiaTheme="minorHAnsi" w:hAnsi="Arial" w:cs="Arial"/>
          <w:sz w:val="16"/>
          <w:szCs w:val="16"/>
        </w:rPr>
        <w:t xml:space="preserve">awn </w:t>
      </w:r>
      <w:r w:rsidR="00281DF1">
        <w:rPr>
          <w:rFonts w:ascii="Arial" w:eastAsiaTheme="minorHAnsi" w:hAnsi="Arial" w:cs="Arial"/>
          <w:sz w:val="16"/>
          <w:szCs w:val="16"/>
        </w:rPr>
        <w:t>R</w:t>
      </w:r>
      <w:r w:rsidRPr="00CB4F47">
        <w:rPr>
          <w:rFonts w:ascii="Arial" w:eastAsiaTheme="minorHAnsi" w:hAnsi="Arial" w:cs="Arial"/>
          <w:sz w:val="16"/>
          <w:szCs w:val="16"/>
        </w:rPr>
        <w:t xml:space="preserve">aids and the Polynesian Panthers” in </w:t>
      </w:r>
      <w:r w:rsidRPr="00CB4F47">
        <w:rPr>
          <w:rFonts w:ascii="Arial" w:eastAsia="Calibri" w:hAnsi="Arial" w:cs="Arial"/>
          <w:sz w:val="16"/>
          <w:szCs w:val="16"/>
          <w:lang w:val="en-US"/>
        </w:rPr>
        <w:t>Mallon, S, Māhina-Tuai, K &amp; Salesa, D (eds</w:t>
      </w:r>
      <w:r w:rsidR="00A671DF" w:rsidRPr="00CB4F47">
        <w:rPr>
          <w:rFonts w:ascii="Arial" w:eastAsia="Calibri" w:hAnsi="Arial" w:cs="Arial"/>
          <w:sz w:val="16"/>
          <w:szCs w:val="16"/>
          <w:lang w:val="en-US"/>
        </w:rPr>
        <w:t>),</w:t>
      </w:r>
      <w:r w:rsidRPr="00CB4F47">
        <w:rPr>
          <w:rFonts w:ascii="Arial" w:eastAsia="Calibri" w:hAnsi="Arial" w:cs="Arial"/>
          <w:sz w:val="16"/>
          <w:szCs w:val="16"/>
          <w:lang w:val="en-US"/>
        </w:rPr>
        <w:t xml:space="preserve"> </w:t>
      </w:r>
      <w:r w:rsidRPr="00CB4F47">
        <w:rPr>
          <w:rFonts w:ascii="Arial" w:eastAsiaTheme="minorHAnsi" w:hAnsi="Arial" w:cs="Arial"/>
          <w:sz w:val="16"/>
          <w:szCs w:val="16"/>
        </w:rPr>
        <w:t>Tangata o le Moana:</w:t>
      </w:r>
      <w:r w:rsidRPr="00CB4F47">
        <w:rPr>
          <w:rStyle w:val="normaltextrun"/>
          <w:rFonts w:ascii="Arial" w:eastAsiaTheme="minorHAnsi" w:hAnsi="Arial" w:cs="Arial"/>
          <w:sz w:val="16"/>
          <w:szCs w:val="16"/>
          <w:bdr w:val="none" w:sz="0" w:space="0" w:color="auto" w:frame="1"/>
        </w:rPr>
        <w:t xml:space="preserve"> </w:t>
      </w:r>
      <w:r w:rsidRPr="00CB4F47">
        <w:rPr>
          <w:rStyle w:val="normaltextrun"/>
          <w:rFonts w:ascii="Arial" w:hAnsi="Arial" w:cs="Arial"/>
          <w:sz w:val="16"/>
          <w:szCs w:val="16"/>
          <w:bdr w:val="none" w:sz="0" w:space="0" w:color="auto" w:frame="1"/>
        </w:rPr>
        <w:t>New Zealand and the People of the Pacific</w:t>
      </w:r>
      <w:r w:rsidRPr="00CB4F47">
        <w:rPr>
          <w:rFonts w:ascii="Arial" w:hAnsi="Arial" w:cs="Arial"/>
          <w:sz w:val="16"/>
          <w:szCs w:val="16"/>
        </w:rPr>
        <w:t xml:space="preserve"> </w:t>
      </w:r>
      <w:r w:rsidRPr="00CB4F47">
        <w:rPr>
          <w:rFonts w:ascii="Arial" w:eastAsiaTheme="minorHAnsi" w:hAnsi="Arial" w:cs="Arial"/>
          <w:sz w:val="16"/>
          <w:szCs w:val="16"/>
        </w:rPr>
        <w:t>(Te Papa Press, 2012</w:t>
      </w:r>
      <w:r w:rsidR="00A671DF" w:rsidRPr="00CB4F47">
        <w:rPr>
          <w:rFonts w:ascii="Arial" w:eastAsiaTheme="minorHAnsi" w:hAnsi="Arial" w:cs="Arial"/>
          <w:sz w:val="16"/>
          <w:szCs w:val="16"/>
        </w:rPr>
        <w:t>,</w:t>
      </w:r>
      <w:r w:rsidRPr="00CB4F47">
        <w:rPr>
          <w:rFonts w:ascii="Arial" w:eastAsiaTheme="minorHAnsi" w:hAnsi="Arial" w:cs="Arial"/>
          <w:sz w:val="16"/>
          <w:szCs w:val="16"/>
        </w:rPr>
        <w:t xml:space="preserve"> </w:t>
      </w:r>
      <w:r w:rsidRPr="00CB4F47">
        <w:rPr>
          <w:rFonts w:ascii="Arial" w:hAnsi="Arial" w:cs="Arial"/>
          <w:sz w:val="16"/>
          <w:szCs w:val="16"/>
        </w:rPr>
        <w:t>pages</w:t>
      </w:r>
      <w:r w:rsidRPr="00CB4F47">
        <w:rPr>
          <w:rFonts w:ascii="Arial" w:eastAsiaTheme="minorHAnsi" w:hAnsi="Arial" w:cs="Arial"/>
          <w:sz w:val="16"/>
          <w:szCs w:val="16"/>
        </w:rPr>
        <w:t xml:space="preserve"> 221</w:t>
      </w:r>
      <w:r w:rsidRPr="00CB4F47">
        <w:rPr>
          <w:rFonts w:ascii="Arial" w:eastAsia="Calibri" w:hAnsi="Arial" w:cs="Arial"/>
          <w:sz w:val="16"/>
          <w:szCs w:val="16"/>
          <w:lang w:val="en-US"/>
        </w:rPr>
        <w:t>–</w:t>
      </w:r>
      <w:r w:rsidRPr="00CB4F47">
        <w:rPr>
          <w:rFonts w:ascii="Arial" w:eastAsiaTheme="minorHAnsi" w:hAnsi="Arial" w:cs="Arial"/>
          <w:sz w:val="16"/>
          <w:szCs w:val="16"/>
        </w:rPr>
        <w:t>240</w:t>
      </w:r>
      <w:r w:rsidR="00465E7A">
        <w:rPr>
          <w:rFonts w:ascii="Arial" w:eastAsiaTheme="minorHAnsi" w:hAnsi="Arial" w:cs="Arial"/>
          <w:sz w:val="16"/>
          <w:szCs w:val="16"/>
        </w:rPr>
        <w:t>)</w:t>
      </w:r>
      <w:r w:rsidRPr="00CB4F47">
        <w:rPr>
          <w:rFonts w:ascii="Arial" w:eastAsiaTheme="minorHAnsi" w:hAnsi="Arial" w:cs="Arial"/>
          <w:sz w:val="16"/>
          <w:szCs w:val="16"/>
        </w:rPr>
        <w:t>.</w:t>
      </w:r>
    </w:p>
  </w:footnote>
  <w:footnote w:id="428">
    <w:p w14:paraId="3C45FB5D" w14:textId="55146E22" w:rsidR="00A671DF" w:rsidRPr="00CB4F47" w:rsidRDefault="00A671DF" w:rsidP="00CC20FC">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Pr>
          <w:rFonts w:cs="Arial"/>
          <w:color w:val="auto"/>
          <w:sz w:val="16"/>
          <w:szCs w:val="16"/>
        </w:rPr>
        <w:t xml:space="preserve">Stats NZ, </w:t>
      </w:r>
      <w:r w:rsidRPr="00CB4F47">
        <w:rPr>
          <w:rFonts w:cs="Arial"/>
          <w:color w:val="auto"/>
          <w:sz w:val="16"/>
          <w:szCs w:val="16"/>
        </w:rPr>
        <w:t>New Zealand Official Yearbook</w:t>
      </w:r>
      <w:r>
        <w:rPr>
          <w:rFonts w:cs="Arial"/>
          <w:color w:val="auto"/>
          <w:sz w:val="16"/>
          <w:szCs w:val="16"/>
        </w:rPr>
        <w:t xml:space="preserve"> 1978</w:t>
      </w:r>
      <w:r w:rsidRPr="00CB4F47">
        <w:rPr>
          <w:rFonts w:cs="Arial"/>
          <w:color w:val="auto"/>
          <w:sz w:val="16"/>
          <w:szCs w:val="16"/>
        </w:rPr>
        <w:t>, Population (1978)</w:t>
      </w:r>
      <w:r>
        <w:rPr>
          <w:rFonts w:cs="Arial"/>
          <w:color w:val="auto"/>
          <w:sz w:val="16"/>
          <w:szCs w:val="16"/>
        </w:rPr>
        <w:t>.</w:t>
      </w:r>
      <w:r w:rsidRPr="00CB4F47">
        <w:rPr>
          <w:rFonts w:cs="Arial"/>
          <w:color w:val="auto"/>
          <w:sz w:val="16"/>
          <w:szCs w:val="16"/>
        </w:rPr>
        <w:t xml:space="preserve"> </w:t>
      </w:r>
    </w:p>
  </w:footnote>
  <w:footnote w:id="429">
    <w:p w14:paraId="63C8F0E8" w14:textId="77777777" w:rsidR="00A671DF" w:rsidRPr="00CB4F47" w:rsidRDefault="00A671DF" w:rsidP="00CC20FC">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Pr>
          <w:rFonts w:cs="Arial"/>
          <w:color w:val="auto"/>
          <w:sz w:val="16"/>
          <w:szCs w:val="16"/>
        </w:rPr>
        <w:t xml:space="preserve">Stats NZ, </w:t>
      </w:r>
      <w:r w:rsidRPr="00CB4F47">
        <w:rPr>
          <w:rFonts w:cs="Arial"/>
          <w:color w:val="auto"/>
          <w:sz w:val="16"/>
          <w:szCs w:val="16"/>
        </w:rPr>
        <w:t xml:space="preserve">New Zealand Official Yearbook 1998, Table 5.1 population growth, Table 5.15 ethnic composition (1998). </w:t>
      </w:r>
    </w:p>
  </w:footnote>
  <w:footnote w:id="430">
    <w:p w14:paraId="14765266" w14:textId="0BD1E93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Cook, L, A </w:t>
      </w:r>
      <w:r w:rsidR="00FC5ECC">
        <w:rPr>
          <w:rFonts w:cs="Arial"/>
          <w:color w:val="auto"/>
          <w:sz w:val="16"/>
          <w:szCs w:val="16"/>
        </w:rPr>
        <w:t>s</w:t>
      </w:r>
      <w:r w:rsidR="00FC5ECC" w:rsidRPr="00CB4F47">
        <w:rPr>
          <w:rFonts w:cs="Arial"/>
          <w:color w:val="auto"/>
          <w:sz w:val="16"/>
          <w:szCs w:val="16"/>
        </w:rPr>
        <w:t xml:space="preserve">tatistical </w:t>
      </w:r>
      <w:r w:rsidR="00FC5ECC">
        <w:rPr>
          <w:rFonts w:cs="Arial"/>
          <w:color w:val="auto"/>
          <w:sz w:val="16"/>
          <w:szCs w:val="16"/>
        </w:rPr>
        <w:t>w</w:t>
      </w:r>
      <w:r w:rsidR="00FC5ECC" w:rsidRPr="00CB4F47">
        <w:rPr>
          <w:rFonts w:cs="Arial"/>
          <w:color w:val="auto"/>
          <w:sz w:val="16"/>
          <w:szCs w:val="16"/>
        </w:rPr>
        <w:t xml:space="preserve">indow </w:t>
      </w:r>
      <w:r w:rsidRPr="00CB4F47">
        <w:rPr>
          <w:rFonts w:cs="Arial"/>
          <w:color w:val="auto"/>
          <w:sz w:val="16"/>
          <w:szCs w:val="16"/>
        </w:rPr>
        <w:t xml:space="preserve">for the </w:t>
      </w:r>
      <w:r w:rsidR="00FC5ECC">
        <w:rPr>
          <w:rFonts w:cs="Arial"/>
          <w:color w:val="auto"/>
          <w:sz w:val="16"/>
          <w:szCs w:val="16"/>
        </w:rPr>
        <w:t>j</w:t>
      </w:r>
      <w:r w:rsidR="00FC5ECC" w:rsidRPr="00CB4F47">
        <w:rPr>
          <w:rFonts w:cs="Arial"/>
          <w:color w:val="auto"/>
          <w:sz w:val="16"/>
          <w:szCs w:val="16"/>
        </w:rPr>
        <w:t xml:space="preserve">ustice </w:t>
      </w:r>
      <w:r w:rsidR="00A671DF">
        <w:rPr>
          <w:rFonts w:cs="Arial"/>
          <w:color w:val="auto"/>
          <w:sz w:val="16"/>
          <w:szCs w:val="16"/>
        </w:rPr>
        <w:t>s</w:t>
      </w:r>
      <w:r w:rsidR="00A671DF" w:rsidRPr="00CB4F47">
        <w:rPr>
          <w:rFonts w:cs="Arial"/>
          <w:color w:val="auto"/>
          <w:sz w:val="16"/>
          <w:szCs w:val="16"/>
        </w:rPr>
        <w:t>ystem</w:t>
      </w:r>
      <w:r w:rsidRPr="00CB4F47">
        <w:rPr>
          <w:rFonts w:cs="Arial"/>
          <w:color w:val="auto"/>
          <w:sz w:val="16"/>
          <w:szCs w:val="16"/>
        </w:rPr>
        <w:t xml:space="preserve">: Putting a </w:t>
      </w:r>
      <w:r w:rsidR="00A671DF">
        <w:rPr>
          <w:rFonts w:cs="Arial"/>
          <w:color w:val="auto"/>
          <w:sz w:val="16"/>
          <w:szCs w:val="16"/>
        </w:rPr>
        <w:t>s</w:t>
      </w:r>
      <w:r w:rsidR="00A671DF" w:rsidRPr="00CB4F47">
        <w:rPr>
          <w:rFonts w:cs="Arial"/>
          <w:color w:val="auto"/>
          <w:sz w:val="16"/>
          <w:szCs w:val="16"/>
        </w:rPr>
        <w:t>potlight</w:t>
      </w:r>
      <w:r w:rsidRPr="00CB4F47">
        <w:rPr>
          <w:rFonts w:cs="Arial"/>
          <w:color w:val="auto"/>
          <w:sz w:val="16"/>
          <w:szCs w:val="16"/>
        </w:rPr>
        <w:t xml:space="preserve"> on the </w:t>
      </w:r>
      <w:r w:rsidR="00FC5ECC">
        <w:rPr>
          <w:rFonts w:cs="Arial"/>
          <w:color w:val="auto"/>
          <w:sz w:val="16"/>
          <w:szCs w:val="16"/>
        </w:rPr>
        <w:t>s</w:t>
      </w:r>
      <w:r w:rsidR="00FC5ECC" w:rsidRPr="00CB4F47">
        <w:rPr>
          <w:rFonts w:cs="Arial"/>
          <w:color w:val="auto"/>
          <w:sz w:val="16"/>
          <w:szCs w:val="16"/>
        </w:rPr>
        <w:t xml:space="preserve">cale </w:t>
      </w:r>
      <w:r w:rsidRPr="00CB4F47">
        <w:rPr>
          <w:rFonts w:cs="Arial"/>
          <w:color w:val="auto"/>
          <w:sz w:val="16"/>
          <w:szCs w:val="16"/>
        </w:rPr>
        <w:t xml:space="preserve">of State </w:t>
      </w:r>
      <w:r w:rsidR="00FC5ECC">
        <w:rPr>
          <w:rFonts w:cs="Arial"/>
          <w:color w:val="auto"/>
          <w:sz w:val="16"/>
          <w:szCs w:val="16"/>
        </w:rPr>
        <w:t>c</w:t>
      </w:r>
      <w:r w:rsidR="00FC5ECC" w:rsidRPr="00CB4F47">
        <w:rPr>
          <w:rFonts w:cs="Arial"/>
          <w:color w:val="auto"/>
          <w:sz w:val="16"/>
          <w:szCs w:val="16"/>
        </w:rPr>
        <w:t xml:space="preserve">ustody </w:t>
      </w:r>
      <w:r w:rsidRPr="00CB4F47">
        <w:rPr>
          <w:rFonts w:cs="Arial"/>
          <w:color w:val="auto"/>
          <w:sz w:val="16"/>
          <w:szCs w:val="16"/>
        </w:rPr>
        <w:t xml:space="preserve">of </w:t>
      </w:r>
      <w:r w:rsidR="00FC5ECC">
        <w:rPr>
          <w:rFonts w:cs="Arial"/>
          <w:color w:val="auto"/>
          <w:sz w:val="16"/>
          <w:szCs w:val="16"/>
        </w:rPr>
        <w:t>g</w:t>
      </w:r>
      <w:r w:rsidR="00FC5ECC" w:rsidRPr="00CB4F47">
        <w:rPr>
          <w:rFonts w:cs="Arial"/>
          <w:color w:val="auto"/>
          <w:sz w:val="16"/>
          <w:szCs w:val="16"/>
        </w:rPr>
        <w:t xml:space="preserve">enerations </w:t>
      </w:r>
      <w:r w:rsidRPr="00CB4F47">
        <w:rPr>
          <w:rFonts w:cs="Arial"/>
          <w:color w:val="auto"/>
          <w:sz w:val="16"/>
          <w:szCs w:val="16"/>
        </w:rPr>
        <w:t>of Māori (</w:t>
      </w:r>
      <w:r w:rsidR="00DD39E8">
        <w:rPr>
          <w:rFonts w:cs="Arial"/>
          <w:color w:val="auto"/>
          <w:sz w:val="16"/>
          <w:szCs w:val="16"/>
        </w:rPr>
        <w:t>Victoria University of Wellington</w:t>
      </w:r>
      <w:r w:rsidR="00052FBE">
        <w:rPr>
          <w:rFonts w:cs="Arial"/>
          <w:color w:val="auto"/>
          <w:sz w:val="16"/>
          <w:szCs w:val="16"/>
        </w:rPr>
        <w:t xml:space="preserve"> – </w:t>
      </w:r>
      <w:r w:rsidR="00052FBE" w:rsidRPr="00120E85">
        <w:rPr>
          <w:rFonts w:cs="Arial"/>
          <w:color w:val="auto"/>
          <w:sz w:val="16"/>
          <w:szCs w:val="16"/>
        </w:rPr>
        <w:t>Te Herenga Waka</w:t>
      </w:r>
      <w:r w:rsidR="009A003D">
        <w:rPr>
          <w:rFonts w:cs="Arial"/>
          <w:color w:val="auto"/>
          <w:sz w:val="16"/>
          <w:szCs w:val="16"/>
        </w:rPr>
        <w:t xml:space="preserve">, </w:t>
      </w:r>
      <w:r w:rsidR="00E53C77">
        <w:rPr>
          <w:rFonts w:cs="Arial"/>
          <w:color w:val="auto"/>
          <w:sz w:val="16"/>
          <w:szCs w:val="16"/>
        </w:rPr>
        <w:t>2020</w:t>
      </w:r>
      <w:r w:rsidR="00A671DF" w:rsidRPr="00CB4F47">
        <w:rPr>
          <w:rFonts w:cs="Arial"/>
          <w:color w:val="auto"/>
          <w:sz w:val="16"/>
          <w:szCs w:val="16"/>
        </w:rPr>
        <w:t>,</w:t>
      </w:r>
      <w:r w:rsidRPr="00CB4F47">
        <w:rPr>
          <w:rFonts w:cs="Arial"/>
          <w:color w:val="auto"/>
          <w:sz w:val="16"/>
          <w:szCs w:val="16"/>
        </w:rPr>
        <w:t xml:space="preserve"> pages 6</w:t>
      </w:r>
      <w:r w:rsidRPr="00CB4F47">
        <w:rPr>
          <w:rFonts w:eastAsia="Calibri" w:cs="Arial"/>
          <w:sz w:val="16"/>
          <w:szCs w:val="16"/>
          <w:lang w:val="en-US"/>
        </w:rPr>
        <w:t>–</w:t>
      </w:r>
      <w:r w:rsidRPr="00CB4F47">
        <w:rPr>
          <w:rFonts w:cs="Arial"/>
          <w:color w:val="auto"/>
          <w:sz w:val="16"/>
          <w:szCs w:val="16"/>
        </w:rPr>
        <w:t>7</w:t>
      </w:r>
      <w:r w:rsidR="009A003D">
        <w:rPr>
          <w:rFonts w:cs="Arial"/>
          <w:color w:val="auto"/>
          <w:sz w:val="16"/>
          <w:szCs w:val="16"/>
        </w:rPr>
        <w:t>)</w:t>
      </w:r>
      <w:r w:rsidRPr="00CB4F47">
        <w:rPr>
          <w:rFonts w:cs="Arial"/>
          <w:color w:val="auto"/>
          <w:sz w:val="16"/>
          <w:szCs w:val="16"/>
        </w:rPr>
        <w:t>.</w:t>
      </w:r>
    </w:p>
  </w:footnote>
  <w:footnote w:id="431">
    <w:p w14:paraId="3449AAE8" w14:textId="0EEDAFA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005279CA">
        <w:rPr>
          <w:rFonts w:cs="Arial"/>
          <w:color w:val="auto"/>
          <w:sz w:val="16"/>
          <w:szCs w:val="16"/>
        </w:rPr>
        <w:t xml:space="preserve">Stats NZ, </w:t>
      </w:r>
      <w:r w:rsidRPr="00CB4F47">
        <w:rPr>
          <w:rFonts w:cs="Arial"/>
          <w:color w:val="auto"/>
          <w:sz w:val="16"/>
          <w:szCs w:val="16"/>
        </w:rPr>
        <w:t xml:space="preserve">New Zealand Official Yearbook 1972, New Zealand Maori </w:t>
      </w:r>
      <w:r w:rsidR="00FC1936">
        <w:rPr>
          <w:rFonts w:cs="Arial"/>
          <w:color w:val="auto"/>
          <w:sz w:val="16"/>
          <w:szCs w:val="16"/>
        </w:rPr>
        <w:t>p</w:t>
      </w:r>
      <w:r w:rsidRPr="00CB4F47">
        <w:rPr>
          <w:rFonts w:cs="Arial"/>
          <w:color w:val="auto"/>
          <w:sz w:val="16"/>
          <w:szCs w:val="16"/>
        </w:rPr>
        <w:t>opulation</w:t>
      </w:r>
      <w:r w:rsidR="00A671DF" w:rsidRPr="00CB4F47">
        <w:rPr>
          <w:rFonts w:cs="Arial"/>
          <w:color w:val="auto"/>
          <w:sz w:val="16"/>
          <w:szCs w:val="16"/>
        </w:rPr>
        <w:t xml:space="preserve"> (</w:t>
      </w:r>
      <w:r w:rsidRPr="00CB4F47">
        <w:rPr>
          <w:rFonts w:cs="Arial"/>
          <w:color w:val="auto"/>
          <w:sz w:val="16"/>
          <w:szCs w:val="16"/>
        </w:rPr>
        <w:t xml:space="preserve">1972). </w:t>
      </w:r>
    </w:p>
  </w:footnote>
  <w:footnote w:id="432">
    <w:p w14:paraId="092E65F8" w14:textId="4F78D2D1"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Cook, L, A </w:t>
      </w:r>
      <w:r w:rsidR="00FC5ECC">
        <w:rPr>
          <w:rFonts w:cs="Arial"/>
          <w:color w:val="auto"/>
          <w:sz w:val="16"/>
          <w:szCs w:val="16"/>
        </w:rPr>
        <w:t>s</w:t>
      </w:r>
      <w:r w:rsidR="00FC5ECC" w:rsidRPr="00CB4F47">
        <w:rPr>
          <w:rFonts w:cs="Arial"/>
          <w:color w:val="auto"/>
          <w:sz w:val="16"/>
          <w:szCs w:val="16"/>
        </w:rPr>
        <w:t xml:space="preserve">tatistical </w:t>
      </w:r>
      <w:r w:rsidR="00FC5ECC">
        <w:rPr>
          <w:rFonts w:cs="Arial"/>
          <w:color w:val="auto"/>
          <w:sz w:val="16"/>
          <w:szCs w:val="16"/>
        </w:rPr>
        <w:t>w</w:t>
      </w:r>
      <w:r w:rsidR="00FC5ECC" w:rsidRPr="00CB4F47">
        <w:rPr>
          <w:rFonts w:cs="Arial"/>
          <w:color w:val="auto"/>
          <w:sz w:val="16"/>
          <w:szCs w:val="16"/>
        </w:rPr>
        <w:t xml:space="preserve">indow </w:t>
      </w:r>
      <w:r w:rsidRPr="00CB4F47">
        <w:rPr>
          <w:rFonts w:cs="Arial"/>
          <w:color w:val="auto"/>
          <w:sz w:val="16"/>
          <w:szCs w:val="16"/>
        </w:rPr>
        <w:t xml:space="preserve">for the </w:t>
      </w:r>
      <w:r w:rsidR="00FC5ECC">
        <w:rPr>
          <w:rFonts w:cs="Arial"/>
          <w:color w:val="auto"/>
          <w:sz w:val="16"/>
          <w:szCs w:val="16"/>
        </w:rPr>
        <w:t>j</w:t>
      </w:r>
      <w:r w:rsidR="00FC5ECC" w:rsidRPr="00CB4F47">
        <w:rPr>
          <w:rFonts w:cs="Arial"/>
          <w:color w:val="auto"/>
          <w:sz w:val="16"/>
          <w:szCs w:val="16"/>
        </w:rPr>
        <w:t xml:space="preserve">ustice </w:t>
      </w:r>
      <w:r w:rsidR="00A671DF">
        <w:rPr>
          <w:rFonts w:cs="Arial"/>
          <w:color w:val="auto"/>
          <w:sz w:val="16"/>
          <w:szCs w:val="16"/>
        </w:rPr>
        <w:t>s</w:t>
      </w:r>
      <w:r w:rsidR="00A671DF" w:rsidRPr="00CB4F47">
        <w:rPr>
          <w:rFonts w:cs="Arial"/>
          <w:color w:val="auto"/>
          <w:sz w:val="16"/>
          <w:szCs w:val="16"/>
        </w:rPr>
        <w:t>ystem</w:t>
      </w:r>
      <w:r w:rsidRPr="00CB4F47">
        <w:rPr>
          <w:rFonts w:cs="Arial"/>
          <w:color w:val="auto"/>
          <w:sz w:val="16"/>
          <w:szCs w:val="16"/>
        </w:rPr>
        <w:t xml:space="preserve">: Putting a </w:t>
      </w:r>
      <w:r w:rsidR="00FC5ECC">
        <w:rPr>
          <w:rFonts w:cs="Arial"/>
          <w:color w:val="auto"/>
          <w:sz w:val="16"/>
          <w:szCs w:val="16"/>
        </w:rPr>
        <w:t>s</w:t>
      </w:r>
      <w:r w:rsidR="00FC5ECC" w:rsidRPr="00CB4F47">
        <w:rPr>
          <w:rFonts w:cs="Arial"/>
          <w:color w:val="auto"/>
          <w:sz w:val="16"/>
          <w:szCs w:val="16"/>
        </w:rPr>
        <w:t xml:space="preserve">potlight </w:t>
      </w:r>
      <w:r w:rsidRPr="00CB4F47">
        <w:rPr>
          <w:rFonts w:cs="Arial"/>
          <w:color w:val="auto"/>
          <w:sz w:val="16"/>
          <w:szCs w:val="16"/>
        </w:rPr>
        <w:t xml:space="preserve">on the </w:t>
      </w:r>
      <w:r w:rsidR="00FC5ECC">
        <w:rPr>
          <w:rFonts w:cs="Arial"/>
          <w:color w:val="auto"/>
          <w:sz w:val="16"/>
          <w:szCs w:val="16"/>
        </w:rPr>
        <w:t>s</w:t>
      </w:r>
      <w:r w:rsidR="00FC5ECC" w:rsidRPr="00CB4F47">
        <w:rPr>
          <w:rFonts w:cs="Arial"/>
          <w:color w:val="auto"/>
          <w:sz w:val="16"/>
          <w:szCs w:val="16"/>
        </w:rPr>
        <w:t xml:space="preserve">cale </w:t>
      </w:r>
      <w:r w:rsidRPr="00CB4F47">
        <w:rPr>
          <w:rFonts w:cs="Arial"/>
          <w:color w:val="auto"/>
          <w:sz w:val="16"/>
          <w:szCs w:val="16"/>
        </w:rPr>
        <w:t xml:space="preserve">of State </w:t>
      </w:r>
      <w:r w:rsidR="00FC5ECC">
        <w:rPr>
          <w:rFonts w:cs="Arial"/>
          <w:color w:val="auto"/>
          <w:sz w:val="16"/>
          <w:szCs w:val="16"/>
        </w:rPr>
        <w:t>c</w:t>
      </w:r>
      <w:r w:rsidR="00FC5ECC" w:rsidRPr="00CB4F47">
        <w:rPr>
          <w:rFonts w:cs="Arial"/>
          <w:color w:val="auto"/>
          <w:sz w:val="16"/>
          <w:szCs w:val="16"/>
        </w:rPr>
        <w:t xml:space="preserve">ustody </w:t>
      </w:r>
      <w:r w:rsidRPr="00CB4F47">
        <w:rPr>
          <w:rFonts w:cs="Arial"/>
          <w:color w:val="auto"/>
          <w:sz w:val="16"/>
          <w:szCs w:val="16"/>
        </w:rPr>
        <w:t xml:space="preserve">of </w:t>
      </w:r>
      <w:r w:rsidR="00FC5ECC">
        <w:rPr>
          <w:rFonts w:cs="Arial"/>
          <w:color w:val="auto"/>
          <w:sz w:val="16"/>
          <w:szCs w:val="16"/>
        </w:rPr>
        <w:t>g</w:t>
      </w:r>
      <w:r w:rsidR="00FC5ECC" w:rsidRPr="00CB4F47">
        <w:rPr>
          <w:rFonts w:cs="Arial"/>
          <w:color w:val="auto"/>
          <w:sz w:val="16"/>
          <w:szCs w:val="16"/>
        </w:rPr>
        <w:t xml:space="preserve">enerations </w:t>
      </w:r>
      <w:r w:rsidRPr="00CB4F47">
        <w:rPr>
          <w:rFonts w:cs="Arial"/>
          <w:color w:val="auto"/>
          <w:sz w:val="16"/>
          <w:szCs w:val="16"/>
        </w:rPr>
        <w:t>of Māori (</w:t>
      </w:r>
      <w:r w:rsidR="00DD39E8">
        <w:rPr>
          <w:rFonts w:cs="Arial"/>
          <w:color w:val="auto"/>
          <w:sz w:val="16"/>
          <w:szCs w:val="16"/>
        </w:rPr>
        <w:t xml:space="preserve">Victoria University of </w:t>
      </w:r>
      <w:r w:rsidR="00052FBE">
        <w:rPr>
          <w:rFonts w:cs="Arial"/>
          <w:color w:val="auto"/>
          <w:sz w:val="16"/>
          <w:szCs w:val="16"/>
        </w:rPr>
        <w:t xml:space="preserve">Wellington – </w:t>
      </w:r>
      <w:r w:rsidR="00052FBE" w:rsidRPr="00147DBB">
        <w:rPr>
          <w:rFonts w:cs="Arial"/>
          <w:color w:val="auto"/>
          <w:sz w:val="16"/>
          <w:szCs w:val="16"/>
        </w:rPr>
        <w:t>Te Herenga Waka</w:t>
      </w:r>
      <w:r w:rsidR="00A671DF" w:rsidRPr="00CB4F47">
        <w:rPr>
          <w:rFonts w:cs="Arial"/>
          <w:color w:val="auto"/>
          <w:sz w:val="16"/>
          <w:szCs w:val="16"/>
        </w:rPr>
        <w:t>,</w:t>
      </w:r>
      <w:r w:rsidR="003D20E8">
        <w:rPr>
          <w:rFonts w:cs="Arial"/>
          <w:color w:val="auto"/>
          <w:sz w:val="16"/>
          <w:szCs w:val="16"/>
        </w:rPr>
        <w:t xml:space="preserve"> </w:t>
      </w:r>
      <w:r w:rsidR="00E53C77">
        <w:rPr>
          <w:rFonts w:cs="Arial"/>
          <w:color w:val="auto"/>
          <w:sz w:val="16"/>
          <w:szCs w:val="16"/>
        </w:rPr>
        <w:t>2020,</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5</w:t>
      </w:r>
      <w:r w:rsidR="003D20E8">
        <w:rPr>
          <w:rFonts w:cs="Arial"/>
          <w:color w:val="auto"/>
          <w:sz w:val="16"/>
          <w:szCs w:val="16"/>
        </w:rPr>
        <w:t>)</w:t>
      </w:r>
      <w:r w:rsidRPr="00CB4F47">
        <w:rPr>
          <w:rFonts w:cs="Arial"/>
          <w:color w:val="auto"/>
          <w:sz w:val="16"/>
          <w:szCs w:val="16"/>
        </w:rPr>
        <w:t xml:space="preserve">. </w:t>
      </w:r>
    </w:p>
  </w:footnote>
  <w:footnote w:id="433">
    <w:p w14:paraId="540A8CD8" w14:textId="693C6F65"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Cook, L, A </w:t>
      </w:r>
      <w:r w:rsidR="00B06DFC">
        <w:rPr>
          <w:rFonts w:cs="Arial"/>
          <w:color w:val="auto"/>
          <w:sz w:val="16"/>
          <w:szCs w:val="16"/>
        </w:rPr>
        <w:t>s</w:t>
      </w:r>
      <w:r w:rsidR="00B06DFC" w:rsidRPr="00CB4F47">
        <w:rPr>
          <w:rFonts w:cs="Arial"/>
          <w:color w:val="auto"/>
          <w:sz w:val="16"/>
          <w:szCs w:val="16"/>
        </w:rPr>
        <w:t xml:space="preserve">tatistical </w:t>
      </w:r>
      <w:r w:rsidR="00B06DFC">
        <w:rPr>
          <w:rFonts w:cs="Arial"/>
          <w:color w:val="auto"/>
          <w:sz w:val="16"/>
          <w:szCs w:val="16"/>
        </w:rPr>
        <w:t>w</w:t>
      </w:r>
      <w:r w:rsidR="00B06DFC" w:rsidRPr="00CB4F47">
        <w:rPr>
          <w:rFonts w:cs="Arial"/>
          <w:color w:val="auto"/>
          <w:sz w:val="16"/>
          <w:szCs w:val="16"/>
        </w:rPr>
        <w:t xml:space="preserve">indow </w:t>
      </w:r>
      <w:r w:rsidRPr="00CB4F47">
        <w:rPr>
          <w:rFonts w:cs="Arial"/>
          <w:color w:val="auto"/>
          <w:sz w:val="16"/>
          <w:szCs w:val="16"/>
        </w:rPr>
        <w:t xml:space="preserve">for the </w:t>
      </w:r>
      <w:r w:rsidR="00B06DFC">
        <w:rPr>
          <w:rFonts w:cs="Arial"/>
          <w:color w:val="auto"/>
          <w:sz w:val="16"/>
          <w:szCs w:val="16"/>
        </w:rPr>
        <w:t>j</w:t>
      </w:r>
      <w:r w:rsidR="00B06DFC" w:rsidRPr="00CB4F47">
        <w:rPr>
          <w:rFonts w:cs="Arial"/>
          <w:color w:val="auto"/>
          <w:sz w:val="16"/>
          <w:szCs w:val="16"/>
        </w:rPr>
        <w:t xml:space="preserve">ustice </w:t>
      </w:r>
      <w:r w:rsidR="00A671DF">
        <w:rPr>
          <w:rFonts w:cs="Arial"/>
          <w:color w:val="auto"/>
          <w:sz w:val="16"/>
          <w:szCs w:val="16"/>
        </w:rPr>
        <w:t>s</w:t>
      </w:r>
      <w:r w:rsidR="00A671DF" w:rsidRPr="00CB4F47">
        <w:rPr>
          <w:rFonts w:cs="Arial"/>
          <w:color w:val="auto"/>
          <w:sz w:val="16"/>
          <w:szCs w:val="16"/>
        </w:rPr>
        <w:t>ystem</w:t>
      </w:r>
      <w:r w:rsidRPr="00CB4F47">
        <w:rPr>
          <w:rFonts w:cs="Arial"/>
          <w:color w:val="auto"/>
          <w:sz w:val="16"/>
          <w:szCs w:val="16"/>
        </w:rPr>
        <w:t xml:space="preserve">: Putting a </w:t>
      </w:r>
      <w:r w:rsidR="00B06DFC">
        <w:rPr>
          <w:rFonts w:cs="Arial"/>
          <w:color w:val="auto"/>
          <w:sz w:val="16"/>
          <w:szCs w:val="16"/>
        </w:rPr>
        <w:t>s</w:t>
      </w:r>
      <w:r w:rsidR="00B06DFC" w:rsidRPr="00CB4F47">
        <w:rPr>
          <w:rFonts w:cs="Arial"/>
          <w:color w:val="auto"/>
          <w:sz w:val="16"/>
          <w:szCs w:val="16"/>
        </w:rPr>
        <w:t xml:space="preserve">potlight </w:t>
      </w:r>
      <w:r w:rsidRPr="00CB4F47">
        <w:rPr>
          <w:rFonts w:cs="Arial"/>
          <w:color w:val="auto"/>
          <w:sz w:val="16"/>
          <w:szCs w:val="16"/>
        </w:rPr>
        <w:t xml:space="preserve">on the </w:t>
      </w:r>
      <w:r w:rsidR="00B06DFC">
        <w:rPr>
          <w:rFonts w:cs="Arial"/>
          <w:color w:val="auto"/>
          <w:sz w:val="16"/>
          <w:szCs w:val="16"/>
        </w:rPr>
        <w:t>s</w:t>
      </w:r>
      <w:r w:rsidR="00B06DFC" w:rsidRPr="00CB4F47">
        <w:rPr>
          <w:rFonts w:cs="Arial"/>
          <w:color w:val="auto"/>
          <w:sz w:val="16"/>
          <w:szCs w:val="16"/>
        </w:rPr>
        <w:t xml:space="preserve">cale </w:t>
      </w:r>
      <w:r w:rsidRPr="00CB4F47">
        <w:rPr>
          <w:rFonts w:cs="Arial"/>
          <w:color w:val="auto"/>
          <w:sz w:val="16"/>
          <w:szCs w:val="16"/>
        </w:rPr>
        <w:t xml:space="preserve">of State </w:t>
      </w:r>
      <w:r w:rsidR="00B06DFC">
        <w:rPr>
          <w:rFonts w:cs="Arial"/>
          <w:color w:val="auto"/>
          <w:sz w:val="16"/>
          <w:szCs w:val="16"/>
        </w:rPr>
        <w:t>c</w:t>
      </w:r>
      <w:r w:rsidR="00B06DFC" w:rsidRPr="00CB4F47">
        <w:rPr>
          <w:rFonts w:cs="Arial"/>
          <w:color w:val="auto"/>
          <w:sz w:val="16"/>
          <w:szCs w:val="16"/>
        </w:rPr>
        <w:t xml:space="preserve">ustody </w:t>
      </w:r>
      <w:r w:rsidRPr="00CB4F47">
        <w:rPr>
          <w:rFonts w:cs="Arial"/>
          <w:color w:val="auto"/>
          <w:sz w:val="16"/>
          <w:szCs w:val="16"/>
        </w:rPr>
        <w:t xml:space="preserve">of </w:t>
      </w:r>
      <w:r w:rsidR="00B06DFC">
        <w:rPr>
          <w:rFonts w:cs="Arial"/>
          <w:color w:val="auto"/>
          <w:sz w:val="16"/>
          <w:szCs w:val="16"/>
        </w:rPr>
        <w:t>g</w:t>
      </w:r>
      <w:r w:rsidR="00B06DFC" w:rsidRPr="00CB4F47">
        <w:rPr>
          <w:rFonts w:cs="Arial"/>
          <w:color w:val="auto"/>
          <w:sz w:val="16"/>
          <w:szCs w:val="16"/>
        </w:rPr>
        <w:t xml:space="preserve">enerations </w:t>
      </w:r>
      <w:r w:rsidRPr="00CB4F47">
        <w:rPr>
          <w:rFonts w:cs="Arial"/>
          <w:color w:val="auto"/>
          <w:sz w:val="16"/>
          <w:szCs w:val="16"/>
        </w:rPr>
        <w:t>of Māori (</w:t>
      </w:r>
      <w:r w:rsidR="00DD39E8">
        <w:rPr>
          <w:rFonts w:cs="Arial"/>
          <w:color w:val="auto"/>
          <w:sz w:val="16"/>
          <w:szCs w:val="16"/>
        </w:rPr>
        <w:t xml:space="preserve">Victoria University of </w:t>
      </w:r>
      <w:r w:rsidR="00052FBE">
        <w:rPr>
          <w:rFonts w:cs="Arial"/>
          <w:color w:val="auto"/>
          <w:sz w:val="16"/>
          <w:szCs w:val="16"/>
        </w:rPr>
        <w:t xml:space="preserve">Wellington – </w:t>
      </w:r>
      <w:r w:rsidR="00052FBE" w:rsidRPr="00147DBB">
        <w:rPr>
          <w:rFonts w:cs="Arial"/>
          <w:color w:val="auto"/>
          <w:sz w:val="16"/>
          <w:szCs w:val="16"/>
        </w:rPr>
        <w:t>Te Herenga Waka</w:t>
      </w:r>
      <w:r w:rsidR="00A671DF" w:rsidRPr="00CB4F47">
        <w:rPr>
          <w:rFonts w:cs="Arial"/>
          <w:color w:val="auto"/>
          <w:sz w:val="16"/>
          <w:szCs w:val="16"/>
        </w:rPr>
        <w:t>,</w:t>
      </w:r>
      <w:r w:rsidR="003D20E8">
        <w:rPr>
          <w:rFonts w:cs="Arial"/>
          <w:color w:val="auto"/>
          <w:sz w:val="16"/>
          <w:szCs w:val="16"/>
        </w:rPr>
        <w:t xml:space="preserve"> </w:t>
      </w:r>
      <w:r w:rsidR="00E53C77">
        <w:rPr>
          <w:rFonts w:cs="Arial"/>
          <w:color w:val="auto"/>
          <w:sz w:val="16"/>
          <w:szCs w:val="16"/>
        </w:rPr>
        <w:t>2020,</w:t>
      </w:r>
      <w:r w:rsidRPr="00CB4F47">
        <w:rPr>
          <w:rFonts w:cs="Arial"/>
          <w:color w:val="auto"/>
          <w:sz w:val="16"/>
          <w:szCs w:val="16"/>
        </w:rPr>
        <w:t xml:space="preserve"> </w:t>
      </w:r>
      <w:r w:rsidR="00C32E74" w:rsidRPr="00CB4F47">
        <w:rPr>
          <w:rFonts w:cs="Arial"/>
          <w:color w:val="auto"/>
          <w:sz w:val="16"/>
          <w:szCs w:val="16"/>
        </w:rPr>
        <w:t>page</w:t>
      </w:r>
      <w:r w:rsidRPr="00CB4F47">
        <w:rPr>
          <w:rFonts w:cs="Arial"/>
          <w:color w:val="auto"/>
          <w:sz w:val="16"/>
          <w:szCs w:val="16"/>
        </w:rPr>
        <w:t xml:space="preserve"> 6</w:t>
      </w:r>
      <w:r w:rsidR="003D20E8">
        <w:rPr>
          <w:rFonts w:cs="Arial"/>
          <w:color w:val="auto"/>
          <w:sz w:val="16"/>
          <w:szCs w:val="16"/>
        </w:rPr>
        <w:t>)</w:t>
      </w:r>
      <w:r w:rsidRPr="00CB4F47">
        <w:rPr>
          <w:rFonts w:cs="Arial"/>
          <w:color w:val="auto"/>
          <w:sz w:val="16"/>
          <w:szCs w:val="16"/>
        </w:rPr>
        <w:t>.</w:t>
      </w:r>
    </w:p>
  </w:footnote>
  <w:footnote w:id="434">
    <w:p w14:paraId="33CA2BB0" w14:textId="6977AE4A"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005279CA">
        <w:rPr>
          <w:rFonts w:cs="Arial"/>
          <w:color w:val="auto"/>
          <w:sz w:val="16"/>
          <w:szCs w:val="16"/>
        </w:rPr>
        <w:t xml:space="preserve">Stats NZ, </w:t>
      </w:r>
      <w:r w:rsidRPr="00CB4F47">
        <w:rPr>
          <w:rFonts w:cs="Arial"/>
          <w:color w:val="auto"/>
          <w:sz w:val="16"/>
          <w:szCs w:val="16"/>
        </w:rPr>
        <w:t>New Zealand Official Yearbook 1998, Table 6.28 Comparison of age structure of major ethnic groups, 1996 census</w:t>
      </w:r>
      <w:r w:rsidR="00A671DF" w:rsidRPr="00CB4F47">
        <w:rPr>
          <w:rFonts w:cs="Arial"/>
          <w:color w:val="auto"/>
          <w:sz w:val="16"/>
          <w:szCs w:val="16"/>
        </w:rPr>
        <w:t xml:space="preserve"> (</w:t>
      </w:r>
      <w:r w:rsidRPr="00CB4F47">
        <w:rPr>
          <w:rFonts w:cs="Arial"/>
          <w:color w:val="auto"/>
          <w:sz w:val="16"/>
          <w:szCs w:val="16"/>
        </w:rPr>
        <w:t xml:space="preserve">1998). </w:t>
      </w:r>
    </w:p>
  </w:footnote>
  <w:footnote w:id="435">
    <w:p w14:paraId="3096A084" w14:textId="109AFBFD"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Census and Statistics Office, Report on the results of a census of the population of the Dominion of New Zealand taken for the night of the 15th October, 1916, Section VIII – Infirmity, Chapter 45.</w:t>
      </w:r>
    </w:p>
  </w:footnote>
  <w:footnote w:id="436">
    <w:p w14:paraId="6BF4D508" w14:textId="0767DE7E"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Census and Statistics Office, Report on the results of a census of the population of the Dominion of New Zealand taken for the night of the 15th October, 1916, Section VIII – Infirmity, Chapter 45.</w:t>
      </w:r>
    </w:p>
  </w:footnote>
  <w:footnote w:id="437">
    <w:p w14:paraId="75337063" w14:textId="523CD823"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Census and Statistics Office, Report on the results of a census of the population of the Dominion of New Zealand taken for the night of the 15th October, 1916, Section VIII – Infirmity, Chapter 45.</w:t>
      </w:r>
    </w:p>
  </w:footnote>
  <w:footnote w:id="438">
    <w:p w14:paraId="4BFF4D3C" w14:textId="40DB2DA3" w:rsidR="000E429D" w:rsidRPr="00FC5F93"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Census and Statistics Office, Report on the results of a census of the population of the Dominion of New Zealand taken for the night of the 15th October, 1916, Section VIII – Infirmity, Chapter 45.</w:t>
      </w:r>
    </w:p>
  </w:footnote>
  <w:footnote w:id="439">
    <w:p w14:paraId="2BC563A9" w14:textId="4ADAD95B"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00A671DF">
        <w:rPr>
          <w:rFonts w:cs="Arial"/>
          <w:sz w:val="16"/>
          <w:szCs w:val="16"/>
        </w:rPr>
        <w:t>Stats NZ</w:t>
      </w:r>
      <w:r w:rsidR="00A671DF" w:rsidRPr="00CB4F47">
        <w:rPr>
          <w:rFonts w:cs="Arial"/>
          <w:sz w:val="16"/>
          <w:szCs w:val="16"/>
        </w:rPr>
        <w:t>, 1996</w:t>
      </w:r>
      <w:r w:rsidRPr="00CB4F47">
        <w:rPr>
          <w:rFonts w:cs="Arial"/>
          <w:sz w:val="16"/>
          <w:szCs w:val="16"/>
        </w:rPr>
        <w:t xml:space="preserve"> Census classification counts (1996 Census of Population and Dwellings) </w:t>
      </w:r>
      <w:r w:rsidR="009A1E98">
        <w:rPr>
          <w:rFonts w:cs="Arial"/>
          <w:sz w:val="16"/>
          <w:szCs w:val="16"/>
        </w:rPr>
        <w:t>–</w:t>
      </w:r>
      <w:r w:rsidR="009A1E98" w:rsidRPr="00CB4F47">
        <w:rPr>
          <w:rFonts w:cs="Arial"/>
          <w:sz w:val="16"/>
          <w:szCs w:val="16"/>
        </w:rPr>
        <w:t xml:space="preserve"> </w:t>
      </w:r>
      <w:r w:rsidRPr="00CB4F47">
        <w:rPr>
          <w:rFonts w:cs="Arial"/>
          <w:sz w:val="16"/>
          <w:szCs w:val="16"/>
        </w:rPr>
        <w:t>People</w:t>
      </w:r>
      <w:r w:rsidR="00A671DF" w:rsidRPr="00CB4F47">
        <w:rPr>
          <w:rFonts w:cs="Arial"/>
          <w:sz w:val="16"/>
          <w:szCs w:val="16"/>
        </w:rPr>
        <w:t xml:space="preserve"> (1996,</w:t>
      </w:r>
      <w:r w:rsidRPr="00CB4F47">
        <w:rPr>
          <w:rFonts w:cs="Arial"/>
          <w:sz w:val="16"/>
          <w:szCs w:val="16"/>
        </w:rPr>
        <w:t xml:space="preserve"> </w:t>
      </w:r>
      <w:r w:rsidR="00C32E74" w:rsidRPr="00CB4F47">
        <w:rPr>
          <w:rFonts w:cs="Arial"/>
          <w:color w:val="auto"/>
          <w:sz w:val="16"/>
          <w:szCs w:val="16"/>
        </w:rPr>
        <w:t>page</w:t>
      </w:r>
      <w:r w:rsidRPr="00CB4F47">
        <w:rPr>
          <w:rFonts w:cs="Arial"/>
          <w:sz w:val="16"/>
          <w:szCs w:val="16"/>
        </w:rPr>
        <w:t xml:space="preserve"> 3</w:t>
      </w:r>
      <w:r w:rsidR="006034DC">
        <w:rPr>
          <w:rFonts w:cs="Arial"/>
          <w:sz w:val="16"/>
          <w:szCs w:val="16"/>
        </w:rPr>
        <w:t>)</w:t>
      </w:r>
      <w:r w:rsidRPr="00CB4F47">
        <w:rPr>
          <w:rFonts w:cs="Arial"/>
          <w:sz w:val="16"/>
          <w:szCs w:val="16"/>
        </w:rPr>
        <w:t xml:space="preserve">. </w:t>
      </w:r>
    </w:p>
  </w:footnote>
  <w:footnote w:id="440">
    <w:p w14:paraId="6B145264" w14:textId="44127867" w:rsidR="000E429D" w:rsidRPr="00CB4F47" w:rsidRDefault="000E429D" w:rsidP="00C57877">
      <w:pPr>
        <w:pStyle w:val="FootnoteText"/>
        <w:spacing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00A671DF">
        <w:rPr>
          <w:rFonts w:cs="Arial"/>
          <w:sz w:val="16"/>
          <w:szCs w:val="16"/>
        </w:rPr>
        <w:t>Stats NZ</w:t>
      </w:r>
      <w:r w:rsidR="00A671DF" w:rsidRPr="00CB4F47">
        <w:rPr>
          <w:rFonts w:cs="Arial"/>
          <w:sz w:val="16"/>
          <w:szCs w:val="16"/>
        </w:rPr>
        <w:t>, 1996</w:t>
      </w:r>
      <w:r w:rsidRPr="00CB4F47">
        <w:rPr>
          <w:rFonts w:cs="Arial"/>
          <w:sz w:val="16"/>
          <w:szCs w:val="16"/>
        </w:rPr>
        <w:t xml:space="preserve"> Census classification counts (1996 Census of Population and Dwellings) </w:t>
      </w:r>
      <w:r w:rsidR="009A1E98">
        <w:rPr>
          <w:rFonts w:cs="Arial"/>
          <w:sz w:val="16"/>
          <w:szCs w:val="16"/>
        </w:rPr>
        <w:t>–</w:t>
      </w:r>
      <w:r w:rsidR="009A1E98" w:rsidRPr="00CB4F47">
        <w:rPr>
          <w:rFonts w:cs="Arial"/>
          <w:sz w:val="16"/>
          <w:szCs w:val="16"/>
        </w:rPr>
        <w:t xml:space="preserve"> </w:t>
      </w:r>
      <w:r w:rsidRPr="00CB4F47">
        <w:rPr>
          <w:rFonts w:cs="Arial"/>
          <w:sz w:val="16"/>
          <w:szCs w:val="16"/>
        </w:rPr>
        <w:t>People</w:t>
      </w:r>
      <w:r w:rsidR="00A671DF" w:rsidRPr="00CB4F47">
        <w:rPr>
          <w:rFonts w:cs="Arial"/>
          <w:sz w:val="16"/>
          <w:szCs w:val="16"/>
        </w:rPr>
        <w:t xml:space="preserve"> (1996,</w:t>
      </w:r>
      <w:r w:rsidRPr="00CB4F47">
        <w:rPr>
          <w:rFonts w:cs="Arial"/>
          <w:sz w:val="16"/>
          <w:szCs w:val="16"/>
        </w:rPr>
        <w:t xml:space="preserve"> </w:t>
      </w:r>
      <w:r w:rsidR="00C32E74" w:rsidRPr="00CB4F47">
        <w:rPr>
          <w:rFonts w:cs="Arial"/>
          <w:color w:val="auto"/>
          <w:sz w:val="16"/>
          <w:szCs w:val="16"/>
        </w:rPr>
        <w:t>page</w:t>
      </w:r>
      <w:r w:rsidRPr="00CB4F47">
        <w:rPr>
          <w:rFonts w:cs="Arial"/>
          <w:sz w:val="16"/>
          <w:szCs w:val="16"/>
        </w:rPr>
        <w:t xml:space="preserve"> 3</w:t>
      </w:r>
      <w:r w:rsidR="006034DC">
        <w:rPr>
          <w:rFonts w:cs="Arial"/>
          <w:sz w:val="16"/>
          <w:szCs w:val="16"/>
        </w:rPr>
        <w:t>)</w:t>
      </w:r>
      <w:r w:rsidRPr="00CB4F47">
        <w:rPr>
          <w:rFonts w:cs="Arial"/>
          <w:sz w:val="16"/>
          <w:szCs w:val="16"/>
        </w:rPr>
        <w:t>.</w:t>
      </w:r>
    </w:p>
  </w:footnote>
  <w:footnote w:id="441">
    <w:p w14:paraId="2CD93275" w14:textId="7203A08F"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009A1E98">
        <w:rPr>
          <w:rFonts w:cs="Arial"/>
          <w:sz w:val="16"/>
          <w:szCs w:val="16"/>
        </w:rPr>
        <w:t>Stats NZ</w:t>
      </w:r>
      <w:r w:rsidR="009A1E98" w:rsidRPr="00CB4F47">
        <w:rPr>
          <w:rFonts w:cs="Arial"/>
          <w:sz w:val="16"/>
          <w:szCs w:val="16"/>
        </w:rPr>
        <w:t xml:space="preserve">, </w:t>
      </w:r>
      <w:r w:rsidR="00500EE9">
        <w:rPr>
          <w:rFonts w:cs="Arial"/>
          <w:color w:val="auto"/>
          <w:sz w:val="16"/>
          <w:szCs w:val="16"/>
        </w:rPr>
        <w:t xml:space="preserve">1996 census of population and dwellings: ethnic groups (Stats </w:t>
      </w:r>
      <w:r w:rsidR="00440452">
        <w:rPr>
          <w:rFonts w:cs="Arial"/>
          <w:color w:val="auto"/>
          <w:sz w:val="16"/>
          <w:szCs w:val="16"/>
        </w:rPr>
        <w:t>New Zealand page 10)</w:t>
      </w:r>
      <w:r w:rsidRPr="00CB4F47">
        <w:rPr>
          <w:rFonts w:cs="Arial"/>
          <w:color w:val="auto"/>
          <w:sz w:val="16"/>
          <w:szCs w:val="16"/>
        </w:rPr>
        <w:t>.</w:t>
      </w:r>
    </w:p>
  </w:footnote>
  <w:footnote w:id="442">
    <w:p w14:paraId="237177BD" w14:textId="4E8A5CDE" w:rsidR="000E429D" w:rsidRPr="00CB4F47" w:rsidRDefault="000E429D" w:rsidP="00C57877">
      <w:pPr>
        <w:pStyle w:val="FootnoteText"/>
        <w:spacing w:before="0" w:after="0" w:line="20" w:lineRule="atLeast"/>
        <w:jc w:val="lef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007C24DC">
        <w:rPr>
          <w:rFonts w:cs="Arial"/>
          <w:sz w:val="16"/>
          <w:szCs w:val="16"/>
        </w:rPr>
        <w:t>Stats NZ</w:t>
      </w:r>
      <w:r w:rsidR="007C24DC" w:rsidRPr="00CB4F47">
        <w:rPr>
          <w:rFonts w:cs="Arial"/>
          <w:sz w:val="16"/>
          <w:szCs w:val="16"/>
        </w:rPr>
        <w:t xml:space="preserve">, </w:t>
      </w:r>
      <w:r w:rsidRPr="00CB4F47">
        <w:rPr>
          <w:rFonts w:cs="Arial"/>
          <w:color w:val="auto"/>
          <w:sz w:val="16"/>
          <w:szCs w:val="16"/>
        </w:rPr>
        <w:t>New Zealand Official Yearbook 1983, Pacific Island Polynesian population</w:t>
      </w:r>
      <w:r w:rsidR="00A671DF" w:rsidRPr="00CB4F47">
        <w:rPr>
          <w:rFonts w:cs="Arial"/>
          <w:color w:val="auto"/>
          <w:sz w:val="16"/>
          <w:szCs w:val="16"/>
        </w:rPr>
        <w:t xml:space="preserve"> (</w:t>
      </w:r>
      <w:r w:rsidRPr="00CB4F47">
        <w:rPr>
          <w:rFonts w:cs="Arial"/>
          <w:color w:val="auto"/>
          <w:sz w:val="16"/>
          <w:szCs w:val="16"/>
        </w:rPr>
        <w:t xml:space="preserve">1983); </w:t>
      </w:r>
      <w:r w:rsidR="006156E0">
        <w:rPr>
          <w:rFonts w:cs="Arial"/>
          <w:sz w:val="16"/>
          <w:szCs w:val="16"/>
        </w:rPr>
        <w:t>Stats NZ</w:t>
      </w:r>
      <w:r w:rsidR="006156E0" w:rsidRPr="00CB4F47">
        <w:rPr>
          <w:rFonts w:cs="Arial"/>
          <w:sz w:val="16"/>
          <w:szCs w:val="16"/>
        </w:rPr>
        <w:t xml:space="preserve">, </w:t>
      </w:r>
      <w:r w:rsidRPr="00CB4F47">
        <w:rPr>
          <w:rFonts w:cs="Arial"/>
          <w:color w:val="auto"/>
          <w:sz w:val="16"/>
          <w:szCs w:val="16"/>
        </w:rPr>
        <w:t>New Zealand Official Yearbook 1998, Table 6.28 Comparison of age structure of major ethnic groups, 1996 census</w:t>
      </w:r>
      <w:r w:rsidR="00A671DF" w:rsidRPr="00CB4F47">
        <w:rPr>
          <w:rFonts w:cs="Arial"/>
          <w:color w:val="auto"/>
          <w:sz w:val="16"/>
          <w:szCs w:val="16"/>
        </w:rPr>
        <w:t xml:space="preserve"> (</w:t>
      </w:r>
      <w:r w:rsidRPr="00CB4F47">
        <w:rPr>
          <w:rFonts w:cs="Arial"/>
          <w:color w:val="auto"/>
          <w:sz w:val="16"/>
          <w:szCs w:val="16"/>
        </w:rPr>
        <w:t xml:space="preserve">1998). </w:t>
      </w:r>
    </w:p>
  </w:footnote>
  <w:footnote w:id="443">
    <w:p w14:paraId="1BE9CE2B" w14:textId="60F71C74"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007C24DC">
        <w:rPr>
          <w:rFonts w:cs="Arial"/>
          <w:sz w:val="16"/>
          <w:szCs w:val="16"/>
        </w:rPr>
        <w:t>Stats NZ</w:t>
      </w:r>
      <w:r w:rsidR="007C24DC" w:rsidRPr="00CB4F47">
        <w:rPr>
          <w:rFonts w:cs="Arial"/>
          <w:sz w:val="16"/>
          <w:szCs w:val="16"/>
        </w:rPr>
        <w:t xml:space="preserve">, </w:t>
      </w:r>
      <w:r w:rsidRPr="00CB4F47">
        <w:rPr>
          <w:rFonts w:cs="Arial"/>
          <w:sz w:val="16"/>
          <w:szCs w:val="16"/>
        </w:rPr>
        <w:t>New Zealand Yearbook 1953, Religious professions</w:t>
      </w:r>
      <w:r w:rsidR="00A671DF" w:rsidRPr="00CB4F47">
        <w:rPr>
          <w:rFonts w:cs="Arial"/>
          <w:sz w:val="16"/>
          <w:szCs w:val="16"/>
        </w:rPr>
        <w:t xml:space="preserve"> (</w:t>
      </w:r>
      <w:r w:rsidRPr="00CB4F47">
        <w:rPr>
          <w:rFonts w:cs="Arial"/>
          <w:sz w:val="16"/>
          <w:szCs w:val="16"/>
        </w:rPr>
        <w:t xml:space="preserve">1953). </w:t>
      </w:r>
    </w:p>
  </w:footnote>
  <w:footnote w:id="444">
    <w:p w14:paraId="7396F5ED" w14:textId="6C8061BA"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007C24DC">
        <w:rPr>
          <w:rFonts w:cs="Arial"/>
          <w:sz w:val="16"/>
          <w:szCs w:val="16"/>
        </w:rPr>
        <w:t>Stats NZ</w:t>
      </w:r>
      <w:r w:rsidR="007C24DC" w:rsidRPr="00CB4F47">
        <w:rPr>
          <w:rFonts w:cs="Arial"/>
          <w:sz w:val="16"/>
          <w:szCs w:val="16"/>
        </w:rPr>
        <w:t xml:space="preserve">, </w:t>
      </w:r>
      <w:r w:rsidRPr="00CB4F47">
        <w:rPr>
          <w:rFonts w:cs="Arial"/>
          <w:sz w:val="16"/>
          <w:szCs w:val="16"/>
        </w:rPr>
        <w:t>New Zealand Yearbook 1998, Table 6.26. Religious affiliations</w:t>
      </w:r>
      <w:r w:rsidR="00A671DF" w:rsidRPr="00CB4F47">
        <w:rPr>
          <w:rFonts w:cs="Arial"/>
          <w:sz w:val="16"/>
          <w:szCs w:val="16"/>
        </w:rPr>
        <w:t xml:space="preserve"> (</w:t>
      </w:r>
      <w:r w:rsidRPr="00CB4F47">
        <w:rPr>
          <w:rFonts w:cs="Arial"/>
          <w:sz w:val="16"/>
          <w:szCs w:val="16"/>
        </w:rPr>
        <w:t>1998)</w:t>
      </w:r>
      <w:r w:rsidRPr="00CB4F47">
        <w:rPr>
          <w:rFonts w:cs="Arial"/>
          <w:color w:val="auto"/>
          <w:sz w:val="16"/>
          <w:szCs w:val="16"/>
        </w:rPr>
        <w:t>.</w:t>
      </w:r>
    </w:p>
  </w:footnote>
  <w:footnote w:id="445">
    <w:p w14:paraId="016568AE" w14:textId="7879C60E" w:rsidR="000E429D" w:rsidRPr="00CB4F47" w:rsidRDefault="000E429D" w:rsidP="00C57877">
      <w:pPr>
        <w:pStyle w:val="FootnoteText"/>
        <w:spacing w:before="0" w:after="0" w:line="20" w:lineRule="atLeast"/>
        <w:jc w:val="lef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005A14FC">
        <w:rPr>
          <w:rFonts w:cs="Arial"/>
          <w:sz w:val="16"/>
          <w:szCs w:val="16"/>
        </w:rPr>
        <w:t>Stenhouse, J</w:t>
      </w:r>
      <w:r w:rsidR="00572598">
        <w:rPr>
          <w:rFonts w:cs="Arial"/>
          <w:sz w:val="16"/>
          <w:szCs w:val="16"/>
        </w:rPr>
        <w:t>, Religion</w:t>
      </w:r>
      <w:r w:rsidR="00E54409">
        <w:rPr>
          <w:rFonts w:cs="Arial"/>
          <w:sz w:val="16"/>
          <w:szCs w:val="16"/>
        </w:rPr>
        <w:t xml:space="preserve"> and society</w:t>
      </w:r>
      <w:r w:rsidR="003E0A37">
        <w:rPr>
          <w:rFonts w:cs="Arial"/>
          <w:sz w:val="16"/>
          <w:szCs w:val="16"/>
        </w:rPr>
        <w:t>:</w:t>
      </w:r>
      <w:r w:rsidR="00E54409">
        <w:rPr>
          <w:rFonts w:cs="Arial"/>
          <w:sz w:val="16"/>
          <w:szCs w:val="16"/>
        </w:rPr>
        <w:t xml:space="preserve"> Towards secularism and religious diversity</w:t>
      </w:r>
      <w:r w:rsidR="008C0581">
        <w:rPr>
          <w:rFonts w:cs="Arial"/>
          <w:sz w:val="16"/>
          <w:szCs w:val="16"/>
        </w:rPr>
        <w:t>, 1970–21</w:t>
      </w:r>
      <w:r w:rsidR="008C0581" w:rsidRPr="00DD5764">
        <w:rPr>
          <w:rFonts w:cs="Arial"/>
          <w:sz w:val="16"/>
          <w:szCs w:val="16"/>
          <w:vertAlign w:val="superscript"/>
        </w:rPr>
        <w:t>st</w:t>
      </w:r>
      <w:r w:rsidR="008C0581">
        <w:rPr>
          <w:rFonts w:cs="Arial"/>
          <w:sz w:val="16"/>
          <w:szCs w:val="16"/>
        </w:rPr>
        <w:t xml:space="preserve"> century</w:t>
      </w:r>
      <w:r w:rsidR="00F01D74">
        <w:rPr>
          <w:rFonts w:cs="Arial"/>
          <w:sz w:val="16"/>
          <w:szCs w:val="16"/>
        </w:rPr>
        <w:t>,</w:t>
      </w:r>
      <w:r w:rsidR="008C0581">
        <w:rPr>
          <w:rFonts w:cs="Arial"/>
          <w:sz w:val="16"/>
          <w:szCs w:val="16"/>
        </w:rPr>
        <w:t xml:space="preserve"> </w:t>
      </w:r>
      <w:r w:rsidRPr="00CB4F47">
        <w:rPr>
          <w:rFonts w:cs="Arial"/>
          <w:sz w:val="16"/>
          <w:szCs w:val="16"/>
        </w:rPr>
        <w:t>Religious adherence, 1878–2013 (Te Ara</w:t>
      </w:r>
      <w:r w:rsidR="006156E0">
        <w:rPr>
          <w:rFonts w:cs="Arial"/>
          <w:sz w:val="16"/>
          <w:szCs w:val="16"/>
        </w:rPr>
        <w:t xml:space="preserve"> –</w:t>
      </w:r>
      <w:r w:rsidRPr="00CB4F47">
        <w:rPr>
          <w:rFonts w:cs="Arial"/>
          <w:sz w:val="16"/>
          <w:szCs w:val="16"/>
        </w:rPr>
        <w:t xml:space="preserve"> The </w:t>
      </w:r>
      <w:r w:rsidR="00A671DF" w:rsidRPr="00CB4F47">
        <w:rPr>
          <w:rFonts w:cs="Arial"/>
          <w:sz w:val="16"/>
          <w:szCs w:val="16"/>
        </w:rPr>
        <w:t>Encyclopedia</w:t>
      </w:r>
      <w:r w:rsidRPr="00CB4F47">
        <w:rPr>
          <w:rFonts w:cs="Arial"/>
          <w:sz w:val="16"/>
          <w:szCs w:val="16"/>
        </w:rPr>
        <w:t xml:space="preserve"> of New Zealand, 2018)</w:t>
      </w:r>
      <w:r w:rsidR="00F01D74">
        <w:rPr>
          <w:rFonts w:cs="Arial"/>
          <w:sz w:val="16"/>
          <w:szCs w:val="16"/>
        </w:rPr>
        <w:t xml:space="preserve">, </w:t>
      </w:r>
      <w:hyperlink r:id="rId101" w:history="1">
        <w:r w:rsidR="00381A77" w:rsidRPr="003838EB">
          <w:rPr>
            <w:rStyle w:val="Hyperlink"/>
            <w:rFonts w:cs="Arial"/>
            <w:sz w:val="16"/>
            <w:szCs w:val="16"/>
          </w:rPr>
          <w:t>https://teara.govt.nz/en/interactive/28422/religious-adherence-1878-2013</w:t>
        </w:r>
      </w:hyperlink>
      <w:r w:rsidR="00A671DF">
        <w:rPr>
          <w:rFonts w:cs="Arial"/>
          <w:sz w:val="16"/>
          <w:szCs w:val="16"/>
        </w:rPr>
        <w:t>.</w:t>
      </w:r>
    </w:p>
  </w:footnote>
  <w:footnote w:id="446">
    <w:p w14:paraId="2A820C92" w14:textId="6AA6E9E2" w:rsidR="00F4713A" w:rsidRPr="00536E67" w:rsidRDefault="00F4713A" w:rsidP="00F4713A">
      <w:pPr>
        <w:pStyle w:val="paragraph"/>
        <w:spacing w:before="0" w:beforeAutospacing="0" w:after="0" w:afterAutospacing="0"/>
        <w:textAlignment w:val="baseline"/>
        <w:rPr>
          <w:rFonts w:ascii="Segoe UI" w:hAnsi="Segoe UI" w:cs="Segoe UI"/>
          <w:sz w:val="16"/>
          <w:szCs w:val="16"/>
        </w:rPr>
      </w:pPr>
      <w:r w:rsidRPr="00536E67">
        <w:rPr>
          <w:rStyle w:val="StyleFootnoteReferenceFagoFunotenzeichenFagoFunotenzeichen"/>
          <w:sz w:val="16"/>
          <w:szCs w:val="16"/>
        </w:rPr>
        <w:footnoteRef/>
      </w:r>
      <w:r w:rsidRPr="00536E67">
        <w:rPr>
          <w:sz w:val="16"/>
          <w:szCs w:val="16"/>
        </w:rPr>
        <w:t xml:space="preserve"> </w:t>
      </w:r>
      <w:r w:rsidRPr="00536E67">
        <w:rPr>
          <w:rStyle w:val="normaltextrun"/>
          <w:rFonts w:ascii="Arial" w:hAnsi="Arial" w:cs="Arial"/>
          <w:sz w:val="16"/>
          <w:szCs w:val="16"/>
        </w:rPr>
        <w:t>Witness statement</w:t>
      </w:r>
      <w:r w:rsidR="00D81AAD" w:rsidRPr="00536E67">
        <w:rPr>
          <w:rStyle w:val="normaltextrun"/>
          <w:rFonts w:ascii="Arial" w:hAnsi="Arial" w:cs="Arial"/>
          <w:sz w:val="16"/>
          <w:szCs w:val="16"/>
        </w:rPr>
        <w:t xml:space="preserve"> of</w:t>
      </w:r>
      <w:r w:rsidRPr="00536E67">
        <w:rPr>
          <w:rStyle w:val="normaltextrun"/>
          <w:rFonts w:ascii="Arial" w:hAnsi="Arial" w:cs="Arial"/>
          <w:sz w:val="16"/>
          <w:szCs w:val="16"/>
        </w:rPr>
        <w:t xml:space="preserve"> Andrew Brown (13 July 2022).</w:t>
      </w:r>
      <w:r w:rsidRPr="00536E67">
        <w:rPr>
          <w:rStyle w:val="eop"/>
          <w:rFonts w:ascii="Calibri" w:hAnsi="Calibri" w:cs="Calibri"/>
          <w:sz w:val="16"/>
          <w:szCs w:val="16"/>
        </w:rPr>
        <w:t> </w:t>
      </w:r>
    </w:p>
    <w:p w14:paraId="141AF3E9" w14:textId="5A28F9A8" w:rsidR="00F4713A" w:rsidRPr="00536E67" w:rsidRDefault="00F4713A">
      <w:pPr>
        <w:pStyle w:val="FootnoteText"/>
        <w:rPr>
          <w:sz w:val="16"/>
          <w:szCs w:val="16"/>
        </w:rPr>
      </w:pPr>
    </w:p>
  </w:footnote>
  <w:footnote w:id="447">
    <w:p w14:paraId="105ABEB0" w14:textId="023781BB" w:rsidR="00E26B9A" w:rsidRDefault="00E26B9A">
      <w:pPr>
        <w:pStyle w:val="FootnoteText"/>
      </w:pPr>
      <w:r>
        <w:rPr>
          <w:rStyle w:val="FootnoteReference"/>
        </w:rPr>
        <w:footnoteRef/>
      </w:r>
      <w:r>
        <w:t xml:space="preserve"> </w:t>
      </w:r>
      <w:r w:rsidR="0047516E" w:rsidRPr="0047516E">
        <w:t>Witness statement Kamahl Tupetagi</w:t>
      </w:r>
      <w:r w:rsidR="00B65D65" w:rsidRPr="00B65D65">
        <w:t xml:space="preserve"> </w:t>
      </w:r>
      <w:r w:rsidR="0047516E" w:rsidRPr="0047516E">
        <w:t>(September 2021).</w:t>
      </w:r>
    </w:p>
  </w:footnote>
  <w:footnote w:id="448">
    <w:p w14:paraId="6F09E3DB" w14:textId="77777777" w:rsidR="004368C0" w:rsidRPr="00FC5F93" w:rsidRDefault="004368C0" w:rsidP="004368C0">
      <w:pPr>
        <w:pStyle w:val="FootnoteText"/>
        <w:spacing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Palmer, G, New Zealand's constitution in crisis: reforming our political system (John McIndoe Limited, 1992, </w:t>
      </w:r>
      <w:r w:rsidRPr="00FC5F93">
        <w:rPr>
          <w:rFonts w:cs="Arial"/>
          <w:color w:val="auto"/>
          <w:sz w:val="16"/>
          <w:szCs w:val="16"/>
        </w:rPr>
        <w:t>pages 4 and</w:t>
      </w:r>
      <w:r w:rsidRPr="00FC5F93">
        <w:rPr>
          <w:rFonts w:cs="Arial"/>
          <w:sz w:val="16"/>
          <w:szCs w:val="16"/>
        </w:rPr>
        <w:t xml:space="preserve"> 5).</w:t>
      </w:r>
    </w:p>
  </w:footnote>
  <w:footnote w:id="449">
    <w:p w14:paraId="6977325B" w14:textId="77777777" w:rsidR="004368C0" w:rsidRPr="00FC5F93" w:rsidRDefault="004368C0" w:rsidP="004368C0">
      <w:pPr>
        <w:pStyle w:val="FootnoteText"/>
        <w:rPr>
          <w:rFonts w:cs="Arial"/>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rFonts w:cs="Arial"/>
          <w:sz w:val="16"/>
          <w:szCs w:val="16"/>
        </w:rPr>
        <w:t>Palmer, G, New Zealand's constitution in crisis: reforming our political system (John McIndoe Limited, 1992, page 49).</w:t>
      </w:r>
    </w:p>
  </w:footnote>
  <w:footnote w:id="450">
    <w:p w14:paraId="1CD3B92F" w14:textId="77777777" w:rsidR="004368C0" w:rsidRPr="005848F0" w:rsidRDefault="004368C0" w:rsidP="004368C0">
      <w:pPr>
        <w:pStyle w:val="FootnoteText"/>
        <w:rPr>
          <w:sz w:val="16"/>
          <w:szCs w:val="16"/>
        </w:rPr>
      </w:pPr>
      <w:r w:rsidRPr="005848F0">
        <w:rPr>
          <w:rStyle w:val="FootnoteReference"/>
          <w:sz w:val="16"/>
          <w:szCs w:val="16"/>
        </w:rPr>
        <w:footnoteRef/>
      </w:r>
      <w:r w:rsidRPr="005848F0">
        <w:rPr>
          <w:sz w:val="16"/>
          <w:szCs w:val="16"/>
        </w:rPr>
        <w:t xml:space="preserve"> Kumarasingham, H, Executive Power: 60 Years On Has Anything Changed?, Policy Quarterly</w:t>
      </w:r>
      <w:r>
        <w:rPr>
          <w:sz w:val="16"/>
          <w:szCs w:val="16"/>
        </w:rPr>
        <w:t>, Volume 6:4 (2010, page 47).</w:t>
      </w:r>
      <w:r w:rsidRPr="005848F0">
        <w:rPr>
          <w:sz w:val="16"/>
          <w:szCs w:val="16"/>
        </w:rPr>
        <w:t xml:space="preserve"> </w:t>
      </w:r>
    </w:p>
  </w:footnote>
  <w:footnote w:id="451">
    <w:p w14:paraId="0173F7AD" w14:textId="77777777" w:rsidR="004368C0" w:rsidRPr="00FC5F93" w:rsidRDefault="004368C0" w:rsidP="004368C0">
      <w:pPr>
        <w:pStyle w:val="FootnoteText"/>
        <w:spacing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McGee, D, “The Parliament of New Zealand,” Parliamentary Practice in New Zealand 2023 (Clerk of the House of Representatives, 2023). </w:t>
      </w:r>
    </w:p>
  </w:footnote>
  <w:footnote w:id="452">
    <w:p w14:paraId="3D019F92" w14:textId="77777777" w:rsidR="004368C0" w:rsidRPr="00FC5F93" w:rsidRDefault="004368C0" w:rsidP="004368C0">
      <w:pPr>
        <w:pStyle w:val="FootnoteText"/>
        <w:spacing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McGee, D, “Government,” Parliamentary Practice in New Zealand 2023 (Clerk of the House of Representatives, 2023).</w:t>
      </w:r>
    </w:p>
  </w:footnote>
  <w:footnote w:id="453">
    <w:p w14:paraId="02536BF9" w14:textId="77777777" w:rsidR="004368C0" w:rsidRPr="00FC5F93" w:rsidRDefault="004368C0" w:rsidP="004368C0">
      <w:pPr>
        <w:pStyle w:val="FootnoteText"/>
        <w:spacing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Te Kawa Mataaho Public Service Commission website, How the public sector is organised (accessed January 2024), </w:t>
      </w:r>
      <w:hyperlink r:id="rId102" w:history="1">
        <w:r w:rsidRPr="00FC5F93">
          <w:rPr>
            <w:rStyle w:val="Hyperlink"/>
            <w:rFonts w:cs="Arial"/>
            <w:sz w:val="16"/>
            <w:szCs w:val="16"/>
          </w:rPr>
          <w:t>https://www.publicservice.govt.nz/system/system-architecture-and-design/how-the-public-sector-is-organised</w:t>
        </w:r>
      </w:hyperlink>
      <w:r w:rsidRPr="00FC5F93">
        <w:rPr>
          <w:rFonts w:cs="Arial"/>
          <w:sz w:val="16"/>
          <w:szCs w:val="16"/>
        </w:rPr>
        <w:t>.</w:t>
      </w:r>
    </w:p>
  </w:footnote>
  <w:footnote w:id="454">
    <w:p w14:paraId="5561F151" w14:textId="6CCFFE75" w:rsidR="004368C0" w:rsidRPr="00FC5F93" w:rsidRDefault="004368C0" w:rsidP="004368C0">
      <w:pPr>
        <w:pStyle w:val="FootnoteText"/>
        <w:spacing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McGee, D, “Government,” Parliamentary Practice in New Zealand 2023 (Clerk of the House of Representatives, 2023).</w:t>
      </w:r>
    </w:p>
  </w:footnote>
  <w:footnote w:id="455">
    <w:p w14:paraId="2973A3AB" w14:textId="7E7B1A6F" w:rsidR="004368C0" w:rsidRPr="00FC5F93" w:rsidRDefault="004368C0" w:rsidP="004368C0">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Arial"/>
          <w:sz w:val="16"/>
          <w:szCs w:val="16"/>
        </w:rPr>
        <w:t xml:space="preserve">Witness statement of Peter Hughes (24 August 2022, </w:t>
      </w:r>
      <w:r w:rsidRPr="00FC5F93">
        <w:rPr>
          <w:rFonts w:cs="Arial"/>
          <w:color w:val="auto"/>
          <w:sz w:val="16"/>
          <w:szCs w:val="16"/>
        </w:rPr>
        <w:t>page</w:t>
      </w:r>
      <w:r w:rsidRPr="00FC5F93">
        <w:rPr>
          <w:rFonts w:cs="Arial"/>
          <w:sz w:val="16"/>
          <w:szCs w:val="16"/>
        </w:rPr>
        <w:t xml:space="preserve"> 3</w:t>
      </w:r>
      <w:r w:rsidRPr="00FC5F93" w:rsidDel="00F756D1">
        <w:rPr>
          <w:rFonts w:cs="Arial"/>
          <w:sz w:val="16"/>
          <w:szCs w:val="16"/>
        </w:rPr>
        <w:t>)</w:t>
      </w:r>
      <w:r w:rsidRPr="00FC5F93">
        <w:rPr>
          <w:rFonts w:cs="Arial"/>
          <w:sz w:val="16"/>
          <w:szCs w:val="16"/>
        </w:rPr>
        <w:t>.</w:t>
      </w:r>
    </w:p>
  </w:footnote>
  <w:footnote w:id="456">
    <w:p w14:paraId="25EC5DEE" w14:textId="170315B6" w:rsidR="00F304A1" w:rsidRDefault="00F304A1" w:rsidP="00F304A1">
      <w:pPr>
        <w:pStyle w:val="FootnoteText"/>
      </w:pPr>
      <w:r w:rsidRPr="001E6DB2">
        <w:rPr>
          <w:rStyle w:val="StyleFootnoteReferenceFagoFunotenzeichenFagoFunotenzeichen"/>
          <w:sz w:val="16"/>
          <w:szCs w:val="16"/>
        </w:rPr>
        <w:footnoteRef/>
      </w:r>
      <w:r w:rsidRPr="001E6DB2">
        <w:rPr>
          <w:rStyle w:val="StyleFootnoteReferenceFagoFunotenzeichenFagoFunotenzeichen"/>
          <w:sz w:val="16"/>
          <w:szCs w:val="16"/>
        </w:rPr>
        <w:t xml:space="preserve"> </w:t>
      </w:r>
      <w:r w:rsidRPr="001E6DB2">
        <w:rPr>
          <w:color w:val="auto"/>
          <w:sz w:val="16"/>
          <w:szCs w:val="16"/>
        </w:rPr>
        <w:t xml:space="preserve">Te Kawa Mataaho Public Service Commission website, How the public service has changed over time (accessed May 2024) </w:t>
      </w:r>
      <w:hyperlink r:id="rId103" w:history="1">
        <w:r w:rsidRPr="00425961">
          <w:rPr>
            <w:rStyle w:val="Hyperlink"/>
            <w:sz w:val="16"/>
            <w:szCs w:val="16"/>
          </w:rPr>
          <w:t>https://www.publicservice.govt.nz/news/how-the-public-service-has-changed-over-time</w:t>
        </w:r>
      </w:hyperlink>
      <w:r w:rsidRPr="001E6DB2">
        <w:rPr>
          <w:color w:val="auto"/>
          <w:sz w:val="16"/>
          <w:szCs w:val="16"/>
        </w:rPr>
        <w:t>.</w:t>
      </w:r>
    </w:p>
  </w:footnote>
  <w:footnote w:id="457">
    <w:p w14:paraId="77DC2B34" w14:textId="77777777" w:rsidR="00F304A1" w:rsidRPr="00FC5F93" w:rsidRDefault="00F304A1" w:rsidP="00F304A1">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Public Service Act 2020, section 11.</w:t>
      </w:r>
    </w:p>
  </w:footnote>
  <w:footnote w:id="458">
    <w:p w14:paraId="4A2FEA31" w14:textId="7A2AA820" w:rsidR="0055794F" w:rsidRPr="00083726" w:rsidRDefault="0055794F">
      <w:pPr>
        <w:pStyle w:val="FootnoteText"/>
        <w:rPr>
          <w:color w:val="auto"/>
        </w:rPr>
      </w:pPr>
      <w:r w:rsidRPr="00083726">
        <w:rPr>
          <w:rStyle w:val="FootnoteReference"/>
          <w:color w:val="auto"/>
        </w:rPr>
        <w:footnoteRef/>
      </w:r>
      <w:r w:rsidRPr="00083726">
        <w:rPr>
          <w:color w:val="auto"/>
        </w:rPr>
        <w:t xml:space="preserve"> Public Service Act 2020</w:t>
      </w:r>
      <w:r w:rsidR="00083726" w:rsidRPr="00083726">
        <w:rPr>
          <w:color w:val="auto"/>
        </w:rPr>
        <w:t>.</w:t>
      </w:r>
    </w:p>
  </w:footnote>
  <w:footnote w:id="459">
    <w:p w14:paraId="38ED4439" w14:textId="47EBCD8C" w:rsidR="0055794F" w:rsidRPr="00083726" w:rsidRDefault="0055794F">
      <w:pPr>
        <w:pStyle w:val="FootnoteText"/>
        <w:rPr>
          <w:color w:val="auto"/>
        </w:rPr>
      </w:pPr>
      <w:r w:rsidRPr="00083726">
        <w:rPr>
          <w:rStyle w:val="FootnoteReference"/>
          <w:color w:val="auto"/>
        </w:rPr>
        <w:footnoteRef/>
      </w:r>
      <w:r w:rsidRPr="00083726">
        <w:rPr>
          <w:color w:val="auto"/>
        </w:rPr>
        <w:t xml:space="preserve"> </w:t>
      </w:r>
      <w:r w:rsidR="00E0493D" w:rsidRPr="00083726">
        <w:rPr>
          <w:color w:val="auto"/>
        </w:rPr>
        <w:t>Te Kawa Mataaho Public Service Commission Nga Tohutohu mo te Minita Tomo Mai, Briefing to the Incoming Minister 2023, Te Kawa Mataaho (New Zealand, 2023) p</w:t>
      </w:r>
      <w:r w:rsidR="001C3580" w:rsidRPr="00083726">
        <w:rPr>
          <w:color w:val="auto"/>
        </w:rPr>
        <w:t>age</w:t>
      </w:r>
      <w:r w:rsidR="00E0493D" w:rsidRPr="00083726">
        <w:rPr>
          <w:color w:val="auto"/>
        </w:rPr>
        <w:t xml:space="preserve"> 6.</w:t>
      </w:r>
    </w:p>
  </w:footnote>
  <w:footnote w:id="460">
    <w:p w14:paraId="0D91C674" w14:textId="18986FEE" w:rsidR="00E0493D" w:rsidRPr="00083726" w:rsidRDefault="00E0493D">
      <w:pPr>
        <w:pStyle w:val="FootnoteText"/>
        <w:rPr>
          <w:color w:val="auto"/>
        </w:rPr>
      </w:pPr>
      <w:r w:rsidRPr="00083726">
        <w:rPr>
          <w:rStyle w:val="FootnoteReference"/>
          <w:color w:val="auto"/>
        </w:rPr>
        <w:footnoteRef/>
      </w:r>
      <w:r w:rsidRPr="00083726">
        <w:rPr>
          <w:color w:val="auto"/>
        </w:rPr>
        <w:t xml:space="preserve"> </w:t>
      </w:r>
      <w:r w:rsidR="001C3580" w:rsidRPr="00083726">
        <w:rPr>
          <w:color w:val="auto"/>
        </w:rPr>
        <w:t>Te Kawa Mataaho Public Service Commission Nga Tohutohu mo te Minita Tomo Mai, Briefing to the Incoming Minister 2023, Te Kawa Mataaho (New Zealand, 2023) page 7.</w:t>
      </w:r>
    </w:p>
  </w:footnote>
  <w:footnote w:id="461">
    <w:p w14:paraId="6E9710C6" w14:textId="4306106D" w:rsidR="00F304A1" w:rsidRPr="00CD37E7" w:rsidRDefault="00CD37E7" w:rsidP="00CD37E7">
      <w:pPr>
        <w:pStyle w:val="FootnoteText"/>
        <w:rPr>
          <w:vertAlign w:val="superscript"/>
        </w:rPr>
      </w:pPr>
      <w:r w:rsidRPr="00CD37E7">
        <w:rPr>
          <w:rStyle w:val="FootnoteReference"/>
          <w:rFonts w:cs="Times New Roman"/>
          <w:sz w:val="16"/>
          <w:szCs w:val="18"/>
        </w:rPr>
        <w:footnoteRef/>
      </w:r>
      <w:r w:rsidRPr="00CD37E7">
        <w:rPr>
          <w:sz w:val="16"/>
          <w:szCs w:val="18"/>
          <w:vertAlign w:val="superscript"/>
        </w:rPr>
        <w:t xml:space="preserve"> </w:t>
      </w:r>
      <w:r w:rsidRPr="00CD37E7">
        <w:rPr>
          <w:sz w:val="20"/>
          <w:szCs w:val="22"/>
          <w:vertAlign w:val="superscript"/>
        </w:rPr>
        <w:t>Public Finance Act 1989</w:t>
      </w:r>
    </w:p>
  </w:footnote>
  <w:footnote w:id="462">
    <w:p w14:paraId="3276BEBF" w14:textId="04FD15B2" w:rsidR="00F304A1" w:rsidRDefault="001A1581" w:rsidP="005B06A0">
      <w:pPr>
        <w:pStyle w:val="TSOtherBodyText"/>
      </w:pPr>
      <w:r w:rsidRPr="005B06A0">
        <w:rPr>
          <w:rStyle w:val="FootnoteReference"/>
        </w:rPr>
        <w:footnoteRef/>
      </w:r>
      <w:r w:rsidRPr="005B06A0">
        <w:t xml:space="preserve"> </w:t>
      </w:r>
      <w:r w:rsidR="005B06A0" w:rsidRPr="005B06A0">
        <w:t>Treasury, Briefing to the Incoming Minister of Finance 2023 (The Treasury, 2023</w:t>
      </w:r>
      <w:r w:rsidR="005B06A0">
        <w:t>,</w:t>
      </w:r>
      <w:r w:rsidR="005B06A0" w:rsidRPr="005B06A0">
        <w:t xml:space="preserve"> </w:t>
      </w:r>
      <w:r w:rsidR="005B06A0" w:rsidRPr="005B06A0">
        <w:rPr>
          <w:rFonts w:cs="Arial"/>
        </w:rPr>
        <w:t xml:space="preserve">pages </w:t>
      </w:r>
      <w:r w:rsidR="005B06A0" w:rsidRPr="005B06A0">
        <w:t>18–19)</w:t>
      </w:r>
      <w:r w:rsidR="005B06A0">
        <w:t>.</w:t>
      </w:r>
    </w:p>
  </w:footnote>
  <w:footnote w:id="463">
    <w:p w14:paraId="7EB2641B" w14:textId="4A30FC20" w:rsidR="00A529A8" w:rsidRDefault="00A529A8">
      <w:pPr>
        <w:pStyle w:val="FootnoteText"/>
      </w:pPr>
      <w:r w:rsidRPr="00536E67">
        <w:rPr>
          <w:rStyle w:val="StyleFootnoteReferenceFagoFunotenzeichenFagoFunotenzeichen"/>
          <w:sz w:val="16"/>
          <w:szCs w:val="16"/>
        </w:rPr>
        <w:footnoteRef/>
      </w:r>
      <w:r w:rsidRPr="00FC5F93">
        <w:rPr>
          <w:color w:val="auto"/>
          <w:sz w:val="16"/>
          <w:szCs w:val="16"/>
        </w:rPr>
        <w:t xml:space="preserve"> </w:t>
      </w:r>
      <w:r w:rsidRPr="00FC5F93">
        <w:rPr>
          <w:color w:val="auto"/>
          <w:sz w:val="16"/>
          <w:szCs w:val="16"/>
          <w:lang w:val="en-US"/>
        </w:rPr>
        <w:t>Department of the Prime Minister and Cabinet, Briefing to the Incoming Prime Minister 2023 (2023, pages 3</w:t>
      </w:r>
      <w:r w:rsidRPr="00FC5F93">
        <w:rPr>
          <w:rStyle w:val="normaltextrun"/>
          <w:rFonts w:cs="Arial"/>
          <w:color w:val="auto"/>
          <w:sz w:val="16"/>
          <w:szCs w:val="16"/>
          <w:bdr w:val="none" w:sz="0" w:space="0" w:color="auto" w:frame="1"/>
        </w:rPr>
        <w:t>–</w:t>
      </w:r>
      <w:r w:rsidRPr="00FC5F93">
        <w:rPr>
          <w:color w:val="auto"/>
          <w:sz w:val="16"/>
          <w:szCs w:val="16"/>
          <w:lang w:val="en-US"/>
        </w:rPr>
        <w:t>6).</w:t>
      </w:r>
    </w:p>
  </w:footnote>
  <w:footnote w:id="464">
    <w:p w14:paraId="3125C51F" w14:textId="06707EE2" w:rsidR="00762057" w:rsidRDefault="00762057">
      <w:pPr>
        <w:pStyle w:val="FootnoteText"/>
      </w:pPr>
      <w:r>
        <w:rPr>
          <w:rStyle w:val="FootnoteReference"/>
        </w:rPr>
        <w:footnoteRef/>
      </w:r>
      <w:r>
        <w:t xml:space="preserve"> </w:t>
      </w:r>
      <w:r w:rsidRPr="00FC5F93">
        <w:rPr>
          <w:color w:val="auto"/>
          <w:sz w:val="16"/>
          <w:szCs w:val="16"/>
          <w:lang w:val="en-US"/>
        </w:rPr>
        <w:t>Department of the Prime Minister and Cabinet, Briefing to the Incoming Prime Minister 2023 (2023, page 4).</w:t>
      </w:r>
    </w:p>
  </w:footnote>
  <w:footnote w:id="465">
    <w:p w14:paraId="03A25500" w14:textId="32AD2ED2" w:rsidR="00096A21" w:rsidRDefault="00096A21">
      <w:pPr>
        <w:pStyle w:val="FootnoteText"/>
      </w:pPr>
      <w:r>
        <w:rPr>
          <w:rStyle w:val="FootnoteReference"/>
        </w:rPr>
        <w:footnoteRef/>
      </w:r>
      <w:r>
        <w:t xml:space="preserve"> </w:t>
      </w:r>
      <w:r w:rsidRPr="00FC5F93">
        <w:rPr>
          <w:color w:val="auto"/>
          <w:sz w:val="16"/>
          <w:szCs w:val="16"/>
        </w:rPr>
        <w:t xml:space="preserve">Controller and Auditor General website, What we do (accessed February 2024), </w:t>
      </w:r>
      <w:hyperlink r:id="rId104" w:history="1">
        <w:r w:rsidRPr="00FC5F93">
          <w:rPr>
            <w:rStyle w:val="Hyperlink"/>
            <w:color w:val="auto"/>
            <w:sz w:val="16"/>
            <w:szCs w:val="16"/>
          </w:rPr>
          <w:t>https://www.oag.parliament.nz/about-us/what-we-do</w:t>
        </w:r>
      </w:hyperlink>
      <w:r w:rsidRPr="00FC5F93">
        <w:rPr>
          <w:color w:val="auto"/>
          <w:sz w:val="16"/>
          <w:szCs w:val="16"/>
        </w:rPr>
        <w:t>.</w:t>
      </w:r>
    </w:p>
  </w:footnote>
  <w:footnote w:id="466">
    <w:p w14:paraId="4990F597" w14:textId="04C286D6" w:rsidR="004263A0" w:rsidRDefault="004263A0">
      <w:pPr>
        <w:pStyle w:val="FootnoteText"/>
      </w:pPr>
      <w:r>
        <w:rPr>
          <w:rStyle w:val="FootnoteReference"/>
        </w:rPr>
        <w:footnoteRef/>
      </w:r>
      <w:r>
        <w:t xml:space="preserve"> </w:t>
      </w:r>
      <w:r w:rsidRPr="00FC5F93">
        <w:rPr>
          <w:color w:val="auto"/>
          <w:sz w:val="16"/>
          <w:szCs w:val="16"/>
        </w:rPr>
        <w:t>The Treasury, Briefing to the Incoming Government 1984, Part 2: Economic Management (1984, page 289).</w:t>
      </w:r>
    </w:p>
  </w:footnote>
  <w:footnote w:id="467">
    <w:p w14:paraId="137F2D18"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McKinlay, P, The New Zealand reforms: They worked in theory, what about the practice? (McKinlay Douglas Limited, 2000, page 3).</w:t>
      </w:r>
    </w:p>
  </w:footnote>
  <w:footnote w:id="468">
    <w:p w14:paraId="10F1AB0B"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The Treasury, Briefing to the Incoming Government 1984, Part 2: Economic Management (1984, page 287).</w:t>
      </w:r>
    </w:p>
  </w:footnote>
  <w:footnote w:id="469">
    <w:p w14:paraId="223B76C0" w14:textId="77777777" w:rsidR="002C3153" w:rsidRPr="00FC5F93" w:rsidRDefault="002C3153" w:rsidP="002C3153">
      <w:pPr>
        <w:pStyle w:val="FootnoteText"/>
        <w:rPr>
          <w:color w:val="FF0000"/>
          <w:sz w:val="16"/>
          <w:szCs w:val="16"/>
        </w:rPr>
      </w:pPr>
      <w:r w:rsidRPr="00536E67">
        <w:rPr>
          <w:rStyle w:val="StyleFootnoteReferenceFagoFunotenzeichenFagoFunotenzeichen"/>
          <w:sz w:val="16"/>
          <w:szCs w:val="16"/>
        </w:rPr>
        <w:footnoteRef/>
      </w:r>
      <w:r w:rsidRPr="00FC5F93">
        <w:rPr>
          <w:color w:val="auto"/>
          <w:sz w:val="16"/>
          <w:szCs w:val="16"/>
        </w:rPr>
        <w:t xml:space="preserve"> The Treasury, Briefing to the Incoming Government 1984, Part 2: Economic Management (1984, page 289).</w:t>
      </w:r>
    </w:p>
  </w:footnote>
  <w:footnote w:id="470">
    <w:p w14:paraId="5E476E9A"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w:t>
      </w:r>
      <w:r w:rsidRPr="00FC5F93">
        <w:rPr>
          <w:rFonts w:cs="Arial"/>
          <w:color w:val="auto"/>
          <w:sz w:val="16"/>
          <w:szCs w:val="16"/>
        </w:rPr>
        <w:t>Department of Education, Child Welfare Division Field Officers’ Manual, part 1 (1953, page 98).</w:t>
      </w:r>
    </w:p>
  </w:footnote>
  <w:footnote w:id="471">
    <w:p w14:paraId="756AF564"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The Treasury, Briefing to the Incoming Government 1984, Part 2: Economic Management (1984, page 289).</w:t>
      </w:r>
    </w:p>
  </w:footnote>
  <w:footnote w:id="472">
    <w:p w14:paraId="2354E94D"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w:t>
      </w:r>
      <w:r w:rsidRPr="00FC5F93">
        <w:rPr>
          <w:rFonts w:cs="Arial"/>
          <w:color w:val="auto"/>
          <w:sz w:val="16"/>
          <w:szCs w:val="16"/>
        </w:rPr>
        <w:t>Department of Education, Child Welfare Division Field Officers’ Manual, part 1 (1953, page 98).</w:t>
      </w:r>
    </w:p>
  </w:footnote>
  <w:footnote w:id="473">
    <w:p w14:paraId="0B86FF13" w14:textId="77777777" w:rsidR="002C3153" w:rsidRPr="00FC5F93" w:rsidRDefault="002C3153" w:rsidP="002C3153">
      <w:pPr>
        <w:pStyle w:val="FootnoteText"/>
        <w:rPr>
          <w:color w:val="auto"/>
          <w:sz w:val="16"/>
          <w:szCs w:val="16"/>
          <w:highlight w:val="yellow"/>
        </w:rPr>
      </w:pPr>
      <w:r w:rsidRPr="00536E67">
        <w:rPr>
          <w:rStyle w:val="StyleFootnoteReferenceFagoFunotenzeichenFagoFunotenzeichen"/>
          <w:sz w:val="16"/>
          <w:szCs w:val="16"/>
        </w:rPr>
        <w:footnoteRef/>
      </w:r>
      <w:r w:rsidRPr="00FC5F93">
        <w:rPr>
          <w:color w:val="auto"/>
          <w:sz w:val="16"/>
          <w:szCs w:val="16"/>
        </w:rPr>
        <w:t xml:space="preserve"> The Treasury, Briefing to the Incoming Government 1984, Part 2: Economic Management (1984, page 289).</w:t>
      </w:r>
    </w:p>
  </w:footnote>
  <w:footnote w:id="474">
    <w:p w14:paraId="54F4360C"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The Treasury, Briefing to the Incoming Government 1984, Part 2: Economic Management (1984, page 290).</w:t>
      </w:r>
    </w:p>
  </w:footnote>
  <w:footnote w:id="475">
    <w:p w14:paraId="37CA4267" w14:textId="77777777" w:rsidR="002C3153" w:rsidRPr="00FC5F93" w:rsidRDefault="002C3153" w:rsidP="002C3153">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Office of the Ombudsman, About the Ombudsman: Past, present and future (15 September 2020), </w:t>
      </w:r>
      <w:hyperlink r:id="rId105" w:history="1">
        <w:r w:rsidRPr="00FC5F93">
          <w:rPr>
            <w:rStyle w:val="Hyperlink"/>
            <w:sz w:val="16"/>
            <w:szCs w:val="16"/>
          </w:rPr>
          <w:t>https://www.ombudsman.parliament.nz/about-ombudsman/past-present-and-future</w:t>
        </w:r>
      </w:hyperlink>
      <w:r w:rsidRPr="00FC5F93">
        <w:rPr>
          <w:sz w:val="16"/>
          <w:szCs w:val="16"/>
        </w:rPr>
        <w:t>.</w:t>
      </w:r>
    </w:p>
  </w:footnote>
  <w:footnote w:id="476">
    <w:p w14:paraId="65622D4D" w14:textId="77777777" w:rsidR="002C3153" w:rsidRPr="00FC5F93" w:rsidRDefault="002C3153" w:rsidP="002C3153">
      <w:pPr>
        <w:pStyle w:val="FootnoteText"/>
        <w:spacing w:before="0" w:after="0" w:line="20" w:lineRule="atLeast"/>
        <w:rPr>
          <w:rFonts w:cs="Arial"/>
          <w:color w:val="FF0000"/>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The Treasury, Economic management: Part Two – Policy and organisational issues (1984, pages 103</w:t>
      </w:r>
      <w:r w:rsidRPr="00FC5F93">
        <w:rPr>
          <w:rFonts w:eastAsia="Calibri" w:cs="Arial"/>
          <w:color w:val="auto"/>
          <w:sz w:val="16"/>
          <w:szCs w:val="16"/>
          <w:lang w:val="en-US"/>
        </w:rPr>
        <w:t>–</w:t>
      </w:r>
      <w:r w:rsidRPr="00FC5F93">
        <w:rPr>
          <w:rFonts w:cs="Arial"/>
          <w:color w:val="auto"/>
          <w:sz w:val="16"/>
          <w:szCs w:val="16"/>
        </w:rPr>
        <w:t>104).</w:t>
      </w:r>
    </w:p>
  </w:footnote>
  <w:footnote w:id="477">
    <w:p w14:paraId="0270D28C"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Schick, A, The spirit of reform: Managing the New Zealand State sector in a time of change (State Services Commission, 1996, </w:t>
      </w:r>
      <w:r w:rsidRPr="00FC5F93">
        <w:rPr>
          <w:rFonts w:cs="Arial"/>
          <w:color w:val="auto"/>
          <w:sz w:val="16"/>
          <w:szCs w:val="16"/>
        </w:rPr>
        <w:t xml:space="preserve">pages </w:t>
      </w:r>
      <w:r w:rsidRPr="00FC5F93">
        <w:rPr>
          <w:color w:val="auto"/>
          <w:sz w:val="16"/>
          <w:szCs w:val="16"/>
        </w:rPr>
        <w:t>16</w:t>
      </w:r>
      <w:r w:rsidRPr="00FC5F93">
        <w:rPr>
          <w:color w:val="auto"/>
          <w:sz w:val="16"/>
          <w:szCs w:val="16"/>
          <w:shd w:val="clear" w:color="auto" w:fill="FFFFFF"/>
        </w:rPr>
        <w:t>–</w:t>
      </w:r>
      <w:r w:rsidRPr="00FC5F93">
        <w:rPr>
          <w:color w:val="auto"/>
          <w:sz w:val="16"/>
          <w:szCs w:val="16"/>
        </w:rPr>
        <w:t>17).</w:t>
      </w:r>
    </w:p>
  </w:footnote>
  <w:footnote w:id="478">
    <w:p w14:paraId="3D49E3BB"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The Treasury, Briefing to the Incoming Government 1984, Part 2: Economic Management (1984, pages 288</w:t>
      </w:r>
      <w:r w:rsidRPr="00FC5F93">
        <w:rPr>
          <w:rStyle w:val="normaltextrun"/>
          <w:rFonts w:cs="Arial"/>
          <w:color w:val="auto"/>
          <w:sz w:val="16"/>
          <w:szCs w:val="16"/>
          <w:bdr w:val="none" w:sz="0" w:space="0" w:color="auto" w:frame="1"/>
        </w:rPr>
        <w:t>–</w:t>
      </w:r>
      <w:r w:rsidRPr="00FC5F93">
        <w:rPr>
          <w:color w:val="auto"/>
          <w:sz w:val="16"/>
          <w:szCs w:val="16"/>
        </w:rPr>
        <w:t>290).</w:t>
      </w:r>
    </w:p>
  </w:footnote>
  <w:footnote w:id="479">
    <w:p w14:paraId="56B2507B"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Schick, A, The spirit of reform: Managing the New Zealand State sector in a time of change (State Services Commission, 1996, </w:t>
      </w:r>
      <w:r w:rsidRPr="00FC5F93">
        <w:rPr>
          <w:rStyle w:val="normaltextrun"/>
          <w:rFonts w:cs="Arial"/>
          <w:color w:val="auto"/>
          <w:sz w:val="16"/>
          <w:szCs w:val="16"/>
          <w:bdr w:val="none" w:sz="0" w:space="0" w:color="auto" w:frame="1"/>
        </w:rPr>
        <w:t>page</w:t>
      </w:r>
      <w:r w:rsidRPr="00FC5F93">
        <w:rPr>
          <w:color w:val="auto"/>
          <w:sz w:val="16"/>
          <w:szCs w:val="16"/>
        </w:rPr>
        <w:t xml:space="preserve"> 3).</w:t>
      </w:r>
    </w:p>
  </w:footnote>
  <w:footnote w:id="480">
    <w:p w14:paraId="11C65D79" w14:textId="77777777" w:rsidR="002C3153" w:rsidRPr="00FC5F93" w:rsidRDefault="002C3153" w:rsidP="002C3153">
      <w:pPr>
        <w:pStyle w:val="FootnoteText"/>
        <w:rPr>
          <w:sz w:val="16"/>
          <w:szCs w:val="16"/>
        </w:rPr>
      </w:pPr>
      <w:r w:rsidRPr="00536E67">
        <w:rPr>
          <w:rStyle w:val="StyleFootnoteReferenceFagoFunotenzeichenFagoFunotenzeichen"/>
          <w:sz w:val="16"/>
          <w:szCs w:val="16"/>
        </w:rPr>
        <w:footnoteRef/>
      </w:r>
      <w:r w:rsidRPr="00FC5F93">
        <w:rPr>
          <w:color w:val="auto"/>
          <w:sz w:val="16"/>
          <w:szCs w:val="16"/>
        </w:rPr>
        <w:t xml:space="preserve"> Schick, A, The spirit of reform: Managing the New Zealand State sector in a time of change (State Services Commission, 1996, </w:t>
      </w:r>
      <w:r w:rsidRPr="00FC5F93">
        <w:rPr>
          <w:rStyle w:val="normaltextrun"/>
          <w:rFonts w:cs="Arial"/>
          <w:color w:val="auto"/>
          <w:sz w:val="16"/>
          <w:szCs w:val="16"/>
          <w:bdr w:val="none" w:sz="0" w:space="0" w:color="auto" w:frame="1"/>
        </w:rPr>
        <w:t>page</w:t>
      </w:r>
      <w:r w:rsidRPr="00FC5F93">
        <w:rPr>
          <w:color w:val="auto"/>
          <w:sz w:val="16"/>
          <w:szCs w:val="16"/>
        </w:rPr>
        <w:t xml:space="preserve"> 3).</w:t>
      </w:r>
    </w:p>
  </w:footnote>
  <w:footnote w:id="481">
    <w:p w14:paraId="01FC95D2"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Archives Act 1957, section 5.</w:t>
      </w:r>
    </w:p>
  </w:footnote>
  <w:footnote w:id="482">
    <w:p w14:paraId="520C48DE"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Ministry of Social Development, Record keeping history of the Ministry of Social Development and its predecessor agencies: Part One agency structure, records systems and procedures (n.d., page 7).</w:t>
      </w:r>
    </w:p>
  </w:footnote>
  <w:footnote w:id="483">
    <w:p w14:paraId="3C54539A"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Archives Act 1957, section 8.</w:t>
      </w:r>
    </w:p>
  </w:footnote>
  <w:footnote w:id="484">
    <w:p w14:paraId="0A181B75"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Archives Act 1957, sections 15–17.</w:t>
      </w:r>
    </w:p>
  </w:footnote>
  <w:footnote w:id="485">
    <w:p w14:paraId="59E2092E"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Ministry of Social Development, Record keeping history of the Ministry of Social Development and its predecessor agencies: Part One agency structure, records systems and procedures (n.d., page 8).</w:t>
      </w:r>
    </w:p>
  </w:footnote>
  <w:footnote w:id="486">
    <w:p w14:paraId="4F8713F5" w14:textId="77777777" w:rsidR="002C3153" w:rsidRPr="00FC5F93" w:rsidRDefault="002C3153" w:rsidP="002C3153">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Ministry of Social Development, Record keeping history of the Ministry of Social Development and its predecessor agencies: Part One agency structure, records systems and procedures (n.d., page 8).</w:t>
      </w:r>
    </w:p>
  </w:footnote>
  <w:footnote w:id="487">
    <w:p w14:paraId="0C158D93"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Ministry of Social Development, Record keeping history of the Ministry of Social Development and its predecessor agencies: Part One agency structure, records systems and procedures (n.d., page 9).</w:t>
      </w:r>
    </w:p>
  </w:footnote>
  <w:footnote w:id="488">
    <w:p w14:paraId="31E505A3"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Committee on Official Information, Towards open government (Government Printer, 1981, page 13).</w:t>
      </w:r>
    </w:p>
  </w:footnote>
  <w:footnote w:id="489">
    <w:p w14:paraId="3A1611C3"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Official Secrets Act 1951, section 15.</w:t>
      </w:r>
    </w:p>
  </w:footnote>
  <w:footnote w:id="490">
    <w:p w14:paraId="7BB42D9E" w14:textId="77777777" w:rsidR="002C3153" w:rsidRPr="00FC5F93" w:rsidRDefault="002C3153" w:rsidP="002C3153">
      <w:pPr>
        <w:pStyle w:val="FootnoteText"/>
        <w:rPr>
          <w:color w:val="FF0000"/>
          <w:sz w:val="16"/>
          <w:szCs w:val="16"/>
        </w:rPr>
      </w:pPr>
      <w:r w:rsidRPr="00536E67">
        <w:rPr>
          <w:rStyle w:val="StyleFootnoteReferenceFagoFunotenzeichenFagoFunotenzeichen"/>
          <w:sz w:val="16"/>
          <w:szCs w:val="16"/>
        </w:rPr>
        <w:footnoteRef/>
      </w:r>
      <w:r w:rsidRPr="00FC5F93">
        <w:rPr>
          <w:color w:val="auto"/>
          <w:sz w:val="16"/>
          <w:szCs w:val="16"/>
        </w:rPr>
        <w:t xml:space="preserve"> Committee on Official Information, Towards open government (Government Printer, 1981, page 13).</w:t>
      </w:r>
    </w:p>
  </w:footnote>
  <w:footnote w:id="491">
    <w:p w14:paraId="4A47070D"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Committee on Official Information, Towards open government (Government Printer, 1981, </w:t>
      </w:r>
      <w:r w:rsidRPr="00FC5F93">
        <w:rPr>
          <w:rFonts w:cs="Arial"/>
          <w:color w:val="auto"/>
          <w:sz w:val="16"/>
          <w:szCs w:val="16"/>
        </w:rPr>
        <w:t xml:space="preserve">pages </w:t>
      </w:r>
      <w:r w:rsidRPr="00FC5F93">
        <w:rPr>
          <w:color w:val="auto"/>
          <w:sz w:val="16"/>
          <w:szCs w:val="16"/>
        </w:rPr>
        <w:t xml:space="preserve">14–15). </w:t>
      </w:r>
    </w:p>
  </w:footnote>
  <w:footnote w:id="492">
    <w:p w14:paraId="21E652EB" w14:textId="7046A4A9"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Committee on Official Information, Towards open government (Government Printer, 1981, </w:t>
      </w:r>
      <w:r w:rsidR="009A3CE3">
        <w:rPr>
          <w:color w:val="auto"/>
          <w:sz w:val="16"/>
          <w:szCs w:val="16"/>
        </w:rPr>
        <w:t xml:space="preserve">page </w:t>
      </w:r>
      <w:r w:rsidRPr="00FC5F93">
        <w:rPr>
          <w:color w:val="auto"/>
          <w:sz w:val="16"/>
          <w:szCs w:val="16"/>
        </w:rPr>
        <w:t>24).</w:t>
      </w:r>
    </w:p>
  </w:footnote>
  <w:footnote w:id="493">
    <w:p w14:paraId="1C07C901" w14:textId="77777777" w:rsidR="002C3153" w:rsidRPr="00FC5F93" w:rsidRDefault="002C3153" w:rsidP="002C3153">
      <w:pPr>
        <w:pStyle w:val="FootnoteText"/>
        <w:rPr>
          <w:color w:val="auto"/>
          <w:sz w:val="16"/>
          <w:szCs w:val="16"/>
          <w:highlight w:val="yellow"/>
        </w:rPr>
      </w:pPr>
      <w:r w:rsidRPr="00536E67">
        <w:rPr>
          <w:rStyle w:val="StyleFootnoteReferenceFagoFunotenzeichenFagoFunotenzeichen"/>
          <w:sz w:val="16"/>
          <w:szCs w:val="16"/>
        </w:rPr>
        <w:footnoteRef/>
      </w:r>
      <w:r w:rsidRPr="00FC5F93">
        <w:rPr>
          <w:color w:val="auto"/>
          <w:sz w:val="16"/>
          <w:szCs w:val="16"/>
        </w:rPr>
        <w:t xml:space="preserve"> Official Information Act 1982, sections 6, 7, 9, 10 and 18.</w:t>
      </w:r>
    </w:p>
  </w:footnote>
  <w:footnote w:id="494">
    <w:p w14:paraId="71B6F7B6" w14:textId="1D0BDB91"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Official Information Act 1982, section 2 and Schedule 1</w:t>
      </w:r>
      <w:r w:rsidR="00D30D1F">
        <w:rPr>
          <w:color w:val="auto"/>
          <w:sz w:val="16"/>
          <w:szCs w:val="16"/>
        </w:rPr>
        <w:t>.</w:t>
      </w:r>
    </w:p>
  </w:footnote>
  <w:footnote w:id="495">
    <w:p w14:paraId="134A04D8"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Stewart, B, Necessary and desirable, Privacy Act 1993 review (Office of the Privacy Commissioner, 1997, page 1).</w:t>
      </w:r>
    </w:p>
  </w:footnote>
  <w:footnote w:id="496">
    <w:p w14:paraId="19A89289"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Privacy Act 1993, section 6, 12.</w:t>
      </w:r>
    </w:p>
  </w:footnote>
  <w:footnote w:id="497">
    <w:p w14:paraId="730A50DB"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Privacy Act 1993, section 6.</w:t>
      </w:r>
    </w:p>
  </w:footnote>
  <w:footnote w:id="498">
    <w:p w14:paraId="6DCCDF83"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Privacy Act 1993, section 29(1)(a).</w:t>
      </w:r>
    </w:p>
  </w:footnote>
  <w:footnote w:id="499">
    <w:p w14:paraId="67A78B77"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Privacy Act 1993, section 6.</w:t>
      </w:r>
    </w:p>
  </w:footnote>
  <w:footnote w:id="500">
    <w:p w14:paraId="219E3D35" w14:textId="77777777" w:rsidR="002C3153" w:rsidRPr="00FC5F93" w:rsidRDefault="002C3153" w:rsidP="002C3153">
      <w:pPr>
        <w:pStyle w:val="FootnoteText"/>
        <w:rPr>
          <w:color w:val="FF0000"/>
          <w:sz w:val="16"/>
          <w:szCs w:val="16"/>
        </w:rPr>
      </w:pPr>
      <w:r w:rsidRPr="00536E67">
        <w:rPr>
          <w:rStyle w:val="StyleFootnoteReferenceFagoFunotenzeichenFagoFunotenzeichen"/>
          <w:sz w:val="16"/>
          <w:szCs w:val="16"/>
        </w:rPr>
        <w:footnoteRef/>
      </w:r>
      <w:r w:rsidRPr="00FC5F93">
        <w:rPr>
          <w:color w:val="auto"/>
          <w:sz w:val="16"/>
          <w:szCs w:val="16"/>
        </w:rPr>
        <w:t xml:space="preserve"> Stewart, B, Necessary and desirable, Privacy Act 1993 review (Office of the Privacy Commissioner, 1997, page 1).</w:t>
      </w:r>
    </w:p>
  </w:footnote>
  <w:footnote w:id="501">
    <w:p w14:paraId="4E9EE016" w14:textId="77777777" w:rsidR="002C3153" w:rsidRPr="00FC5F93" w:rsidRDefault="002C3153" w:rsidP="002C3153">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Privacy Act 1993, section 6.</w:t>
      </w:r>
    </w:p>
  </w:footnote>
  <w:footnote w:id="502">
    <w:p w14:paraId="400790EC" w14:textId="77777777" w:rsidR="002C3153" w:rsidRPr="00FC5F93" w:rsidRDefault="002C3153" w:rsidP="002C3153">
      <w:pPr>
        <w:pStyle w:val="FootnoteText"/>
        <w:rPr>
          <w:sz w:val="16"/>
          <w:szCs w:val="16"/>
        </w:rPr>
      </w:pPr>
      <w:r w:rsidRPr="00536E67">
        <w:rPr>
          <w:rStyle w:val="StyleFootnoteReferenceFagoFunotenzeichenFagoFunotenzeichen"/>
          <w:sz w:val="16"/>
          <w:szCs w:val="16"/>
        </w:rPr>
        <w:footnoteRef/>
      </w:r>
      <w:r w:rsidRPr="00FC5F93">
        <w:rPr>
          <w:color w:val="auto"/>
          <w:sz w:val="16"/>
          <w:szCs w:val="16"/>
        </w:rPr>
        <w:t xml:space="preserve"> Privacy Act 1993, section 2. The Privacy Act 1993 was replaced by a new Privacy Act in 2020.</w:t>
      </w:r>
    </w:p>
  </w:footnote>
  <w:footnote w:id="503">
    <w:p w14:paraId="010B9E98"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sidDel="00E37AA8">
        <w:rPr>
          <w:rFonts w:cs="Arial"/>
          <w:sz w:val="16"/>
          <w:szCs w:val="16"/>
        </w:rPr>
        <w:t xml:space="preserve"> </w:t>
      </w:r>
      <w:r w:rsidRPr="00FC5F93">
        <w:rPr>
          <w:rStyle w:val="normaltextrun"/>
          <w:rFonts w:cs="Arial"/>
          <w:sz w:val="16"/>
          <w:szCs w:val="16"/>
          <w:shd w:val="clear" w:color="auto" w:fill="FFFFFF"/>
        </w:rPr>
        <w:t>Children and Young Persons </w:t>
      </w:r>
      <w:r w:rsidRPr="00FC5F93">
        <w:rPr>
          <w:rStyle w:val="findhit"/>
          <w:rFonts w:cs="Arial"/>
          <w:iCs/>
          <w:sz w:val="16"/>
          <w:szCs w:val="16"/>
          <w:shd w:val="clear" w:color="auto" w:fill="FFFFFF"/>
        </w:rPr>
        <w:t>Amendment</w:t>
      </w:r>
      <w:r w:rsidRPr="00FC5F93">
        <w:rPr>
          <w:rStyle w:val="normaltextrun"/>
          <w:rFonts w:cs="Arial"/>
          <w:sz w:val="16"/>
          <w:szCs w:val="16"/>
          <w:shd w:val="clear" w:color="auto" w:fill="FFFFFF"/>
        </w:rPr>
        <w:t> Act 1983, sections 4A, 4B and 4C.</w:t>
      </w:r>
    </w:p>
  </w:footnote>
  <w:footnote w:id="504">
    <w:p w14:paraId="35CFE424" w14:textId="77777777" w:rsidR="0062717F" w:rsidRPr="00FC5F93" w:rsidRDefault="0062717F" w:rsidP="0062717F">
      <w:pPr>
        <w:pStyle w:val="FootnoteText"/>
        <w:spacing w:before="0" w:after="0" w:line="240" w:lineRule="auto"/>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Child Welfare Act 1925.</w:t>
      </w:r>
    </w:p>
  </w:footnote>
  <w:footnote w:id="505">
    <w:p w14:paraId="03701864" w14:textId="77777777" w:rsidR="0062717F" w:rsidRPr="00FC5F93" w:rsidRDefault="0062717F" w:rsidP="0062717F">
      <w:pPr>
        <w:pStyle w:val="FootnoteText"/>
        <w:spacing w:before="0" w:after="0" w:line="240" w:lineRule="auto"/>
        <w:rPr>
          <w:sz w:val="16"/>
          <w:szCs w:val="16"/>
        </w:rPr>
      </w:pPr>
      <w:r w:rsidRPr="00536E67">
        <w:rPr>
          <w:rStyle w:val="StyleFootnoteReferenceFagoFunotenzeichenFagoFunotenzeichen"/>
          <w:sz w:val="16"/>
          <w:szCs w:val="16"/>
        </w:rPr>
        <w:footnoteRef/>
      </w:r>
      <w:r w:rsidRPr="00FC5F93" w:rsidDel="006E6691">
        <w:rPr>
          <w:rFonts w:cs="Arial"/>
          <w:sz w:val="16"/>
          <w:szCs w:val="16"/>
        </w:rPr>
        <w:t xml:space="preserve"> </w:t>
      </w:r>
      <w:r w:rsidRPr="00FC5F93">
        <w:rPr>
          <w:rFonts w:cs="Arial"/>
          <w:sz w:val="16"/>
          <w:szCs w:val="16"/>
        </w:rPr>
        <w:t>Frater, M, Why and how children went into care: a legal analysis of the legislative framework for care: Background paper for the Royal Commission of Inquiry into Abuse in Care (2019, page 29).</w:t>
      </w:r>
    </w:p>
  </w:footnote>
  <w:footnote w:id="506">
    <w:p w14:paraId="7E647510"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sidDel="000A1A80">
        <w:rPr>
          <w:sz w:val="16"/>
          <w:szCs w:val="16"/>
        </w:rPr>
        <w:t xml:space="preserve"> </w:t>
      </w:r>
      <w:r w:rsidRPr="00FC5F93">
        <w:rPr>
          <w:rFonts w:cs="Arial"/>
          <w:sz w:val="16"/>
          <w:szCs w:val="16"/>
        </w:rPr>
        <w:t>Frater, M, Why and how children went into care: a legal analysis of the legislative framework for care: Background paper for the Royal Commission of Inquiry into Abuse in Care (2019, page 29).</w:t>
      </w:r>
    </w:p>
  </w:footnote>
  <w:footnote w:id="507">
    <w:p w14:paraId="6EEBE49D" w14:textId="77777777" w:rsidR="0062717F" w:rsidRPr="00FC5F93" w:rsidRDefault="0062717F" w:rsidP="0062717F">
      <w:pPr>
        <w:pStyle w:val="footnotes"/>
        <w:rPr>
          <w:rFonts w:ascii="Arial" w:hAnsi="Arial" w:cs="Arial"/>
          <w:color w:val="auto"/>
          <w:sz w:val="16"/>
          <w:szCs w:val="16"/>
        </w:rPr>
      </w:pPr>
      <w:r w:rsidRPr="00536E67">
        <w:rPr>
          <w:rStyle w:val="StyleFootnoteReferenceFagoFunotenzeichenFagoFunotenzeichen"/>
          <w:sz w:val="16"/>
          <w:szCs w:val="16"/>
        </w:rPr>
        <w:footnoteRef/>
      </w:r>
      <w:r w:rsidRPr="00FC5F93">
        <w:rPr>
          <w:rFonts w:ascii="Arial" w:hAnsi="Arial" w:cs="Arial"/>
          <w:color w:val="auto"/>
          <w:sz w:val="16"/>
          <w:szCs w:val="16"/>
        </w:rPr>
        <w:t xml:space="preserve"> Parker, W, </w:t>
      </w:r>
      <w:r w:rsidRPr="00FC5F93">
        <w:rPr>
          <w:rFonts w:ascii="Arial" w:eastAsia="Arial" w:hAnsi="Arial" w:cs="Arial"/>
          <w:color w:val="auto"/>
          <w:sz w:val="16"/>
          <w:szCs w:val="16"/>
        </w:rPr>
        <w:t>Social Welfare residential care 1950</w:t>
      </w:r>
      <w:r w:rsidRPr="00FC5F93">
        <w:rPr>
          <w:rStyle w:val="normaltextrun"/>
          <w:rFonts w:ascii="Arial" w:hAnsi="Arial" w:cs="Arial"/>
          <w:color w:val="000000"/>
          <w:sz w:val="16"/>
          <w:szCs w:val="16"/>
          <w:bdr w:val="none" w:sz="0" w:space="0" w:color="auto" w:frame="1"/>
        </w:rPr>
        <w:t>–</w:t>
      </w:r>
      <w:r w:rsidRPr="00FC5F93">
        <w:rPr>
          <w:rFonts w:ascii="Arial" w:eastAsia="Arial" w:hAnsi="Arial" w:cs="Arial"/>
          <w:color w:val="auto"/>
          <w:sz w:val="16"/>
          <w:szCs w:val="16"/>
        </w:rPr>
        <w:t xml:space="preserve">1994, Volume I: National policies and procedures (Ministry of Social Development, 2006, </w:t>
      </w:r>
      <w:r w:rsidRPr="00FC5F93">
        <w:rPr>
          <w:rFonts w:ascii="Arial" w:hAnsi="Arial" w:cs="Arial"/>
          <w:color w:val="auto"/>
          <w:sz w:val="16"/>
          <w:szCs w:val="16"/>
        </w:rPr>
        <w:t>page 9).</w:t>
      </w:r>
    </w:p>
  </w:footnote>
  <w:footnote w:id="508">
    <w:p w14:paraId="6AAE5A56" w14:textId="77777777" w:rsidR="0062717F" w:rsidRPr="00FC5F93" w:rsidRDefault="0062717F" w:rsidP="0062717F">
      <w:pPr>
        <w:pStyle w:val="footnotes"/>
        <w:rPr>
          <w:rFonts w:ascii="Arial" w:hAnsi="Arial" w:cs="Arial"/>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Department of Education, Child Welfare Division Field Officers’ Manual, part 1, chapter 2 (1953, page 4).</w:t>
      </w:r>
    </w:p>
  </w:footnote>
  <w:footnote w:id="509">
    <w:p w14:paraId="3DCC8676" w14:textId="77777777" w:rsidR="0062717F" w:rsidRPr="00FC5F93" w:rsidRDefault="0062717F" w:rsidP="0062717F">
      <w:pPr>
        <w:pStyle w:val="footnotes"/>
        <w:rPr>
          <w:rFonts w:ascii="Arial" w:hAnsi="Arial" w:cs="Arial"/>
          <w:sz w:val="16"/>
          <w:szCs w:val="16"/>
        </w:rPr>
      </w:pPr>
      <w:r w:rsidRPr="00536E67">
        <w:rPr>
          <w:rStyle w:val="StyleFootnoteReferenceFagoFunotenzeichenFagoFunotenzeichen"/>
          <w:sz w:val="16"/>
          <w:szCs w:val="16"/>
        </w:rPr>
        <w:footnoteRef/>
      </w:r>
      <w:r w:rsidRPr="00FC5F93" w:rsidDel="00DE4751">
        <w:rPr>
          <w:rFonts w:ascii="Arial" w:hAnsi="Arial" w:cs="Arial"/>
          <w:sz w:val="16"/>
          <w:szCs w:val="16"/>
        </w:rPr>
        <w:t xml:space="preserve"> </w:t>
      </w:r>
      <w:r w:rsidRPr="00FC5F93">
        <w:rPr>
          <w:rFonts w:ascii="Arial" w:hAnsi="Arial" w:cs="Arial"/>
          <w:sz w:val="16"/>
          <w:szCs w:val="16"/>
        </w:rPr>
        <w:t>Child Welfare Act 1925, section 3; Department of Education, Child Welfare Division Field Officers’ Manual, part 1, chapter 2 (1953</w:t>
      </w:r>
      <w:r w:rsidRPr="00FC5F93" w:rsidDel="005430FA">
        <w:rPr>
          <w:rFonts w:ascii="Arial" w:hAnsi="Arial" w:cs="Arial"/>
          <w:sz w:val="16"/>
          <w:szCs w:val="16"/>
        </w:rPr>
        <w:t>,</w:t>
      </w:r>
      <w:r w:rsidRPr="00FC5F93">
        <w:rPr>
          <w:rFonts w:ascii="Arial" w:hAnsi="Arial" w:cs="Arial"/>
          <w:sz w:val="16"/>
          <w:szCs w:val="16"/>
        </w:rPr>
        <w:t xml:space="preserve"> page 4);</w:t>
      </w:r>
      <w:r w:rsidRPr="00FC5F93" w:rsidDel="00DC1600">
        <w:rPr>
          <w:rFonts w:ascii="Arial" w:hAnsi="Arial" w:cs="Arial"/>
          <w:sz w:val="16"/>
          <w:szCs w:val="16"/>
        </w:rPr>
        <w:t xml:space="preserve"> </w:t>
      </w:r>
      <w:r w:rsidRPr="00FC5F93">
        <w:rPr>
          <w:rFonts w:ascii="Arial" w:hAnsi="Arial" w:cs="Arial"/>
          <w:sz w:val="16"/>
          <w:szCs w:val="16"/>
        </w:rPr>
        <w:t xml:space="preserve">The Infants Act 1908 was repealed in 1989. </w:t>
      </w:r>
    </w:p>
  </w:footnote>
  <w:footnote w:id="510">
    <w:p w14:paraId="6A4F21F3" w14:textId="77777777" w:rsidR="0062717F" w:rsidRPr="00FC5F93" w:rsidRDefault="0062717F" w:rsidP="0062717F">
      <w:pPr>
        <w:pStyle w:val="footnotes"/>
        <w:rPr>
          <w:rFonts w:ascii="Arial" w:hAnsi="Arial" w:cs="Arial"/>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Parker, W, Social Welfare residential care 1950</w:t>
      </w:r>
      <w:r w:rsidRPr="00FC5F93">
        <w:rPr>
          <w:rStyle w:val="normaltextrun"/>
          <w:rFonts w:ascii="Arial" w:hAnsi="Arial" w:cs="Arial"/>
          <w:color w:val="000000"/>
          <w:sz w:val="16"/>
          <w:szCs w:val="16"/>
          <w:bdr w:val="none" w:sz="0" w:space="0" w:color="auto" w:frame="1"/>
        </w:rPr>
        <w:t>–</w:t>
      </w:r>
      <w:r w:rsidRPr="00FC5F93">
        <w:rPr>
          <w:rFonts w:ascii="Arial" w:hAnsi="Arial" w:cs="Arial"/>
          <w:sz w:val="16"/>
          <w:szCs w:val="16"/>
        </w:rPr>
        <w:t xml:space="preserve">1994, </w:t>
      </w:r>
      <w:r w:rsidRPr="00FC5F93">
        <w:rPr>
          <w:rFonts w:ascii="Arial" w:eastAsia="Arial" w:hAnsi="Arial" w:cs="Arial"/>
          <w:color w:val="auto"/>
          <w:sz w:val="16"/>
          <w:szCs w:val="16"/>
        </w:rPr>
        <w:t>Volume I: National policies and procedures</w:t>
      </w:r>
      <w:r w:rsidRPr="00FC5F93">
        <w:rPr>
          <w:rFonts w:ascii="Arial" w:hAnsi="Arial" w:cs="Arial"/>
          <w:sz w:val="16"/>
          <w:szCs w:val="16"/>
        </w:rPr>
        <w:t xml:space="preserve"> (Ministry of Social Development, 2006, page 9).</w:t>
      </w:r>
    </w:p>
  </w:footnote>
  <w:footnote w:id="511">
    <w:p w14:paraId="78D6533F" w14:textId="77777777" w:rsidR="0062717F" w:rsidRPr="00FC5F93" w:rsidRDefault="0062717F" w:rsidP="0062717F">
      <w:pPr>
        <w:pStyle w:val="footnotes"/>
        <w:spacing w:after="0"/>
        <w:rPr>
          <w:rFonts w:ascii="Arial" w:hAnsi="Arial" w:cs="Arial"/>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Parker, W, Social Welfare residential care 1950-1994, </w:t>
      </w:r>
      <w:r w:rsidRPr="00FC5F93">
        <w:rPr>
          <w:rFonts w:ascii="Arial" w:eastAsia="Arial" w:hAnsi="Arial" w:cs="Arial"/>
          <w:color w:val="auto"/>
          <w:sz w:val="16"/>
          <w:szCs w:val="16"/>
        </w:rPr>
        <w:t xml:space="preserve">Volume I: National policies and procedures </w:t>
      </w:r>
      <w:r w:rsidRPr="00FC5F93">
        <w:rPr>
          <w:rFonts w:ascii="Arial" w:hAnsi="Arial" w:cs="Arial"/>
          <w:sz w:val="16"/>
          <w:szCs w:val="16"/>
        </w:rPr>
        <w:t>(Ministry of Social Development, 2006, page 9).</w:t>
      </w:r>
    </w:p>
  </w:footnote>
  <w:footnote w:id="512">
    <w:p w14:paraId="51448E46" w14:textId="77777777" w:rsidR="0062717F" w:rsidRPr="00FC5F93" w:rsidRDefault="0062717F" w:rsidP="0062717F">
      <w:pPr>
        <w:pStyle w:val="footnotes"/>
        <w:spacing w:after="0"/>
        <w:rPr>
          <w:rFonts w:ascii="Arial" w:hAnsi="Arial" w:cs="Arial"/>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Child Welfare Act 1925, section 12(1).</w:t>
      </w:r>
    </w:p>
  </w:footnote>
  <w:footnote w:id="513">
    <w:p w14:paraId="4E12ECF8" w14:textId="77777777" w:rsidR="0062717F" w:rsidRPr="00FC5F93" w:rsidRDefault="0062717F" w:rsidP="0062717F">
      <w:pPr>
        <w:pStyle w:val="footnotes"/>
        <w:spacing w:after="0"/>
        <w:rPr>
          <w:rFonts w:ascii="Arial" w:hAnsi="Arial" w:cs="Arial"/>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Child Welfare Act 1925, section 13(4).</w:t>
      </w:r>
    </w:p>
  </w:footnote>
  <w:footnote w:id="514">
    <w:p w14:paraId="4719C241" w14:textId="77777777" w:rsidR="0062717F" w:rsidRPr="00FC5F93" w:rsidRDefault="0062717F" w:rsidP="0062717F">
      <w:pPr>
        <w:pStyle w:val="FootnoteText"/>
        <w:spacing w:before="0" w:after="0"/>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Child Welfare Act 1925, section 16.</w:t>
      </w:r>
    </w:p>
  </w:footnote>
  <w:footnote w:id="515">
    <w:p w14:paraId="423E217D" w14:textId="77777777" w:rsidR="0062717F" w:rsidRPr="00536E67" w:rsidRDefault="0062717F" w:rsidP="0062717F">
      <w:pPr>
        <w:pStyle w:val="FootnoteText"/>
        <w:spacing w:before="0" w:after="0"/>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rFonts w:cs="Arial"/>
          <w:sz w:val="16"/>
          <w:szCs w:val="16"/>
          <w:shd w:val="clear" w:color="auto" w:fill="FFFFFF"/>
        </w:rPr>
        <w:t>Earl White v Attorney General, HC, Wellington, CIV-2001-485-864 (28 November 2007</w:t>
      </w:r>
      <w:r w:rsidRPr="00FC5F93">
        <w:rPr>
          <w:rFonts w:cs="Arial"/>
          <w:sz w:val="16"/>
          <w:szCs w:val="16"/>
        </w:rPr>
        <w:t>, para 346).</w:t>
      </w:r>
    </w:p>
  </w:footnote>
  <w:footnote w:id="516">
    <w:p w14:paraId="64978523" w14:textId="77777777" w:rsidR="0062717F" w:rsidRPr="00FC5F93" w:rsidRDefault="0062717F" w:rsidP="0062717F">
      <w:pPr>
        <w:pStyle w:val="footnotes"/>
        <w:rPr>
          <w:rFonts w:ascii="Arial" w:hAnsi="Arial" w:cs="Arial"/>
          <w:sz w:val="16"/>
          <w:szCs w:val="16"/>
          <w:lang w:val="mi-NZ"/>
        </w:rPr>
      </w:pPr>
      <w:r w:rsidRPr="00536E67">
        <w:rPr>
          <w:rStyle w:val="StyleFootnoteReferenceFagoFunotenzeichenFagoFunotenzeichen"/>
          <w:sz w:val="16"/>
          <w:szCs w:val="16"/>
        </w:rPr>
        <w:footnoteRef/>
      </w:r>
      <w:r w:rsidRPr="00FC5F93" w:rsidDel="007C19CE">
        <w:rPr>
          <w:rFonts w:ascii="Arial" w:hAnsi="Arial" w:cs="Arial"/>
          <w:sz w:val="16"/>
          <w:szCs w:val="16"/>
        </w:rPr>
        <w:t xml:space="preserve"> </w:t>
      </w:r>
      <w:r w:rsidRPr="00FC5F93">
        <w:rPr>
          <w:rFonts w:ascii="Arial" w:hAnsi="Arial" w:cs="Arial"/>
          <w:sz w:val="16"/>
          <w:szCs w:val="16"/>
          <w:lang w:val="mi-NZ"/>
        </w:rPr>
        <w:t>Department of Social Welfare Act 1971, section 6.</w:t>
      </w:r>
    </w:p>
  </w:footnote>
  <w:footnote w:id="517">
    <w:p w14:paraId="23DB698E" w14:textId="77777777" w:rsidR="0062717F" w:rsidRPr="00FC5F93" w:rsidRDefault="0062717F" w:rsidP="0062717F">
      <w:pPr>
        <w:pStyle w:val="footnotes"/>
        <w:rPr>
          <w:rFonts w:ascii="Arial" w:hAnsi="Arial" w:cs="Arial"/>
          <w:sz w:val="16"/>
          <w:szCs w:val="16"/>
          <w:lang w:val="mi-NZ"/>
        </w:rPr>
      </w:pPr>
      <w:r w:rsidRPr="00536E67">
        <w:rPr>
          <w:rStyle w:val="StyleFootnoteReferenceFagoFunotenzeichenFagoFunotenzeichen"/>
          <w:sz w:val="16"/>
          <w:szCs w:val="16"/>
        </w:rPr>
        <w:footnoteRef/>
      </w:r>
      <w:r w:rsidRPr="00FC5F93" w:rsidDel="007C19CE">
        <w:rPr>
          <w:rFonts w:ascii="Arial" w:hAnsi="Arial" w:cs="Arial"/>
          <w:sz w:val="16"/>
          <w:szCs w:val="16"/>
        </w:rPr>
        <w:t xml:space="preserve"> </w:t>
      </w:r>
      <w:r w:rsidRPr="00FC5F93">
        <w:rPr>
          <w:rFonts w:ascii="Arial" w:hAnsi="Arial" w:cs="Arial"/>
          <w:sz w:val="16"/>
          <w:szCs w:val="16"/>
          <w:lang w:val="mi-NZ"/>
        </w:rPr>
        <w:t>Children and Young Persons Act 1974, section 49(4).</w:t>
      </w:r>
    </w:p>
  </w:footnote>
  <w:footnote w:id="518">
    <w:p w14:paraId="336D3E42" w14:textId="77777777" w:rsidR="0062717F" w:rsidRPr="00FC5F93" w:rsidRDefault="0062717F" w:rsidP="0062717F">
      <w:pPr>
        <w:pStyle w:val="footnotes"/>
        <w:rPr>
          <w:rFonts w:ascii="Arial" w:hAnsi="Arial" w:cs="Arial"/>
          <w:sz w:val="16"/>
          <w:szCs w:val="16"/>
          <w:lang w:val="mi-NZ"/>
        </w:rPr>
      </w:pPr>
      <w:r w:rsidRPr="00536E67">
        <w:rPr>
          <w:rStyle w:val="StyleFootnoteReferenceFagoFunotenzeichenFagoFunotenzeichen"/>
          <w:sz w:val="16"/>
          <w:szCs w:val="16"/>
        </w:rPr>
        <w:footnoteRef/>
      </w:r>
      <w:r w:rsidRPr="00FC5F93" w:rsidDel="006E3E01">
        <w:rPr>
          <w:rFonts w:ascii="Arial" w:hAnsi="Arial" w:cs="Arial"/>
          <w:sz w:val="16"/>
          <w:szCs w:val="16"/>
        </w:rPr>
        <w:t xml:space="preserve"> </w:t>
      </w:r>
      <w:r w:rsidRPr="00FC5F93">
        <w:rPr>
          <w:rFonts w:ascii="Arial" w:hAnsi="Arial" w:cs="Arial"/>
          <w:sz w:val="16"/>
          <w:szCs w:val="16"/>
          <w:lang w:val="mi-NZ"/>
        </w:rPr>
        <w:t xml:space="preserve">Children and Young Persons Act 1974, section 5(1). </w:t>
      </w:r>
    </w:p>
  </w:footnote>
  <w:footnote w:id="519">
    <w:p w14:paraId="00FA435F" w14:textId="77777777" w:rsidR="0062717F" w:rsidRPr="00FC5F93" w:rsidRDefault="0062717F" w:rsidP="0062717F">
      <w:pPr>
        <w:pStyle w:val="footnotes"/>
        <w:rPr>
          <w:rFonts w:ascii="Arial" w:hAnsi="Arial" w:cs="Arial"/>
          <w:sz w:val="16"/>
          <w:szCs w:val="16"/>
          <w:lang w:val="mi-NZ"/>
        </w:rPr>
      </w:pPr>
      <w:r w:rsidRPr="00536E67">
        <w:rPr>
          <w:rStyle w:val="StyleFootnoteReferenceFagoFunotenzeichenFagoFunotenzeichen"/>
          <w:sz w:val="16"/>
          <w:szCs w:val="16"/>
        </w:rPr>
        <w:footnoteRef/>
      </w:r>
      <w:r w:rsidRPr="00FC5F93">
        <w:rPr>
          <w:rFonts w:ascii="Arial" w:hAnsi="Arial" w:cs="Arial"/>
          <w:sz w:val="16"/>
          <w:szCs w:val="16"/>
        </w:rPr>
        <w:t xml:space="preserve"> </w:t>
      </w:r>
      <w:r w:rsidRPr="00FC5F93">
        <w:rPr>
          <w:rStyle w:val="normaltextrun"/>
          <w:rFonts w:ascii="Arial" w:hAnsi="Arial" w:cs="Arial"/>
          <w:sz w:val="16"/>
          <w:szCs w:val="16"/>
          <w:shd w:val="clear" w:color="auto" w:fill="FFFFFF"/>
        </w:rPr>
        <w:t>Earl White v Attorney General, HC, Wellington, CIV-2001-485-864 (28 November 2007</w:t>
      </w:r>
      <w:r w:rsidRPr="00FC5F93">
        <w:rPr>
          <w:rFonts w:ascii="Arial" w:hAnsi="Arial" w:cs="Arial"/>
          <w:sz w:val="16"/>
          <w:szCs w:val="16"/>
        </w:rPr>
        <w:t>, para 346).</w:t>
      </w:r>
    </w:p>
  </w:footnote>
  <w:footnote w:id="520">
    <w:p w14:paraId="1BF73B60"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Arial"/>
          <w:sz w:val="16"/>
          <w:szCs w:val="16"/>
          <w:lang w:val="mi-NZ"/>
        </w:rPr>
        <w:t>Children, Young Persons, and Their Families Act 1989, section 7.</w:t>
      </w:r>
    </w:p>
  </w:footnote>
  <w:footnote w:id="521">
    <w:p w14:paraId="76AD9DA0"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Arial"/>
          <w:sz w:val="16"/>
          <w:szCs w:val="16"/>
        </w:rPr>
        <w:t>Department of Education, Child Welfare Division Field Officers’ Manual, part 1 (1953, page 104).</w:t>
      </w:r>
    </w:p>
  </w:footnote>
  <w:footnote w:id="522">
    <w:p w14:paraId="7D8500F7" w14:textId="77777777" w:rsidR="0062717F" w:rsidRPr="00FC5F93" w:rsidRDefault="0062717F" w:rsidP="0062717F">
      <w:pPr>
        <w:pStyle w:val="FootnoteText"/>
        <w:spacing w:before="0" w:after="0" w:line="240" w:lineRule="auto"/>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Arial"/>
          <w:sz w:val="16"/>
          <w:szCs w:val="16"/>
        </w:rPr>
        <w:t>Department of Education, Child Welfare Division Field Officers’ Manual, part 1 (1953, page 106).</w:t>
      </w:r>
    </w:p>
  </w:footnote>
  <w:footnote w:id="523">
    <w:p w14:paraId="7282F34C" w14:textId="77777777" w:rsidR="0062717F" w:rsidRPr="00FC5F93" w:rsidRDefault="0062717F" w:rsidP="0062717F">
      <w:pPr>
        <w:pStyle w:val="FootnoteText"/>
        <w:spacing w:before="0" w:after="0" w:line="240" w:lineRule="auto"/>
        <w:rPr>
          <w:sz w:val="16"/>
          <w:szCs w:val="16"/>
        </w:rPr>
      </w:pPr>
      <w:r w:rsidRPr="00536E67">
        <w:rPr>
          <w:rStyle w:val="StyleFootnoteReferenceFagoFunotenzeichenFagoFunotenzeichen"/>
          <w:sz w:val="16"/>
          <w:szCs w:val="16"/>
        </w:rPr>
        <w:footnoteRef/>
      </w:r>
      <w:r w:rsidRPr="00D668D0">
        <w:rPr>
          <w:sz w:val="16"/>
          <w:szCs w:val="16"/>
          <w:vertAlign w:val="superscript"/>
        </w:rPr>
        <w:t xml:space="preserve"> </w:t>
      </w:r>
      <w:r w:rsidRPr="00FC5F93">
        <w:rPr>
          <w:rFonts w:cs="Arial"/>
          <w:sz w:val="16"/>
          <w:szCs w:val="16"/>
        </w:rPr>
        <w:t xml:space="preserve">Department of Education, Child Welfare Division Field Officers’ Manual, part 1 (1953, page 106); </w:t>
      </w:r>
      <w:r w:rsidRPr="00FC5F93">
        <w:rPr>
          <w:sz w:val="16"/>
          <w:szCs w:val="16"/>
        </w:rPr>
        <w:t xml:space="preserve"> Ministry of Social Development, Record keeping history of the Ministry of Social Development and its predecessor agencies: Part One agency structure, records systems and procedures (n.d., page 37).</w:t>
      </w:r>
    </w:p>
  </w:footnote>
  <w:footnote w:id="524">
    <w:p w14:paraId="24BC9649" w14:textId="77777777" w:rsidR="0062717F" w:rsidRPr="00FC5F93" w:rsidRDefault="0062717F" w:rsidP="0062717F">
      <w:pPr>
        <w:pStyle w:val="FootnoteText"/>
        <w:spacing w:before="0" w:after="0" w:line="240" w:lineRule="auto"/>
        <w:rPr>
          <w:sz w:val="16"/>
          <w:szCs w:val="16"/>
        </w:rPr>
      </w:pPr>
      <w:r w:rsidRPr="00536E67">
        <w:rPr>
          <w:rStyle w:val="StyleFootnoteReferenceFagoFunotenzeichenFagoFunotenzeichen"/>
          <w:sz w:val="16"/>
          <w:szCs w:val="16"/>
        </w:rPr>
        <w:footnoteRef/>
      </w:r>
      <w:r w:rsidRPr="00FC5F93">
        <w:rPr>
          <w:sz w:val="16"/>
          <w:szCs w:val="16"/>
        </w:rPr>
        <w:t xml:space="preserve"> Ministry of Social Development, Record keeping history of the Ministry of Social Development and its predecessor agencies: Part One agency structure, records systems and procedures (n.d., page 46).</w:t>
      </w:r>
    </w:p>
  </w:footnote>
  <w:footnote w:id="525">
    <w:p w14:paraId="71DE22BE" w14:textId="77777777" w:rsidR="0062717F" w:rsidRPr="00FC5F93" w:rsidRDefault="0062717F" w:rsidP="0062717F">
      <w:pPr>
        <w:pStyle w:val="footnotes"/>
        <w:spacing w:after="0"/>
        <w:rPr>
          <w:rFonts w:ascii="Arial" w:hAnsi="Arial" w:cs="Arial"/>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Child Welfare Act 1925, section 6(1).</w:t>
      </w:r>
    </w:p>
  </w:footnote>
  <w:footnote w:id="526">
    <w:p w14:paraId="71E7C403" w14:textId="77777777" w:rsidR="0062717F" w:rsidRPr="00FC5F93" w:rsidRDefault="0062717F" w:rsidP="0062717F">
      <w:pPr>
        <w:pStyle w:val="FootnoteText"/>
        <w:spacing w:before="0" w:after="0" w:line="240" w:lineRule="auto"/>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Arial"/>
          <w:color w:val="auto"/>
          <w:sz w:val="16"/>
          <w:szCs w:val="16"/>
        </w:rPr>
        <w:t xml:space="preserve">Parker, W, </w:t>
      </w:r>
      <w:r w:rsidRPr="00FC5F93">
        <w:rPr>
          <w:rFonts w:eastAsia="Arial" w:cs="Arial"/>
          <w:color w:val="auto"/>
          <w:sz w:val="16"/>
          <w:szCs w:val="16"/>
        </w:rPr>
        <w:t>Social Welfare residential care 1950</w:t>
      </w:r>
      <w:r w:rsidRPr="00FC5F93">
        <w:rPr>
          <w:rStyle w:val="normaltextrun"/>
          <w:rFonts w:cs="Arial"/>
          <w:color w:val="000000"/>
          <w:sz w:val="16"/>
          <w:szCs w:val="16"/>
          <w:bdr w:val="none" w:sz="0" w:space="0" w:color="auto" w:frame="1"/>
        </w:rPr>
        <w:t>–</w:t>
      </w:r>
      <w:r w:rsidRPr="00FC5F93">
        <w:rPr>
          <w:rFonts w:eastAsia="Arial" w:cs="Arial"/>
          <w:color w:val="auto"/>
          <w:sz w:val="16"/>
          <w:szCs w:val="16"/>
        </w:rPr>
        <w:t xml:space="preserve">1994, Volume I: National policies and procedures (Ministry of Social Development, 2006, </w:t>
      </w:r>
      <w:r w:rsidRPr="00FC5F93">
        <w:rPr>
          <w:rFonts w:cs="Arial"/>
          <w:color w:val="auto"/>
          <w:sz w:val="16"/>
          <w:szCs w:val="16"/>
        </w:rPr>
        <w:t>page 11).</w:t>
      </w:r>
    </w:p>
  </w:footnote>
  <w:footnote w:id="527">
    <w:p w14:paraId="6357A3FE" w14:textId="77777777" w:rsidR="0062717F" w:rsidRPr="00FC5F93" w:rsidRDefault="0062717F" w:rsidP="0062717F">
      <w:pPr>
        <w:pStyle w:val="FootnoteText"/>
        <w:spacing w:before="0" w:after="0" w:line="240" w:lineRule="auto"/>
        <w:rPr>
          <w:sz w:val="16"/>
          <w:szCs w:val="16"/>
        </w:rPr>
      </w:pPr>
      <w:r w:rsidRPr="00536E67">
        <w:rPr>
          <w:rStyle w:val="StyleFootnoteReferenceFagoFunotenzeichenFagoFunotenzeichen"/>
          <w:sz w:val="16"/>
          <w:szCs w:val="16"/>
        </w:rPr>
        <w:footnoteRef/>
      </w:r>
      <w:r w:rsidRPr="00FC5F93">
        <w:rPr>
          <w:color w:val="auto"/>
          <w:sz w:val="16"/>
          <w:szCs w:val="16"/>
        </w:rPr>
        <w:t xml:space="preserve"> </w:t>
      </w:r>
      <w:r w:rsidRPr="00FC5F93">
        <w:rPr>
          <w:rFonts w:cs="Arial"/>
          <w:color w:val="auto"/>
          <w:sz w:val="16"/>
          <w:szCs w:val="16"/>
        </w:rPr>
        <w:t>Department of Education, Child Welfare Division Field Officers’ Manual, part 1 (1953, page 106).</w:t>
      </w:r>
    </w:p>
  </w:footnote>
  <w:footnote w:id="528">
    <w:p w14:paraId="343B3FAF"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Dalley, B, </w:t>
      </w:r>
      <w:r w:rsidRPr="00FC5F93">
        <w:rPr>
          <w:rFonts w:eastAsia="Calibri" w:cs="Arial"/>
          <w:color w:val="auto"/>
          <w:sz w:val="16"/>
          <w:szCs w:val="16"/>
        </w:rPr>
        <w:t>Family matters: Child welfare in twentieth-century New Zealand (Auckland University Press, 1998</w:t>
      </w:r>
      <w:r w:rsidRPr="00FC5F93">
        <w:rPr>
          <w:rFonts w:cs="Arial"/>
          <w:color w:val="auto"/>
          <w:sz w:val="16"/>
          <w:szCs w:val="16"/>
        </w:rPr>
        <w:t xml:space="preserve">, page 97);  Parker, W, </w:t>
      </w:r>
      <w:r w:rsidRPr="00FC5F93">
        <w:rPr>
          <w:rFonts w:eastAsia="Arial" w:cs="Arial"/>
          <w:color w:val="auto"/>
          <w:sz w:val="16"/>
          <w:szCs w:val="16"/>
        </w:rPr>
        <w:t xml:space="preserve">Social Welfare residential care 1950–1994, Volume I: National policies and procedures (Ministry of Social Development, 2006, </w:t>
      </w:r>
      <w:r w:rsidRPr="00FC5F93">
        <w:rPr>
          <w:rFonts w:cs="Arial"/>
          <w:color w:val="auto"/>
          <w:sz w:val="16"/>
          <w:szCs w:val="16"/>
        </w:rPr>
        <w:t>page 9).</w:t>
      </w:r>
    </w:p>
  </w:footnote>
  <w:footnote w:id="529">
    <w:p w14:paraId="6006F271"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Child Welfare Act 1925, (No 22), section 13 (2).</w:t>
      </w:r>
    </w:p>
  </w:footnote>
  <w:footnote w:id="530">
    <w:p w14:paraId="058FB90A"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sidDel="00F952A3">
        <w:rPr>
          <w:sz w:val="16"/>
          <w:szCs w:val="16"/>
        </w:rPr>
        <w:t xml:space="preserve"> </w:t>
      </w:r>
      <w:r w:rsidRPr="00FC5F93">
        <w:rPr>
          <w:sz w:val="16"/>
          <w:szCs w:val="16"/>
        </w:rPr>
        <w:t>Child Welfare Act 1925, sections 13 (9) and 20(1), (Repealed); Children and Young Persons Act 1974, section 49(4</w:t>
      </w:r>
      <w:r w:rsidRPr="00FC5F93" w:rsidDel="006A5883">
        <w:rPr>
          <w:sz w:val="16"/>
          <w:szCs w:val="16"/>
        </w:rPr>
        <w:t>)</w:t>
      </w:r>
      <w:r w:rsidRPr="00FC5F93">
        <w:rPr>
          <w:sz w:val="16"/>
          <w:szCs w:val="16"/>
        </w:rPr>
        <w:t>; Children, Young Persons, and Their Families Act 1989, sections 105 and 362.</w:t>
      </w:r>
    </w:p>
  </w:footnote>
  <w:footnote w:id="531">
    <w:p w14:paraId="032FB3E2" w14:textId="77777777" w:rsidR="001D06DA" w:rsidRPr="00702073" w:rsidRDefault="001D06DA" w:rsidP="001D06DA">
      <w:pPr>
        <w:pStyle w:val="FootnoteText"/>
        <w:rPr>
          <w:color w:val="auto"/>
          <w:sz w:val="16"/>
          <w:szCs w:val="16"/>
        </w:rPr>
      </w:pPr>
      <w:r>
        <w:rPr>
          <w:rStyle w:val="FootnoteReference"/>
        </w:rPr>
        <w:footnoteRef/>
      </w:r>
      <w:r>
        <w:t xml:space="preserve"> </w:t>
      </w:r>
      <w:r w:rsidRPr="00702073">
        <w:rPr>
          <w:color w:val="auto"/>
          <w:sz w:val="16"/>
          <w:szCs w:val="16"/>
        </w:rPr>
        <w:t>Department of Social Welfare, Social Workers Manual (1984, page 47); Department of Social Welfare, Social Workers Manual (1985, page 83); Department of Social Welfare, Social Workers Manual (1989, page 81).</w:t>
      </w:r>
    </w:p>
    <w:p w14:paraId="28BD7BB2" w14:textId="5814A743" w:rsidR="001D06DA" w:rsidRDefault="001D06DA">
      <w:pPr>
        <w:pStyle w:val="FootnoteText"/>
      </w:pPr>
    </w:p>
  </w:footnote>
  <w:footnote w:id="532">
    <w:p w14:paraId="661B8AC1" w14:textId="77777777" w:rsidR="0062717F" w:rsidRPr="00FC5F93" w:rsidRDefault="0062717F" w:rsidP="0062717F">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Sagar, M, Psychologists and the Department of Social Welfare (publisher unknown, 1986, </w:t>
      </w:r>
      <w:r w:rsidRPr="00FC5F93">
        <w:rPr>
          <w:rFonts w:cs="Arial"/>
          <w:color w:val="auto"/>
          <w:sz w:val="16"/>
          <w:szCs w:val="16"/>
        </w:rPr>
        <w:t xml:space="preserve">pages </w:t>
      </w:r>
      <w:r w:rsidRPr="00FC5F93">
        <w:rPr>
          <w:color w:val="auto"/>
          <w:sz w:val="16"/>
          <w:szCs w:val="16"/>
        </w:rPr>
        <w:t>2</w:t>
      </w:r>
      <w:r w:rsidRPr="00FC5F93">
        <w:rPr>
          <w:rStyle w:val="normaltextrun"/>
          <w:rFonts w:cs="Arial"/>
          <w:color w:val="auto"/>
          <w:sz w:val="16"/>
          <w:szCs w:val="16"/>
          <w:bdr w:val="none" w:sz="0" w:space="0" w:color="auto" w:frame="1"/>
        </w:rPr>
        <w:t>–</w:t>
      </w:r>
      <w:r w:rsidRPr="00FC5F93">
        <w:rPr>
          <w:color w:val="auto"/>
          <w:sz w:val="16"/>
          <w:szCs w:val="16"/>
        </w:rPr>
        <w:t>3).</w:t>
      </w:r>
    </w:p>
  </w:footnote>
  <w:footnote w:id="533">
    <w:p w14:paraId="49A6F2F7" w14:textId="77777777" w:rsidR="0062717F" w:rsidRPr="00536E67"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color w:val="auto"/>
          <w:sz w:val="16"/>
          <w:szCs w:val="16"/>
        </w:rPr>
        <w:t xml:space="preserve">Sagar, M, Psychologists and the Department of Social Welfare (publisher unknown, 1986, </w:t>
      </w:r>
      <w:r w:rsidRPr="00FC5F93">
        <w:rPr>
          <w:rFonts w:cs="Arial"/>
          <w:color w:val="auto"/>
          <w:sz w:val="16"/>
          <w:szCs w:val="16"/>
        </w:rPr>
        <w:t xml:space="preserve">page </w:t>
      </w:r>
      <w:r w:rsidRPr="00FC5F93">
        <w:rPr>
          <w:color w:val="auto"/>
          <w:sz w:val="16"/>
          <w:szCs w:val="16"/>
        </w:rPr>
        <w:t>3).</w:t>
      </w:r>
    </w:p>
  </w:footnote>
  <w:footnote w:id="534">
    <w:p w14:paraId="24C3DA4E"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color w:val="auto"/>
          <w:sz w:val="16"/>
          <w:szCs w:val="16"/>
        </w:rPr>
        <w:t xml:space="preserve"> Ministry of Social Development, Record keeping history of the Ministry of Social Development and its predecessor agencies: Part One agency structure, records systems and procedures (n.d., pages 125–126).</w:t>
      </w:r>
    </w:p>
  </w:footnote>
  <w:footnote w:id="535">
    <w:p w14:paraId="089A9D62"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color w:val="auto"/>
          <w:sz w:val="16"/>
          <w:szCs w:val="16"/>
        </w:rPr>
        <w:t xml:space="preserve"> Ministry of Social Development, Record keeping history of the Ministry of Social Development and its predecessor agencies: Part One agency structure, records systems and procedures (n.d., pages 125–156). </w:t>
      </w:r>
    </w:p>
  </w:footnote>
  <w:footnote w:id="536">
    <w:p w14:paraId="2E94712C" w14:textId="77777777" w:rsidR="0062717F" w:rsidRPr="00536E67" w:rsidRDefault="0062717F" w:rsidP="0062717F">
      <w:pPr>
        <w:pStyle w:val="FootnoteText"/>
        <w:rPr>
          <w:sz w:val="16"/>
          <w:szCs w:val="16"/>
        </w:rPr>
      </w:pPr>
      <w:r w:rsidRPr="00536E67">
        <w:rPr>
          <w:rStyle w:val="FootnoteReference"/>
          <w:sz w:val="16"/>
          <w:szCs w:val="16"/>
        </w:rPr>
        <w:footnoteRef/>
      </w:r>
      <w:r w:rsidRPr="00536E67">
        <w:rPr>
          <w:sz w:val="16"/>
          <w:szCs w:val="16"/>
        </w:rPr>
        <w:t xml:space="preserve"> </w:t>
      </w:r>
      <w:r w:rsidRPr="00FC5F93">
        <w:rPr>
          <w:rFonts w:cs="Arial"/>
          <w:color w:val="auto"/>
          <w:sz w:val="16"/>
          <w:szCs w:val="16"/>
        </w:rPr>
        <w:t>Garlick, T, Social developments: An organisational history of the Ministry of Social Development and its predecessors, 1860–2011 (Steele Roberts Aotearoa, 2012, pages 278 and 283</w:t>
      </w:r>
      <w:r>
        <w:rPr>
          <w:rFonts w:cs="Arial"/>
          <w:color w:val="auto"/>
          <w:sz w:val="16"/>
          <w:szCs w:val="16"/>
        </w:rPr>
        <w:t>–</w:t>
      </w:r>
      <w:r w:rsidRPr="00FC5F93">
        <w:rPr>
          <w:rFonts w:cs="Arial"/>
          <w:color w:val="auto"/>
          <w:sz w:val="16"/>
          <w:szCs w:val="16"/>
        </w:rPr>
        <w:t>286).</w:t>
      </w:r>
    </w:p>
  </w:footnote>
  <w:footnote w:id="537">
    <w:p w14:paraId="0FC68426" w14:textId="77777777" w:rsidR="0062717F" w:rsidRPr="00536E67" w:rsidRDefault="0062717F" w:rsidP="0062717F">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color w:val="auto"/>
          <w:sz w:val="16"/>
          <w:szCs w:val="16"/>
        </w:rPr>
        <w:t>Ministry of Social Development, Record keeping history of the Ministry of Social Development and its predecessor agencies: Part One agency structure, records systems and procedures (n.d., page 157).</w:t>
      </w:r>
    </w:p>
  </w:footnote>
  <w:footnote w:id="538">
    <w:p w14:paraId="4DC84D24" w14:textId="77777777" w:rsidR="0062717F" w:rsidRDefault="0062717F" w:rsidP="0062717F">
      <w:pPr>
        <w:pStyle w:val="FootnoteText"/>
      </w:pPr>
      <w:r>
        <w:rPr>
          <w:rStyle w:val="FootnoteReference"/>
        </w:rPr>
        <w:footnoteRef/>
      </w:r>
      <w:r>
        <w:t xml:space="preserve"> </w:t>
      </w:r>
      <w:r w:rsidRPr="00FC5F93">
        <w:rPr>
          <w:rFonts w:cs="Arial"/>
          <w:color w:val="auto"/>
          <w:sz w:val="16"/>
          <w:szCs w:val="16"/>
        </w:rPr>
        <w:t xml:space="preserve">Garlick, T, Social developments: An organisational history of the Ministry of Social Development and its predecessors, 1860–2011 (Steele Roberts Aotearoa, 2012, pages </w:t>
      </w:r>
      <w:r>
        <w:rPr>
          <w:rFonts w:cs="Arial"/>
          <w:color w:val="auto"/>
          <w:sz w:val="16"/>
          <w:szCs w:val="16"/>
        </w:rPr>
        <w:t>53</w:t>
      </w:r>
      <w:r w:rsidRPr="00FC5F93">
        <w:rPr>
          <w:rFonts w:cs="Arial"/>
          <w:color w:val="auto"/>
          <w:sz w:val="16"/>
          <w:szCs w:val="16"/>
        </w:rPr>
        <w:t xml:space="preserve"> and </w:t>
      </w:r>
      <w:r>
        <w:rPr>
          <w:rFonts w:cs="Arial"/>
          <w:color w:val="auto"/>
          <w:sz w:val="16"/>
          <w:szCs w:val="16"/>
        </w:rPr>
        <w:t>93</w:t>
      </w:r>
      <w:r w:rsidRPr="00FC5F93">
        <w:rPr>
          <w:rFonts w:cs="Arial"/>
          <w:color w:val="auto"/>
          <w:sz w:val="16"/>
          <w:szCs w:val="16"/>
        </w:rPr>
        <w:t>).</w:t>
      </w:r>
    </w:p>
  </w:footnote>
  <w:footnote w:id="539">
    <w:p w14:paraId="184445C8" w14:textId="77777777" w:rsidR="0062717F" w:rsidRDefault="0062717F" w:rsidP="0062717F">
      <w:pPr>
        <w:pStyle w:val="FootnoteText"/>
      </w:pPr>
      <w:r>
        <w:rPr>
          <w:rStyle w:val="FootnoteReference"/>
        </w:rPr>
        <w:footnoteRef/>
      </w:r>
      <w:r>
        <w:t xml:space="preserve"> </w:t>
      </w:r>
      <w:r w:rsidRPr="00FC5F93">
        <w:rPr>
          <w:rFonts w:cs="Arial"/>
          <w:color w:val="auto"/>
          <w:sz w:val="16"/>
          <w:szCs w:val="16"/>
        </w:rPr>
        <w:t>Garlick, T, Social developments: An organisational history of the Ministry of Social Development and its predecessors, 1860–2011 (Steele Roberts Aotearoa, 2012, page</w:t>
      </w:r>
      <w:r>
        <w:rPr>
          <w:rFonts w:cs="Arial"/>
          <w:color w:val="auto"/>
          <w:sz w:val="16"/>
          <w:szCs w:val="16"/>
        </w:rPr>
        <w:t xml:space="preserve"> 132</w:t>
      </w:r>
      <w:r w:rsidRPr="00FC5F93">
        <w:rPr>
          <w:rFonts w:cs="Arial"/>
          <w:color w:val="auto"/>
          <w:sz w:val="16"/>
          <w:szCs w:val="16"/>
        </w:rPr>
        <w:t>).</w:t>
      </w:r>
    </w:p>
  </w:footnote>
  <w:footnote w:id="540">
    <w:p w14:paraId="0E35CC1F" w14:textId="77777777" w:rsidR="0062717F" w:rsidRPr="00CB4F47" w:rsidRDefault="0062717F" w:rsidP="0062717F">
      <w:pPr>
        <w:pStyle w:val="FootnoteText"/>
        <w:rPr>
          <w:sz w:val="16"/>
          <w:szCs w:val="16"/>
        </w:rPr>
      </w:pPr>
      <w:r w:rsidRPr="00D24D13">
        <w:rPr>
          <w:rStyle w:val="StyleFootnoteReferenceFagoFunotenzeichenFagoFunotenzeichen"/>
        </w:rPr>
        <w:footnoteRef/>
      </w:r>
      <w:r w:rsidRPr="00CB4F47">
        <w:rPr>
          <w:sz w:val="16"/>
          <w:szCs w:val="16"/>
        </w:rPr>
        <w:t xml:space="preserve"> </w:t>
      </w:r>
      <w:r w:rsidRPr="00CB4F47">
        <w:rPr>
          <w:rFonts w:cs="Arial"/>
          <w:sz w:val="16"/>
          <w:szCs w:val="16"/>
        </w:rPr>
        <w:t>Child Welfare Act 1925, section 12(1).</w:t>
      </w:r>
    </w:p>
  </w:footnote>
  <w:footnote w:id="541">
    <w:p w14:paraId="40E47929" w14:textId="77777777" w:rsidR="0062717F" w:rsidRPr="00CB4F47" w:rsidRDefault="0062717F" w:rsidP="0062717F">
      <w:pPr>
        <w:pStyle w:val="FootnoteText"/>
        <w:rPr>
          <w:sz w:val="16"/>
          <w:szCs w:val="16"/>
        </w:rPr>
      </w:pPr>
      <w:r w:rsidRPr="00D24D13">
        <w:rPr>
          <w:rStyle w:val="StyleFootnoteReferenceFagoFunotenzeichenFagoFunotenzeichen"/>
        </w:rPr>
        <w:footnoteRef/>
      </w:r>
      <w:r w:rsidRPr="00CB4F47" w:rsidDel="00FE0693">
        <w:rPr>
          <w:sz w:val="16"/>
          <w:szCs w:val="16"/>
        </w:rPr>
        <w:t xml:space="preserve"> </w:t>
      </w:r>
      <w:r w:rsidRPr="00CB4F47">
        <w:rPr>
          <w:rFonts w:cs="Arial"/>
          <w:sz w:val="16"/>
          <w:szCs w:val="16"/>
        </w:rPr>
        <w:t>Child Welfare Act 1925, section 12(2).</w:t>
      </w:r>
    </w:p>
  </w:footnote>
  <w:footnote w:id="542">
    <w:p w14:paraId="1808E0B4" w14:textId="77777777" w:rsidR="0062717F" w:rsidRPr="00CB4F47" w:rsidRDefault="0062717F" w:rsidP="0062717F">
      <w:pPr>
        <w:pStyle w:val="FootnoteText"/>
        <w:rPr>
          <w:sz w:val="16"/>
          <w:szCs w:val="16"/>
        </w:rPr>
      </w:pPr>
      <w:r w:rsidRPr="00D24D13">
        <w:rPr>
          <w:rStyle w:val="StyleFootnoteReferenceFagoFunotenzeichenFagoFunotenzeichen"/>
        </w:rPr>
        <w:footnoteRef/>
      </w:r>
      <w:r w:rsidRPr="00CB4F47" w:rsidDel="00FE0693">
        <w:rPr>
          <w:sz w:val="16"/>
          <w:szCs w:val="16"/>
        </w:rPr>
        <w:t xml:space="preserve"> </w:t>
      </w:r>
      <w:r w:rsidRPr="00CB4F47">
        <w:rPr>
          <w:rFonts w:cs="Arial"/>
          <w:sz w:val="16"/>
          <w:szCs w:val="16"/>
        </w:rPr>
        <w:t>Child Welfare Act 1925, section 12(2).</w:t>
      </w:r>
    </w:p>
  </w:footnote>
  <w:footnote w:id="543">
    <w:p w14:paraId="27A125D2" w14:textId="77777777" w:rsidR="0062717F" w:rsidRPr="00CB4F47" w:rsidRDefault="0062717F" w:rsidP="0062717F">
      <w:pPr>
        <w:pStyle w:val="FootnoteText"/>
        <w:spacing w:before="0" w:after="0"/>
        <w:rPr>
          <w:sz w:val="16"/>
          <w:szCs w:val="16"/>
        </w:rPr>
      </w:pPr>
      <w:r w:rsidRPr="00D24D13">
        <w:rPr>
          <w:rStyle w:val="StyleFootnoteReferenceFagoFunotenzeichenFagoFunotenzeichen"/>
        </w:rPr>
        <w:footnoteRef/>
      </w:r>
      <w:r w:rsidRPr="00CB4F47">
        <w:rPr>
          <w:sz w:val="16"/>
          <w:szCs w:val="16"/>
        </w:rPr>
        <w:t xml:space="preserve"> </w:t>
      </w:r>
      <w:r w:rsidRPr="00CB4F47">
        <w:rPr>
          <w:rFonts w:cs="Arial"/>
          <w:sz w:val="16"/>
          <w:szCs w:val="16"/>
        </w:rPr>
        <w:t>Child Welfare Act 1925, sections 13(1) and 13(2).</w:t>
      </w:r>
    </w:p>
  </w:footnote>
  <w:footnote w:id="544">
    <w:p w14:paraId="6C34A741" w14:textId="77777777" w:rsidR="0062717F" w:rsidRPr="00CB4F47" w:rsidRDefault="0062717F" w:rsidP="0062717F">
      <w:pPr>
        <w:pStyle w:val="FootnoteText"/>
        <w:spacing w:before="0" w:after="0"/>
        <w:rPr>
          <w:sz w:val="16"/>
          <w:szCs w:val="16"/>
        </w:rPr>
      </w:pPr>
      <w:r w:rsidRPr="00D24D13">
        <w:rPr>
          <w:rStyle w:val="StyleFootnoteReferenceFagoFunotenzeichenFagoFunotenzeichen"/>
        </w:rPr>
        <w:footnoteRef/>
      </w:r>
      <w:r w:rsidRPr="00CB4F47">
        <w:rPr>
          <w:sz w:val="16"/>
          <w:szCs w:val="16"/>
        </w:rPr>
        <w:t xml:space="preserve"> </w:t>
      </w:r>
      <w:r w:rsidRPr="00CB4F47">
        <w:rPr>
          <w:rFonts w:cs="Arial"/>
          <w:sz w:val="16"/>
          <w:szCs w:val="16"/>
        </w:rPr>
        <w:t>Child Welfare Act 1925, section</w:t>
      </w:r>
      <w:r>
        <w:rPr>
          <w:rFonts w:cs="Arial"/>
          <w:sz w:val="16"/>
          <w:szCs w:val="16"/>
        </w:rPr>
        <w:t xml:space="preserve"> </w:t>
      </w:r>
      <w:r w:rsidRPr="00CB4F47">
        <w:rPr>
          <w:rFonts w:cs="Arial"/>
          <w:sz w:val="16"/>
          <w:szCs w:val="16"/>
        </w:rPr>
        <w:t>13(4).</w:t>
      </w:r>
    </w:p>
  </w:footnote>
  <w:footnote w:id="545">
    <w:p w14:paraId="3B014AC5" w14:textId="77777777" w:rsidR="0062717F" w:rsidRPr="00CB4F47" w:rsidRDefault="0062717F" w:rsidP="0062717F">
      <w:pPr>
        <w:pStyle w:val="FootnoteText"/>
        <w:rPr>
          <w:sz w:val="16"/>
          <w:szCs w:val="16"/>
        </w:rPr>
      </w:pPr>
      <w:r w:rsidRPr="00D24D13">
        <w:rPr>
          <w:rStyle w:val="StyleFootnoteReferenceFagoFunotenzeichenFagoFunotenzeichen"/>
        </w:rPr>
        <w:footnoteRef/>
      </w:r>
      <w:r w:rsidRPr="00CB4F47" w:rsidDel="00351D5E">
        <w:rPr>
          <w:sz w:val="16"/>
          <w:szCs w:val="16"/>
        </w:rPr>
        <w:t xml:space="preserve"> </w:t>
      </w:r>
      <w:r w:rsidRPr="00CB4F47">
        <w:rPr>
          <w:rFonts w:cs="Arial"/>
          <w:sz w:val="16"/>
          <w:szCs w:val="16"/>
        </w:rPr>
        <w:t>Child Welfare Act 1925, sections 13(5), 13(7).</w:t>
      </w:r>
    </w:p>
  </w:footnote>
  <w:footnote w:id="546">
    <w:p w14:paraId="3B9E3F9C" w14:textId="77777777" w:rsidR="0062717F" w:rsidRPr="00CB4F47" w:rsidRDefault="0062717F" w:rsidP="0062717F">
      <w:pPr>
        <w:pStyle w:val="FootnoteText"/>
        <w:rPr>
          <w:sz w:val="16"/>
          <w:szCs w:val="16"/>
        </w:rPr>
      </w:pPr>
      <w:r w:rsidRPr="00D24D13">
        <w:rPr>
          <w:rStyle w:val="StyleFootnoteReferenceFagoFunotenzeichenFagoFunotenzeichen"/>
        </w:rPr>
        <w:footnoteRef/>
      </w:r>
      <w:r w:rsidRPr="00CB4F47" w:rsidDel="00351D5E">
        <w:rPr>
          <w:sz w:val="16"/>
          <w:szCs w:val="16"/>
        </w:rPr>
        <w:t xml:space="preserve"> </w:t>
      </w:r>
      <w:r w:rsidRPr="00CB4F47">
        <w:rPr>
          <w:rFonts w:cs="Arial"/>
          <w:sz w:val="16"/>
          <w:szCs w:val="16"/>
        </w:rPr>
        <w:t>Child Welfare Act 1925, section 13(6).</w:t>
      </w:r>
    </w:p>
  </w:footnote>
  <w:footnote w:id="547">
    <w:p w14:paraId="40FB078F" w14:textId="77777777" w:rsidR="0062717F" w:rsidRPr="00CB4F47" w:rsidRDefault="0062717F" w:rsidP="0062717F">
      <w:pPr>
        <w:pStyle w:val="FootnoteText"/>
        <w:rPr>
          <w:sz w:val="16"/>
          <w:szCs w:val="16"/>
        </w:rPr>
      </w:pPr>
      <w:r w:rsidRPr="00D24D13">
        <w:rPr>
          <w:rStyle w:val="StyleFootnoteReferenceFagoFunotenzeichenFagoFunotenzeichen"/>
        </w:rPr>
        <w:footnoteRef/>
      </w:r>
      <w:r w:rsidRPr="00CB4F47" w:rsidDel="00351D5E">
        <w:rPr>
          <w:sz w:val="16"/>
          <w:szCs w:val="16"/>
        </w:rPr>
        <w:t xml:space="preserve"> </w:t>
      </w:r>
      <w:r w:rsidRPr="00CB4F47">
        <w:rPr>
          <w:rFonts w:cs="Arial"/>
          <w:sz w:val="16"/>
          <w:szCs w:val="16"/>
        </w:rPr>
        <w:t>Child Welfare Act 1925, section 13(5).</w:t>
      </w:r>
    </w:p>
  </w:footnote>
  <w:footnote w:id="548">
    <w:p w14:paraId="795DC227" w14:textId="77777777" w:rsidR="0062717F" w:rsidRPr="00CB4F47" w:rsidRDefault="0062717F" w:rsidP="0062717F">
      <w:pPr>
        <w:pStyle w:val="FootnoteText"/>
        <w:rPr>
          <w:sz w:val="16"/>
          <w:szCs w:val="16"/>
        </w:rPr>
      </w:pPr>
      <w:r w:rsidRPr="00D24D13">
        <w:rPr>
          <w:rStyle w:val="StyleFootnoteReferenceFagoFunotenzeichenFagoFunotenzeichen"/>
        </w:rPr>
        <w:footnoteRef/>
      </w:r>
      <w:r w:rsidRPr="00CB4F47" w:rsidDel="00351D5E">
        <w:rPr>
          <w:sz w:val="16"/>
          <w:szCs w:val="16"/>
        </w:rPr>
        <w:t xml:space="preserve"> </w:t>
      </w:r>
      <w:r w:rsidRPr="00CB4F47">
        <w:rPr>
          <w:rFonts w:cs="Arial"/>
          <w:sz w:val="16"/>
          <w:szCs w:val="16"/>
        </w:rPr>
        <w:t>Child Welfare Act 1925, section 31.</w:t>
      </w:r>
    </w:p>
  </w:footnote>
  <w:footnote w:id="549">
    <w:p w14:paraId="1CEE3DC4" w14:textId="77777777" w:rsidR="0062717F" w:rsidRPr="00896893" w:rsidRDefault="0062717F" w:rsidP="0062717F">
      <w:pPr>
        <w:pStyle w:val="FootnoteText"/>
        <w:spacing w:before="0" w:after="0" w:line="240" w:lineRule="auto"/>
        <w:rPr>
          <w:sz w:val="16"/>
          <w:szCs w:val="16"/>
        </w:rPr>
      </w:pPr>
      <w:r w:rsidRPr="00D24D13">
        <w:rPr>
          <w:rStyle w:val="StyleFootnoteReferenceFagoFunotenzeichenFagoFunotenzeichen"/>
        </w:rPr>
        <w:footnoteRef/>
      </w:r>
      <w:r w:rsidRPr="00CB4F47" w:rsidDel="00351D5E">
        <w:rPr>
          <w:sz w:val="16"/>
          <w:szCs w:val="16"/>
        </w:rPr>
        <w:t xml:space="preserve"> </w:t>
      </w:r>
      <w:r w:rsidRPr="00D668D0">
        <w:rPr>
          <w:rFonts w:cs="Arial"/>
          <w:sz w:val="16"/>
          <w:szCs w:val="16"/>
        </w:rPr>
        <w:t>Children and Young Persons Act 1974, section 4.</w:t>
      </w:r>
    </w:p>
  </w:footnote>
  <w:footnote w:id="550">
    <w:p w14:paraId="7AC45BBF" w14:textId="77777777" w:rsidR="0062717F" w:rsidRPr="00896893" w:rsidRDefault="0062717F" w:rsidP="0062717F">
      <w:pPr>
        <w:pStyle w:val="FootnoteText"/>
        <w:spacing w:before="0" w:after="0" w:line="240" w:lineRule="auto"/>
        <w:rPr>
          <w:sz w:val="16"/>
          <w:szCs w:val="16"/>
        </w:rPr>
      </w:pPr>
      <w:r w:rsidRPr="00896893">
        <w:rPr>
          <w:rStyle w:val="StyleFootnoteReferenceFagoFunotenzeichenFagoFunotenzeichen"/>
        </w:rPr>
        <w:footnoteRef/>
      </w:r>
      <w:r w:rsidRPr="00896893">
        <w:rPr>
          <w:sz w:val="16"/>
          <w:szCs w:val="16"/>
        </w:rPr>
        <w:t xml:space="preserve"> </w:t>
      </w:r>
      <w:r w:rsidRPr="00896893">
        <w:rPr>
          <w:rFonts w:cs="Arial"/>
          <w:sz w:val="16"/>
          <w:szCs w:val="16"/>
        </w:rPr>
        <w:t>As inserted by</w:t>
      </w:r>
      <w:r w:rsidRPr="00896893">
        <w:rPr>
          <w:rFonts w:cs="Arial"/>
          <w:color w:val="FF0000"/>
          <w:sz w:val="16"/>
          <w:szCs w:val="16"/>
        </w:rPr>
        <w:t xml:space="preserve"> </w:t>
      </w:r>
      <w:r w:rsidRPr="00896893">
        <w:rPr>
          <w:rFonts w:cs="Arial"/>
          <w:sz w:val="16"/>
          <w:szCs w:val="16"/>
        </w:rPr>
        <w:t>the Children and Young Persons Amendment Act 1977 (No 126), section 3.</w:t>
      </w:r>
    </w:p>
  </w:footnote>
  <w:footnote w:id="551">
    <w:p w14:paraId="5A009C88" w14:textId="77777777" w:rsidR="0062717F" w:rsidRPr="00896893" w:rsidRDefault="0062717F" w:rsidP="0062717F">
      <w:pPr>
        <w:pStyle w:val="FootnoteText"/>
        <w:spacing w:before="0" w:after="0" w:line="240" w:lineRule="auto"/>
        <w:rPr>
          <w:sz w:val="16"/>
          <w:szCs w:val="16"/>
        </w:rPr>
      </w:pPr>
      <w:r w:rsidRPr="00896893">
        <w:rPr>
          <w:rStyle w:val="StyleFootnoteReferenceFagoFunotenzeichenFagoFunotenzeichen"/>
        </w:rPr>
        <w:footnoteRef/>
      </w:r>
      <w:r w:rsidRPr="00896893" w:rsidDel="00E66106">
        <w:rPr>
          <w:sz w:val="16"/>
          <w:szCs w:val="16"/>
        </w:rPr>
        <w:t xml:space="preserve"> </w:t>
      </w:r>
      <w:r w:rsidRPr="00D668D0">
        <w:rPr>
          <w:rFonts w:cs="Arial"/>
          <w:sz w:val="16"/>
          <w:szCs w:val="16"/>
        </w:rPr>
        <w:t>Children and Young Persons Act 1974 (No 72), section 13</w:t>
      </w:r>
      <w:r w:rsidRPr="00896893">
        <w:rPr>
          <w:rFonts w:cs="Arial"/>
          <w:sz w:val="16"/>
          <w:szCs w:val="16"/>
        </w:rPr>
        <w:t>.</w:t>
      </w:r>
    </w:p>
  </w:footnote>
  <w:footnote w:id="552">
    <w:p w14:paraId="6481E7D8" w14:textId="77777777" w:rsidR="0062717F" w:rsidRPr="00896893" w:rsidRDefault="0062717F" w:rsidP="0062717F">
      <w:pPr>
        <w:pStyle w:val="FootnoteText"/>
        <w:spacing w:before="0" w:after="0" w:line="240" w:lineRule="auto"/>
        <w:rPr>
          <w:sz w:val="16"/>
          <w:szCs w:val="16"/>
        </w:rPr>
      </w:pPr>
      <w:r w:rsidRPr="00896893">
        <w:rPr>
          <w:rStyle w:val="StyleFootnoteReferenceFagoFunotenzeichenFagoFunotenzeichen"/>
        </w:rPr>
        <w:footnoteRef/>
      </w:r>
      <w:r w:rsidRPr="00896893" w:rsidDel="00E66106">
        <w:rPr>
          <w:sz w:val="16"/>
          <w:szCs w:val="16"/>
        </w:rPr>
        <w:t xml:space="preserve"> </w:t>
      </w:r>
      <w:r w:rsidRPr="00D668D0">
        <w:rPr>
          <w:rFonts w:cs="Arial"/>
          <w:sz w:val="16"/>
          <w:szCs w:val="16"/>
        </w:rPr>
        <w:t>Children and Young Persons Act 1974 (No 72), section 15(8).</w:t>
      </w:r>
    </w:p>
  </w:footnote>
  <w:footnote w:id="553">
    <w:p w14:paraId="66A82C86" w14:textId="77777777" w:rsidR="0062717F" w:rsidRPr="00896893" w:rsidRDefault="0062717F" w:rsidP="0062717F">
      <w:pPr>
        <w:pStyle w:val="FootnoteText"/>
        <w:spacing w:before="0" w:after="0" w:line="240" w:lineRule="auto"/>
        <w:rPr>
          <w:sz w:val="16"/>
          <w:szCs w:val="16"/>
        </w:rPr>
      </w:pPr>
      <w:r w:rsidRPr="00896893">
        <w:rPr>
          <w:rStyle w:val="StyleFootnoteReferenceFagoFunotenzeichenFagoFunotenzeichen"/>
        </w:rPr>
        <w:footnoteRef/>
      </w:r>
      <w:r w:rsidRPr="00896893" w:rsidDel="00E66106">
        <w:rPr>
          <w:sz w:val="16"/>
          <w:szCs w:val="16"/>
        </w:rPr>
        <w:t xml:space="preserve"> </w:t>
      </w:r>
      <w:r w:rsidRPr="00D668D0">
        <w:rPr>
          <w:rFonts w:cs="Arial"/>
          <w:sz w:val="16"/>
          <w:szCs w:val="16"/>
        </w:rPr>
        <w:t>Children and Young Persons Act 1974 (No 72), section 15(7).</w:t>
      </w:r>
    </w:p>
  </w:footnote>
  <w:footnote w:id="554">
    <w:p w14:paraId="5CC0EF76" w14:textId="77777777" w:rsidR="0062717F" w:rsidRPr="00896893" w:rsidRDefault="0062717F" w:rsidP="0062717F">
      <w:pPr>
        <w:pStyle w:val="FootnoteText"/>
        <w:spacing w:before="0" w:after="0" w:line="240" w:lineRule="auto"/>
        <w:rPr>
          <w:sz w:val="16"/>
          <w:szCs w:val="16"/>
        </w:rPr>
      </w:pPr>
      <w:r w:rsidRPr="00896893">
        <w:rPr>
          <w:rStyle w:val="StyleFootnoteReferenceFagoFunotenzeichenFagoFunotenzeichen"/>
        </w:rPr>
        <w:footnoteRef/>
      </w:r>
      <w:r w:rsidRPr="00896893">
        <w:rPr>
          <w:sz w:val="16"/>
          <w:szCs w:val="16"/>
        </w:rPr>
        <w:t xml:space="preserve"> </w:t>
      </w:r>
      <w:r w:rsidRPr="00896893">
        <w:rPr>
          <w:rFonts w:cs="Arial"/>
          <w:sz w:val="16"/>
          <w:szCs w:val="16"/>
        </w:rPr>
        <w:t>As inserted by the Children and Young Persons Amendment Act 1977 (No 126), section 7.</w:t>
      </w:r>
    </w:p>
  </w:footnote>
  <w:footnote w:id="555">
    <w:p w14:paraId="70AF7973" w14:textId="77777777" w:rsidR="0062717F" w:rsidRPr="00896893" w:rsidRDefault="0062717F" w:rsidP="0062717F">
      <w:pPr>
        <w:pStyle w:val="FootnoteText"/>
        <w:spacing w:before="0" w:after="0" w:line="240" w:lineRule="auto"/>
        <w:rPr>
          <w:sz w:val="16"/>
          <w:szCs w:val="16"/>
        </w:rPr>
      </w:pPr>
      <w:r w:rsidRPr="00896893">
        <w:rPr>
          <w:rStyle w:val="StyleFootnoteReferenceFagoFunotenzeichenFagoFunotenzeichen"/>
        </w:rPr>
        <w:footnoteRef/>
      </w:r>
      <w:r w:rsidRPr="00896893">
        <w:rPr>
          <w:sz w:val="16"/>
          <w:szCs w:val="16"/>
        </w:rPr>
        <w:t xml:space="preserve"> </w:t>
      </w:r>
      <w:r w:rsidRPr="00896893">
        <w:rPr>
          <w:rFonts w:cs="Arial"/>
          <w:sz w:val="16"/>
          <w:szCs w:val="16"/>
        </w:rPr>
        <w:t xml:space="preserve">Transcript of evidence of Chief Ombudsman Peter Boshier (26 August 2022, </w:t>
      </w:r>
      <w:r w:rsidRPr="00896893">
        <w:rPr>
          <w:rFonts w:cs="Arial"/>
          <w:color w:val="auto"/>
          <w:sz w:val="16"/>
          <w:szCs w:val="16"/>
        </w:rPr>
        <w:t>pages</w:t>
      </w:r>
      <w:r w:rsidRPr="00896893">
        <w:rPr>
          <w:rFonts w:cs="Arial"/>
          <w:sz w:val="16"/>
          <w:szCs w:val="16"/>
        </w:rPr>
        <w:t xml:space="preserve"> 1041</w:t>
      </w:r>
      <w:r w:rsidRPr="00896893">
        <w:rPr>
          <w:rStyle w:val="normaltextrun"/>
          <w:rFonts w:cs="Arial"/>
          <w:color w:val="000000"/>
          <w:sz w:val="16"/>
          <w:szCs w:val="16"/>
          <w:bdr w:val="none" w:sz="0" w:space="0" w:color="auto" w:frame="1"/>
        </w:rPr>
        <w:t>–</w:t>
      </w:r>
      <w:r w:rsidRPr="00896893">
        <w:rPr>
          <w:rFonts w:cs="Arial"/>
          <w:sz w:val="16"/>
          <w:szCs w:val="16"/>
        </w:rPr>
        <w:t>1042).</w:t>
      </w:r>
    </w:p>
  </w:footnote>
  <w:footnote w:id="556">
    <w:p w14:paraId="16D32D16" w14:textId="77777777" w:rsidR="0062717F" w:rsidRPr="00896893" w:rsidRDefault="0062717F" w:rsidP="0062717F">
      <w:pPr>
        <w:pStyle w:val="FootnoteText"/>
        <w:spacing w:before="0" w:after="0" w:line="240" w:lineRule="auto"/>
        <w:rPr>
          <w:sz w:val="16"/>
          <w:szCs w:val="16"/>
        </w:rPr>
      </w:pPr>
      <w:r w:rsidRPr="00896893">
        <w:rPr>
          <w:rStyle w:val="StyleFootnoteReferenceFagoFunotenzeichenFagoFunotenzeichen"/>
        </w:rPr>
        <w:footnoteRef/>
      </w:r>
      <w:r w:rsidRPr="00896893" w:rsidDel="00E66106">
        <w:rPr>
          <w:sz w:val="16"/>
          <w:szCs w:val="16"/>
        </w:rPr>
        <w:t xml:space="preserve"> </w:t>
      </w:r>
      <w:r w:rsidRPr="00D668D0">
        <w:rPr>
          <w:rFonts w:cs="Arial"/>
          <w:sz w:val="16"/>
          <w:szCs w:val="16"/>
        </w:rPr>
        <w:t>Frater, M, Why and how children went into care: a legal analysis of the legislative framework for care: background paper for the Royal Commission of Inquiry into Abuse in Care (2019, page 29).</w:t>
      </w:r>
    </w:p>
  </w:footnote>
  <w:footnote w:id="557">
    <w:p w14:paraId="3E7565A8" w14:textId="77777777" w:rsidR="0062717F" w:rsidRPr="00896893" w:rsidRDefault="0062717F" w:rsidP="0062717F">
      <w:pPr>
        <w:pStyle w:val="FootnoteText"/>
        <w:spacing w:before="0" w:after="0" w:line="240" w:lineRule="auto"/>
        <w:rPr>
          <w:color w:val="auto"/>
          <w:sz w:val="16"/>
          <w:szCs w:val="16"/>
        </w:rPr>
      </w:pPr>
      <w:r w:rsidRPr="00896893">
        <w:rPr>
          <w:rStyle w:val="StyleFootnoteReferenceFagoFunotenzeichenFagoFunotenzeichen"/>
        </w:rPr>
        <w:footnoteRef/>
      </w:r>
      <w:r w:rsidRPr="00896893">
        <w:rPr>
          <w:color w:val="auto"/>
          <w:sz w:val="16"/>
          <w:szCs w:val="16"/>
        </w:rPr>
        <w:t xml:space="preserve"> </w:t>
      </w:r>
      <w:r w:rsidRPr="00D668D0">
        <w:rPr>
          <w:rFonts w:cs="Arial"/>
          <w:color w:val="auto"/>
          <w:sz w:val="16"/>
          <w:szCs w:val="16"/>
        </w:rPr>
        <w:t>Children, Young Persons, and Their Families Act 1989, sections 5 and 13.</w:t>
      </w:r>
    </w:p>
  </w:footnote>
  <w:footnote w:id="558">
    <w:p w14:paraId="38C9AE81" w14:textId="77777777" w:rsidR="0062717F" w:rsidRPr="00896893" w:rsidRDefault="0062717F" w:rsidP="0062717F">
      <w:pPr>
        <w:pStyle w:val="FootnoteText"/>
        <w:rPr>
          <w:sz w:val="16"/>
          <w:szCs w:val="16"/>
        </w:rPr>
      </w:pPr>
      <w:r w:rsidRPr="00896893">
        <w:rPr>
          <w:rStyle w:val="StyleFootnoteReferenceFagoFunotenzeichenFagoFunotenzeichen"/>
        </w:rPr>
        <w:footnoteRef/>
      </w:r>
      <w:r w:rsidRPr="00896893">
        <w:rPr>
          <w:color w:val="auto"/>
          <w:sz w:val="16"/>
          <w:szCs w:val="16"/>
        </w:rPr>
        <w:t xml:space="preserve"> </w:t>
      </w:r>
      <w:r w:rsidRPr="00D668D0">
        <w:rPr>
          <w:rFonts w:cs="Arial"/>
          <w:color w:val="auto"/>
          <w:sz w:val="16"/>
          <w:szCs w:val="16"/>
        </w:rPr>
        <w:t>Children, Young Persons, and Their Families Act 1989, sections 20–38.</w:t>
      </w:r>
    </w:p>
  </w:footnote>
  <w:footnote w:id="559">
    <w:p w14:paraId="2C3867DA" w14:textId="77777777" w:rsidR="0062717F" w:rsidRPr="00896893" w:rsidRDefault="0062717F" w:rsidP="0062717F">
      <w:pPr>
        <w:pStyle w:val="FootnoteText"/>
        <w:rPr>
          <w:sz w:val="16"/>
          <w:szCs w:val="16"/>
        </w:rPr>
      </w:pPr>
      <w:r w:rsidRPr="00896893">
        <w:rPr>
          <w:rStyle w:val="StyleFootnoteReferenceFagoFunotenzeichenFagoFunotenzeichen"/>
        </w:rPr>
        <w:footnoteRef/>
      </w:r>
      <w:r w:rsidRPr="00896893" w:rsidDel="007226F9">
        <w:rPr>
          <w:sz w:val="16"/>
          <w:szCs w:val="16"/>
        </w:rPr>
        <w:t xml:space="preserve"> </w:t>
      </w:r>
      <w:r w:rsidRPr="00D668D0">
        <w:rPr>
          <w:rFonts w:cs="Arial"/>
          <w:sz w:val="16"/>
          <w:szCs w:val="16"/>
        </w:rPr>
        <w:t>Frater, M, Why and how children went into care: a legal analysis of the legislative framework for care: background paper for the Royal Commission of Inquiry into Abuse in Care (2019, page 29).</w:t>
      </w:r>
    </w:p>
  </w:footnote>
  <w:footnote w:id="560">
    <w:p w14:paraId="0AF4D9A2" w14:textId="77777777" w:rsidR="0062717F" w:rsidRDefault="0062717F" w:rsidP="0062717F">
      <w:pPr>
        <w:pStyle w:val="FootnoteText"/>
      </w:pPr>
      <w:r w:rsidRPr="00D24D13">
        <w:rPr>
          <w:rStyle w:val="StyleFootnoteReferenceFagoFunotenzeichenFagoFunotenzeichen"/>
        </w:rPr>
        <w:footnoteRef/>
      </w:r>
      <w:r>
        <w:t xml:space="preserve"> </w:t>
      </w:r>
      <w:r w:rsidRPr="00CE7AF5">
        <w:rPr>
          <w:sz w:val="16"/>
          <w:szCs w:val="16"/>
        </w:rPr>
        <w:t>Watt, E, A history of youth justice in New Zealand, research paper commissioned by the Principal Youth Court Judge (2003, pages 24–26</w:t>
      </w:r>
      <w:r>
        <w:rPr>
          <w:sz w:val="16"/>
          <w:szCs w:val="16"/>
        </w:rPr>
        <w:t>)</w:t>
      </w:r>
      <w:r w:rsidRPr="00CE7AF5">
        <w:rPr>
          <w:sz w:val="16"/>
          <w:szCs w:val="16"/>
        </w:rPr>
        <w:t xml:space="preserve">; </w:t>
      </w:r>
      <w:r w:rsidRPr="00FB67B6">
        <w:rPr>
          <w:rFonts w:cs="Arial"/>
          <w:sz w:val="16"/>
          <w:szCs w:val="16"/>
        </w:rPr>
        <w:t>Children, Young Persons</w:t>
      </w:r>
      <w:r>
        <w:rPr>
          <w:rFonts w:cs="Arial"/>
          <w:sz w:val="16"/>
          <w:szCs w:val="16"/>
        </w:rPr>
        <w:t>,</w:t>
      </w:r>
      <w:r w:rsidRPr="00CE7AF5">
        <w:rPr>
          <w:rFonts w:cs="Arial"/>
          <w:sz w:val="16"/>
          <w:szCs w:val="16"/>
        </w:rPr>
        <w:t xml:space="preserve"> and their Families Act 1989 (No 24</w:t>
      </w:r>
      <w:r>
        <w:rPr>
          <w:rFonts w:cs="Arial"/>
          <w:sz w:val="16"/>
          <w:szCs w:val="16"/>
        </w:rPr>
        <w:t>)</w:t>
      </w:r>
      <w:r w:rsidRPr="00CE7AF5">
        <w:rPr>
          <w:rFonts w:cs="Arial"/>
          <w:sz w:val="16"/>
          <w:szCs w:val="16"/>
        </w:rPr>
        <w:t>, section 208</w:t>
      </w:r>
      <w:r w:rsidRPr="00CE7AF5">
        <w:rPr>
          <w:sz w:val="16"/>
          <w:szCs w:val="16"/>
        </w:rPr>
        <w:t>.</w:t>
      </w:r>
    </w:p>
  </w:footnote>
  <w:footnote w:id="561">
    <w:p w14:paraId="6E4DE19B" w14:textId="77777777" w:rsidR="0062717F" w:rsidRPr="00604695" w:rsidRDefault="0062717F" w:rsidP="0062717F">
      <w:pPr>
        <w:pStyle w:val="FootnoteText"/>
        <w:spacing w:before="0" w:after="0" w:line="240" w:lineRule="auto"/>
        <w:rPr>
          <w:sz w:val="16"/>
          <w:szCs w:val="16"/>
        </w:rPr>
      </w:pPr>
      <w:r w:rsidRPr="00D24D13">
        <w:rPr>
          <w:rStyle w:val="StyleFootnoteReferenceFagoFunotenzeichenFagoFunotenzeichen"/>
        </w:rPr>
        <w:footnoteRef/>
      </w:r>
      <w:r w:rsidRPr="00CB4F47" w:rsidDel="007E5677">
        <w:rPr>
          <w:sz w:val="16"/>
          <w:szCs w:val="16"/>
        </w:rPr>
        <w:t xml:space="preserve"> </w:t>
      </w:r>
      <w:r w:rsidRPr="00D668D0">
        <w:rPr>
          <w:rFonts w:cs="Arial"/>
          <w:sz w:val="16"/>
          <w:szCs w:val="16"/>
        </w:rPr>
        <w:t>Children, Young Persons, and Their Families Act 1989 (No 24), section 15.</w:t>
      </w:r>
    </w:p>
  </w:footnote>
  <w:footnote w:id="562">
    <w:p w14:paraId="3CD4FBA2" w14:textId="77777777" w:rsidR="0062717F" w:rsidRPr="00604695" w:rsidRDefault="0062717F" w:rsidP="0062717F">
      <w:pPr>
        <w:pStyle w:val="FootnoteText"/>
        <w:rPr>
          <w:sz w:val="16"/>
          <w:szCs w:val="16"/>
        </w:rPr>
      </w:pPr>
      <w:r w:rsidRPr="00604695">
        <w:rPr>
          <w:rStyle w:val="StyleFootnoteReferenceFagoFunotenzeichenFagoFunotenzeichen"/>
        </w:rPr>
        <w:footnoteRef/>
      </w:r>
      <w:r w:rsidRPr="00604695" w:rsidDel="007E5677">
        <w:rPr>
          <w:sz w:val="16"/>
          <w:szCs w:val="16"/>
        </w:rPr>
        <w:t xml:space="preserve"> </w:t>
      </w:r>
      <w:r w:rsidRPr="00D668D0">
        <w:rPr>
          <w:rFonts w:cs="Arial"/>
          <w:sz w:val="16"/>
          <w:szCs w:val="16"/>
        </w:rPr>
        <w:t>Children, Young Persons, and Their Families Act 1989 (No 24), sections 18(1) and 19(3).</w:t>
      </w:r>
    </w:p>
  </w:footnote>
  <w:footnote w:id="563">
    <w:p w14:paraId="51C6474C" w14:textId="77777777" w:rsidR="0062717F" w:rsidRPr="00604695" w:rsidRDefault="0062717F" w:rsidP="0062717F">
      <w:pPr>
        <w:pStyle w:val="FootnoteText"/>
        <w:rPr>
          <w:sz w:val="16"/>
          <w:szCs w:val="16"/>
        </w:rPr>
      </w:pPr>
      <w:r w:rsidRPr="00604695">
        <w:rPr>
          <w:rStyle w:val="StyleFootnoteReferenceFagoFunotenzeichenFagoFunotenzeichen"/>
        </w:rPr>
        <w:footnoteRef/>
      </w:r>
      <w:r w:rsidRPr="00604695" w:rsidDel="007E5677">
        <w:rPr>
          <w:sz w:val="16"/>
          <w:szCs w:val="16"/>
        </w:rPr>
        <w:t xml:space="preserve"> </w:t>
      </w:r>
      <w:r w:rsidRPr="00D668D0">
        <w:rPr>
          <w:rFonts w:cs="Arial"/>
          <w:sz w:val="16"/>
          <w:szCs w:val="16"/>
        </w:rPr>
        <w:t>Children, Young Persons, and Their Families Act 1989 (No 24), sections 30 and 34.</w:t>
      </w:r>
    </w:p>
  </w:footnote>
  <w:footnote w:id="564">
    <w:p w14:paraId="3EAA1975" w14:textId="77777777" w:rsidR="0062717F" w:rsidRPr="00604695" w:rsidRDefault="0062717F" w:rsidP="0062717F">
      <w:pPr>
        <w:pStyle w:val="FootnoteText"/>
        <w:rPr>
          <w:sz w:val="16"/>
          <w:szCs w:val="16"/>
        </w:rPr>
      </w:pPr>
      <w:r w:rsidRPr="00604695">
        <w:rPr>
          <w:rStyle w:val="StyleFootnoteReferenceFagoFunotenzeichenFagoFunotenzeichen"/>
        </w:rPr>
        <w:footnoteRef/>
      </w:r>
      <w:r w:rsidRPr="00604695" w:rsidDel="007E5677">
        <w:rPr>
          <w:sz w:val="16"/>
          <w:szCs w:val="16"/>
        </w:rPr>
        <w:t xml:space="preserve"> </w:t>
      </w:r>
      <w:r w:rsidRPr="00D668D0">
        <w:rPr>
          <w:rFonts w:cs="Arial"/>
          <w:sz w:val="16"/>
          <w:szCs w:val="16"/>
        </w:rPr>
        <w:t>Children, Young Persons, and Their Families Act 1989 (No 24), sections 31 and 31(2).</w:t>
      </w:r>
    </w:p>
  </w:footnote>
  <w:footnote w:id="565">
    <w:p w14:paraId="1E9F7818" w14:textId="77777777" w:rsidR="0062717F" w:rsidRPr="00604695" w:rsidRDefault="0062717F" w:rsidP="0062717F">
      <w:pPr>
        <w:pStyle w:val="FootnoteText"/>
        <w:rPr>
          <w:sz w:val="16"/>
          <w:szCs w:val="16"/>
        </w:rPr>
      </w:pPr>
      <w:r w:rsidRPr="00604695">
        <w:rPr>
          <w:rStyle w:val="StyleFootnoteReferenceFagoFunotenzeichenFagoFunotenzeichen"/>
        </w:rPr>
        <w:footnoteRef/>
      </w:r>
      <w:r w:rsidRPr="00604695" w:rsidDel="007E5677">
        <w:rPr>
          <w:sz w:val="16"/>
          <w:szCs w:val="16"/>
        </w:rPr>
        <w:t xml:space="preserve"> </w:t>
      </w:r>
      <w:r w:rsidRPr="00D668D0">
        <w:rPr>
          <w:rFonts w:cs="Arial"/>
          <w:sz w:val="16"/>
          <w:szCs w:val="16"/>
        </w:rPr>
        <w:t>Children, Young Persons, and Their Families Act 1989 (No 24), sections 39</w:t>
      </w:r>
      <w:r w:rsidRPr="00604695">
        <w:rPr>
          <w:rStyle w:val="normaltextrun"/>
          <w:rFonts w:cs="Arial"/>
          <w:color w:val="000000"/>
          <w:sz w:val="16"/>
          <w:szCs w:val="16"/>
          <w:bdr w:val="none" w:sz="0" w:space="0" w:color="auto" w:frame="1"/>
        </w:rPr>
        <w:t>–</w:t>
      </w:r>
      <w:r w:rsidRPr="00D668D0">
        <w:rPr>
          <w:rFonts w:cs="Arial"/>
          <w:sz w:val="16"/>
          <w:szCs w:val="16"/>
        </w:rPr>
        <w:t>40.</w:t>
      </w:r>
    </w:p>
  </w:footnote>
  <w:footnote w:id="566">
    <w:p w14:paraId="66CEFB58" w14:textId="77777777" w:rsidR="0062717F" w:rsidRPr="00604695" w:rsidRDefault="0062717F" w:rsidP="0062717F">
      <w:pPr>
        <w:pStyle w:val="FootnoteText"/>
        <w:rPr>
          <w:sz w:val="16"/>
          <w:szCs w:val="16"/>
        </w:rPr>
      </w:pPr>
      <w:r w:rsidRPr="00604695">
        <w:rPr>
          <w:rStyle w:val="StyleFootnoteReferenceFagoFunotenzeichenFagoFunotenzeichen"/>
        </w:rPr>
        <w:footnoteRef/>
      </w:r>
      <w:r w:rsidRPr="00604695" w:rsidDel="007E5677">
        <w:rPr>
          <w:sz w:val="16"/>
          <w:szCs w:val="16"/>
        </w:rPr>
        <w:t xml:space="preserve"> </w:t>
      </w:r>
      <w:r w:rsidRPr="00D668D0">
        <w:rPr>
          <w:rFonts w:cs="Arial"/>
          <w:sz w:val="16"/>
          <w:szCs w:val="16"/>
        </w:rPr>
        <w:t>Children, Young Persons, and Their Families Act 1989 (No 24), sections 39</w:t>
      </w:r>
      <w:r w:rsidRPr="00604695">
        <w:rPr>
          <w:rStyle w:val="normaltextrun"/>
          <w:rFonts w:cs="Arial"/>
          <w:color w:val="000000"/>
          <w:sz w:val="16"/>
          <w:szCs w:val="16"/>
          <w:bdr w:val="none" w:sz="0" w:space="0" w:color="auto" w:frame="1"/>
        </w:rPr>
        <w:t>–</w:t>
      </w:r>
      <w:r w:rsidRPr="00D668D0">
        <w:rPr>
          <w:rFonts w:cs="Arial"/>
          <w:sz w:val="16"/>
          <w:szCs w:val="16"/>
        </w:rPr>
        <w:t>40.</w:t>
      </w:r>
    </w:p>
  </w:footnote>
  <w:footnote w:id="567">
    <w:p w14:paraId="2D8D5BE0" w14:textId="77777777" w:rsidR="0062717F" w:rsidRPr="00604695" w:rsidRDefault="0062717F" w:rsidP="0062717F">
      <w:pPr>
        <w:pStyle w:val="FootnoteText"/>
        <w:spacing w:before="0" w:after="0"/>
        <w:rPr>
          <w:sz w:val="16"/>
          <w:szCs w:val="16"/>
        </w:rPr>
      </w:pPr>
      <w:r w:rsidRPr="00604695">
        <w:rPr>
          <w:rStyle w:val="StyleFootnoteReferenceFagoFunotenzeichenFagoFunotenzeichen"/>
        </w:rPr>
        <w:footnoteRef/>
      </w:r>
      <w:r w:rsidRPr="00604695">
        <w:rPr>
          <w:color w:val="auto"/>
          <w:sz w:val="16"/>
          <w:szCs w:val="16"/>
        </w:rPr>
        <w:t xml:space="preserve"> </w:t>
      </w:r>
      <w:r w:rsidRPr="00604695">
        <w:rPr>
          <w:rFonts w:cs="Arial"/>
          <w:color w:val="auto"/>
          <w:sz w:val="16"/>
          <w:szCs w:val="16"/>
        </w:rPr>
        <w:t>Children, Young Persons, and Their Families Act 1989 (No 24), section 396.</w:t>
      </w:r>
    </w:p>
  </w:footnote>
  <w:footnote w:id="568">
    <w:p w14:paraId="3B2283FC" w14:textId="5BC34386" w:rsidR="009A412A" w:rsidRDefault="009A412A">
      <w:pPr>
        <w:pStyle w:val="FootnoteText"/>
      </w:pPr>
      <w:r>
        <w:rPr>
          <w:rStyle w:val="FootnoteReference"/>
        </w:rPr>
        <w:footnoteRef/>
      </w:r>
      <w:r>
        <w:t xml:space="preserve"> </w:t>
      </w:r>
      <w:r w:rsidR="00C25B09" w:rsidRPr="00604695">
        <w:rPr>
          <w:rFonts w:cs="Arial"/>
          <w:color w:val="auto"/>
          <w:sz w:val="16"/>
          <w:szCs w:val="16"/>
        </w:rPr>
        <w:t>Children, Young Persons, and Their Families Act 1989 (No 24</w:t>
      </w:r>
      <w:r w:rsidR="00C25B09">
        <w:rPr>
          <w:rFonts w:cs="Arial"/>
          <w:color w:val="auto"/>
          <w:sz w:val="16"/>
          <w:szCs w:val="16"/>
        </w:rPr>
        <w:t>), section 141.</w:t>
      </w:r>
    </w:p>
  </w:footnote>
  <w:footnote w:id="569">
    <w:p w14:paraId="7689AD16" w14:textId="57D7FC91" w:rsidR="00E92223" w:rsidRPr="00D668D0" w:rsidRDefault="00E92223" w:rsidP="00E65E7D">
      <w:pPr>
        <w:pStyle w:val="FootnoteText"/>
        <w:rPr>
          <w:sz w:val="16"/>
          <w:szCs w:val="18"/>
        </w:rPr>
      </w:pPr>
      <w:r w:rsidRPr="00D668D0">
        <w:rPr>
          <w:rStyle w:val="FootnoteReference"/>
          <w:sz w:val="16"/>
          <w:szCs w:val="18"/>
        </w:rPr>
        <w:footnoteRef/>
      </w:r>
      <w:r w:rsidRPr="00D668D0">
        <w:rPr>
          <w:sz w:val="16"/>
          <w:szCs w:val="18"/>
        </w:rPr>
        <w:t xml:space="preserve"> </w:t>
      </w:r>
      <w:r w:rsidR="00E65E7D" w:rsidRPr="00D668D0">
        <w:rPr>
          <w:sz w:val="16"/>
          <w:szCs w:val="18"/>
        </w:rPr>
        <w:t xml:space="preserve">Child Youth and Family Care and Protection Handbook, 1996-2002, (Version 2.1, June 2000). 10-6. </w:t>
      </w:r>
    </w:p>
  </w:footnote>
  <w:footnote w:id="570">
    <w:p w14:paraId="2A60068F" w14:textId="5EC1D969" w:rsidR="00E65E7D" w:rsidRDefault="00E65E7D">
      <w:pPr>
        <w:pStyle w:val="FootnoteText"/>
      </w:pPr>
      <w:r w:rsidRPr="00D668D0">
        <w:rPr>
          <w:rStyle w:val="FootnoteReference"/>
          <w:sz w:val="16"/>
          <w:szCs w:val="18"/>
        </w:rPr>
        <w:footnoteRef/>
      </w:r>
      <w:r w:rsidRPr="00D668D0">
        <w:rPr>
          <w:sz w:val="16"/>
          <w:szCs w:val="18"/>
        </w:rPr>
        <w:t xml:space="preserve"> Child Youth and Family Care and Protection Handbook, 1996-2002, (Version 2.1, June 2000). 10-7.</w:t>
      </w:r>
    </w:p>
  </w:footnote>
  <w:footnote w:id="571">
    <w:p w14:paraId="230A7259"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rFonts w:cs="Arial"/>
          <w:sz w:val="16"/>
          <w:szCs w:val="16"/>
        </w:rPr>
        <w:t xml:space="preserve">Child Welfare Act 1925 (No 22), section 23. </w:t>
      </w:r>
    </w:p>
  </w:footnote>
  <w:footnote w:id="572">
    <w:p w14:paraId="62D18F3B"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rFonts w:cs="Arial"/>
          <w:sz w:val="16"/>
          <w:szCs w:val="16"/>
        </w:rPr>
        <w:t>Either married, or was adopted other than by a parent (Children and Young Persons Act 1974, No 72, section 49(7)).</w:t>
      </w:r>
      <w:r w:rsidRPr="00FC5F93">
        <w:rPr>
          <w:rStyle w:val="eop"/>
          <w:rFonts w:cs="Arial"/>
          <w:sz w:val="16"/>
          <w:szCs w:val="16"/>
        </w:rPr>
        <w:t> </w:t>
      </w:r>
    </w:p>
  </w:footnote>
  <w:footnote w:id="573">
    <w:p w14:paraId="1C70AE8A"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rFonts w:cs="Arial"/>
          <w:sz w:val="16"/>
          <w:szCs w:val="16"/>
        </w:rPr>
        <w:t>Children, Young Persons, and Their Families Act 1989, sections 101(1) and (2); Children, Young Persons, and Their Families Act 1989 (No 24), section 110(1)(a)-(e).</w:t>
      </w:r>
    </w:p>
  </w:footnote>
  <w:footnote w:id="574">
    <w:p w14:paraId="29E4B163" w14:textId="3F0B6DE5"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sz w:val="16"/>
          <w:szCs w:val="16"/>
        </w:rPr>
        <w:t>Department of Education,</w:t>
      </w:r>
      <w:r w:rsidRPr="00FC5F93">
        <w:rPr>
          <w:rStyle w:val="normaltextrun"/>
          <w:rFonts w:cs="Arial"/>
          <w:color w:val="000000"/>
          <w:sz w:val="16"/>
          <w:szCs w:val="16"/>
          <w:shd w:val="clear" w:color="auto" w:fill="FFFFFF"/>
        </w:rPr>
        <w:t xml:space="preserve"> Child Welfare Division Field Officers’ Manual (</w:t>
      </w:r>
      <w:r w:rsidRPr="00FC5F93" w:rsidDel="00212680">
        <w:rPr>
          <w:rStyle w:val="normaltextrun"/>
          <w:rFonts w:cs="Arial"/>
          <w:color w:val="000000"/>
          <w:sz w:val="16"/>
          <w:szCs w:val="16"/>
          <w:shd w:val="clear" w:color="auto" w:fill="FFFFFF"/>
        </w:rPr>
        <w:t>1957</w:t>
      </w:r>
      <w:r w:rsidRPr="00FC5F93">
        <w:rPr>
          <w:rStyle w:val="normaltextrun"/>
          <w:rFonts w:cs="Arial"/>
          <w:color w:val="000000"/>
          <w:sz w:val="16"/>
          <w:szCs w:val="16"/>
          <w:shd w:val="clear" w:color="auto" w:fill="FFFFFF"/>
        </w:rPr>
        <w:t xml:space="preserve">, </w:t>
      </w:r>
      <w:r w:rsidRPr="00FC5F93">
        <w:rPr>
          <w:rStyle w:val="normaltextrun"/>
          <w:rFonts w:cs="Arial"/>
          <w:sz w:val="16"/>
          <w:szCs w:val="16"/>
          <w:shd w:val="clear" w:color="auto" w:fill="FFFFFF"/>
        </w:rPr>
        <w:t>section J.468); </w:t>
      </w:r>
      <w:r w:rsidR="000B1FCD" w:rsidRPr="00FC5F93">
        <w:rPr>
          <w:rStyle w:val="normaltextrun"/>
          <w:sz w:val="16"/>
          <w:szCs w:val="16"/>
        </w:rPr>
        <w:t>Department of Education,</w:t>
      </w:r>
      <w:r w:rsidR="000B1FCD" w:rsidRPr="00FC5F93">
        <w:rPr>
          <w:rStyle w:val="normaltextrun"/>
          <w:rFonts w:cs="Arial"/>
          <w:color w:val="000000"/>
          <w:sz w:val="16"/>
          <w:szCs w:val="16"/>
          <w:shd w:val="clear" w:color="auto" w:fill="FFFFFF"/>
        </w:rPr>
        <w:t xml:space="preserve"> </w:t>
      </w:r>
      <w:r w:rsidRPr="00FC5F93">
        <w:rPr>
          <w:rStyle w:val="normaltextrun"/>
          <w:rFonts w:cs="Arial"/>
          <w:sz w:val="16"/>
          <w:szCs w:val="16"/>
          <w:shd w:val="clear" w:color="auto" w:fill="FFFFFF"/>
        </w:rPr>
        <w:t>Child Welfare Division Social Workers’ Manual (</w:t>
      </w:r>
      <w:r w:rsidRPr="00FC5F93" w:rsidDel="001454B3">
        <w:rPr>
          <w:rStyle w:val="normaltextrun"/>
          <w:rFonts w:cs="Arial"/>
          <w:sz w:val="16"/>
          <w:szCs w:val="16"/>
          <w:shd w:val="clear" w:color="auto" w:fill="FFFFFF"/>
        </w:rPr>
        <w:t>1970</w:t>
      </w:r>
      <w:r w:rsidRPr="00FC5F93">
        <w:rPr>
          <w:rStyle w:val="normaltextrun"/>
          <w:rFonts w:cs="Arial"/>
          <w:sz w:val="16"/>
          <w:szCs w:val="16"/>
          <w:shd w:val="clear" w:color="auto" w:fill="FFFFFF"/>
        </w:rPr>
        <w:t>, section J27); Department of Social Welfare, Social Work Manual, Volume 2 (1984, section N21).</w:t>
      </w:r>
      <w:r w:rsidRPr="00FC5F93">
        <w:rPr>
          <w:rStyle w:val="eop"/>
          <w:rFonts w:cs="Arial"/>
          <w:sz w:val="16"/>
          <w:szCs w:val="16"/>
          <w:shd w:val="clear" w:color="auto" w:fill="FFFFFF"/>
        </w:rPr>
        <w:t> </w:t>
      </w:r>
    </w:p>
  </w:footnote>
  <w:footnote w:id="575">
    <w:p w14:paraId="4575E0DB"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rFonts w:cs="Arial"/>
          <w:sz w:val="16"/>
          <w:szCs w:val="16"/>
        </w:rPr>
        <w:t>Department of Social Welfare, Social Work Manual, Volume 2 (1984</w:t>
      </w:r>
      <w:r w:rsidRPr="00FC5F93">
        <w:rPr>
          <w:rFonts w:eastAsia="Arial" w:cs="Arial"/>
          <w:sz w:val="16"/>
          <w:szCs w:val="16"/>
        </w:rPr>
        <w:t>, s</w:t>
      </w:r>
      <w:r w:rsidRPr="00FC5F93">
        <w:rPr>
          <w:rStyle w:val="normaltextrun"/>
          <w:rFonts w:cs="Arial"/>
          <w:sz w:val="16"/>
          <w:szCs w:val="16"/>
        </w:rPr>
        <w:t>ection N21.3).</w:t>
      </w:r>
    </w:p>
  </w:footnote>
  <w:footnote w:id="576">
    <w:p w14:paraId="3998C222" w14:textId="06756CCF" w:rsidR="001E2091" w:rsidRDefault="001E2091">
      <w:pPr>
        <w:pStyle w:val="FootnoteText"/>
      </w:pPr>
      <w:r>
        <w:rPr>
          <w:rStyle w:val="FootnoteReference"/>
        </w:rPr>
        <w:footnoteRef/>
      </w:r>
      <w:r>
        <w:t xml:space="preserve"> </w:t>
      </w:r>
      <w:r w:rsidR="00074F0E" w:rsidRPr="00604695">
        <w:rPr>
          <w:rFonts w:cs="Arial"/>
          <w:color w:val="auto"/>
          <w:sz w:val="16"/>
          <w:szCs w:val="16"/>
        </w:rPr>
        <w:t>Children, Young Persons, and Their Families Act 1989 (No 24</w:t>
      </w:r>
      <w:r w:rsidR="00074F0E">
        <w:rPr>
          <w:rFonts w:cs="Arial"/>
          <w:color w:val="auto"/>
          <w:sz w:val="16"/>
          <w:szCs w:val="16"/>
        </w:rPr>
        <w:t>), section 141.</w:t>
      </w:r>
    </w:p>
  </w:footnote>
  <w:footnote w:id="577">
    <w:p w14:paraId="56400CBF" w14:textId="77777777" w:rsidR="0062717F" w:rsidRPr="00CB4F47"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normaltextrun"/>
          <w:rFonts w:cs="Arial"/>
          <w:color w:val="auto"/>
          <w:sz w:val="16"/>
          <w:szCs w:val="16"/>
          <w:shd w:val="clear" w:color="auto" w:fill="FFFFFF"/>
        </w:rPr>
        <w:t>Craig, T &amp; Mills, M, Care and control: The role of institutions in New Zealand (New Zealand Planning Council, 1987, page 36</w:t>
      </w:r>
      <w:r>
        <w:rPr>
          <w:rStyle w:val="normaltextrun"/>
          <w:rFonts w:cs="Arial"/>
          <w:color w:val="auto"/>
          <w:sz w:val="16"/>
          <w:szCs w:val="16"/>
          <w:shd w:val="clear" w:color="auto" w:fill="FFFFFF"/>
        </w:rPr>
        <w:t>)</w:t>
      </w:r>
      <w:r w:rsidRPr="00CB4F47">
        <w:rPr>
          <w:rStyle w:val="normaltextrun"/>
          <w:rFonts w:cs="Arial"/>
          <w:color w:val="auto"/>
          <w:sz w:val="16"/>
          <w:szCs w:val="16"/>
          <w:shd w:val="clear" w:color="auto" w:fill="FFFFFF"/>
        </w:rPr>
        <w:t>.</w:t>
      </w:r>
    </w:p>
  </w:footnote>
  <w:footnote w:id="578">
    <w:p w14:paraId="7235D765" w14:textId="77777777" w:rsidR="0062717F" w:rsidRPr="007009E3" w:rsidRDefault="0062717F" w:rsidP="0062717F">
      <w:pPr>
        <w:pStyle w:val="FootnoteText"/>
        <w:spacing w:before="0" w:after="0" w:line="20" w:lineRule="atLeast"/>
        <w:rPr>
          <w:rFonts w:cs="Arial"/>
          <w:sz w:val="16"/>
          <w:szCs w:val="16"/>
        </w:rPr>
      </w:pPr>
      <w:r w:rsidRPr="00536E67">
        <w:rPr>
          <w:rStyle w:val="StyleFootnoteReferenceFagoFunotenzeichenFagoFunotenzeichen"/>
          <w:sz w:val="16"/>
          <w:szCs w:val="16"/>
        </w:rPr>
        <w:footnoteRef/>
      </w:r>
      <w:r w:rsidRPr="00CB4F47">
        <w:rPr>
          <w:rFonts w:cs="Arial"/>
          <w:color w:val="auto"/>
          <w:sz w:val="16"/>
          <w:szCs w:val="16"/>
        </w:rPr>
        <w:t xml:space="preserve"> </w:t>
      </w:r>
      <w:r w:rsidRPr="00CB4F47">
        <w:rPr>
          <w:rStyle w:val="normaltextrun"/>
          <w:rFonts w:cs="Arial"/>
          <w:color w:val="auto"/>
          <w:sz w:val="16"/>
          <w:szCs w:val="16"/>
          <w:shd w:val="clear" w:color="auto" w:fill="FFFFFF"/>
        </w:rPr>
        <w:t xml:space="preserve">Dalley, B, </w:t>
      </w:r>
      <w:r w:rsidRPr="007009E3">
        <w:rPr>
          <w:rStyle w:val="normaltextrun"/>
          <w:rFonts w:cs="Arial"/>
          <w:sz w:val="16"/>
          <w:szCs w:val="16"/>
          <w:shd w:val="clear" w:color="auto" w:fill="FFFFFF"/>
        </w:rPr>
        <w:t>Family matters: Child welfare in twentieth-century New Zealand (Auckland University Press, 1998,</w:t>
      </w:r>
      <w:r w:rsidRPr="007009E3">
        <w:rPr>
          <w:rStyle w:val="Hyperlink"/>
          <w:rFonts w:cs="Arial"/>
          <w:color w:val="000000" w:themeColor="text1"/>
          <w:sz w:val="16"/>
          <w:szCs w:val="16"/>
          <w:u w:val="none"/>
        </w:rPr>
        <w:t xml:space="preserve"> page 173).</w:t>
      </w:r>
    </w:p>
  </w:footnote>
  <w:footnote w:id="579">
    <w:p w14:paraId="16953FFF" w14:textId="77777777" w:rsidR="0062717F" w:rsidRPr="007009E3" w:rsidRDefault="0062717F" w:rsidP="0062717F">
      <w:pPr>
        <w:pStyle w:val="FootnoteText"/>
        <w:rPr>
          <w:sz w:val="16"/>
          <w:szCs w:val="16"/>
        </w:rPr>
      </w:pPr>
      <w:r w:rsidRPr="00536E67">
        <w:rPr>
          <w:rStyle w:val="StyleFootnoteReferenceFagoFunotenzeichenFagoFunotenzeichen"/>
          <w:sz w:val="16"/>
          <w:szCs w:val="16"/>
        </w:rPr>
        <w:footnoteRef/>
      </w:r>
      <w:r w:rsidRPr="007009E3">
        <w:rPr>
          <w:sz w:val="16"/>
          <w:szCs w:val="16"/>
        </w:rPr>
        <w:t xml:space="preserve"> </w:t>
      </w:r>
      <w:r w:rsidRPr="007009E3">
        <w:rPr>
          <w:rFonts w:cs="Arial"/>
          <w:sz w:val="16"/>
          <w:szCs w:val="16"/>
        </w:rPr>
        <w:t xml:space="preserve">Parker, W, </w:t>
      </w:r>
      <w:r w:rsidRPr="007009E3">
        <w:rPr>
          <w:rFonts w:eastAsia="Arial" w:cs="Arial"/>
          <w:sz w:val="16"/>
          <w:szCs w:val="16"/>
        </w:rPr>
        <w:t>Social Welfare residential care 1950</w:t>
      </w:r>
      <w:r w:rsidRPr="007009E3">
        <w:rPr>
          <w:rFonts w:cs="Arial"/>
          <w:sz w:val="16"/>
          <w:szCs w:val="16"/>
        </w:rPr>
        <w:t>–</w:t>
      </w:r>
      <w:r w:rsidRPr="007009E3">
        <w:rPr>
          <w:rFonts w:eastAsia="Arial" w:cs="Arial"/>
          <w:sz w:val="16"/>
          <w:szCs w:val="16"/>
        </w:rPr>
        <w:t xml:space="preserve">1994, Volume. I: National policies and procedures (Ministry of Social Development, 2006, </w:t>
      </w:r>
      <w:r w:rsidRPr="007009E3">
        <w:rPr>
          <w:rFonts w:cs="Arial"/>
          <w:sz w:val="16"/>
          <w:szCs w:val="16"/>
        </w:rPr>
        <w:t>page 10).</w:t>
      </w:r>
    </w:p>
  </w:footnote>
  <w:footnote w:id="580">
    <w:p w14:paraId="76C4C850" w14:textId="77777777" w:rsidR="0062717F" w:rsidRPr="00CB4F47" w:rsidRDefault="0062717F" w:rsidP="0062717F">
      <w:pPr>
        <w:pStyle w:val="FootnoteText"/>
        <w:rPr>
          <w:sz w:val="16"/>
          <w:szCs w:val="16"/>
        </w:rPr>
      </w:pPr>
      <w:r w:rsidRPr="00536E67">
        <w:rPr>
          <w:rStyle w:val="StyleFootnoteReferenceFagoFunotenzeichenFagoFunotenzeichen"/>
          <w:sz w:val="16"/>
          <w:szCs w:val="16"/>
        </w:rPr>
        <w:footnoteRef/>
      </w:r>
      <w:r w:rsidRPr="007009E3">
        <w:rPr>
          <w:sz w:val="16"/>
          <w:szCs w:val="16"/>
        </w:rPr>
        <w:t xml:space="preserve"> </w:t>
      </w:r>
      <w:r w:rsidRPr="007009E3">
        <w:rPr>
          <w:rFonts w:cs="Arial"/>
          <w:sz w:val="16"/>
          <w:szCs w:val="16"/>
        </w:rPr>
        <w:t xml:space="preserve">Parker, W, </w:t>
      </w:r>
      <w:r w:rsidRPr="007009E3">
        <w:rPr>
          <w:rFonts w:eastAsia="Arial" w:cs="Arial"/>
          <w:sz w:val="16"/>
          <w:szCs w:val="16"/>
        </w:rPr>
        <w:t>Social Welfare residential care 1950</w:t>
      </w:r>
      <w:r w:rsidRPr="007009E3">
        <w:rPr>
          <w:rFonts w:cs="Arial"/>
          <w:sz w:val="16"/>
          <w:szCs w:val="16"/>
        </w:rPr>
        <w:t>–</w:t>
      </w:r>
      <w:r w:rsidRPr="007009E3">
        <w:rPr>
          <w:rFonts w:eastAsia="Arial" w:cs="Arial"/>
          <w:sz w:val="16"/>
          <w:szCs w:val="16"/>
        </w:rPr>
        <w:t xml:space="preserve">1994, Volume I: National policies and procedures (Ministry of Social Development, 2006, </w:t>
      </w:r>
      <w:r w:rsidRPr="007009E3">
        <w:rPr>
          <w:rFonts w:cs="Arial"/>
          <w:sz w:val="16"/>
          <w:szCs w:val="16"/>
        </w:rPr>
        <w:t>page 51).</w:t>
      </w:r>
    </w:p>
  </w:footnote>
  <w:footnote w:id="581">
    <w:p w14:paraId="7645AB7B" w14:textId="77777777" w:rsidR="0062717F" w:rsidRPr="00CB4F47" w:rsidRDefault="0062717F" w:rsidP="0062717F">
      <w:pPr>
        <w:pStyle w:val="FootnoteText"/>
        <w:rPr>
          <w:sz w:val="16"/>
          <w:szCs w:val="16"/>
        </w:rPr>
      </w:pPr>
      <w:r w:rsidRPr="00536E67">
        <w:rPr>
          <w:rStyle w:val="StyleFootnoteReferenceFagoFunotenzeichenFagoFunotenzeichen"/>
          <w:sz w:val="16"/>
          <w:szCs w:val="16"/>
        </w:rPr>
        <w:footnoteRef/>
      </w:r>
      <w:r w:rsidRPr="00CB4F47">
        <w:rPr>
          <w:sz w:val="16"/>
          <w:szCs w:val="16"/>
        </w:rPr>
        <w:t xml:space="preserve"> </w:t>
      </w:r>
      <w:r w:rsidRPr="007009E3">
        <w:rPr>
          <w:rFonts w:cs="Arial"/>
          <w:sz w:val="16"/>
          <w:szCs w:val="16"/>
        </w:rPr>
        <w:t xml:space="preserve">Parker, W, </w:t>
      </w:r>
      <w:r w:rsidRPr="007009E3">
        <w:rPr>
          <w:rFonts w:eastAsia="Arial" w:cs="Arial"/>
          <w:sz w:val="16"/>
          <w:szCs w:val="16"/>
        </w:rPr>
        <w:t>Social Welfare residential care 1950</w:t>
      </w:r>
      <w:r w:rsidRPr="007009E3">
        <w:rPr>
          <w:rFonts w:cs="Arial"/>
          <w:sz w:val="16"/>
          <w:szCs w:val="16"/>
        </w:rPr>
        <w:t>–</w:t>
      </w:r>
      <w:r w:rsidRPr="007009E3">
        <w:rPr>
          <w:rFonts w:eastAsia="Arial" w:cs="Arial"/>
          <w:sz w:val="16"/>
          <w:szCs w:val="16"/>
        </w:rPr>
        <w:t xml:space="preserve">1994, Volume. I: National policies and procedures (Ministry of Social Development, 2006, </w:t>
      </w:r>
      <w:r w:rsidRPr="007009E3">
        <w:rPr>
          <w:rFonts w:cs="Arial"/>
          <w:sz w:val="16"/>
          <w:szCs w:val="16"/>
        </w:rPr>
        <w:t xml:space="preserve">pages </w:t>
      </w:r>
      <w:r w:rsidRPr="007009E3">
        <w:rPr>
          <w:rFonts w:eastAsia="Arial" w:cs="Arial"/>
          <w:sz w:val="16"/>
          <w:szCs w:val="16"/>
        </w:rPr>
        <w:t xml:space="preserve">50–51); </w:t>
      </w:r>
      <w:r w:rsidRPr="007009E3">
        <w:rPr>
          <w:rFonts w:cs="Arial"/>
          <w:sz w:val="16"/>
          <w:szCs w:val="16"/>
        </w:rPr>
        <w:t>Garlick, T, Social developments: An organisational history of the Ministry of Social Development and its predecessors, 1860–2011 (Steele Roberts Aotearoa, 2012, page 133).</w:t>
      </w:r>
    </w:p>
  </w:footnote>
  <w:footnote w:id="582">
    <w:p w14:paraId="69D088CA" w14:textId="77777777" w:rsidR="0062717F" w:rsidRPr="00CB4F47" w:rsidRDefault="0062717F" w:rsidP="0062717F">
      <w:pPr>
        <w:pStyle w:val="FootnoteText"/>
        <w:rPr>
          <w:sz w:val="16"/>
          <w:szCs w:val="16"/>
        </w:rPr>
      </w:pPr>
      <w:r w:rsidRPr="00536E67">
        <w:rPr>
          <w:rStyle w:val="StyleFootnoteReferenceFagoFunotenzeichenFagoFunotenzeichen"/>
          <w:sz w:val="16"/>
          <w:szCs w:val="16"/>
        </w:rPr>
        <w:footnoteRef/>
      </w:r>
      <w:r w:rsidRPr="00CB4F47">
        <w:rPr>
          <w:sz w:val="16"/>
          <w:szCs w:val="16"/>
        </w:rPr>
        <w:t xml:space="preserve"> </w:t>
      </w:r>
      <w:r w:rsidRPr="007009E3">
        <w:rPr>
          <w:rFonts w:cs="Arial"/>
          <w:sz w:val="16"/>
          <w:szCs w:val="16"/>
        </w:rPr>
        <w:t xml:space="preserve">Parker, W, </w:t>
      </w:r>
      <w:r w:rsidRPr="007009E3">
        <w:rPr>
          <w:rFonts w:eastAsia="Arial" w:cs="Arial"/>
          <w:sz w:val="16"/>
          <w:szCs w:val="16"/>
        </w:rPr>
        <w:t>Social Welfare residential care 1950</w:t>
      </w:r>
      <w:r w:rsidRPr="007009E3">
        <w:rPr>
          <w:rFonts w:cs="Arial"/>
          <w:sz w:val="16"/>
          <w:szCs w:val="16"/>
        </w:rPr>
        <w:t>–</w:t>
      </w:r>
      <w:r w:rsidRPr="007009E3">
        <w:rPr>
          <w:rFonts w:eastAsia="Arial" w:cs="Arial"/>
          <w:sz w:val="16"/>
          <w:szCs w:val="16"/>
        </w:rPr>
        <w:t xml:space="preserve">1994, Volume I: National policies and procedures (Ministry of Social Development, 2006, </w:t>
      </w:r>
      <w:r w:rsidRPr="007009E3">
        <w:rPr>
          <w:rFonts w:cs="Arial"/>
          <w:sz w:val="16"/>
          <w:szCs w:val="16"/>
        </w:rPr>
        <w:t>page 51).</w:t>
      </w:r>
    </w:p>
  </w:footnote>
  <w:footnote w:id="583">
    <w:p w14:paraId="001C9803" w14:textId="77777777" w:rsidR="0062717F" w:rsidRPr="00CB4F47" w:rsidRDefault="0062717F" w:rsidP="0062717F">
      <w:pPr>
        <w:pStyle w:val="FootnoteText"/>
        <w:spacing w:line="20" w:lineRule="atLeast"/>
        <w:rPr>
          <w:rFonts w:cs="Arial"/>
          <w:sz w:val="16"/>
          <w:szCs w:val="16"/>
        </w:rPr>
      </w:pPr>
      <w:r w:rsidRPr="00536E67">
        <w:rPr>
          <w:rStyle w:val="StyleFootnoteReferenceFagoFunotenzeichenFagoFunotenzeichen"/>
          <w:sz w:val="16"/>
          <w:szCs w:val="16"/>
        </w:rPr>
        <w:footnoteRef/>
      </w:r>
      <w:r w:rsidRPr="00CB4F47">
        <w:rPr>
          <w:rFonts w:cs="Arial"/>
          <w:sz w:val="16"/>
          <w:szCs w:val="16"/>
        </w:rPr>
        <w:t xml:space="preserve"> </w:t>
      </w:r>
      <w:r w:rsidRPr="007009E3">
        <w:rPr>
          <w:rFonts w:cs="Arial"/>
          <w:sz w:val="16"/>
          <w:szCs w:val="16"/>
        </w:rPr>
        <w:t xml:space="preserve">Carson, R, New horizons: A review of the residential services of the Department of Social Welfare (Department of Social Welfare, 1982, </w:t>
      </w:r>
      <w:r w:rsidRPr="00CB4F47">
        <w:rPr>
          <w:rFonts w:cs="Arial"/>
          <w:sz w:val="16"/>
          <w:szCs w:val="16"/>
        </w:rPr>
        <w:t>page 59</w:t>
      </w:r>
      <w:r>
        <w:rPr>
          <w:rFonts w:cs="Arial"/>
          <w:sz w:val="16"/>
          <w:szCs w:val="16"/>
        </w:rPr>
        <w:t>)</w:t>
      </w:r>
      <w:r w:rsidRPr="00CB4F47">
        <w:rPr>
          <w:rFonts w:cs="Arial"/>
          <w:sz w:val="16"/>
          <w:szCs w:val="16"/>
        </w:rPr>
        <w:t>.</w:t>
      </w:r>
    </w:p>
  </w:footnote>
  <w:footnote w:id="584">
    <w:p w14:paraId="64004A68" w14:textId="77777777" w:rsidR="00FD3E16" w:rsidRPr="007009E3" w:rsidRDefault="00FD3E16" w:rsidP="0062717F">
      <w:pPr>
        <w:pStyle w:val="FootnoteText"/>
        <w:spacing w:before="0" w:after="0" w:line="20" w:lineRule="atLeast"/>
        <w:rPr>
          <w:rFonts w:cs="Arial"/>
          <w:sz w:val="16"/>
          <w:szCs w:val="16"/>
        </w:rPr>
      </w:pPr>
      <w:r w:rsidRPr="00536E67">
        <w:rPr>
          <w:rStyle w:val="StyleFootnoteReferenceFagoFunotenzeichenFagoFunotenzeichen"/>
          <w:sz w:val="16"/>
          <w:szCs w:val="16"/>
        </w:rPr>
        <w:footnoteRef/>
      </w:r>
      <w:r w:rsidRPr="007009E3">
        <w:rPr>
          <w:rFonts w:cs="Arial"/>
          <w:sz w:val="16"/>
          <w:szCs w:val="16"/>
        </w:rPr>
        <w:t xml:space="preserve"> Garlick, T, Social developments: An organisational history of the Ministry of Social Development and its predecessors, 1860</w:t>
      </w:r>
      <w:r w:rsidRPr="00CB4F47">
        <w:rPr>
          <w:rFonts w:cs="Arial"/>
          <w:sz w:val="16"/>
          <w:szCs w:val="16"/>
        </w:rPr>
        <w:t>–</w:t>
      </w:r>
      <w:r w:rsidRPr="007009E3">
        <w:rPr>
          <w:rFonts w:cs="Arial"/>
          <w:sz w:val="16"/>
          <w:szCs w:val="16"/>
        </w:rPr>
        <w:t>2011 (Steele Roberts Aotearoa, 2012, page 133); Savage, C, Moyle, P, Kus-Harbord, L, Ahuriri-Driscoll, A, Hynds, A, Paipa, K, Leonard, G, Maraki, J, &amp; Leonard, J</w:t>
      </w:r>
      <w:r w:rsidRPr="007009E3" w:rsidDel="002966D0">
        <w:rPr>
          <w:rFonts w:cs="Arial"/>
          <w:sz w:val="16"/>
          <w:szCs w:val="16"/>
        </w:rPr>
        <w:t xml:space="preserve">, </w:t>
      </w:r>
      <w:r w:rsidRPr="007009E3">
        <w:rPr>
          <w:rFonts w:cs="Arial"/>
          <w:sz w:val="16"/>
          <w:szCs w:val="16"/>
        </w:rPr>
        <w:t>Hāhā-uri, hāhā-tea: Māori involvement in State care 1950–1999 (Ihi Research, 2021, page 92).</w:t>
      </w:r>
    </w:p>
  </w:footnote>
  <w:footnote w:id="585">
    <w:p w14:paraId="7A337522"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sidDel="00C12819">
        <w:rPr>
          <w:sz w:val="16"/>
          <w:szCs w:val="16"/>
        </w:rPr>
        <w:t xml:space="preserve"> </w:t>
      </w:r>
      <w:r w:rsidRPr="00FC5F93">
        <w:rPr>
          <w:sz w:val="16"/>
          <w:szCs w:val="16"/>
        </w:rPr>
        <w:t>Else, A, A question of adoption: Closed stranger adoption in New Zealand, 1944–1974 (Bridget Williams Books, 1991, pages x–xi, page 24).</w:t>
      </w:r>
    </w:p>
  </w:footnote>
  <w:footnote w:id="586">
    <w:p w14:paraId="2321A385"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Dalley, B, Family matters: Child welfare in twentieth-century New Zealand (Auckland University Press, 1998, page 224). </w:t>
      </w:r>
    </w:p>
  </w:footnote>
  <w:footnote w:id="587">
    <w:p w14:paraId="5C8AFD0E"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rFonts w:cs="Arial"/>
          <w:color w:val="000000"/>
          <w:sz w:val="16"/>
          <w:szCs w:val="16"/>
          <w:bdr w:val="none" w:sz="0" w:space="0" w:color="auto" w:frame="1"/>
        </w:rPr>
        <w:t xml:space="preserve">Else, A, A question of adoption: Closed stranger adoption in New Zealand, 1944–1974 </w:t>
      </w:r>
      <w:r w:rsidRPr="00FC5F93">
        <w:rPr>
          <w:rFonts w:cs="Arial"/>
          <w:sz w:val="16"/>
          <w:szCs w:val="16"/>
        </w:rPr>
        <w:t>(</w:t>
      </w:r>
      <w:r w:rsidRPr="00FC5F93">
        <w:rPr>
          <w:rStyle w:val="normaltextrun"/>
          <w:rFonts w:cs="Arial"/>
          <w:color w:val="000000"/>
          <w:sz w:val="16"/>
          <w:szCs w:val="16"/>
          <w:bdr w:val="none" w:sz="0" w:space="0" w:color="auto" w:frame="1"/>
        </w:rPr>
        <w:t xml:space="preserve">Bridget Williams Books, 1991, </w:t>
      </w:r>
      <w:r w:rsidRPr="00FC5F93">
        <w:rPr>
          <w:rFonts w:cs="Arial"/>
          <w:sz w:val="16"/>
          <w:szCs w:val="16"/>
        </w:rPr>
        <w:t>page 48); Dalley, B, Family matters: Child welfare in twentieth-century New Zealand (Auckland University Press, 1998, page 233).</w:t>
      </w:r>
    </w:p>
  </w:footnote>
  <w:footnote w:id="588">
    <w:p w14:paraId="5B1AF6D3"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rFonts w:cs="Arial"/>
          <w:color w:val="000000"/>
          <w:sz w:val="16"/>
          <w:szCs w:val="16"/>
          <w:bdr w:val="none" w:sz="0" w:space="0" w:color="auto" w:frame="1"/>
        </w:rPr>
        <w:t>Else, A, A question of adoption: Closed stranger adoption in New Zealand, 1944–1974 (Bridget Williams Books, 1991,</w:t>
      </w:r>
      <w:r w:rsidRPr="00FC5F93">
        <w:rPr>
          <w:rFonts w:cs="Arial"/>
          <w:sz w:val="16"/>
          <w:szCs w:val="16"/>
        </w:rPr>
        <w:t xml:space="preserve"> paras 67–69).</w:t>
      </w:r>
    </w:p>
  </w:footnote>
  <w:footnote w:id="589">
    <w:p w14:paraId="347BD658"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Witness statement of Dr Anne Else (9 October 2019, page 4). </w:t>
      </w:r>
    </w:p>
  </w:footnote>
  <w:footnote w:id="590">
    <w:p w14:paraId="0DDAB1B5" w14:textId="77777777" w:rsidR="0062717F" w:rsidRPr="00FC5F93" w:rsidRDefault="0062717F" w:rsidP="0062717F">
      <w:pPr>
        <w:spacing w:before="0" w:after="0"/>
        <w:rPr>
          <w:rFonts w:cs="Arial"/>
          <w:sz w:val="16"/>
          <w:szCs w:val="16"/>
        </w:rPr>
      </w:pPr>
      <w:r w:rsidRPr="00536E67">
        <w:rPr>
          <w:rStyle w:val="StyleFootnoteReferenceFagoFunotenzeichenFagoFunotenzeichen"/>
          <w:sz w:val="16"/>
          <w:szCs w:val="16"/>
        </w:rPr>
        <w:footnoteRef/>
      </w:r>
      <w:r w:rsidRPr="00FC5F93" w:rsidDel="00B76CB2">
        <w:rPr>
          <w:rFonts w:cs="Arial"/>
          <w:sz w:val="16"/>
          <w:szCs w:val="16"/>
        </w:rPr>
        <w:t xml:space="preserve"> </w:t>
      </w:r>
      <w:r w:rsidRPr="00FC5F93">
        <w:rPr>
          <w:rFonts w:cs="Arial"/>
          <w:sz w:val="16"/>
          <w:szCs w:val="16"/>
        </w:rPr>
        <w:t xml:space="preserve">Else, A, Adoption: Growth in adoption (Te Ara – The Encyclopedia of New Zealand, 2011, page 2), </w:t>
      </w:r>
      <w:hyperlink r:id="rId106" w:history="1">
        <w:r w:rsidRPr="00FC5F93">
          <w:rPr>
            <w:rStyle w:val="Hyperlink"/>
            <w:rFonts w:cs="Arial"/>
            <w:sz w:val="16"/>
            <w:szCs w:val="16"/>
          </w:rPr>
          <w:t>https://teara.govt.nz/en/adoption/page-2</w:t>
        </w:r>
      </w:hyperlink>
      <w:r w:rsidRPr="00FC5F93">
        <w:rPr>
          <w:rFonts w:cs="Arial"/>
          <w:sz w:val="16"/>
          <w:szCs w:val="16"/>
        </w:rPr>
        <w:t>.</w:t>
      </w:r>
    </w:p>
  </w:footnote>
  <w:footnote w:id="591">
    <w:p w14:paraId="19E02806"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Adoption Act 1955.</w:t>
      </w:r>
    </w:p>
  </w:footnote>
  <w:footnote w:id="592">
    <w:p w14:paraId="476C3BA8" w14:textId="77777777" w:rsidR="0062717F" w:rsidRPr="00FC5F93" w:rsidRDefault="0062717F" w:rsidP="0062717F">
      <w:pPr>
        <w:spacing w:before="0" w:after="0"/>
        <w:jc w:val="both"/>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Witness statement of Dr Anne Else (9 October 2019, page 5).</w:t>
      </w:r>
    </w:p>
  </w:footnote>
  <w:footnote w:id="593">
    <w:p w14:paraId="1E396ED4" w14:textId="77777777" w:rsidR="0062717F" w:rsidRPr="00FC5F93" w:rsidRDefault="0062717F" w:rsidP="0062717F">
      <w:pPr>
        <w:spacing w:before="0" w:after="0"/>
        <w:jc w:val="both"/>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Haenga-Collins, M, Closed stranger adoption, Māori and race relations in Aotearoa New Zealand, 1955</w:t>
      </w:r>
      <w:r w:rsidRPr="00FC5F93">
        <w:rPr>
          <w:rStyle w:val="normaltextrun"/>
          <w:rFonts w:ascii="Arial" w:hAnsi="Arial" w:cs="Arial"/>
          <w:color w:val="000000"/>
          <w:sz w:val="16"/>
          <w:szCs w:val="16"/>
          <w:bdr w:val="none" w:sz="0" w:space="0" w:color="auto" w:frame="1"/>
        </w:rPr>
        <w:t>–</w:t>
      </w:r>
      <w:r w:rsidRPr="00FC5F93">
        <w:rPr>
          <w:rFonts w:cs="Arial"/>
          <w:sz w:val="16"/>
          <w:szCs w:val="16"/>
        </w:rPr>
        <w:t>1985, Doctoral Thesis, Australian National University (March 2017, page 1).</w:t>
      </w:r>
    </w:p>
  </w:footnote>
  <w:footnote w:id="594">
    <w:p w14:paraId="1C5D89D8"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Witness statement of Dr Anne Else (9 October 2019, page 5).</w:t>
      </w:r>
    </w:p>
  </w:footnote>
  <w:footnote w:id="595">
    <w:p w14:paraId="4B7DDA3E" w14:textId="77777777" w:rsidR="0062717F" w:rsidRPr="00FC5F93" w:rsidRDefault="0062717F" w:rsidP="0062717F">
      <w:pPr>
        <w:pStyle w:val="FootnoteText"/>
        <w:spacing w:before="0" w:after="0"/>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Adoption Act 1955, section 8(1).</w:t>
      </w:r>
    </w:p>
  </w:footnote>
  <w:footnote w:id="596">
    <w:p w14:paraId="362A4DE6" w14:textId="77777777" w:rsidR="0062717F" w:rsidRPr="00FC5F93" w:rsidRDefault="0062717F" w:rsidP="0062717F">
      <w:pPr>
        <w:pStyle w:val="FootnoteText"/>
        <w:spacing w:before="0" w:after="0"/>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Adoption Act 1955, section 8(2).</w:t>
      </w:r>
    </w:p>
  </w:footnote>
  <w:footnote w:id="597">
    <w:p w14:paraId="0FFB2E13" w14:textId="77777777" w:rsidR="0062717F" w:rsidRPr="00FC5F93" w:rsidRDefault="0062717F" w:rsidP="0062717F">
      <w:pPr>
        <w:keepNext/>
        <w:widowControl w:val="0"/>
        <w:spacing w:before="0" w:after="0"/>
        <w:jc w:val="both"/>
        <w:rPr>
          <w:rFonts w:ascii="Arial" w:hAnsi="Arial" w:cs="Arial"/>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Department of Education, Child Welfare Division Field Officers Manual (c. 1958-1969, I.289). </w:t>
      </w:r>
    </w:p>
  </w:footnote>
  <w:footnote w:id="598">
    <w:p w14:paraId="32234740" w14:textId="77777777" w:rsidR="0062717F" w:rsidRPr="00536E67"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Dalley, B, Family matters: Child welfare in twentieth-century New Zealand (Auckland University Press, 1998, page 264)</w:t>
      </w:r>
      <w:r w:rsidRPr="00536E67">
        <w:rPr>
          <w:rFonts w:cs="Arial"/>
          <w:sz w:val="16"/>
          <w:szCs w:val="16"/>
        </w:rPr>
        <w:t>.</w:t>
      </w:r>
    </w:p>
  </w:footnote>
  <w:footnote w:id="599">
    <w:p w14:paraId="0E712C82" w14:textId="77777777" w:rsidR="0062717F" w:rsidRPr="00FC5F93" w:rsidRDefault="0062717F" w:rsidP="0062717F">
      <w:pPr>
        <w:widowControl w:val="0"/>
        <w:spacing w:before="0" w:after="0"/>
        <w:jc w:val="both"/>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Department of Social Welfare, Social Work Manual (1984</w:t>
      </w:r>
      <w:r w:rsidRPr="00FC5F93">
        <w:rPr>
          <w:rFonts w:eastAsia="Arial" w:cs="Arial"/>
          <w:sz w:val="16"/>
          <w:szCs w:val="16"/>
        </w:rPr>
        <w:t xml:space="preserve">, </w:t>
      </w:r>
      <w:r w:rsidRPr="00FC5F93">
        <w:rPr>
          <w:rFonts w:cs="Arial"/>
          <w:sz w:val="16"/>
          <w:szCs w:val="16"/>
        </w:rPr>
        <w:t>E4.1).</w:t>
      </w:r>
    </w:p>
  </w:footnote>
  <w:footnote w:id="600">
    <w:p w14:paraId="26C52AEE" w14:textId="77777777" w:rsidR="0062717F" w:rsidRPr="00536E67"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Department of Social Welfare, Social Work Manual (1984, E4.1).</w:t>
      </w:r>
    </w:p>
  </w:footnote>
  <w:footnote w:id="601">
    <w:p w14:paraId="750CACAC" w14:textId="3B69CB70"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rFonts w:cs="Arial"/>
          <w:color w:val="000000"/>
          <w:sz w:val="16"/>
          <w:szCs w:val="16"/>
          <w:bdr w:val="none" w:sz="0" w:space="0" w:color="auto" w:frame="1"/>
        </w:rPr>
        <w:t>Else, A, A question of adoption: Closed stranger adoption in New Zealand, 1944</w:t>
      </w:r>
      <w:r w:rsidR="00B541F9">
        <w:rPr>
          <w:rStyle w:val="normaltextrun"/>
          <w:rFonts w:cs="Arial"/>
          <w:color w:val="000000"/>
          <w:sz w:val="16"/>
          <w:szCs w:val="16"/>
          <w:bdr w:val="none" w:sz="0" w:space="0" w:color="auto" w:frame="1"/>
        </w:rPr>
        <w:t>–</w:t>
      </w:r>
      <w:r w:rsidRPr="00FC5F93">
        <w:rPr>
          <w:rStyle w:val="normaltextrun"/>
          <w:rFonts w:cs="Arial"/>
          <w:color w:val="000000"/>
          <w:sz w:val="16"/>
          <w:szCs w:val="16"/>
          <w:bdr w:val="none" w:sz="0" w:space="0" w:color="auto" w:frame="1"/>
        </w:rPr>
        <w:t xml:space="preserve">1974 (Bridget Williams Books, 1991, page xii). </w:t>
      </w:r>
    </w:p>
  </w:footnote>
  <w:footnote w:id="602">
    <w:p w14:paraId="024935E1"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Witness statement of Dr Anne Else (9 October 2019, para 7).</w:t>
      </w:r>
    </w:p>
  </w:footnote>
  <w:footnote w:id="603">
    <w:p w14:paraId="4DA4A1B9" w14:textId="77777777" w:rsidR="0062717F" w:rsidRPr="00536E67"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Dalley, B, Family matters: Child welfare in twentieth-century New Zealand (Auckland University Press, 1998, </w:t>
      </w:r>
      <w:r w:rsidRPr="00FC5F93">
        <w:rPr>
          <w:sz w:val="16"/>
          <w:szCs w:val="16"/>
        </w:rPr>
        <w:t>page 223).</w:t>
      </w:r>
    </w:p>
  </w:footnote>
  <w:footnote w:id="604">
    <w:p w14:paraId="3FDD1DC3" w14:textId="64AE6D3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Haenga-Collins, M, “Creating fictitious family memories: The closed stranger adoption of Māori children into white families</w:t>
      </w:r>
      <w:r w:rsidR="00F34E4E">
        <w:rPr>
          <w:rFonts w:cs="Arial"/>
          <w:sz w:val="16"/>
          <w:szCs w:val="16"/>
        </w:rPr>
        <w:t>,</w:t>
      </w:r>
      <w:r w:rsidRPr="00FC5F93">
        <w:rPr>
          <w:rFonts w:cs="Arial"/>
          <w:sz w:val="16"/>
          <w:szCs w:val="16"/>
        </w:rPr>
        <w:t>” Journal of New Zealand studies (2019, page 37).</w:t>
      </w:r>
    </w:p>
  </w:footnote>
  <w:footnote w:id="605">
    <w:p w14:paraId="636F59F0" w14:textId="77777777" w:rsidR="009E392F" w:rsidRPr="00536E67" w:rsidRDefault="009E392F" w:rsidP="009E392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Adult Adoption Information Act 1985, sections 4 and 9.</w:t>
      </w:r>
    </w:p>
  </w:footnote>
  <w:footnote w:id="606">
    <w:p w14:paraId="20CB8D5F"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Witness statement of Dr Anne Else (9 October 2019, page 3). </w:t>
      </w:r>
    </w:p>
  </w:footnote>
  <w:footnote w:id="607">
    <w:p w14:paraId="2DEA3D60"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rFonts w:cs="Arial"/>
          <w:color w:val="000000"/>
          <w:sz w:val="16"/>
          <w:szCs w:val="16"/>
          <w:bdr w:val="none" w:sz="0" w:space="0" w:color="auto" w:frame="1"/>
        </w:rPr>
        <w:t xml:space="preserve">Else, A, A question of adoption: Closed stranger adoption in New Zealand, 1944–1974 (Bridget Williams Books, 1991); </w:t>
      </w:r>
      <w:r w:rsidRPr="00FC5F93">
        <w:rPr>
          <w:rFonts w:cs="Arial"/>
          <w:sz w:val="16"/>
          <w:szCs w:val="16"/>
        </w:rPr>
        <w:t>Dalley, B, Family matters: Child welfare in twentieth-century New Zealand (Auckland University Press, 1998, page 60).</w:t>
      </w:r>
    </w:p>
  </w:footnote>
  <w:footnote w:id="608">
    <w:p w14:paraId="0E415F46"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Savage, C, Moyle, P, Kus-Harbord, L, Ahuriri-Driscoll, A, Hynds, A, Paipa, K, Leonard, G, Maraki, J, &amp; Leonard, J, Hāhā-uri hāhā-tea: Māori involvement in State care 1950–1999 (Ihi Research, 2021, page 35). </w:t>
      </w:r>
    </w:p>
  </w:footnote>
  <w:footnote w:id="609">
    <w:p w14:paraId="7CF0BA45"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Dalley, B, Family matters: Child welfare in twentieth-century New Zealand (Auckland University Press, 1998, page 233).</w:t>
      </w:r>
    </w:p>
  </w:footnote>
  <w:footnote w:id="610">
    <w:p w14:paraId="3A26F1F6"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Style w:val="normaltextrun"/>
          <w:rFonts w:cs="Arial"/>
          <w:color w:val="000000"/>
          <w:sz w:val="16"/>
          <w:szCs w:val="16"/>
          <w:bdr w:val="none" w:sz="0" w:space="0" w:color="auto" w:frame="1"/>
        </w:rPr>
        <w:t xml:space="preserve">Else, A, A question of adoption: Closed stranger adoption in New Zealand, 1944–1974 (Bridget Williams Books, 1991, </w:t>
      </w:r>
      <w:r w:rsidRPr="00FC5F93">
        <w:rPr>
          <w:rFonts w:cs="Arial"/>
          <w:sz w:val="16"/>
          <w:szCs w:val="16"/>
        </w:rPr>
        <w:t xml:space="preserve">page 180). </w:t>
      </w:r>
    </w:p>
  </w:footnote>
  <w:footnote w:id="611">
    <w:p w14:paraId="031D3ED1"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NZ Press Association, “New Law Reduces Adoptions,” The Press (29 July 1966). </w:t>
      </w:r>
      <w:hyperlink r:id="rId107" w:history="1">
        <w:r w:rsidRPr="00FC5F93">
          <w:rPr>
            <w:rStyle w:val="Hyperlink"/>
            <w:rFonts w:cs="Arial"/>
            <w:sz w:val="16"/>
            <w:szCs w:val="16"/>
          </w:rPr>
          <w:t>https://paperspast.natlib.govt.nz/newspapers/CHP19660729.2.36?phrase=2&amp;query=New+Law+Reduces+Adoptions&amp;snippet=true</w:t>
        </w:r>
      </w:hyperlink>
    </w:p>
  </w:footnote>
  <w:footnote w:id="612">
    <w:p w14:paraId="13FF803D"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Dalley, B, Family matters: Child welfare in twentieth-century New Zealand (Auckland University Press, 1998, page 234)</w:t>
      </w:r>
    </w:p>
  </w:footnote>
  <w:footnote w:id="613">
    <w:p w14:paraId="4BE7735C"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Dalley, B, Family matters: Child welfare in twentieth-century New Zealand (Auckland University Press, 1998, page 234); Witness statements of Dr Anne Else (9 October 2019, page 18); Ms AF (</w:t>
      </w:r>
      <w:r w:rsidRPr="00FC5F93">
        <w:rPr>
          <w:rFonts w:eastAsia="Arial" w:cs="Arial"/>
          <w:sz w:val="16"/>
          <w:szCs w:val="16"/>
        </w:rPr>
        <w:t>13 August 2021,</w:t>
      </w:r>
      <w:r w:rsidRPr="00FC5F93">
        <w:rPr>
          <w:rFonts w:cs="Arial"/>
          <w:sz w:val="16"/>
          <w:szCs w:val="16"/>
        </w:rPr>
        <w:t xml:space="preserve"> paras 3.3–3.5) and Dallas Pickering (n.d., para 27); Haenga-Collins, M, Closed stranger adoption, Māori and race relations in Aotearoa New Zealand, 1955–1985, Doctoral Thesis,</w:t>
      </w:r>
      <w:r w:rsidRPr="00FC5F93" w:rsidDel="006735EF">
        <w:rPr>
          <w:rFonts w:cs="Arial"/>
          <w:sz w:val="16"/>
          <w:szCs w:val="16"/>
        </w:rPr>
        <w:t xml:space="preserve"> </w:t>
      </w:r>
      <w:r w:rsidRPr="00FC5F93">
        <w:rPr>
          <w:rFonts w:cs="Arial"/>
          <w:sz w:val="16"/>
          <w:szCs w:val="16"/>
        </w:rPr>
        <w:t>Australian National University (March 2017, page 7).</w:t>
      </w:r>
      <w:r w:rsidRPr="00FC5F93">
        <w:rPr>
          <w:rFonts w:cs="Arial"/>
          <w:sz w:val="16"/>
          <w:szCs w:val="16"/>
          <w:highlight w:val="green"/>
        </w:rPr>
        <w:t xml:space="preserve"> </w:t>
      </w:r>
    </w:p>
  </w:footnote>
  <w:footnote w:id="614">
    <w:p w14:paraId="0941810B" w14:textId="77777777" w:rsidR="0062717F" w:rsidRPr="00FC5F93" w:rsidRDefault="0062717F" w:rsidP="0062717F">
      <w:pPr>
        <w:pStyle w:val="FootnoteText"/>
        <w:spacing w:before="0" w:after="0" w:line="240" w:lineRule="auto"/>
        <w:rPr>
          <w:rFonts w:eastAsiaTheme="minorEastAsia" w:cs="Arial"/>
          <w:sz w:val="16"/>
          <w:szCs w:val="16"/>
          <w:lang w:val="en-AU"/>
        </w:rPr>
      </w:pPr>
      <w:r w:rsidRPr="00536E67">
        <w:rPr>
          <w:rStyle w:val="StyleFootnoteReferenceFagoFunotenzeichenFagoFunotenzeichen"/>
          <w:sz w:val="16"/>
          <w:szCs w:val="16"/>
        </w:rPr>
        <w:footnoteRef/>
      </w:r>
      <w:r w:rsidRPr="00FC5F93">
        <w:rPr>
          <w:rFonts w:eastAsia="Calibri" w:cs="Arial"/>
          <w:sz w:val="16"/>
          <w:szCs w:val="16"/>
        </w:rPr>
        <w:t xml:space="preserve"> </w:t>
      </w:r>
      <w:r w:rsidRPr="00FC5F93">
        <w:rPr>
          <w:rFonts w:eastAsia="Calibri" w:cs="Arial"/>
          <w:sz w:val="16"/>
          <w:szCs w:val="16"/>
          <w:lang w:val="en-US"/>
        </w:rPr>
        <w:t>Else, A</w:t>
      </w:r>
      <w:r w:rsidRPr="00FC5F93" w:rsidDel="00BE41C9">
        <w:rPr>
          <w:rFonts w:eastAsia="Calibri" w:cs="Arial"/>
          <w:sz w:val="16"/>
          <w:szCs w:val="16"/>
          <w:lang w:val="en-US"/>
        </w:rPr>
        <w:t xml:space="preserve"> </w:t>
      </w:r>
      <w:r w:rsidRPr="00FC5F93">
        <w:rPr>
          <w:rFonts w:eastAsia="Calibri" w:cs="Arial"/>
          <w:sz w:val="16"/>
          <w:szCs w:val="16"/>
          <w:lang w:val="en-US"/>
        </w:rPr>
        <w:t xml:space="preserve">in </w:t>
      </w:r>
      <w:r w:rsidRPr="00FC5F93">
        <w:rPr>
          <w:rFonts w:cs="Arial"/>
          <w:sz w:val="16"/>
          <w:szCs w:val="16"/>
        </w:rPr>
        <w:t xml:space="preserve">Savage, C, Moyle, P, Kus-Harbord, L, Ahuriri-Driscoll, A, Hynds, A, Paipa, K, Leonard, G, Maraki, J &amp; Leonard, J, Hāhā-uri hāhā-tea: Māori involvement in State care 1950–1999 (Ihi Research, 2021, page </w:t>
      </w:r>
      <w:r w:rsidRPr="00FC5F93">
        <w:rPr>
          <w:rFonts w:eastAsia="Calibri" w:cs="Arial"/>
          <w:sz w:val="16"/>
          <w:szCs w:val="16"/>
          <w:lang w:val="en-US"/>
        </w:rPr>
        <w:t>168).</w:t>
      </w:r>
    </w:p>
  </w:footnote>
  <w:footnote w:id="615">
    <w:p w14:paraId="310036B3" w14:textId="77777777" w:rsidR="0062717F" w:rsidRPr="00FC5F93" w:rsidRDefault="0062717F" w:rsidP="0062717F">
      <w:pPr>
        <w:pStyle w:val="FootnoteText"/>
        <w:spacing w:before="0" w:after="0" w:line="240" w:lineRule="auto"/>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Witness statement of Dr Anne Else (9 October 2019, para 14).</w:t>
      </w:r>
    </w:p>
  </w:footnote>
  <w:footnote w:id="616">
    <w:p w14:paraId="703F313D" w14:textId="192A6B06" w:rsidR="0062717F" w:rsidRPr="00FC5F93" w:rsidRDefault="0062717F" w:rsidP="0062717F">
      <w:pPr>
        <w:spacing w:before="0" w:after="0"/>
        <w:rPr>
          <w:rFonts w:ascii="Arial" w:hAnsi="Arial" w:cs="Arial"/>
          <w:sz w:val="16"/>
          <w:szCs w:val="16"/>
        </w:rPr>
      </w:pPr>
      <w:r w:rsidRPr="00536E67">
        <w:rPr>
          <w:rStyle w:val="StyleFootnoteReferenceFagoFunotenzeichenFagoFunotenzeichen"/>
          <w:sz w:val="16"/>
          <w:szCs w:val="16"/>
        </w:rPr>
        <w:footnoteRef/>
      </w:r>
      <w:r w:rsidRPr="00FC5F93">
        <w:rPr>
          <w:rFonts w:ascii="Arial" w:hAnsi="Arial" w:cs="Arial"/>
          <w:color w:val="000000" w:themeColor="text1"/>
          <w:sz w:val="16"/>
          <w:szCs w:val="16"/>
        </w:rPr>
        <w:t xml:space="preserve"> Ahuriri-Driscoll, A, Blake, D, Potter, H, McBreen, K &amp; Mikaere, A, </w:t>
      </w:r>
      <w:r w:rsidR="00304673">
        <w:rPr>
          <w:rFonts w:ascii="Arial" w:hAnsi="Arial" w:cs="Arial"/>
          <w:color w:val="000000" w:themeColor="text1"/>
          <w:sz w:val="16"/>
          <w:szCs w:val="16"/>
        </w:rPr>
        <w:t>“</w:t>
      </w:r>
      <w:r w:rsidRPr="00FC5F93">
        <w:rPr>
          <w:rFonts w:ascii="Arial" w:hAnsi="Arial" w:cs="Arial"/>
          <w:color w:val="000000" w:themeColor="text1"/>
          <w:sz w:val="16"/>
          <w:szCs w:val="16"/>
        </w:rPr>
        <w:t>A ’forgotten’ whakapapa: historical narratives of M</w:t>
      </w:r>
      <w:r w:rsidRPr="00FC5F93">
        <w:rPr>
          <w:rFonts w:ascii="Arial" w:hAnsi="Arial" w:cs="Arial" w:hint="eastAsia"/>
          <w:color w:val="000000" w:themeColor="text1"/>
          <w:sz w:val="16"/>
          <w:szCs w:val="16"/>
        </w:rPr>
        <w:t>ā</w:t>
      </w:r>
      <w:r w:rsidRPr="00FC5F93">
        <w:rPr>
          <w:rFonts w:ascii="Arial" w:hAnsi="Arial" w:cs="Arial"/>
          <w:color w:val="000000" w:themeColor="text1"/>
          <w:sz w:val="16"/>
          <w:szCs w:val="16"/>
        </w:rPr>
        <w:t>ori and closed adoption, New Zealand Journal of Social Sciences Online,</w:t>
      </w:r>
      <w:r w:rsidR="00304673">
        <w:rPr>
          <w:rFonts w:ascii="Arial" w:hAnsi="Arial" w:cs="Arial"/>
          <w:color w:val="000000" w:themeColor="text1"/>
          <w:sz w:val="16"/>
          <w:szCs w:val="16"/>
        </w:rPr>
        <w:t>”</w:t>
      </w:r>
      <w:r w:rsidRPr="00FC5F93">
        <w:rPr>
          <w:rFonts w:ascii="Arial" w:hAnsi="Arial" w:cs="Arial"/>
          <w:color w:val="000000" w:themeColor="text1"/>
          <w:sz w:val="16"/>
          <w:szCs w:val="16"/>
        </w:rPr>
        <w:t xml:space="preserve"> 18(2), (2023, page 136). </w:t>
      </w:r>
    </w:p>
  </w:footnote>
  <w:footnote w:id="617">
    <w:p w14:paraId="4350E48D" w14:textId="77777777" w:rsidR="0062717F" w:rsidRPr="00536E67"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Children, Young Persons. and Their Families Act 1989 (No 24), sections 241(1)– (2).</w:t>
      </w:r>
    </w:p>
  </w:footnote>
  <w:footnote w:id="618">
    <w:p w14:paraId="115CC493"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Penal Institutions Act 1958, sections 12(1)</w:t>
      </w:r>
      <w:r w:rsidRPr="00FC5F93">
        <w:rPr>
          <w:rFonts w:cs="Arial"/>
          <w:sz w:val="16"/>
          <w:szCs w:val="16"/>
        </w:rPr>
        <w:t>–</w:t>
      </w:r>
      <w:r w:rsidRPr="00FC5F93">
        <w:rPr>
          <w:rFonts w:cs="Arial"/>
          <w:color w:val="auto"/>
          <w:sz w:val="16"/>
          <w:szCs w:val="16"/>
        </w:rPr>
        <w:t>(2): Sentences of imprisonment for less than one month could be served in a police jail.</w:t>
      </w:r>
    </w:p>
  </w:footnote>
  <w:footnote w:id="619">
    <w:p w14:paraId="2EEDFC97"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w:t>
      </w:r>
      <w:r w:rsidRPr="00FC5F93">
        <w:rPr>
          <w:rStyle w:val="normaltextrun"/>
          <w:rFonts w:cs="Arial"/>
          <w:color w:val="auto"/>
          <w:sz w:val="16"/>
          <w:szCs w:val="16"/>
          <w:shd w:val="clear" w:color="auto" w:fill="FFFFFF"/>
        </w:rPr>
        <w:t xml:space="preserve">Criminal Justice Act 1954, section 14(1). </w:t>
      </w:r>
    </w:p>
  </w:footnote>
  <w:footnote w:id="620">
    <w:p w14:paraId="7B0007BD" w14:textId="77777777" w:rsidR="0062717F" w:rsidRPr="00CB4F47" w:rsidRDefault="0062717F" w:rsidP="0062717F">
      <w:pPr>
        <w:pStyle w:val="FootnoteText"/>
        <w:spacing w:before="0" w:after="0"/>
        <w:rPr>
          <w:rFonts w:cstheme="minorHAnsi"/>
          <w:sz w:val="16"/>
          <w:szCs w:val="16"/>
        </w:rPr>
      </w:pPr>
      <w:r w:rsidRPr="00D24D13">
        <w:rPr>
          <w:rStyle w:val="StyleFootnoteReferenceFagoFunotenzeichenFagoFunotenzeichen"/>
        </w:rPr>
        <w:footnoteRef/>
      </w:r>
      <w:r w:rsidRPr="00187A6C">
        <w:rPr>
          <w:rFonts w:cstheme="minorHAnsi"/>
          <w:color w:val="auto"/>
          <w:sz w:val="16"/>
          <w:szCs w:val="16"/>
        </w:rPr>
        <w:t xml:space="preserve"> Child and Young Persons Act 1974, section 12.</w:t>
      </w:r>
    </w:p>
  </w:footnote>
  <w:footnote w:id="621">
    <w:p w14:paraId="4B35EA86" w14:textId="77777777" w:rsidR="0062717F" w:rsidRPr="00CB4F47" w:rsidRDefault="0062717F" w:rsidP="0062717F">
      <w:pPr>
        <w:pStyle w:val="FootnoteText"/>
        <w:spacing w:before="0" w:after="0"/>
        <w:rPr>
          <w:rFonts w:cstheme="minorHAnsi"/>
          <w:sz w:val="16"/>
          <w:szCs w:val="16"/>
        </w:rPr>
      </w:pPr>
      <w:r w:rsidRPr="00D24D13">
        <w:rPr>
          <w:rStyle w:val="StyleFootnoteReferenceFagoFunotenzeichenFagoFunotenzeichen"/>
        </w:rPr>
        <w:footnoteRef/>
      </w:r>
      <w:r w:rsidRPr="00CB4F47">
        <w:rPr>
          <w:rFonts w:cstheme="minorHAnsi"/>
          <w:sz w:val="16"/>
          <w:szCs w:val="16"/>
        </w:rPr>
        <w:t xml:space="preserve"> Transcript of </w:t>
      </w:r>
      <w:r w:rsidRPr="00187A6C">
        <w:rPr>
          <w:rFonts w:cstheme="minorHAnsi"/>
          <w:sz w:val="16"/>
          <w:szCs w:val="16"/>
        </w:rPr>
        <w:t>evidence</w:t>
      </w:r>
      <w:r w:rsidRPr="00CB4F47">
        <w:rPr>
          <w:rFonts w:cstheme="minorHAnsi"/>
          <w:sz w:val="16"/>
          <w:szCs w:val="16"/>
        </w:rPr>
        <w:t xml:space="preserve"> of </w:t>
      </w:r>
      <w:r>
        <w:rPr>
          <w:rFonts w:cstheme="minorHAnsi"/>
          <w:sz w:val="16"/>
          <w:szCs w:val="16"/>
        </w:rPr>
        <w:t xml:space="preserve">Commissioner </w:t>
      </w:r>
      <w:r w:rsidRPr="00CB4F47">
        <w:rPr>
          <w:rFonts w:cstheme="minorHAnsi"/>
          <w:sz w:val="16"/>
          <w:szCs w:val="16"/>
        </w:rPr>
        <w:t xml:space="preserve">Andrew Coster for </w:t>
      </w:r>
      <w:r>
        <w:rPr>
          <w:rFonts w:cstheme="minorHAnsi"/>
          <w:sz w:val="16"/>
          <w:szCs w:val="16"/>
        </w:rPr>
        <w:t>NZ</w:t>
      </w:r>
      <w:r w:rsidRPr="00CB4F47">
        <w:rPr>
          <w:rFonts w:cstheme="minorHAnsi"/>
          <w:sz w:val="16"/>
          <w:szCs w:val="16"/>
        </w:rPr>
        <w:t xml:space="preserve"> Police</w:t>
      </w:r>
      <w:r w:rsidRPr="00CB4F47" w:rsidDel="00A032BC">
        <w:rPr>
          <w:rFonts w:cstheme="minorHAnsi"/>
          <w:sz w:val="16"/>
          <w:szCs w:val="16"/>
        </w:rPr>
        <w:t xml:space="preserve"> </w:t>
      </w:r>
      <w:r>
        <w:rPr>
          <w:rFonts w:cstheme="minorHAnsi"/>
          <w:sz w:val="16"/>
          <w:szCs w:val="16"/>
        </w:rPr>
        <w:t xml:space="preserve">at </w:t>
      </w:r>
      <w:r w:rsidRPr="00CB4F47">
        <w:rPr>
          <w:rFonts w:cstheme="minorHAnsi"/>
          <w:sz w:val="16"/>
          <w:szCs w:val="16"/>
        </w:rPr>
        <w:t xml:space="preserve">the </w:t>
      </w:r>
      <w:r w:rsidRPr="00187A6C">
        <w:rPr>
          <w:rFonts w:cstheme="minorHAnsi"/>
          <w:sz w:val="16"/>
          <w:szCs w:val="16"/>
        </w:rPr>
        <w:t xml:space="preserve">Inquiry’s </w:t>
      </w:r>
      <w:r w:rsidRPr="00CB4F47">
        <w:rPr>
          <w:rFonts w:cstheme="minorHAnsi"/>
          <w:sz w:val="16"/>
          <w:szCs w:val="16"/>
        </w:rPr>
        <w:t xml:space="preserve">State Institutional Response Hearing </w:t>
      </w:r>
      <w:r>
        <w:rPr>
          <w:rFonts w:cstheme="minorHAnsi"/>
          <w:sz w:val="16"/>
          <w:szCs w:val="16"/>
        </w:rPr>
        <w:t>(</w:t>
      </w:r>
      <w:r w:rsidRPr="001C0589">
        <w:rPr>
          <w:rFonts w:cs="Arial"/>
          <w:sz w:val="16"/>
          <w:szCs w:val="16"/>
        </w:rPr>
        <w:t xml:space="preserve">Royal Commission of Inquiry into Abuse in Care, </w:t>
      </w:r>
      <w:r w:rsidRPr="00CB4F47">
        <w:rPr>
          <w:rFonts w:cstheme="minorHAnsi"/>
          <w:sz w:val="16"/>
          <w:szCs w:val="16"/>
        </w:rPr>
        <w:t>16 August 2022</w:t>
      </w:r>
      <w:r>
        <w:rPr>
          <w:rFonts w:cstheme="minorHAnsi"/>
          <w:sz w:val="16"/>
          <w:szCs w:val="16"/>
        </w:rPr>
        <w:t>,</w:t>
      </w:r>
      <w:r w:rsidRPr="00CB4F47">
        <w:rPr>
          <w:rFonts w:cstheme="minorHAnsi"/>
          <w:sz w:val="16"/>
          <w:szCs w:val="16"/>
        </w:rPr>
        <w:t xml:space="preserve"> </w:t>
      </w:r>
      <w:r w:rsidRPr="00CB4F47">
        <w:rPr>
          <w:rFonts w:cs="Arial"/>
          <w:color w:val="auto"/>
          <w:sz w:val="16"/>
          <w:szCs w:val="16"/>
        </w:rPr>
        <w:t xml:space="preserve">pages </w:t>
      </w:r>
      <w:r w:rsidRPr="00CB4F47">
        <w:rPr>
          <w:rFonts w:cstheme="minorHAnsi"/>
          <w:sz w:val="16"/>
          <w:szCs w:val="16"/>
        </w:rPr>
        <w:t>104</w:t>
      </w:r>
      <w:r w:rsidRPr="00CB4F47">
        <w:rPr>
          <w:rFonts w:cs="Arial"/>
          <w:sz w:val="16"/>
          <w:szCs w:val="16"/>
        </w:rPr>
        <w:t>–</w:t>
      </w:r>
      <w:r w:rsidRPr="00CB4F47">
        <w:rPr>
          <w:rFonts w:cstheme="minorHAnsi"/>
          <w:sz w:val="16"/>
          <w:szCs w:val="16"/>
        </w:rPr>
        <w:t>105</w:t>
      </w:r>
      <w:r>
        <w:rPr>
          <w:rFonts w:cstheme="minorHAnsi"/>
          <w:sz w:val="16"/>
          <w:szCs w:val="16"/>
        </w:rPr>
        <w:t>)</w:t>
      </w:r>
      <w:r w:rsidRPr="00CB4F47">
        <w:rPr>
          <w:rFonts w:cstheme="minorHAnsi"/>
          <w:sz w:val="16"/>
          <w:szCs w:val="16"/>
        </w:rPr>
        <w:t>.</w:t>
      </w:r>
    </w:p>
  </w:footnote>
  <w:footnote w:id="622">
    <w:p w14:paraId="6E730319" w14:textId="77777777" w:rsidR="0062717F" w:rsidRPr="00CB4F47" w:rsidRDefault="0062717F" w:rsidP="0062717F">
      <w:pPr>
        <w:pStyle w:val="FootnoteText"/>
        <w:spacing w:before="0" w:after="0" w:line="240" w:lineRule="auto"/>
        <w:rPr>
          <w:sz w:val="16"/>
          <w:szCs w:val="16"/>
        </w:rPr>
      </w:pPr>
      <w:r w:rsidRPr="00D24D13">
        <w:rPr>
          <w:rStyle w:val="StyleFootnoteReferenceFagoFunotenzeichenFagoFunotenzeichen"/>
        </w:rPr>
        <w:footnoteRef/>
      </w:r>
      <w:r w:rsidRPr="00CB4F47" w:rsidDel="00076EE3">
        <w:rPr>
          <w:sz w:val="16"/>
          <w:szCs w:val="16"/>
        </w:rPr>
        <w:t xml:space="preserve"> </w:t>
      </w:r>
      <w:r w:rsidRPr="00CB4F47">
        <w:rPr>
          <w:rFonts w:cs="Arial"/>
          <w:sz w:val="16"/>
          <w:szCs w:val="16"/>
          <w:lang w:val="mi-NZ"/>
        </w:rPr>
        <w:t>Children, Young Persons</w:t>
      </w:r>
      <w:r>
        <w:rPr>
          <w:rFonts w:cs="Arial"/>
          <w:sz w:val="16"/>
          <w:szCs w:val="16"/>
          <w:lang w:val="mi-NZ"/>
        </w:rPr>
        <w:t>,</w:t>
      </w:r>
      <w:r w:rsidRPr="00CB4F47">
        <w:rPr>
          <w:rFonts w:cs="Arial"/>
          <w:sz w:val="16"/>
          <w:szCs w:val="16"/>
          <w:lang w:val="mi-NZ"/>
        </w:rPr>
        <w:t xml:space="preserve"> and </w:t>
      </w:r>
      <w:r>
        <w:rPr>
          <w:rFonts w:cs="Arial"/>
          <w:sz w:val="16"/>
          <w:szCs w:val="16"/>
          <w:lang w:val="mi-NZ"/>
        </w:rPr>
        <w:t>T</w:t>
      </w:r>
      <w:r w:rsidRPr="00CB4F47">
        <w:rPr>
          <w:rFonts w:cs="Arial"/>
          <w:sz w:val="16"/>
          <w:szCs w:val="16"/>
          <w:lang w:val="mi-NZ"/>
        </w:rPr>
        <w:t xml:space="preserve">heir Families Act 1989 (No 24), section </w:t>
      </w:r>
      <w:r w:rsidRPr="00CB4F47">
        <w:rPr>
          <w:rFonts w:cs="Arial"/>
          <w:sz w:val="16"/>
          <w:szCs w:val="16"/>
        </w:rPr>
        <w:t>208(a).</w:t>
      </w:r>
    </w:p>
  </w:footnote>
  <w:footnote w:id="623">
    <w:p w14:paraId="4D4ACFEA" w14:textId="77777777" w:rsidR="0062717F" w:rsidRPr="00CB4F47" w:rsidRDefault="0062717F" w:rsidP="0062717F">
      <w:pPr>
        <w:pStyle w:val="FootnoteText"/>
        <w:spacing w:before="0" w:after="0"/>
        <w:rPr>
          <w:sz w:val="16"/>
          <w:szCs w:val="16"/>
        </w:rPr>
      </w:pPr>
      <w:r w:rsidRPr="00D24D13">
        <w:rPr>
          <w:rStyle w:val="StyleFootnoteReferenceFagoFunotenzeichenFagoFunotenzeichen"/>
        </w:rPr>
        <w:footnoteRef/>
      </w:r>
      <w:r w:rsidRPr="00CB4F47" w:rsidDel="00076EE3">
        <w:rPr>
          <w:sz w:val="16"/>
          <w:szCs w:val="16"/>
        </w:rPr>
        <w:t xml:space="preserve"> </w:t>
      </w:r>
      <w:r w:rsidRPr="00CB4F47">
        <w:rPr>
          <w:rFonts w:cs="Arial"/>
          <w:sz w:val="16"/>
          <w:szCs w:val="16"/>
          <w:lang w:val="mi-NZ"/>
        </w:rPr>
        <w:t>Children, Young Persons</w:t>
      </w:r>
      <w:r>
        <w:rPr>
          <w:rFonts w:cs="Arial"/>
          <w:sz w:val="16"/>
          <w:szCs w:val="16"/>
          <w:lang w:val="mi-NZ"/>
        </w:rPr>
        <w:t>,</w:t>
      </w:r>
      <w:r w:rsidRPr="00CB4F47">
        <w:rPr>
          <w:rFonts w:cs="Arial"/>
          <w:sz w:val="16"/>
          <w:szCs w:val="16"/>
          <w:lang w:val="mi-NZ"/>
        </w:rPr>
        <w:t xml:space="preserve"> and </w:t>
      </w:r>
      <w:r>
        <w:rPr>
          <w:rFonts w:cs="Arial"/>
          <w:sz w:val="16"/>
          <w:szCs w:val="16"/>
          <w:lang w:val="mi-NZ"/>
        </w:rPr>
        <w:t>T</w:t>
      </w:r>
      <w:r w:rsidRPr="00CB4F47">
        <w:rPr>
          <w:rFonts w:cs="Arial"/>
          <w:sz w:val="16"/>
          <w:szCs w:val="16"/>
          <w:lang w:val="mi-NZ"/>
        </w:rPr>
        <w:t xml:space="preserve">heir Families Act 1989 (No 24), section </w:t>
      </w:r>
      <w:r w:rsidRPr="00CB4F47">
        <w:rPr>
          <w:rFonts w:cs="Arial"/>
          <w:sz w:val="16"/>
          <w:szCs w:val="16"/>
        </w:rPr>
        <w:t>208(b)–(c).</w:t>
      </w:r>
    </w:p>
  </w:footnote>
  <w:footnote w:id="624">
    <w:p w14:paraId="4A172B55" w14:textId="77777777" w:rsidR="0062717F" w:rsidRPr="00CB4F47" w:rsidRDefault="0062717F" w:rsidP="0062717F">
      <w:pPr>
        <w:pStyle w:val="FootnoteText"/>
        <w:spacing w:before="0" w:after="0"/>
        <w:rPr>
          <w:sz w:val="16"/>
          <w:szCs w:val="16"/>
        </w:rPr>
      </w:pPr>
      <w:r w:rsidRPr="00D24D13">
        <w:rPr>
          <w:rStyle w:val="StyleFootnoteReferenceFagoFunotenzeichenFagoFunotenzeichen"/>
        </w:rPr>
        <w:footnoteRef/>
      </w:r>
      <w:r w:rsidRPr="00CB4F47" w:rsidDel="00076EE3">
        <w:rPr>
          <w:sz w:val="16"/>
          <w:szCs w:val="16"/>
        </w:rPr>
        <w:t xml:space="preserve"> </w:t>
      </w:r>
      <w:r w:rsidRPr="00CB4F47">
        <w:rPr>
          <w:rFonts w:cs="Arial"/>
          <w:sz w:val="16"/>
          <w:szCs w:val="16"/>
          <w:lang w:val="mi-NZ"/>
        </w:rPr>
        <w:t>Children, Young Persons</w:t>
      </w:r>
      <w:r>
        <w:rPr>
          <w:rFonts w:cs="Arial"/>
          <w:sz w:val="16"/>
          <w:szCs w:val="16"/>
          <w:lang w:val="mi-NZ"/>
        </w:rPr>
        <w:t>,</w:t>
      </w:r>
      <w:r w:rsidRPr="00CB4F47">
        <w:rPr>
          <w:rFonts w:cs="Arial"/>
          <w:sz w:val="16"/>
          <w:szCs w:val="16"/>
          <w:lang w:val="mi-NZ"/>
        </w:rPr>
        <w:t xml:space="preserve"> and </w:t>
      </w:r>
      <w:r>
        <w:rPr>
          <w:rFonts w:cs="Arial"/>
          <w:sz w:val="16"/>
          <w:szCs w:val="16"/>
          <w:lang w:val="mi-NZ"/>
        </w:rPr>
        <w:t>T</w:t>
      </w:r>
      <w:r w:rsidRPr="00CB4F47">
        <w:rPr>
          <w:rFonts w:cs="Arial"/>
          <w:sz w:val="16"/>
          <w:szCs w:val="16"/>
          <w:lang w:val="mi-NZ"/>
        </w:rPr>
        <w:t xml:space="preserve">heir Families Act 1989 (No 24), sections </w:t>
      </w:r>
      <w:r w:rsidRPr="00CB4F47">
        <w:rPr>
          <w:rFonts w:cs="Arial"/>
          <w:sz w:val="16"/>
          <w:szCs w:val="16"/>
        </w:rPr>
        <w:t>209</w:t>
      </w:r>
      <w:r>
        <w:rPr>
          <w:rFonts w:cs="Arial"/>
          <w:sz w:val="16"/>
          <w:szCs w:val="16"/>
        </w:rPr>
        <w:t xml:space="preserve"> and</w:t>
      </w:r>
      <w:r w:rsidRPr="00CB4F47">
        <w:rPr>
          <w:rFonts w:cs="Arial"/>
          <w:sz w:val="16"/>
          <w:szCs w:val="16"/>
        </w:rPr>
        <w:t xml:space="preserve"> 211.</w:t>
      </w:r>
    </w:p>
  </w:footnote>
  <w:footnote w:id="625">
    <w:p w14:paraId="75E64839"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sidDel="00BC29C0">
        <w:rPr>
          <w:sz w:val="16"/>
          <w:szCs w:val="16"/>
        </w:rPr>
        <w:t xml:space="preserve"> </w:t>
      </w:r>
      <w:r w:rsidRPr="00FC5F93">
        <w:rPr>
          <w:rFonts w:cs="Arial"/>
          <w:sz w:val="16"/>
          <w:szCs w:val="16"/>
        </w:rPr>
        <w:t>Children, Young Persons, and Their Families Act 1989 (No 24), section 258.</w:t>
      </w:r>
    </w:p>
  </w:footnote>
  <w:footnote w:id="626">
    <w:p w14:paraId="1E6DA593"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Fonts w:cs="Arial"/>
          <w:color w:val="auto"/>
          <w:sz w:val="16"/>
          <w:szCs w:val="16"/>
        </w:rPr>
        <w:t>Dalley, B, Family matters: Child welfare in twentieth-century New Zealand (Auckland University Press, 1998, page 288).</w:t>
      </w:r>
    </w:p>
  </w:footnote>
  <w:footnote w:id="627">
    <w:p w14:paraId="6F75BD69"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sidDel="00BC29C0">
        <w:rPr>
          <w:sz w:val="16"/>
          <w:szCs w:val="16"/>
        </w:rPr>
        <w:t xml:space="preserve"> </w:t>
      </w:r>
      <w:r w:rsidRPr="00FC5F93">
        <w:rPr>
          <w:rFonts w:cs="Arial"/>
          <w:sz w:val="16"/>
          <w:szCs w:val="16"/>
        </w:rPr>
        <w:t xml:space="preserve">Children, Young Persons, and Their Families Act 1989 (No 24), sections 241(1)–(2). </w:t>
      </w:r>
    </w:p>
  </w:footnote>
  <w:footnote w:id="628">
    <w:p w14:paraId="12F04A27" w14:textId="77777777" w:rsidR="0062717F" w:rsidRPr="00FC5F93" w:rsidRDefault="0062717F" w:rsidP="0062717F">
      <w:pPr>
        <w:pStyle w:val="FootnoteText"/>
        <w:spacing w:before="0" w:after="0" w:line="240" w:lineRule="auto"/>
        <w:rPr>
          <w:sz w:val="16"/>
          <w:szCs w:val="16"/>
        </w:rPr>
      </w:pPr>
      <w:r w:rsidRPr="00536E67">
        <w:rPr>
          <w:rStyle w:val="StyleFootnoteReferenceFagoFunotenzeichenFagoFunotenzeichen"/>
          <w:sz w:val="16"/>
          <w:szCs w:val="16"/>
        </w:rPr>
        <w:footnoteRef/>
      </w:r>
      <w:r w:rsidRPr="00FC5F93" w:rsidDel="00BC29C0">
        <w:rPr>
          <w:sz w:val="16"/>
          <w:szCs w:val="16"/>
        </w:rPr>
        <w:t xml:space="preserve"> </w:t>
      </w:r>
      <w:r w:rsidRPr="00FC5F93">
        <w:rPr>
          <w:rFonts w:cs="Arial"/>
          <w:sz w:val="16"/>
          <w:szCs w:val="16"/>
        </w:rPr>
        <w:t xml:space="preserve">Children, Young Persons, and Their Families Act 1989 (No 24), section 234. </w:t>
      </w:r>
    </w:p>
  </w:footnote>
  <w:footnote w:id="629">
    <w:p w14:paraId="275967F3"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sidDel="00BC29C0">
        <w:rPr>
          <w:sz w:val="16"/>
          <w:szCs w:val="16"/>
        </w:rPr>
        <w:t xml:space="preserve"> </w:t>
      </w:r>
      <w:r w:rsidRPr="00FC5F93">
        <w:rPr>
          <w:rFonts w:cs="Arial"/>
          <w:sz w:val="16"/>
          <w:szCs w:val="16"/>
        </w:rPr>
        <w:t>Children, Young Persons, and Their Families Act 1989 (No 24), section 235(1).</w:t>
      </w:r>
    </w:p>
  </w:footnote>
  <w:footnote w:id="630">
    <w:p w14:paraId="2BF5AE72"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sidDel="00BC29C0">
        <w:rPr>
          <w:sz w:val="16"/>
          <w:szCs w:val="16"/>
        </w:rPr>
        <w:t xml:space="preserve"> </w:t>
      </w:r>
      <w:r w:rsidRPr="00FC5F93">
        <w:rPr>
          <w:rFonts w:cs="Arial"/>
          <w:sz w:val="16"/>
          <w:szCs w:val="16"/>
        </w:rPr>
        <w:t>Children, Young Persons, and Their Families Act 1989 (No 24), section 236.</w:t>
      </w:r>
    </w:p>
  </w:footnote>
  <w:footnote w:id="631">
    <w:p w14:paraId="0B3204BD" w14:textId="77777777" w:rsidR="0062717F" w:rsidRPr="00FC5F93" w:rsidRDefault="0062717F" w:rsidP="0062717F">
      <w:pPr>
        <w:pStyle w:val="FootnoteText"/>
        <w:spacing w:before="0" w:after="0" w:line="240" w:lineRule="auto"/>
        <w:rPr>
          <w:sz w:val="16"/>
          <w:szCs w:val="16"/>
        </w:rPr>
      </w:pPr>
      <w:r w:rsidRPr="00536E67">
        <w:rPr>
          <w:rStyle w:val="StyleFootnoteReferenceFagoFunotenzeichenFagoFunotenzeichen"/>
          <w:sz w:val="16"/>
          <w:szCs w:val="16"/>
        </w:rPr>
        <w:footnoteRef/>
      </w:r>
      <w:r w:rsidRPr="00FC5F93" w:rsidDel="00BC29C0">
        <w:rPr>
          <w:sz w:val="16"/>
          <w:szCs w:val="16"/>
        </w:rPr>
        <w:t xml:space="preserve"> </w:t>
      </w:r>
      <w:r w:rsidRPr="00FC5F93">
        <w:rPr>
          <w:rFonts w:cs="Arial"/>
          <w:sz w:val="16"/>
          <w:szCs w:val="16"/>
        </w:rPr>
        <w:t>Children, Young Persons, and Their Families Act 1989 (No 24), section 236(1).</w:t>
      </w:r>
    </w:p>
  </w:footnote>
  <w:footnote w:id="632">
    <w:p w14:paraId="18EC786A" w14:textId="77777777" w:rsidR="0062717F" w:rsidRPr="00FC5F93" w:rsidRDefault="0062717F" w:rsidP="0062717F">
      <w:pPr>
        <w:pStyle w:val="FootnoteText"/>
        <w:spacing w:before="120"/>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Transcript of evidence of Chief Executive Jeremy Lightfoot for the Department of Corrections</w:t>
      </w:r>
      <w:r w:rsidRPr="00FC5F93" w:rsidDel="00A032BC">
        <w:rPr>
          <w:color w:val="auto"/>
          <w:sz w:val="16"/>
          <w:szCs w:val="16"/>
        </w:rPr>
        <w:t xml:space="preserve"> </w:t>
      </w:r>
      <w:r w:rsidRPr="00FC5F93">
        <w:rPr>
          <w:rFonts w:cstheme="minorHAnsi"/>
          <w:color w:val="auto"/>
          <w:sz w:val="16"/>
          <w:szCs w:val="16"/>
        </w:rPr>
        <w:t>at the Inquiry’s State Institutional Response Hearing</w:t>
      </w:r>
      <w:r w:rsidRPr="00FC5F93">
        <w:rPr>
          <w:color w:val="auto"/>
          <w:sz w:val="16"/>
          <w:szCs w:val="16"/>
        </w:rPr>
        <w:t xml:space="preserve"> (</w:t>
      </w:r>
      <w:r w:rsidRPr="00FC5F93" w:rsidDel="00D62D33">
        <w:rPr>
          <w:rFonts w:cs="Arial"/>
          <w:sz w:val="16"/>
          <w:szCs w:val="16"/>
        </w:rPr>
        <w:t xml:space="preserve">Royal Commission of Inquiry into Abuse in Care, </w:t>
      </w:r>
      <w:r w:rsidRPr="00FC5F93">
        <w:rPr>
          <w:color w:val="auto"/>
          <w:sz w:val="16"/>
          <w:szCs w:val="16"/>
        </w:rPr>
        <w:t>25 August 2022, page 894</w:t>
      </w:r>
      <w:r w:rsidRPr="00FC5F93" w:rsidDel="00694135">
        <w:rPr>
          <w:color w:val="auto"/>
          <w:sz w:val="16"/>
          <w:szCs w:val="16"/>
        </w:rPr>
        <w:t>)</w:t>
      </w:r>
      <w:r w:rsidRPr="00FC5F93">
        <w:rPr>
          <w:rFonts w:cstheme="minorHAnsi"/>
          <w:color w:val="auto"/>
          <w:sz w:val="16"/>
          <w:szCs w:val="16"/>
        </w:rPr>
        <w:t>.</w:t>
      </w:r>
    </w:p>
  </w:footnote>
  <w:footnote w:id="633">
    <w:p w14:paraId="42D4455D" w14:textId="77777777" w:rsidR="0062717F" w:rsidRPr="00FC5F93" w:rsidRDefault="0062717F" w:rsidP="0062717F">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Transcript of evidence of Chief Executive Jeremy Lightfoot for the Department of Corrections</w:t>
      </w:r>
      <w:r w:rsidRPr="00FC5F93" w:rsidDel="00A032BC">
        <w:rPr>
          <w:color w:val="auto"/>
          <w:sz w:val="16"/>
          <w:szCs w:val="16"/>
        </w:rPr>
        <w:t xml:space="preserve"> </w:t>
      </w:r>
      <w:r w:rsidRPr="00FC5F93">
        <w:rPr>
          <w:color w:val="auto"/>
          <w:sz w:val="16"/>
          <w:szCs w:val="16"/>
        </w:rPr>
        <w:t xml:space="preserve">at the Inquiry’s State </w:t>
      </w:r>
      <w:r w:rsidRPr="00FC5F93">
        <w:rPr>
          <w:rFonts w:cstheme="minorHAnsi"/>
          <w:color w:val="auto"/>
          <w:sz w:val="16"/>
          <w:szCs w:val="16"/>
        </w:rPr>
        <w:t>Institutional Response Hearing</w:t>
      </w:r>
      <w:r w:rsidRPr="00FC5F93">
        <w:rPr>
          <w:color w:val="auto"/>
          <w:sz w:val="16"/>
          <w:szCs w:val="16"/>
        </w:rPr>
        <w:t xml:space="preserve"> (</w:t>
      </w:r>
      <w:r w:rsidRPr="00FC5F93" w:rsidDel="00D62D33">
        <w:rPr>
          <w:rFonts w:cs="Arial"/>
          <w:sz w:val="16"/>
          <w:szCs w:val="16"/>
        </w:rPr>
        <w:t xml:space="preserve">Royal Commission of Inquiry into Abuse in Care, </w:t>
      </w:r>
      <w:r w:rsidRPr="00FC5F93">
        <w:rPr>
          <w:color w:val="auto"/>
          <w:sz w:val="16"/>
          <w:szCs w:val="16"/>
        </w:rPr>
        <w:t>25 August 2022, pages 910</w:t>
      </w:r>
      <w:r w:rsidRPr="00FC5F93">
        <w:rPr>
          <w:rFonts w:cs="Arial"/>
          <w:color w:val="auto"/>
          <w:sz w:val="16"/>
          <w:szCs w:val="16"/>
        </w:rPr>
        <w:t>–</w:t>
      </w:r>
      <w:r w:rsidRPr="00FC5F93">
        <w:rPr>
          <w:color w:val="auto"/>
          <w:sz w:val="16"/>
          <w:szCs w:val="16"/>
        </w:rPr>
        <w:t>912</w:t>
      </w:r>
      <w:r w:rsidRPr="00FC5F93" w:rsidDel="00694135">
        <w:rPr>
          <w:color w:val="auto"/>
          <w:sz w:val="16"/>
          <w:szCs w:val="16"/>
        </w:rPr>
        <w:t>)</w:t>
      </w:r>
      <w:r w:rsidRPr="00FC5F93">
        <w:rPr>
          <w:color w:val="auto"/>
          <w:sz w:val="16"/>
          <w:szCs w:val="16"/>
        </w:rPr>
        <w:t>.</w:t>
      </w:r>
    </w:p>
  </w:footnote>
  <w:footnote w:id="634">
    <w:p w14:paraId="6475C5DE" w14:textId="77777777" w:rsidR="0062717F" w:rsidRPr="00FC5F93" w:rsidRDefault="0062717F" w:rsidP="0062717F">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Criminal Justice Act 1954, sections 18(1)</w:t>
      </w:r>
      <w:r w:rsidRPr="00FC5F93">
        <w:rPr>
          <w:rFonts w:cs="Arial"/>
          <w:color w:val="auto"/>
          <w:sz w:val="16"/>
          <w:szCs w:val="16"/>
        </w:rPr>
        <w:t>–</w:t>
      </w:r>
      <w:r w:rsidRPr="00FC5F93">
        <w:rPr>
          <w:color w:val="auto"/>
          <w:sz w:val="16"/>
          <w:szCs w:val="16"/>
        </w:rPr>
        <w:t>(2).</w:t>
      </w:r>
    </w:p>
  </w:footnote>
  <w:footnote w:id="635">
    <w:p w14:paraId="1534C19F" w14:textId="77777777" w:rsidR="0062717F" w:rsidRPr="00FC5F93" w:rsidRDefault="0062717F" w:rsidP="0062717F">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Criminal Justice Act 1954, section 20.</w:t>
      </w:r>
    </w:p>
  </w:footnote>
  <w:footnote w:id="636">
    <w:p w14:paraId="23F4C0CA" w14:textId="77777777" w:rsidR="0062717F" w:rsidRPr="00FC5F93" w:rsidRDefault="0062717F" w:rsidP="0062717F">
      <w:pPr>
        <w:pStyle w:val="FootnoteText"/>
        <w:rPr>
          <w:color w:val="FF0000"/>
          <w:sz w:val="16"/>
          <w:szCs w:val="16"/>
        </w:rPr>
      </w:pPr>
      <w:r w:rsidRPr="00536E67">
        <w:rPr>
          <w:rStyle w:val="StyleFootnoteReferenceFagoFunotenzeichenFagoFunotenzeichen"/>
          <w:sz w:val="16"/>
          <w:szCs w:val="16"/>
        </w:rPr>
        <w:footnoteRef/>
      </w:r>
      <w:r w:rsidRPr="00FC5F93">
        <w:rPr>
          <w:color w:val="auto"/>
          <w:sz w:val="16"/>
          <w:szCs w:val="16"/>
        </w:rPr>
        <w:t xml:space="preserve"> Criminal Justice Act 1954, section 18(1).</w:t>
      </w:r>
    </w:p>
  </w:footnote>
  <w:footnote w:id="637">
    <w:p w14:paraId="7F94B88E" w14:textId="77777777" w:rsidR="0062717F" w:rsidRPr="00FC5F93" w:rsidRDefault="0062717F" w:rsidP="0062717F">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w:t>
      </w:r>
      <w:r w:rsidRPr="00FC5F93">
        <w:rPr>
          <w:rStyle w:val="ui-provider"/>
          <w:color w:val="auto"/>
          <w:sz w:val="16"/>
          <w:szCs w:val="16"/>
        </w:rPr>
        <w:t>Williams, DV, The abolition of borstal training: A penal policy reform or a failure to reform penal policy? (New Zealand Legal Information Institute, 1984, page 78).</w:t>
      </w:r>
    </w:p>
  </w:footnote>
  <w:footnote w:id="638">
    <w:p w14:paraId="0779221D"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color w:val="auto"/>
          <w:sz w:val="16"/>
          <w:szCs w:val="16"/>
        </w:rPr>
        <w:t xml:space="preserve"> Hanan, JR, Review of borstal policy in New Zealand (Department of Justice, 1969, </w:t>
      </w:r>
      <w:r w:rsidRPr="00FC5F93">
        <w:rPr>
          <w:rFonts w:cs="Arial"/>
          <w:color w:val="auto"/>
          <w:sz w:val="16"/>
          <w:szCs w:val="16"/>
        </w:rPr>
        <w:t>page</w:t>
      </w:r>
      <w:r w:rsidRPr="00FC5F93">
        <w:rPr>
          <w:color w:val="auto"/>
          <w:sz w:val="16"/>
          <w:szCs w:val="16"/>
        </w:rPr>
        <w:t xml:space="preserve"> 5).</w:t>
      </w:r>
    </w:p>
  </w:footnote>
  <w:footnote w:id="639">
    <w:p w14:paraId="4D1E7632"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Hanan, JR, Review of borstal policy in New Zealand (Department of Justice, 1969, page 5).</w:t>
      </w:r>
    </w:p>
  </w:footnote>
  <w:footnote w:id="640">
    <w:p w14:paraId="24A936D4"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Maxwell, G, Youth offenders:</w:t>
      </w:r>
      <w:r w:rsidRPr="00FC5F93" w:rsidDel="008401A6">
        <w:rPr>
          <w:sz w:val="16"/>
          <w:szCs w:val="16"/>
        </w:rPr>
        <w:t xml:space="preserve"> </w:t>
      </w:r>
      <w:r w:rsidRPr="00FC5F93">
        <w:rPr>
          <w:sz w:val="16"/>
          <w:szCs w:val="16"/>
        </w:rPr>
        <w:t>Youth justice in the 1990s and 21</w:t>
      </w:r>
      <w:r w:rsidRPr="00FC5F93">
        <w:rPr>
          <w:sz w:val="16"/>
          <w:szCs w:val="16"/>
          <w:vertAlign w:val="superscript"/>
        </w:rPr>
        <w:t>st</w:t>
      </w:r>
      <w:r w:rsidRPr="00FC5F93">
        <w:rPr>
          <w:sz w:val="16"/>
          <w:szCs w:val="16"/>
        </w:rPr>
        <w:t xml:space="preserve"> century (Te Ara – The Encyclopedia of New Zealand, 2017, page 3), </w:t>
      </w:r>
      <w:hyperlink r:id="rId108" w:history="1">
        <w:r w:rsidRPr="00FC5F93">
          <w:rPr>
            <w:rStyle w:val="Hyperlink"/>
            <w:sz w:val="16"/>
            <w:szCs w:val="16"/>
          </w:rPr>
          <w:t>https://teara.govt.nz/en/youth-offenders/page-3</w:t>
        </w:r>
      </w:hyperlink>
      <w:r w:rsidRPr="00536E67">
        <w:rPr>
          <w:sz w:val="16"/>
          <w:szCs w:val="16"/>
        </w:rPr>
        <w:t>;</w:t>
      </w:r>
      <w:r w:rsidRPr="00FC5F93">
        <w:rPr>
          <w:sz w:val="16"/>
          <w:szCs w:val="16"/>
        </w:rPr>
        <w:t xml:space="preserve"> Hanan, JR, Review of borstal policy in New Zealand (Department of Justice, 1969, page 6).</w:t>
      </w:r>
    </w:p>
  </w:footnote>
  <w:footnote w:id="641">
    <w:p w14:paraId="0AA9349E" w14:textId="77777777" w:rsidR="0062717F" w:rsidRPr="00FC5F93" w:rsidRDefault="0062717F" w:rsidP="0062717F">
      <w:pPr>
        <w:pStyle w:val="FootnoteText"/>
        <w:rPr>
          <w:color w:val="auto"/>
          <w:sz w:val="16"/>
          <w:szCs w:val="16"/>
          <w:highlight w:val="yellow"/>
        </w:rPr>
      </w:pPr>
      <w:r w:rsidRPr="00536E67">
        <w:rPr>
          <w:rStyle w:val="StyleFootnoteReferenceFagoFunotenzeichenFagoFunotenzeichen"/>
          <w:sz w:val="16"/>
          <w:szCs w:val="16"/>
        </w:rPr>
        <w:footnoteRef/>
      </w:r>
      <w:r w:rsidRPr="00FC5F93">
        <w:rPr>
          <w:color w:val="auto"/>
          <w:sz w:val="16"/>
          <w:szCs w:val="16"/>
        </w:rPr>
        <w:t xml:space="preserve"> Criminal Justice Act 1954, sections 18(16)–(17).</w:t>
      </w:r>
    </w:p>
  </w:footnote>
  <w:footnote w:id="642">
    <w:p w14:paraId="18543D76"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9165EA">
        <w:rPr>
          <w:color w:val="auto"/>
          <w:sz w:val="16"/>
          <w:szCs w:val="16"/>
        </w:rPr>
        <w:t xml:space="preserve"> Criminal Justice Amendment Act 1960, section 4, brought into force by the Detention Centres Order 1961.</w:t>
      </w:r>
    </w:p>
  </w:footnote>
  <w:footnote w:id="643">
    <w:p w14:paraId="72C683D9"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Style w:val="ui-provider"/>
          <w:sz w:val="16"/>
          <w:szCs w:val="16"/>
        </w:rPr>
        <w:t xml:space="preserve">Criminal Justice Amendment (No 2) Act 1980, section 7, in Williams, DV, The abolition of borstal training: A penal policy reform or a failure to reform penal policy? (New Zealand Legal Information Institute, 1984, </w:t>
      </w:r>
      <w:r w:rsidRPr="00FC5F93">
        <w:rPr>
          <w:rFonts w:cs="Arial"/>
          <w:color w:val="auto"/>
          <w:sz w:val="16"/>
          <w:szCs w:val="16"/>
        </w:rPr>
        <w:t xml:space="preserve">page </w:t>
      </w:r>
      <w:r w:rsidRPr="00FC5F93">
        <w:rPr>
          <w:rStyle w:val="ui-provider"/>
          <w:sz w:val="16"/>
          <w:szCs w:val="16"/>
        </w:rPr>
        <w:t>78).</w:t>
      </w:r>
    </w:p>
  </w:footnote>
  <w:footnote w:id="644">
    <w:p w14:paraId="44BD0D93"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Penal Institutions Amendment Act, 1980, sections 2, 6(2); </w:t>
      </w:r>
      <w:r w:rsidRPr="00FC5F93">
        <w:rPr>
          <w:rStyle w:val="ui-provider"/>
          <w:sz w:val="16"/>
          <w:szCs w:val="16"/>
        </w:rPr>
        <w:t>Williams, DV, The abolition of borstal training: A penal policy reform or a failure to reform penal policy? (New Zealand Legal Information Institute, 1984, page 81).</w:t>
      </w:r>
    </w:p>
  </w:footnote>
  <w:footnote w:id="645">
    <w:p w14:paraId="23BE900E" w14:textId="77777777" w:rsidR="0062717F" w:rsidRPr="00FC5F93" w:rsidRDefault="0062717F" w:rsidP="0062717F">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Criminal Justice Act 1954, section 14(1).</w:t>
      </w:r>
    </w:p>
  </w:footnote>
  <w:footnote w:id="646">
    <w:p w14:paraId="60A91FC8" w14:textId="77777777" w:rsidR="0062717F" w:rsidRPr="00FC5F93" w:rsidRDefault="0062717F" w:rsidP="0062717F">
      <w:pPr>
        <w:pStyle w:val="FootnoteText"/>
        <w:rPr>
          <w:color w:val="FF0000"/>
          <w:sz w:val="16"/>
          <w:szCs w:val="16"/>
        </w:rPr>
      </w:pPr>
      <w:r w:rsidRPr="00536E67">
        <w:rPr>
          <w:rStyle w:val="StyleFootnoteReferenceFagoFunotenzeichenFagoFunotenzeichen"/>
          <w:sz w:val="16"/>
          <w:szCs w:val="16"/>
        </w:rPr>
        <w:footnoteRef/>
      </w:r>
      <w:r w:rsidRPr="00FC5F93">
        <w:rPr>
          <w:color w:val="auto"/>
          <w:sz w:val="16"/>
          <w:szCs w:val="16"/>
        </w:rPr>
        <w:t xml:space="preserve"> </w:t>
      </w:r>
      <w:r w:rsidRPr="00FC5F93">
        <w:rPr>
          <w:rFonts w:cstheme="minorHAnsi"/>
          <w:color w:val="auto"/>
          <w:sz w:val="16"/>
          <w:szCs w:val="16"/>
        </w:rPr>
        <w:t>Transcript of evidence of Commissioner Andrew Coster for NZ Police at the Inquiry’s State Institutional Response Hearing (</w:t>
      </w:r>
      <w:r w:rsidRPr="00FC5F93" w:rsidDel="00D62D33">
        <w:rPr>
          <w:rFonts w:cs="Arial"/>
          <w:sz w:val="16"/>
          <w:szCs w:val="16"/>
        </w:rPr>
        <w:t xml:space="preserve">Royal Commission of Inquiry into Abuse in Care, </w:t>
      </w:r>
      <w:r w:rsidRPr="00FC5F93">
        <w:rPr>
          <w:rFonts w:cstheme="minorHAnsi"/>
          <w:color w:val="auto"/>
          <w:sz w:val="16"/>
          <w:szCs w:val="16"/>
        </w:rPr>
        <w:t>16 August 2022, pages 119–122).</w:t>
      </w:r>
    </w:p>
  </w:footnote>
  <w:footnote w:id="647">
    <w:p w14:paraId="53352C6C" w14:textId="77777777" w:rsidR="0062717F" w:rsidRPr="00FC5F93" w:rsidRDefault="0062717F" w:rsidP="0062717F">
      <w:pPr>
        <w:pStyle w:val="FootnoteText"/>
        <w:spacing w:before="0" w:after="0"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Law Commission, Community Safety: Mental health and criminal justice issues (August 1994, page 107).</w:t>
      </w:r>
    </w:p>
  </w:footnote>
  <w:footnote w:id="648">
    <w:p w14:paraId="39F6133C" w14:textId="77777777" w:rsidR="0062717F" w:rsidRPr="00536E67"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Parliamentary Library, New Zealand health system reforms (Parliamentary Library research paper, 2009, pages 2–3).</w:t>
      </w:r>
    </w:p>
  </w:footnote>
  <w:footnote w:id="649">
    <w:p w14:paraId="304CC322" w14:textId="77777777" w:rsidR="0062717F" w:rsidRPr="00536E67"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sz w:val="16"/>
          <w:szCs w:val="16"/>
        </w:rPr>
        <w:t>Parliamentary Library, New Zealand health system reforms (Parliamentary Library research paper, 2009, pages 2–3).</w:t>
      </w:r>
    </w:p>
  </w:footnote>
  <w:footnote w:id="650">
    <w:p w14:paraId="0BE6BD21" w14:textId="77777777" w:rsidR="0062717F" w:rsidRPr="00536E67"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Brief of evidence of Dr John Crawshaw (1 April 2021, page 7).</w:t>
      </w:r>
    </w:p>
  </w:footnote>
  <w:footnote w:id="651">
    <w:p w14:paraId="20ADBF42" w14:textId="58CC2562" w:rsidR="0041703D" w:rsidRPr="00FC5F93" w:rsidRDefault="0062717F" w:rsidP="0062717F">
      <w:pPr>
        <w:pStyle w:val="footnotes"/>
        <w:rPr>
          <w:rFonts w:ascii="Arial" w:hAnsi="Arial" w:cs="Arial"/>
          <w:sz w:val="16"/>
          <w:szCs w:val="16"/>
        </w:rPr>
      </w:pPr>
      <w:r w:rsidRPr="00536E67">
        <w:rPr>
          <w:rStyle w:val="StyleFootnoteReferenceFagoFunotenzeichenFagoFunotenzeichen"/>
          <w:sz w:val="16"/>
          <w:szCs w:val="16"/>
        </w:rPr>
        <w:footnoteRef/>
      </w:r>
      <w:r w:rsidRPr="00FC5F93">
        <w:rPr>
          <w:rFonts w:cstheme="minorHAnsi"/>
          <w:sz w:val="16"/>
          <w:szCs w:val="16"/>
        </w:rPr>
        <w:t xml:space="preserve"> </w:t>
      </w:r>
      <w:r w:rsidRPr="00FC5F93">
        <w:rPr>
          <w:rFonts w:ascii="Arial" w:hAnsi="Arial" w:cs="Arial"/>
          <w:sz w:val="16"/>
          <w:szCs w:val="16"/>
        </w:rPr>
        <w:t>Mental Defectives Act 1911, section 5; Mental Health Act 1969, section 3; Mental Health (Compulsory Assessment and Treatment) Act 1992.</w:t>
      </w:r>
    </w:p>
  </w:footnote>
  <w:footnote w:id="652">
    <w:p w14:paraId="46D818F3" w14:textId="77777777" w:rsidR="0062717F" w:rsidRPr="00FC5F93" w:rsidRDefault="0062717F" w:rsidP="0062717F">
      <w:pPr>
        <w:pStyle w:val="footnotes"/>
        <w:rPr>
          <w:rFonts w:ascii="Arial" w:hAnsi="Arial" w:cs="Arial"/>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Brief of evidence of Dr John Crawshaw on behalf of the Ministry of Health at the Inquiry’s Institutional Response Hearing (Royal Commission of Inquiry into Abuse in Care, 1 April 2021, para 3.24</w:t>
      </w:r>
      <w:r w:rsidRPr="00FC5F93" w:rsidDel="003467F2">
        <w:rPr>
          <w:rFonts w:ascii="Arial" w:hAnsi="Arial" w:cs="Arial"/>
          <w:sz w:val="16"/>
          <w:szCs w:val="16"/>
        </w:rPr>
        <w:t>)</w:t>
      </w:r>
      <w:r w:rsidRPr="00FC5F93">
        <w:rPr>
          <w:rFonts w:ascii="Arial" w:hAnsi="Arial" w:cs="Arial"/>
          <w:sz w:val="16"/>
          <w:szCs w:val="16"/>
        </w:rPr>
        <w:t>.</w:t>
      </w:r>
    </w:p>
  </w:footnote>
  <w:footnote w:id="653">
    <w:p w14:paraId="6B4200E9" w14:textId="77777777" w:rsidR="0062717F" w:rsidRPr="00FC5F93" w:rsidRDefault="0062717F" w:rsidP="0062717F">
      <w:pPr>
        <w:pStyle w:val="FootnoteText"/>
        <w:spacing w:before="0" w:after="0"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Shipley, J &amp; Upton, S, Support for independence for people with disabilities – A New Deal (Ministers of Health and Social Welfare, 1992). </w:t>
      </w:r>
    </w:p>
  </w:footnote>
  <w:footnote w:id="654">
    <w:p w14:paraId="5E29D44B" w14:textId="77777777" w:rsidR="0062717F" w:rsidRPr="00FC5F93" w:rsidRDefault="0062717F" w:rsidP="0062717F">
      <w:pPr>
        <w:pStyle w:val="FootnoteText"/>
        <w:spacing w:before="0" w:after="0"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Sullivan, M &amp; Stace, H, A brief history of disability in Aotearoa New Zealand (Office for Disability Issues, 2020, page 15). </w:t>
      </w:r>
    </w:p>
  </w:footnote>
  <w:footnote w:id="655">
    <w:p w14:paraId="05C21F96" w14:textId="77777777" w:rsidR="0062717F" w:rsidRPr="00FC5F93" w:rsidRDefault="0062717F" w:rsidP="0062717F">
      <w:pPr>
        <w:pStyle w:val="footnotes"/>
        <w:rPr>
          <w:rFonts w:ascii="Arial" w:hAnsi="Arial" w:cs="Arial"/>
          <w:color w:val="auto"/>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Sullivan, M &amp; Stace, H, A brief history of disability in Aotearoa New Zealand (Office for Disability Issues, 2020, page 15).</w:t>
      </w:r>
    </w:p>
  </w:footnote>
  <w:footnote w:id="656">
    <w:p w14:paraId="034264E9" w14:textId="3A6151D0"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Mental Defectives Amendment Act 1911, section 2 (I</w:t>
      </w:r>
      <w:r w:rsidR="00AB77F7">
        <w:rPr>
          <w:rFonts w:cs="Arial"/>
          <w:color w:val="auto"/>
          <w:sz w:val="16"/>
          <w:szCs w:val="16"/>
        </w:rPr>
        <w:t>–</w:t>
      </w:r>
      <w:r w:rsidRPr="00FC5F93">
        <w:rPr>
          <w:rFonts w:cs="Arial"/>
          <w:color w:val="auto"/>
          <w:sz w:val="16"/>
          <w:szCs w:val="16"/>
        </w:rPr>
        <w:t>VI).</w:t>
      </w:r>
    </w:p>
  </w:footnote>
  <w:footnote w:id="657">
    <w:p w14:paraId="2525E097"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Mental Defectives Amendment Act 1928, section 7.</w:t>
      </w:r>
    </w:p>
  </w:footnote>
  <w:footnote w:id="658">
    <w:p w14:paraId="3925BF33" w14:textId="77777777" w:rsidR="0062717F" w:rsidRDefault="0062717F" w:rsidP="0062717F">
      <w:pPr>
        <w:pStyle w:val="FootnoteText"/>
      </w:pPr>
      <w:r>
        <w:rPr>
          <w:rStyle w:val="FootnoteReference"/>
        </w:rPr>
        <w:footnoteRef/>
      </w:r>
      <w:r>
        <w:t xml:space="preserve"> </w:t>
      </w:r>
      <w:r w:rsidRPr="005848F0">
        <w:rPr>
          <w:rFonts w:cs="Arial"/>
          <w:sz w:val="16"/>
          <w:szCs w:val="16"/>
        </w:rPr>
        <w:t>Mental Health Act 1969, sections 19–22.</w:t>
      </w:r>
    </w:p>
  </w:footnote>
  <w:footnote w:id="659">
    <w:p w14:paraId="7824D6CC" w14:textId="77777777" w:rsidR="0062717F" w:rsidRPr="00AC1D51" w:rsidRDefault="0062717F" w:rsidP="0062717F">
      <w:pPr>
        <w:pStyle w:val="FootnoteText"/>
        <w:spacing w:before="0" w:after="0"/>
        <w:rPr>
          <w:rFonts w:cs="Arial"/>
          <w:sz w:val="16"/>
          <w:szCs w:val="16"/>
        </w:rPr>
      </w:pPr>
      <w:r w:rsidRPr="00D24D13">
        <w:rPr>
          <w:rStyle w:val="StyleFootnoteReferenceFagoFunotenzeichenFagoFunotenzeichen"/>
        </w:rPr>
        <w:footnoteRef/>
      </w:r>
      <w:r w:rsidRPr="0012059C">
        <w:rPr>
          <w:rFonts w:cs="Arial"/>
          <w:sz w:val="16"/>
          <w:szCs w:val="16"/>
        </w:rPr>
        <w:t xml:space="preserve"> Mental Defectives Act 1911, section 39(1), Mental Health Amendment Act 1958, section 2.</w:t>
      </w:r>
    </w:p>
  </w:footnote>
  <w:footnote w:id="660">
    <w:p w14:paraId="3851570E" w14:textId="77777777" w:rsidR="0062717F" w:rsidRPr="008C74C7" w:rsidRDefault="0062717F" w:rsidP="0062717F">
      <w:pPr>
        <w:pStyle w:val="FootnoteText"/>
        <w:spacing w:before="0" w:after="0"/>
        <w:rPr>
          <w:sz w:val="16"/>
          <w:szCs w:val="16"/>
        </w:rPr>
      </w:pPr>
      <w:r w:rsidRPr="00D24D13">
        <w:rPr>
          <w:rStyle w:val="StyleFootnoteReferenceFagoFunotenzeichenFagoFunotenzeichen"/>
        </w:rPr>
        <w:footnoteRef/>
      </w:r>
      <w:r w:rsidRPr="008C74C7">
        <w:rPr>
          <w:sz w:val="16"/>
          <w:szCs w:val="16"/>
        </w:rPr>
        <w:t xml:space="preserve"> </w:t>
      </w:r>
      <w:r w:rsidRPr="0012059C">
        <w:rPr>
          <w:sz w:val="16"/>
          <w:szCs w:val="16"/>
        </w:rPr>
        <w:t>Brief of Evidence of Dr John Crawshaw (1 April 2021, pages 3</w:t>
      </w:r>
      <w:r>
        <w:rPr>
          <w:sz w:val="16"/>
          <w:szCs w:val="16"/>
        </w:rPr>
        <w:t>-</w:t>
      </w:r>
      <w:r w:rsidRPr="003A0C62">
        <w:rPr>
          <w:sz w:val="16"/>
          <w:szCs w:val="16"/>
        </w:rPr>
        <w:t>4</w:t>
      </w:r>
      <w:r>
        <w:rPr>
          <w:sz w:val="16"/>
          <w:szCs w:val="16"/>
        </w:rPr>
        <w:t>)</w:t>
      </w:r>
      <w:r w:rsidRPr="003A0C62">
        <w:rPr>
          <w:sz w:val="16"/>
          <w:szCs w:val="16"/>
        </w:rPr>
        <w:t>.</w:t>
      </w:r>
    </w:p>
  </w:footnote>
  <w:footnote w:id="661">
    <w:p w14:paraId="2385932C" w14:textId="77777777" w:rsidR="0062717F" w:rsidRDefault="0062717F" w:rsidP="0062717F">
      <w:pPr>
        <w:pStyle w:val="FootnoteText"/>
        <w:spacing w:before="0" w:after="0"/>
      </w:pPr>
      <w:r w:rsidRPr="00D24D13">
        <w:rPr>
          <w:rStyle w:val="StyleFootnoteReferenceFagoFunotenzeichenFagoFunotenzeichen"/>
        </w:rPr>
        <w:footnoteRef/>
      </w:r>
      <w:r w:rsidRPr="008C74C7">
        <w:rPr>
          <w:sz w:val="16"/>
          <w:szCs w:val="16"/>
        </w:rPr>
        <w:t xml:space="preserve"> </w:t>
      </w:r>
      <w:r w:rsidRPr="0012059C">
        <w:rPr>
          <w:rFonts w:cs="Arial"/>
          <w:sz w:val="16"/>
          <w:szCs w:val="16"/>
        </w:rPr>
        <w:t>Mental Health (Compulsory Assessment and Treatment) Act 1992, sections 28 and 29.</w:t>
      </w:r>
    </w:p>
  </w:footnote>
  <w:footnote w:id="662">
    <w:p w14:paraId="566BC5B7" w14:textId="77777777" w:rsidR="0062717F" w:rsidRPr="00CB4F47" w:rsidRDefault="0062717F" w:rsidP="0062717F">
      <w:pPr>
        <w:pStyle w:val="FootnoteText"/>
        <w:rPr>
          <w:rFonts w:cs="Arial"/>
          <w:sz w:val="16"/>
          <w:szCs w:val="16"/>
        </w:rPr>
      </w:pPr>
      <w:r w:rsidRPr="00D24D13">
        <w:rPr>
          <w:rStyle w:val="StyleFootnoteReferenceFagoFunotenzeichenFagoFunotenzeichen"/>
        </w:rPr>
        <w:footnoteRef/>
      </w:r>
      <w:r w:rsidRPr="00CB4F47">
        <w:rPr>
          <w:rFonts w:cs="Arial"/>
          <w:sz w:val="16"/>
          <w:szCs w:val="16"/>
        </w:rPr>
        <w:t xml:space="preserve"> Mental Health </w:t>
      </w:r>
      <w:r>
        <w:rPr>
          <w:rFonts w:cs="Arial"/>
          <w:sz w:val="16"/>
          <w:szCs w:val="16"/>
        </w:rPr>
        <w:t>(</w:t>
      </w:r>
      <w:r w:rsidRPr="00CB4F47">
        <w:rPr>
          <w:rFonts w:cs="Arial"/>
          <w:sz w:val="16"/>
          <w:szCs w:val="16"/>
        </w:rPr>
        <w:t>Compulsory Assessment and Treatment</w:t>
      </w:r>
      <w:r>
        <w:rPr>
          <w:rFonts w:cs="Arial"/>
          <w:sz w:val="16"/>
          <w:szCs w:val="16"/>
        </w:rPr>
        <w:t>)</w:t>
      </w:r>
      <w:r w:rsidRPr="00CB4F47">
        <w:rPr>
          <w:rFonts w:cs="Arial"/>
          <w:sz w:val="16"/>
          <w:szCs w:val="16"/>
        </w:rPr>
        <w:t xml:space="preserve"> Act 1992, section 91.</w:t>
      </w:r>
    </w:p>
  </w:footnote>
  <w:footnote w:id="663">
    <w:p w14:paraId="7F8CE94C" w14:textId="77777777" w:rsidR="0062717F" w:rsidRPr="00CB4F47" w:rsidRDefault="0062717F" w:rsidP="0062717F">
      <w:pPr>
        <w:pStyle w:val="FootnoteText"/>
        <w:rPr>
          <w:rFonts w:cs="Arial"/>
          <w:sz w:val="16"/>
          <w:szCs w:val="16"/>
        </w:rPr>
      </w:pPr>
      <w:r w:rsidRPr="00D24D13">
        <w:rPr>
          <w:rStyle w:val="StyleFootnoteReferenceFagoFunotenzeichenFagoFunotenzeichen"/>
        </w:rPr>
        <w:footnoteRef/>
      </w:r>
      <w:r w:rsidRPr="00CB4F47">
        <w:rPr>
          <w:rFonts w:cs="Arial"/>
          <w:sz w:val="16"/>
          <w:szCs w:val="16"/>
        </w:rPr>
        <w:t xml:space="preserve"> Ministry of Health, Office of the Director of Mental Health Annual Report 2013</w:t>
      </w:r>
      <w:r>
        <w:rPr>
          <w:rFonts w:cs="Arial"/>
          <w:sz w:val="16"/>
          <w:szCs w:val="16"/>
        </w:rPr>
        <w:t xml:space="preserve"> </w:t>
      </w:r>
      <w:r w:rsidRPr="00CB4F47">
        <w:rPr>
          <w:rFonts w:cs="Arial"/>
          <w:sz w:val="16"/>
          <w:szCs w:val="16"/>
        </w:rPr>
        <w:t>(2013, page 6</w:t>
      </w:r>
      <w:r>
        <w:rPr>
          <w:rFonts w:cs="Arial"/>
          <w:sz w:val="16"/>
          <w:szCs w:val="16"/>
        </w:rPr>
        <w:t>)</w:t>
      </w:r>
      <w:r w:rsidRPr="00CB4F47">
        <w:rPr>
          <w:rFonts w:cs="Arial"/>
          <w:sz w:val="16"/>
          <w:szCs w:val="16"/>
        </w:rPr>
        <w:t>.</w:t>
      </w:r>
    </w:p>
  </w:footnote>
  <w:footnote w:id="664">
    <w:p w14:paraId="5BDF176C"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Campion, M, “Mental health and legal landscapes,” in Coleborne, C &amp; Waikato Mental Health History Group, (eds), Changing </w:t>
      </w:r>
      <w:r w:rsidRPr="00FC5F93">
        <w:rPr>
          <w:rFonts w:cs="Arial"/>
          <w:sz w:val="16"/>
          <w:szCs w:val="16"/>
        </w:rPr>
        <w:t>times, changing places: From Tokanui Hospital to mental health services in the Waikato (</w:t>
      </w:r>
      <w:r w:rsidRPr="00FC5F93">
        <w:rPr>
          <w:rFonts w:cs="Arial"/>
          <w:sz w:val="16"/>
          <w:szCs w:val="16"/>
          <w:shd w:val="clear" w:color="auto" w:fill="FFFFFF"/>
        </w:rPr>
        <w:t>Half Court Press Ltd</w:t>
      </w:r>
      <w:r w:rsidRPr="00FC5F93">
        <w:rPr>
          <w:rFonts w:cs="Arial"/>
          <w:color w:val="333333"/>
          <w:sz w:val="16"/>
          <w:szCs w:val="16"/>
          <w:shd w:val="clear" w:color="auto" w:fill="FFFFFF"/>
        </w:rPr>
        <w:t>,</w:t>
      </w:r>
      <w:r w:rsidRPr="00FC5F93">
        <w:rPr>
          <w:rFonts w:cs="Arial"/>
          <w:color w:val="auto"/>
          <w:sz w:val="16"/>
          <w:szCs w:val="16"/>
        </w:rPr>
        <w:t xml:space="preserve"> 2012, page 22).</w:t>
      </w:r>
    </w:p>
  </w:footnote>
  <w:footnote w:id="665">
    <w:p w14:paraId="18926C2B"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Brunton, W, Mental health services:</w:t>
      </w:r>
      <w:r w:rsidRPr="00FC5F93" w:rsidDel="00C93891">
        <w:rPr>
          <w:rFonts w:cs="Arial"/>
          <w:color w:val="auto"/>
          <w:sz w:val="16"/>
          <w:szCs w:val="16"/>
        </w:rPr>
        <w:t xml:space="preserve"> </w:t>
      </w:r>
      <w:r w:rsidRPr="00FC5F93">
        <w:rPr>
          <w:rFonts w:cs="Arial"/>
          <w:color w:val="auto"/>
          <w:sz w:val="16"/>
          <w:szCs w:val="16"/>
        </w:rPr>
        <w:t xml:space="preserve">Mental hospitals, 1910s to 1930s (Te Ara – The Encyclopedia of New Zealand, 2011, page 3), </w:t>
      </w:r>
      <w:hyperlink r:id="rId109" w:history="1">
        <w:r w:rsidRPr="00FC5F93">
          <w:rPr>
            <w:rStyle w:val="Hyperlink"/>
            <w:rFonts w:cs="Arial"/>
            <w:sz w:val="16"/>
            <w:szCs w:val="16"/>
          </w:rPr>
          <w:t>https://teara.govt.nz/en/mental-health-services/page-3</w:t>
        </w:r>
      </w:hyperlink>
      <w:r w:rsidRPr="00FC5F93">
        <w:rPr>
          <w:rFonts w:cs="Arial"/>
          <w:color w:val="auto"/>
          <w:sz w:val="16"/>
          <w:szCs w:val="16"/>
        </w:rPr>
        <w:t xml:space="preserve">. </w:t>
      </w:r>
    </w:p>
  </w:footnote>
  <w:footnote w:id="666">
    <w:p w14:paraId="444C709B" w14:textId="77777777" w:rsidR="0062717F" w:rsidRPr="00FC5F93" w:rsidRDefault="0062717F" w:rsidP="0062717F">
      <w:pPr>
        <w:pStyle w:val="FootnoteText"/>
        <w:rPr>
          <w:color w:val="FF0000"/>
          <w:sz w:val="16"/>
          <w:szCs w:val="16"/>
        </w:rPr>
      </w:pPr>
      <w:r w:rsidRPr="00536E67">
        <w:rPr>
          <w:rStyle w:val="StyleFootnoteReferenceFagoFunotenzeichenFagoFunotenzeichen"/>
          <w:sz w:val="16"/>
          <w:szCs w:val="16"/>
        </w:rPr>
        <w:footnoteRef/>
      </w:r>
      <w:r w:rsidRPr="00FC5F93">
        <w:rPr>
          <w:color w:val="auto"/>
          <w:sz w:val="16"/>
          <w:szCs w:val="16"/>
        </w:rPr>
        <w:t xml:space="preserve"> Gassin, T, Māori Mental Health – a report commissioned by the Waitangi Tribunal for the Health Services and Outcomes Kaupapa Inquiry (Waitangi Tribunal, 2019, page 10).</w:t>
      </w:r>
    </w:p>
  </w:footnote>
  <w:footnote w:id="667">
    <w:p w14:paraId="4388D2FC"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w:t>
      </w:r>
      <w:r w:rsidRPr="00FC5F93">
        <w:rPr>
          <w:rFonts w:cs="Arial"/>
          <w:sz w:val="16"/>
          <w:szCs w:val="16"/>
        </w:rPr>
        <w:t xml:space="preserve">Aitken, </w:t>
      </w:r>
      <w:r w:rsidRPr="00FC5F93">
        <w:rPr>
          <w:rFonts w:cs="Arial"/>
          <w:color w:val="auto"/>
          <w:sz w:val="16"/>
          <w:szCs w:val="16"/>
        </w:rPr>
        <w:t xml:space="preserve">RS, Caughley, JG, Lopdell, FC, McLeod, GL, Robertson, JM, Tothill, GM &amp; Hull, DN, Intellectually handicapped children report: Report of the consultative committee set up by the Minister of Education in August 1951 </w:t>
      </w:r>
      <w:r w:rsidRPr="00FC5F93">
        <w:rPr>
          <w:rFonts w:cs="Arial"/>
          <w:sz w:val="16"/>
          <w:szCs w:val="16"/>
        </w:rPr>
        <w:t>(</w:t>
      </w:r>
      <w:r w:rsidRPr="00FC5F93">
        <w:rPr>
          <w:sz w:val="16"/>
          <w:szCs w:val="16"/>
        </w:rPr>
        <w:t xml:space="preserve">Department of Education, </w:t>
      </w:r>
      <w:r w:rsidRPr="00FC5F93">
        <w:rPr>
          <w:rFonts w:cs="Arial"/>
          <w:sz w:val="16"/>
          <w:szCs w:val="16"/>
        </w:rPr>
        <w:t xml:space="preserve">1953, </w:t>
      </w:r>
      <w:r w:rsidRPr="00FC5F93">
        <w:rPr>
          <w:rFonts w:cs="Arial"/>
          <w:color w:val="auto"/>
          <w:sz w:val="16"/>
          <w:szCs w:val="16"/>
        </w:rPr>
        <w:t>page 38).</w:t>
      </w:r>
    </w:p>
  </w:footnote>
  <w:footnote w:id="668">
    <w:p w14:paraId="7312DDDE" w14:textId="77777777" w:rsidR="0062717F" w:rsidRPr="00122960" w:rsidRDefault="0062717F" w:rsidP="0062717F">
      <w:pPr>
        <w:pStyle w:val="FootnoteText"/>
        <w:spacing w:before="120" w:after="0" w:line="240" w:lineRule="auto"/>
        <w:rPr>
          <w:rFonts w:cs="Arial"/>
          <w:szCs w:val="18"/>
        </w:rPr>
      </w:pPr>
      <w:r w:rsidRPr="00122960">
        <w:rPr>
          <w:rStyle w:val="FootnoteReference"/>
          <w:szCs w:val="18"/>
        </w:rPr>
        <w:footnoteRef/>
      </w:r>
      <w:r w:rsidRPr="00122960">
        <w:rPr>
          <w:rFonts w:cs="Arial"/>
          <w:szCs w:val="18"/>
        </w:rPr>
        <w:t xml:space="preserve"> Millen, J, Breaking </w:t>
      </w:r>
      <w:r>
        <w:rPr>
          <w:rFonts w:cs="Arial"/>
          <w:szCs w:val="18"/>
        </w:rPr>
        <w:t>b</w:t>
      </w:r>
      <w:r w:rsidRPr="00122960">
        <w:rPr>
          <w:rFonts w:cs="Arial"/>
          <w:szCs w:val="18"/>
        </w:rPr>
        <w:t>arriers: IHC's first 50 years (</w:t>
      </w:r>
      <w:r>
        <w:rPr>
          <w:rFonts w:cs="Arial"/>
          <w:szCs w:val="18"/>
        </w:rPr>
        <w:t xml:space="preserve">IHC New Zealand, </w:t>
      </w:r>
      <w:r w:rsidRPr="00122960">
        <w:rPr>
          <w:rFonts w:cs="Arial"/>
          <w:szCs w:val="18"/>
        </w:rPr>
        <w:t>1999, p</w:t>
      </w:r>
      <w:r>
        <w:rPr>
          <w:rFonts w:cs="Arial"/>
          <w:szCs w:val="18"/>
        </w:rPr>
        <w:t>ages</w:t>
      </w:r>
      <w:r w:rsidRPr="00122960">
        <w:rPr>
          <w:rFonts w:cs="Arial"/>
          <w:szCs w:val="18"/>
        </w:rPr>
        <w:t xml:space="preserve"> </w:t>
      </w:r>
      <w:r w:rsidRPr="00122960">
        <w:rPr>
          <w:rStyle w:val="normaltextrun"/>
          <w:rFonts w:cs="Arial"/>
          <w:szCs w:val="18"/>
          <w:bdr w:val="none" w:sz="0" w:space="0" w:color="auto" w:frame="1"/>
        </w:rPr>
        <w:t>29</w:t>
      </w:r>
      <w:r w:rsidRPr="0077480B">
        <w:rPr>
          <w:rFonts w:cs="Arial"/>
          <w:color w:val="333333"/>
          <w:szCs w:val="18"/>
          <w:shd w:val="clear" w:color="auto" w:fill="FFFFFF"/>
        </w:rPr>
        <w:t>–</w:t>
      </w:r>
      <w:r w:rsidRPr="00122960">
        <w:rPr>
          <w:rStyle w:val="normaltextrun"/>
          <w:rFonts w:cs="Arial"/>
          <w:szCs w:val="18"/>
          <w:bdr w:val="none" w:sz="0" w:space="0" w:color="auto" w:frame="1"/>
        </w:rPr>
        <w:t>41</w:t>
      </w:r>
      <w:r>
        <w:rPr>
          <w:rStyle w:val="normaltextrun"/>
          <w:rFonts w:cs="Arial"/>
          <w:szCs w:val="18"/>
          <w:bdr w:val="none" w:sz="0" w:space="0" w:color="auto" w:frame="1"/>
        </w:rPr>
        <w:t>)</w:t>
      </w:r>
      <w:r w:rsidRPr="00122960">
        <w:rPr>
          <w:rStyle w:val="normaltextrun"/>
          <w:rFonts w:cs="Arial"/>
          <w:szCs w:val="18"/>
          <w:bdr w:val="none" w:sz="0" w:space="0" w:color="auto" w:frame="1"/>
        </w:rPr>
        <w:t>.</w:t>
      </w:r>
    </w:p>
  </w:footnote>
  <w:footnote w:id="669">
    <w:p w14:paraId="35D68310"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Swarbrick, N, Care and carers:</w:t>
      </w:r>
      <w:r w:rsidRPr="00FC5F93" w:rsidDel="00317112">
        <w:rPr>
          <w:rFonts w:cs="Arial"/>
          <w:color w:val="auto"/>
          <w:sz w:val="16"/>
          <w:szCs w:val="16"/>
        </w:rPr>
        <w:t xml:space="preserve"> </w:t>
      </w:r>
      <w:r w:rsidRPr="00FC5F93">
        <w:rPr>
          <w:rFonts w:cs="Arial"/>
          <w:color w:val="auto"/>
          <w:sz w:val="16"/>
          <w:szCs w:val="16"/>
        </w:rPr>
        <w:t xml:space="preserve">Care of people with disabilities (Te Ara – The Encyclopedia of New Zealand, 2011, page 4), </w:t>
      </w:r>
      <w:hyperlink r:id="rId110" w:history="1">
        <w:r w:rsidRPr="00FC5F93">
          <w:rPr>
            <w:rStyle w:val="Hyperlink"/>
            <w:rFonts w:cs="Arial"/>
            <w:sz w:val="16"/>
            <w:szCs w:val="16"/>
          </w:rPr>
          <w:t>https://teara.govt.nz/en/care-and-carers/page-4</w:t>
        </w:r>
      </w:hyperlink>
      <w:r w:rsidRPr="00FC5F93">
        <w:rPr>
          <w:rFonts w:cs="Arial"/>
          <w:color w:val="auto"/>
          <w:sz w:val="16"/>
          <w:szCs w:val="16"/>
        </w:rPr>
        <w:t>.</w:t>
      </w:r>
    </w:p>
  </w:footnote>
  <w:footnote w:id="670">
    <w:p w14:paraId="016EC892" w14:textId="77777777" w:rsidR="00FD3E16" w:rsidRPr="00FC5F93" w:rsidRDefault="00FD3E16"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w:t>
      </w:r>
      <w:r w:rsidRPr="00FC5F93">
        <w:rPr>
          <w:rFonts w:cs="Arial"/>
          <w:sz w:val="16"/>
          <w:szCs w:val="16"/>
        </w:rPr>
        <w:t>Sullivan, M &amp; Stace, H, A brief history of disability in Aotearoa New Zealand (Office for Disability Issues, 2020, page 7).</w:t>
      </w:r>
    </w:p>
  </w:footnote>
  <w:footnote w:id="671">
    <w:p w14:paraId="12112EA8"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w:t>
      </w:r>
      <w:r w:rsidRPr="00FC5F93">
        <w:rPr>
          <w:rStyle w:val="normaltextrun"/>
          <w:rFonts w:cs="Arial"/>
          <w:color w:val="auto"/>
          <w:sz w:val="16"/>
          <w:szCs w:val="16"/>
          <w:shd w:val="clear" w:color="auto" w:fill="FFFFFF"/>
        </w:rPr>
        <w:t>Disabled Persons Employment Promotion Act 1960.</w:t>
      </w:r>
    </w:p>
  </w:footnote>
  <w:footnote w:id="672">
    <w:p w14:paraId="38379D8D" w14:textId="77777777" w:rsidR="0062717F" w:rsidRPr="00FC5F93" w:rsidRDefault="0062717F" w:rsidP="0062717F">
      <w:pPr>
        <w:pStyle w:val="FootnoteText"/>
        <w:spacing w:before="0" w:after="0" w:line="240" w:lineRule="auto"/>
        <w:rPr>
          <w:sz w:val="16"/>
          <w:szCs w:val="16"/>
        </w:rPr>
      </w:pPr>
      <w:r w:rsidRPr="00536E67">
        <w:rPr>
          <w:rStyle w:val="StyleFootnoteReferenceFagoFunotenzeichenFagoFunotenzeichen"/>
          <w:sz w:val="16"/>
          <w:szCs w:val="16"/>
        </w:rPr>
        <w:footnoteRef/>
      </w:r>
      <w:r w:rsidRPr="00FC5F93">
        <w:rPr>
          <w:sz w:val="16"/>
          <w:szCs w:val="16"/>
        </w:rPr>
        <w:t xml:space="preserve"> Ministry of Education, Response to </w:t>
      </w:r>
      <w:r w:rsidRPr="00FC5F93">
        <w:rPr>
          <w:rFonts w:cs="Arial"/>
          <w:sz w:val="16"/>
          <w:szCs w:val="16"/>
        </w:rPr>
        <w:t xml:space="preserve">Royal Commission of Inquiry into Abuse in Care </w:t>
      </w:r>
      <w:r w:rsidRPr="00FC5F93">
        <w:rPr>
          <w:sz w:val="16"/>
          <w:szCs w:val="16"/>
        </w:rPr>
        <w:t xml:space="preserve">Notice to Produce 422 (17 June 2022, page </w:t>
      </w:r>
      <w:r w:rsidRPr="00FC5F93">
        <w:rPr>
          <w:rFonts w:cs="Arial"/>
          <w:sz w:val="16"/>
          <w:szCs w:val="16"/>
        </w:rPr>
        <w:t>82).</w:t>
      </w:r>
    </w:p>
  </w:footnote>
  <w:footnote w:id="673">
    <w:p w14:paraId="48A40A3E"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Disabled Persons Employment Promotion Act 1960.</w:t>
      </w:r>
    </w:p>
  </w:footnote>
  <w:footnote w:id="674">
    <w:p w14:paraId="5829D0C7"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Tennant, M, Voluntary welfare organisations:</w:t>
      </w:r>
      <w:r w:rsidRPr="00FC5F93" w:rsidDel="008401A6">
        <w:rPr>
          <w:rFonts w:cs="Arial"/>
          <w:color w:val="auto"/>
          <w:sz w:val="16"/>
          <w:szCs w:val="16"/>
        </w:rPr>
        <w:t xml:space="preserve"> </w:t>
      </w:r>
      <w:r w:rsidRPr="00FC5F93">
        <w:rPr>
          <w:rFonts w:cs="Arial"/>
          <w:color w:val="auto"/>
          <w:sz w:val="16"/>
          <w:szCs w:val="16"/>
        </w:rPr>
        <w:t xml:space="preserve">Depression and the welfare state (Te Ara – The Encyclopedia of New Zealand, 2018, page 4), </w:t>
      </w:r>
      <w:hyperlink r:id="rId111" w:history="1">
        <w:r w:rsidRPr="00FC5F93">
          <w:rPr>
            <w:rStyle w:val="Hyperlink"/>
            <w:rFonts w:cs="Arial"/>
            <w:sz w:val="16"/>
            <w:szCs w:val="16"/>
          </w:rPr>
          <w:t>https://teara.govt.nz/en/voluntary-welfare-organisations/page-4</w:t>
        </w:r>
      </w:hyperlink>
      <w:r w:rsidRPr="00FC5F93">
        <w:rPr>
          <w:rFonts w:cs="Arial"/>
          <w:color w:val="auto"/>
          <w:sz w:val="16"/>
          <w:szCs w:val="16"/>
        </w:rPr>
        <w:t xml:space="preserve">. </w:t>
      </w:r>
    </w:p>
  </w:footnote>
  <w:footnote w:id="675">
    <w:p w14:paraId="573B3D7B"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Children’s Health Camps Act 1972.</w:t>
      </w:r>
    </w:p>
  </w:footnote>
  <w:footnote w:id="676">
    <w:p w14:paraId="16B273B3"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sz w:val="16"/>
          <w:szCs w:val="16"/>
        </w:rPr>
        <w:t>King George V Act 1938; Children’s Health Camps Act 1972.</w:t>
      </w:r>
    </w:p>
  </w:footnote>
  <w:footnote w:id="677">
    <w:p w14:paraId="570D4F9A" w14:textId="77777777" w:rsidR="0062717F" w:rsidRDefault="0062717F" w:rsidP="0062717F">
      <w:pPr>
        <w:pStyle w:val="FootnoteText"/>
      </w:pPr>
      <w:r w:rsidRPr="00814720">
        <w:rPr>
          <w:rStyle w:val="StyleFootnoteReferenceFagoFunotenzeichenFagoFunotenzeichen"/>
          <w:sz w:val="16"/>
          <w:szCs w:val="16"/>
        </w:rPr>
        <w:footnoteRef/>
      </w:r>
      <w:r>
        <w:t xml:space="preserve"> </w:t>
      </w:r>
      <w:r w:rsidRPr="0087394F">
        <w:rPr>
          <w:sz w:val="16"/>
          <w:szCs w:val="18"/>
        </w:rPr>
        <w:t>Museum of New Zealand Te Papa Tongarewa website, Health Camps and Stamps (accessed 30 April 2024), https://collections.tepapa.govt.nz/topic/2672.</w:t>
      </w:r>
    </w:p>
  </w:footnote>
  <w:footnote w:id="678">
    <w:p w14:paraId="34B39BEA" w14:textId="77777777" w:rsidR="0062717F" w:rsidRPr="00536E67" w:rsidRDefault="0062717F" w:rsidP="0062717F">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sz w:val="16"/>
          <w:szCs w:val="16"/>
        </w:rPr>
        <w:t>Witness statement of Fiona Inkpen (25 September 2020, page 4).</w:t>
      </w:r>
    </w:p>
  </w:footnote>
  <w:footnote w:id="679">
    <w:p w14:paraId="62536FD0" w14:textId="517E2864" w:rsidR="00785554"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Ministry of Education, Response to </w:t>
      </w:r>
      <w:r w:rsidRPr="00FC5F93">
        <w:rPr>
          <w:rFonts w:cs="Arial"/>
          <w:sz w:val="16"/>
          <w:szCs w:val="16"/>
        </w:rPr>
        <w:t xml:space="preserve">Royal Commission of Inquiry into Abuse in Care </w:t>
      </w:r>
      <w:r w:rsidRPr="00FC5F93">
        <w:rPr>
          <w:sz w:val="16"/>
          <w:szCs w:val="16"/>
        </w:rPr>
        <w:t>Notice to Produce 8 (16 June 2020, page 1).</w:t>
      </w:r>
    </w:p>
  </w:footnote>
  <w:footnote w:id="680">
    <w:p w14:paraId="37A84CCC"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Ministry of Education, Response to </w:t>
      </w:r>
      <w:r w:rsidRPr="00FC5F93">
        <w:rPr>
          <w:rFonts w:cs="Arial"/>
          <w:sz w:val="16"/>
          <w:szCs w:val="16"/>
        </w:rPr>
        <w:t xml:space="preserve">Royal Commission of Inquiry into Abuse in Care </w:t>
      </w:r>
      <w:r w:rsidRPr="00FC5F93">
        <w:rPr>
          <w:sz w:val="16"/>
          <w:szCs w:val="16"/>
        </w:rPr>
        <w:t>Notice to Produce 8 (16 June 2020, page 1).</w:t>
      </w:r>
    </w:p>
  </w:footnote>
  <w:footnote w:id="681">
    <w:p w14:paraId="4E970A58"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Ministry of Education, Response to </w:t>
      </w:r>
      <w:r w:rsidRPr="00FC5F93">
        <w:rPr>
          <w:rFonts w:cs="Arial"/>
          <w:sz w:val="16"/>
          <w:szCs w:val="16"/>
        </w:rPr>
        <w:t xml:space="preserve">Royal Commission of Inquiry into Abuse in Care </w:t>
      </w:r>
      <w:r w:rsidRPr="00FC5F93">
        <w:rPr>
          <w:sz w:val="16"/>
          <w:szCs w:val="16"/>
        </w:rPr>
        <w:t>Notice to Produce 8 (16 June 2020, page 1).</w:t>
      </w:r>
    </w:p>
  </w:footnote>
  <w:footnote w:id="682">
    <w:p w14:paraId="1374C2D0" w14:textId="77777777" w:rsidR="0062717F" w:rsidRPr="00FC5F93"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Ministry of Education, Response to </w:t>
      </w:r>
      <w:r w:rsidRPr="00FC5F93">
        <w:rPr>
          <w:rFonts w:cs="Arial"/>
          <w:sz w:val="16"/>
          <w:szCs w:val="16"/>
        </w:rPr>
        <w:t xml:space="preserve">Royal Commission of Inquiry into Abuse in Care </w:t>
      </w:r>
      <w:r w:rsidRPr="00FC5F93">
        <w:rPr>
          <w:sz w:val="16"/>
          <w:szCs w:val="16"/>
        </w:rPr>
        <w:t>Notice to Produce 8 (16 June 2020, page 1).</w:t>
      </w:r>
    </w:p>
  </w:footnote>
  <w:footnote w:id="683">
    <w:p w14:paraId="01626E2C" w14:textId="77777777" w:rsidR="0062717F" w:rsidRPr="00FC5F93" w:rsidRDefault="0062717F" w:rsidP="0062717F">
      <w:pPr>
        <w:pStyle w:val="FootnoteText"/>
        <w:spacing w:before="120"/>
        <w:rPr>
          <w:rFonts w:cstheme="minorHAnsi"/>
          <w:sz w:val="16"/>
          <w:szCs w:val="16"/>
        </w:rPr>
      </w:pPr>
      <w:r w:rsidRPr="00536E67">
        <w:rPr>
          <w:rStyle w:val="StyleFootnoteReferenceFagoFunotenzeichenFagoFunotenzeichen"/>
          <w:sz w:val="16"/>
          <w:szCs w:val="16"/>
        </w:rPr>
        <w:footnoteRef/>
      </w:r>
      <w:r w:rsidRPr="00FC5F93">
        <w:rPr>
          <w:rFonts w:cstheme="minorHAnsi"/>
          <w:sz w:val="16"/>
          <w:szCs w:val="16"/>
        </w:rPr>
        <w:t xml:space="preserve"> Education Act 1989, section 107.</w:t>
      </w:r>
    </w:p>
  </w:footnote>
  <w:footnote w:id="684">
    <w:p w14:paraId="382941D6" w14:textId="77777777" w:rsidR="0062717F" w:rsidRPr="00536E67" w:rsidRDefault="0062717F" w:rsidP="0062717F">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Education Act 1989, section 78B inserted under the Education Amendment Act 1998.</w:t>
      </w:r>
    </w:p>
  </w:footnote>
  <w:footnote w:id="685">
    <w:p w14:paraId="60B8035C" w14:textId="7B8B0AC9" w:rsidR="00FA227E" w:rsidRPr="00FC5F93" w:rsidRDefault="0062717F" w:rsidP="0062717F">
      <w:pPr>
        <w:pStyle w:val="FootnoteTex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Brief of evidence of Helen Hurst for the Ministry of Education at the Inquiry’s State Redress Hearing (</w:t>
      </w:r>
      <w:r w:rsidRPr="00FC5F93">
        <w:rPr>
          <w:rFonts w:cs="Arial"/>
          <w:sz w:val="16"/>
          <w:szCs w:val="16"/>
        </w:rPr>
        <w:t xml:space="preserve">Royal Commission of Inquiry into Abuse in Care, </w:t>
      </w:r>
      <w:r w:rsidRPr="00FC5F93">
        <w:rPr>
          <w:rFonts w:cs="Arial"/>
          <w:color w:val="auto"/>
          <w:sz w:val="16"/>
          <w:szCs w:val="16"/>
        </w:rPr>
        <w:t xml:space="preserve">27 January 2020, para 3.4). </w:t>
      </w:r>
    </w:p>
  </w:footnote>
  <w:footnote w:id="686">
    <w:p w14:paraId="2FF72D71"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Stanley, E, The road to hell: State violence against children in postwar New Zealand (Auckland University Press, 2016, page 221).</w:t>
      </w:r>
    </w:p>
  </w:footnote>
  <w:footnote w:id="687">
    <w:p w14:paraId="38971022" w14:textId="77777777" w:rsidR="0062717F" w:rsidRPr="00FC5F93" w:rsidRDefault="0062717F" w:rsidP="0062717F">
      <w:pPr>
        <w:pStyle w:val="FootnoteText"/>
        <w:spacing w:before="0" w:after="0" w:line="20" w:lineRule="atLeast"/>
        <w:rPr>
          <w:rFonts w:cs="Arial"/>
          <w:color w:val="auto"/>
          <w:sz w:val="16"/>
          <w:szCs w:val="16"/>
          <w:lang w:val="mi-NZ"/>
        </w:rPr>
      </w:pPr>
      <w:r w:rsidRPr="00536E67">
        <w:rPr>
          <w:rStyle w:val="StyleFootnoteReferenceFagoFunotenzeichenFagoFunotenzeichen"/>
          <w:sz w:val="16"/>
          <w:szCs w:val="16"/>
        </w:rPr>
        <w:footnoteRef/>
      </w:r>
      <w:r w:rsidRPr="00FC5F93">
        <w:rPr>
          <w:rFonts w:cs="Arial"/>
          <w:color w:val="auto"/>
          <w:sz w:val="16"/>
          <w:szCs w:val="16"/>
        </w:rPr>
        <w:t xml:space="preserve"> Stanley, E, The road to hell: State violence against children in postwar New Zealand (Auckland University Press, 2016, page 221).</w:t>
      </w:r>
    </w:p>
  </w:footnote>
  <w:footnote w:id="688">
    <w:p w14:paraId="1652B827" w14:textId="77777777" w:rsidR="0062717F" w:rsidRPr="00FC5F93" w:rsidRDefault="0062717F" w:rsidP="0062717F">
      <w:pPr>
        <w:pStyle w:val="FootnoteText"/>
        <w:spacing w:before="0" w:after="0" w:line="20" w:lineRule="atLeast"/>
        <w:rPr>
          <w:rFonts w:cs="Arial"/>
          <w:color w:val="auto"/>
          <w:sz w:val="16"/>
          <w:szCs w:val="16"/>
          <w:lang w:val="mi-NZ"/>
        </w:rPr>
      </w:pPr>
      <w:r w:rsidRPr="00536E67">
        <w:rPr>
          <w:rStyle w:val="StyleFootnoteReferenceFagoFunotenzeichenFagoFunotenzeichen"/>
          <w:sz w:val="16"/>
          <w:szCs w:val="16"/>
        </w:rPr>
        <w:footnoteRef/>
      </w:r>
      <w:r w:rsidRPr="00FC5F93">
        <w:rPr>
          <w:rFonts w:cs="Arial"/>
          <w:color w:val="auto"/>
          <w:sz w:val="16"/>
          <w:szCs w:val="16"/>
        </w:rPr>
        <w:t xml:space="preserve"> Francis, C, “</w:t>
      </w:r>
      <w:r w:rsidRPr="00FC5F93">
        <w:rPr>
          <w:rFonts w:cs="Arial"/>
          <w:sz w:val="16"/>
          <w:szCs w:val="16"/>
        </w:rPr>
        <w:t>Waimokoia ‘abuse was systemic,’”</w:t>
      </w:r>
      <w:r w:rsidRPr="00FC5F93">
        <w:rPr>
          <w:rFonts w:cs="Arial"/>
          <w:color w:val="auto"/>
          <w:sz w:val="16"/>
          <w:szCs w:val="16"/>
        </w:rPr>
        <w:t xml:space="preserve"> Sunday Star Times (8 August 2010). </w:t>
      </w:r>
    </w:p>
  </w:footnote>
  <w:footnote w:id="689">
    <w:p w14:paraId="7E6F74CC" w14:textId="77777777" w:rsidR="0062717F" w:rsidRPr="00FC5F93" w:rsidRDefault="0062717F" w:rsidP="0062717F">
      <w:pPr>
        <w:pStyle w:val="FootnoteText"/>
        <w:spacing w:before="0" w:after="0" w:line="20" w:lineRule="atLeast"/>
        <w:rPr>
          <w:rFonts w:cs="Arial"/>
          <w:color w:val="auto"/>
          <w:sz w:val="16"/>
          <w:szCs w:val="16"/>
          <w:lang w:val="mi-NZ"/>
        </w:rPr>
      </w:pPr>
      <w:r w:rsidRPr="00536E67">
        <w:rPr>
          <w:rStyle w:val="StyleFootnoteReferenceFagoFunotenzeichenFagoFunotenzeichen"/>
          <w:sz w:val="16"/>
          <w:szCs w:val="16"/>
        </w:rPr>
        <w:footnoteRef/>
      </w:r>
      <w:r w:rsidRPr="00FC5F93">
        <w:rPr>
          <w:rFonts w:cs="Arial"/>
          <w:color w:val="auto"/>
          <w:sz w:val="16"/>
          <w:szCs w:val="16"/>
        </w:rPr>
        <w:t xml:space="preserve"> Roberts, M, </w:t>
      </w:r>
      <w:r w:rsidRPr="00FC5F93">
        <w:rPr>
          <w:rFonts w:cs="Arial"/>
          <w:sz w:val="16"/>
          <w:szCs w:val="16"/>
        </w:rPr>
        <w:t>Residential treatment of emotionally disturbed and socially maladjusted children in New Zealand and adequacy of their subsequent adjustment: A follow-up study of pupils of the McKenzie Residential School 1971–1976</w:t>
      </w:r>
      <w:r w:rsidRPr="00FC5F93">
        <w:rPr>
          <w:rFonts w:cs="Arial"/>
          <w:color w:val="auto"/>
          <w:sz w:val="16"/>
          <w:szCs w:val="16"/>
        </w:rPr>
        <w:t xml:space="preserve"> (October 1977, page 7).</w:t>
      </w:r>
    </w:p>
  </w:footnote>
  <w:footnote w:id="690">
    <w:p w14:paraId="14E0C500" w14:textId="77777777" w:rsidR="0062717F" w:rsidRPr="00FC5F93" w:rsidRDefault="0062717F" w:rsidP="0062717F">
      <w:pPr>
        <w:pStyle w:val="FootnoteText"/>
        <w:spacing w:before="0" w:after="0" w:line="20" w:lineRule="atLeast"/>
        <w:rPr>
          <w:rFonts w:cs="Arial"/>
          <w:color w:val="auto"/>
          <w:sz w:val="16"/>
          <w:szCs w:val="16"/>
          <w:lang w:val="mi-NZ"/>
        </w:rPr>
      </w:pPr>
      <w:r w:rsidRPr="00536E67">
        <w:rPr>
          <w:rStyle w:val="StyleFootnoteReferenceFagoFunotenzeichenFagoFunotenzeichen"/>
          <w:sz w:val="16"/>
          <w:szCs w:val="16"/>
        </w:rPr>
        <w:footnoteRef/>
      </w:r>
      <w:r w:rsidRPr="00FC5F93">
        <w:rPr>
          <w:rFonts w:cs="Arial"/>
          <w:color w:val="auto"/>
          <w:sz w:val="16"/>
          <w:szCs w:val="16"/>
        </w:rPr>
        <w:t xml:space="preserve"> Roberts, M, </w:t>
      </w:r>
      <w:r w:rsidRPr="00FC5F93">
        <w:rPr>
          <w:rFonts w:cs="Arial"/>
          <w:sz w:val="16"/>
          <w:szCs w:val="16"/>
        </w:rPr>
        <w:t>Residential treatment of emotionally disturbed and socially maladjusted children in New Zealand and adequacy of their subsequent adjustment: A follow-up study of pupils of the McKenzie Residential School 1971–1976</w:t>
      </w:r>
      <w:r w:rsidRPr="00FC5F93">
        <w:rPr>
          <w:rFonts w:cs="Arial"/>
          <w:color w:val="auto"/>
          <w:sz w:val="16"/>
          <w:szCs w:val="16"/>
        </w:rPr>
        <w:t xml:space="preserve"> (October 1977, page 8).</w:t>
      </w:r>
    </w:p>
  </w:footnote>
  <w:footnote w:id="691">
    <w:p w14:paraId="0DF25377" w14:textId="77777777" w:rsidR="0062717F" w:rsidRPr="00FC5F93" w:rsidRDefault="0062717F" w:rsidP="0062717F">
      <w:pPr>
        <w:pStyle w:val="FootnoteText"/>
        <w:spacing w:before="0" w:after="0"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Sullivan, M, Disability and disability organisations (Te Ara –</w:t>
      </w:r>
      <w:r w:rsidRPr="00FC5F93" w:rsidDel="007B645D">
        <w:rPr>
          <w:rFonts w:cs="Arial"/>
          <w:sz w:val="16"/>
          <w:szCs w:val="16"/>
        </w:rPr>
        <w:t xml:space="preserve"> </w:t>
      </w:r>
      <w:r w:rsidRPr="00FC5F93">
        <w:rPr>
          <w:rFonts w:cs="Arial"/>
          <w:sz w:val="16"/>
          <w:szCs w:val="16"/>
        </w:rPr>
        <w:t xml:space="preserve">the </w:t>
      </w:r>
      <w:r w:rsidRPr="00FC5F93" w:rsidDel="00207C05">
        <w:rPr>
          <w:rFonts w:cs="Arial"/>
          <w:sz w:val="16"/>
          <w:szCs w:val="16"/>
        </w:rPr>
        <w:t>Encyclopedia</w:t>
      </w:r>
      <w:r w:rsidRPr="00FC5F93">
        <w:rPr>
          <w:rFonts w:cs="Arial"/>
          <w:sz w:val="16"/>
          <w:szCs w:val="16"/>
        </w:rPr>
        <w:t xml:space="preserve"> of New Zealand, 2018), </w:t>
      </w:r>
      <w:hyperlink r:id="rId112" w:history="1">
        <w:r w:rsidRPr="00FC5F93">
          <w:rPr>
            <w:rStyle w:val="Hyperlink"/>
            <w:rFonts w:cs="Arial"/>
            <w:sz w:val="16"/>
            <w:szCs w:val="16"/>
          </w:rPr>
          <w:t>https://teara.govt.nz/en/disability-and-disability-organisations</w:t>
        </w:r>
      </w:hyperlink>
      <w:r w:rsidRPr="00FC5F93">
        <w:rPr>
          <w:rFonts w:cs="Arial"/>
          <w:sz w:val="16"/>
          <w:szCs w:val="16"/>
        </w:rPr>
        <w:t>.</w:t>
      </w:r>
    </w:p>
  </w:footnote>
  <w:footnote w:id="692">
    <w:p w14:paraId="2478B421" w14:textId="77777777" w:rsidR="0062717F" w:rsidRPr="00FC5F93" w:rsidRDefault="0062717F" w:rsidP="0062717F">
      <w:pPr>
        <w:pStyle w:val="FootnoteText"/>
        <w:spacing w:before="0" w:after="0"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Blind and Low Vision Education Network NZ, Our history (2023), </w:t>
      </w:r>
      <w:hyperlink r:id="rId113" w:history="1">
        <w:r w:rsidRPr="00FC5F93">
          <w:rPr>
            <w:rStyle w:val="Hyperlink"/>
            <w:rFonts w:cs="Arial"/>
            <w:sz w:val="16"/>
            <w:szCs w:val="16"/>
          </w:rPr>
          <w:t>https://www.blennz.school.nz/about-blennz/our-history/</w:t>
        </w:r>
      </w:hyperlink>
      <w:r w:rsidRPr="00FC5F93">
        <w:rPr>
          <w:rFonts w:cs="Arial"/>
          <w:sz w:val="16"/>
          <w:szCs w:val="16"/>
        </w:rPr>
        <w:t>.</w:t>
      </w:r>
    </w:p>
  </w:footnote>
  <w:footnote w:id="693">
    <w:p w14:paraId="45A31CCC" w14:textId="77777777"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Department of Education, Child Welfare Division Field Officers’ Manual (1957,</w:t>
      </w:r>
      <w:r w:rsidRPr="00FC5F93" w:rsidDel="006B3A3A">
        <w:rPr>
          <w:rFonts w:cs="Arial"/>
          <w:color w:val="auto"/>
          <w:sz w:val="16"/>
          <w:szCs w:val="16"/>
        </w:rPr>
        <w:t xml:space="preserve"> </w:t>
      </w:r>
      <w:r w:rsidRPr="00FC5F93">
        <w:rPr>
          <w:rFonts w:cs="Arial"/>
          <w:color w:val="auto"/>
          <w:sz w:val="16"/>
          <w:szCs w:val="16"/>
        </w:rPr>
        <w:t xml:space="preserve">page 15). </w:t>
      </w:r>
    </w:p>
  </w:footnote>
  <w:footnote w:id="694">
    <w:p w14:paraId="1D948A8A" w14:textId="77777777" w:rsidR="0062717F" w:rsidRPr="00FC5F93" w:rsidRDefault="0062717F" w:rsidP="0062717F">
      <w:pPr>
        <w:pStyle w:val="FootnoteText"/>
        <w:spacing w:before="0" w:after="0" w:line="240" w:lineRule="auto"/>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Education Act 1964, section 98.</w:t>
      </w:r>
    </w:p>
  </w:footnote>
  <w:footnote w:id="695">
    <w:p w14:paraId="66938E19" w14:textId="77777777" w:rsidR="0062717F" w:rsidRPr="00FC5F93" w:rsidRDefault="0062717F" w:rsidP="0062717F">
      <w:pPr>
        <w:pStyle w:val="FootnoteText"/>
        <w:spacing w:before="0" w:after="0" w:line="240" w:lineRule="auto"/>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Education Act 1964, section 100.</w:t>
      </w:r>
    </w:p>
  </w:footnote>
  <w:footnote w:id="696">
    <w:p w14:paraId="45BF373D" w14:textId="77777777" w:rsidR="0062717F" w:rsidRPr="00FC5F93" w:rsidRDefault="0062717F" w:rsidP="0062717F">
      <w:pPr>
        <w:pStyle w:val="FootnoteText"/>
        <w:spacing w:before="0" w:after="0" w:line="240" w:lineRule="auto"/>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Ministry of Education, Response to </w:t>
      </w:r>
      <w:r w:rsidRPr="00FC5F93">
        <w:rPr>
          <w:rFonts w:cs="Arial"/>
          <w:color w:val="auto"/>
          <w:sz w:val="16"/>
          <w:szCs w:val="16"/>
        </w:rPr>
        <w:t>Royal Commission of Inquiry into Abuse in Care</w:t>
      </w:r>
      <w:r w:rsidRPr="00FC5F93">
        <w:rPr>
          <w:color w:val="auto"/>
          <w:sz w:val="16"/>
          <w:szCs w:val="16"/>
        </w:rPr>
        <w:t xml:space="preserve"> Notice to Produce 422 (17 June 2022, page 78).</w:t>
      </w:r>
    </w:p>
  </w:footnote>
  <w:footnote w:id="697">
    <w:p w14:paraId="53B6F70D"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Arial"/>
          <w:sz w:val="16"/>
          <w:szCs w:val="16"/>
        </w:rPr>
        <w:t xml:space="preserve">Aitken, </w:t>
      </w:r>
      <w:r w:rsidRPr="00FC5F93">
        <w:rPr>
          <w:rFonts w:cs="Arial"/>
          <w:color w:val="auto"/>
          <w:sz w:val="16"/>
          <w:szCs w:val="16"/>
        </w:rPr>
        <w:t xml:space="preserve">RS, Caughley, JG, Lopdell, FC, McLeod, GL, Robertson, JM, Tothill, GM &amp; Hull, DN, Intellectually handicapped children report: Report of the consultative committee set up by the Minister of Education in August 1951 </w:t>
      </w:r>
      <w:r w:rsidRPr="00FC5F93">
        <w:rPr>
          <w:rFonts w:cs="Arial"/>
          <w:sz w:val="16"/>
          <w:szCs w:val="16"/>
        </w:rPr>
        <w:t xml:space="preserve">(Department of Education, 1953, </w:t>
      </w:r>
      <w:r w:rsidRPr="00FC5F93">
        <w:rPr>
          <w:rFonts w:cs="Arial"/>
          <w:color w:val="auto"/>
          <w:sz w:val="16"/>
          <w:szCs w:val="16"/>
        </w:rPr>
        <w:t xml:space="preserve">pages 8–10); </w:t>
      </w:r>
      <w:r w:rsidRPr="00FC5F93">
        <w:rPr>
          <w:rFonts w:cs="Arial"/>
          <w:sz w:val="16"/>
          <w:szCs w:val="16"/>
        </w:rPr>
        <w:t>Witness statement of Caroline Arrell (21 March 2022, page 4).</w:t>
      </w:r>
    </w:p>
  </w:footnote>
  <w:footnote w:id="698">
    <w:p w14:paraId="2D308A09" w14:textId="77777777" w:rsidR="0062717F" w:rsidRPr="00FC5F93" w:rsidRDefault="0062717F" w:rsidP="0062717F">
      <w:pPr>
        <w:pStyle w:val="FootnoteText"/>
        <w:spacing w:before="0" w:after="0" w:line="240" w:lineRule="auto"/>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w:t>
      </w:r>
      <w:r w:rsidRPr="00FC5F93">
        <w:rPr>
          <w:rFonts w:eastAsia="Calibri" w:cs="Arial"/>
          <w:color w:val="auto"/>
          <w:sz w:val="16"/>
          <w:szCs w:val="16"/>
        </w:rPr>
        <w:t xml:space="preserve">Ministry of Education, Response to </w:t>
      </w:r>
      <w:r w:rsidRPr="00FC5F93">
        <w:rPr>
          <w:rFonts w:cs="Arial"/>
          <w:color w:val="auto"/>
          <w:sz w:val="16"/>
          <w:szCs w:val="16"/>
        </w:rPr>
        <w:t>Royal Commission of Inquiry into Abuse in Care</w:t>
      </w:r>
      <w:r w:rsidRPr="00FC5F93">
        <w:rPr>
          <w:rFonts w:eastAsia="Calibri" w:cs="Arial"/>
          <w:color w:val="auto"/>
          <w:sz w:val="16"/>
          <w:szCs w:val="16"/>
        </w:rPr>
        <w:t xml:space="preserve"> Notice to Produce 422 (17 June 2022, page 95).</w:t>
      </w:r>
    </w:p>
  </w:footnote>
  <w:footnote w:id="699">
    <w:p w14:paraId="3A2C4CB8" w14:textId="77777777" w:rsidR="0062717F" w:rsidRPr="00FC5F93" w:rsidRDefault="0062717F" w:rsidP="0062717F">
      <w:pPr>
        <w:pStyle w:val="FootnoteText"/>
        <w:spacing w:before="0" w:after="0"/>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Education Review Office, Child youth and family residential schools (2010, page 4).</w:t>
      </w:r>
    </w:p>
  </w:footnote>
  <w:footnote w:id="700">
    <w:p w14:paraId="5087F354" w14:textId="77777777" w:rsidR="0062717F" w:rsidRPr="00FC5F93" w:rsidRDefault="0062717F" w:rsidP="0062717F">
      <w:pPr>
        <w:pStyle w:val="FootnoteText"/>
        <w:spacing w:before="0" w:after="0"/>
        <w:rPr>
          <w:rFonts w:cs="Arial"/>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Department of Education and Department</w:t>
      </w:r>
      <w:r w:rsidRPr="00FC5F93">
        <w:rPr>
          <w:rFonts w:cs="Arial"/>
          <w:sz w:val="16"/>
          <w:szCs w:val="16"/>
        </w:rPr>
        <w:t xml:space="preserve"> of Social Welfare, A handbook on education in Department of Social Welfare institutions (1986, forward and page 63).</w:t>
      </w:r>
    </w:p>
  </w:footnote>
  <w:footnote w:id="701">
    <w:p w14:paraId="0A8EB81C" w14:textId="77777777" w:rsidR="0062717F" w:rsidRPr="00536E67" w:rsidRDefault="0062717F" w:rsidP="0062717F">
      <w:pPr>
        <w:pStyle w:val="FootnoteText"/>
        <w:spacing w:before="0" w:after="0"/>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w:t>
      </w:r>
      <w:r w:rsidRPr="00FC5F93">
        <w:rPr>
          <w:rFonts w:cs="Arial"/>
          <w:color w:val="auto"/>
          <w:sz w:val="16"/>
          <w:szCs w:val="16"/>
        </w:rPr>
        <w:t>Brief of evidence of Secretary for Education and Chief Executive Iona Holsted for the Ministry of Education at the Inquiry’s State Institutional Response Hearing (</w:t>
      </w:r>
      <w:r w:rsidRPr="00FC5F93" w:rsidDel="00CA7E92">
        <w:rPr>
          <w:rFonts w:cs="Arial"/>
          <w:color w:val="auto"/>
          <w:sz w:val="16"/>
          <w:szCs w:val="16"/>
        </w:rPr>
        <w:t xml:space="preserve">Royal Commission of Inquiry into Abuse in Care, </w:t>
      </w:r>
      <w:r w:rsidRPr="00FC5F93">
        <w:rPr>
          <w:rFonts w:cs="Arial"/>
          <w:color w:val="auto"/>
          <w:sz w:val="16"/>
          <w:szCs w:val="16"/>
        </w:rPr>
        <w:t>8 August 2022, pages 53–54).</w:t>
      </w:r>
    </w:p>
  </w:footnote>
  <w:footnote w:id="702">
    <w:p w14:paraId="2039AE70" w14:textId="77777777" w:rsidR="0062717F" w:rsidRPr="00536E67"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rFonts w:cs="Arial"/>
          <w:sz w:val="16"/>
          <w:szCs w:val="16"/>
        </w:rPr>
        <w:t>Ministry of Education, Response to Royal Commission of Inquiry into Abuse in Care Notice to Produce 422 (17 June 2022, page 5).</w:t>
      </w:r>
    </w:p>
  </w:footnote>
  <w:footnote w:id="703">
    <w:p w14:paraId="5FE5D53A" w14:textId="77777777" w:rsidR="0062717F" w:rsidRPr="00FC5F93" w:rsidRDefault="0062717F" w:rsidP="0062717F">
      <w:pPr>
        <w:pStyle w:val="footnotes"/>
        <w:rPr>
          <w:rFonts w:ascii="Arial" w:hAnsi="Arial" w:cs="Arial"/>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Brief of evidence of</w:t>
      </w:r>
      <w:r w:rsidRPr="00FC5F93">
        <w:rPr>
          <w:rFonts w:cs="Arial"/>
          <w:color w:val="auto"/>
          <w:sz w:val="16"/>
          <w:szCs w:val="16"/>
        </w:rPr>
        <w:t xml:space="preserve"> </w:t>
      </w:r>
      <w:r w:rsidRPr="00FC5F93">
        <w:rPr>
          <w:rFonts w:ascii="Arial" w:hAnsi="Arial" w:cs="Arial"/>
          <w:color w:val="auto"/>
          <w:sz w:val="16"/>
          <w:szCs w:val="16"/>
        </w:rPr>
        <w:t>Secretary for Education and Chief Executive</w:t>
      </w:r>
      <w:r w:rsidRPr="00FC5F93">
        <w:rPr>
          <w:rFonts w:ascii="Arial" w:hAnsi="Arial" w:cs="Arial"/>
          <w:sz w:val="16"/>
          <w:szCs w:val="16"/>
        </w:rPr>
        <w:t xml:space="preserve"> Iona Holsted</w:t>
      </w:r>
      <w:r w:rsidRPr="00FC5F93">
        <w:rPr>
          <w:rFonts w:cs="Arial"/>
          <w:color w:val="000000" w:themeColor="text1"/>
          <w:sz w:val="16"/>
          <w:szCs w:val="16"/>
        </w:rPr>
        <w:t xml:space="preserve"> </w:t>
      </w:r>
      <w:r w:rsidRPr="00FC5F93">
        <w:rPr>
          <w:rFonts w:ascii="Arial" w:hAnsi="Arial" w:cs="Arial"/>
          <w:sz w:val="16"/>
          <w:szCs w:val="16"/>
        </w:rPr>
        <w:t xml:space="preserve">for the Ministry of Education at the Inquiry’s State Institutional Response Hearing (Royal Commission of Inquiry into Abuse in Care, 8 August 2022, </w:t>
      </w:r>
      <w:r w:rsidRPr="00FC5F93">
        <w:rPr>
          <w:rFonts w:ascii="Arial" w:hAnsi="Arial" w:cs="Arial"/>
          <w:color w:val="auto"/>
          <w:sz w:val="16"/>
          <w:szCs w:val="16"/>
        </w:rPr>
        <w:t xml:space="preserve">pages </w:t>
      </w:r>
      <w:r w:rsidRPr="00FC5F93">
        <w:rPr>
          <w:rFonts w:ascii="Arial" w:hAnsi="Arial" w:cs="Arial"/>
          <w:sz w:val="16"/>
          <w:szCs w:val="16"/>
        </w:rPr>
        <w:t>21</w:t>
      </w:r>
      <w:r w:rsidRPr="00FC5F93">
        <w:rPr>
          <w:rFonts w:ascii="Arial" w:hAnsi="Arial" w:cs="Arial"/>
          <w:color w:val="000000" w:themeColor="text1"/>
          <w:sz w:val="16"/>
          <w:szCs w:val="16"/>
        </w:rPr>
        <w:t>–</w:t>
      </w:r>
      <w:r w:rsidRPr="00FC5F93">
        <w:rPr>
          <w:rFonts w:ascii="Arial" w:hAnsi="Arial" w:cs="Arial"/>
          <w:sz w:val="16"/>
          <w:szCs w:val="16"/>
        </w:rPr>
        <w:t>22).</w:t>
      </w:r>
    </w:p>
  </w:footnote>
  <w:footnote w:id="704">
    <w:p w14:paraId="0F320A69" w14:textId="77777777" w:rsidR="0062717F" w:rsidRPr="00FC5F93" w:rsidRDefault="0062717F" w:rsidP="0062717F">
      <w:pPr>
        <w:pStyle w:val="footnotes"/>
        <w:rPr>
          <w:rFonts w:cstheme="minorHAnsi"/>
          <w:sz w:val="16"/>
          <w:szCs w:val="16"/>
        </w:rPr>
      </w:pPr>
      <w:r w:rsidRPr="00536E67">
        <w:rPr>
          <w:rStyle w:val="StyleFootnoteReferenceFagoFunotenzeichenFagoFunotenzeichen"/>
          <w:sz w:val="16"/>
          <w:szCs w:val="16"/>
        </w:rPr>
        <w:footnoteRef/>
      </w:r>
      <w:r w:rsidRPr="00FC5F93">
        <w:rPr>
          <w:rFonts w:ascii="Arial" w:hAnsi="Arial" w:cs="Arial"/>
          <w:sz w:val="16"/>
          <w:szCs w:val="16"/>
        </w:rPr>
        <w:t xml:space="preserve"> Education Act 1989, section 131.</w:t>
      </w:r>
    </w:p>
  </w:footnote>
  <w:footnote w:id="705">
    <w:p w14:paraId="0DC606AF" w14:textId="3AE96B6D" w:rsidR="0062717F" w:rsidRPr="00536E67"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Brief of evidence of</w:t>
      </w:r>
      <w:r w:rsidRPr="00FC5F93">
        <w:rPr>
          <w:rFonts w:cs="Arial"/>
          <w:color w:val="auto"/>
          <w:sz w:val="16"/>
          <w:szCs w:val="16"/>
        </w:rPr>
        <w:t xml:space="preserve"> Secretary for Education and Chief Executive</w:t>
      </w:r>
      <w:r w:rsidRPr="00FC5F93">
        <w:rPr>
          <w:sz w:val="16"/>
          <w:szCs w:val="16"/>
        </w:rPr>
        <w:t xml:space="preserve"> Iona Holsted </w:t>
      </w:r>
      <w:r w:rsidRPr="00FC5F93">
        <w:rPr>
          <w:rFonts w:cs="Arial"/>
          <w:sz w:val="16"/>
          <w:szCs w:val="16"/>
        </w:rPr>
        <w:t xml:space="preserve">for the Ministry of Education at the Inquiry’s State Institutional Response Hearing </w:t>
      </w:r>
      <w:r w:rsidRPr="00FC5F93">
        <w:rPr>
          <w:sz w:val="16"/>
          <w:szCs w:val="16"/>
        </w:rPr>
        <w:t>(August 2022, page 6).</w:t>
      </w:r>
    </w:p>
  </w:footnote>
  <w:footnote w:id="706">
    <w:p w14:paraId="00FB2552" w14:textId="34BC14FB" w:rsidR="0062717F" w:rsidRPr="00FC5F93" w:rsidRDefault="0062717F" w:rsidP="0062717F">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Brief of evidence of Helen Hurst for the Ministry of Education at the Inquiry’s Marylands School (St John of God)</w:t>
      </w:r>
      <w:r w:rsidRPr="00536E67">
        <w:rPr>
          <w:sz w:val="16"/>
          <w:szCs w:val="16"/>
        </w:rPr>
        <w:t xml:space="preserve"> </w:t>
      </w:r>
      <w:r w:rsidRPr="00FC5F93">
        <w:rPr>
          <w:rFonts w:cs="Arial"/>
          <w:color w:val="auto"/>
          <w:sz w:val="16"/>
          <w:szCs w:val="16"/>
        </w:rPr>
        <w:t>Hearing (7 October 2021, para 3.2(c)).</w:t>
      </w:r>
    </w:p>
  </w:footnote>
  <w:footnote w:id="707">
    <w:p w14:paraId="3DD361AD" w14:textId="5D7C13D2"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Arial"/>
          <w:color w:val="auto"/>
          <w:sz w:val="16"/>
          <w:szCs w:val="16"/>
        </w:rPr>
        <w:t>Brief of evidence of Helen Hurst for the Ministry of Education at the Inquiry’s Marylands School (St John of God)</w:t>
      </w:r>
      <w:r w:rsidRPr="00536E67">
        <w:rPr>
          <w:sz w:val="16"/>
          <w:szCs w:val="16"/>
        </w:rPr>
        <w:t xml:space="preserve"> </w:t>
      </w:r>
      <w:r w:rsidRPr="00FC5F93">
        <w:rPr>
          <w:rFonts w:cs="Arial"/>
          <w:color w:val="auto"/>
          <w:sz w:val="16"/>
          <w:szCs w:val="16"/>
        </w:rPr>
        <w:t>Hearing (7 October 2021, page 5).</w:t>
      </w:r>
    </w:p>
  </w:footnote>
  <w:footnote w:id="708">
    <w:p w14:paraId="71570E1A" w14:textId="749D5E13"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Arial"/>
          <w:sz w:val="16"/>
          <w:szCs w:val="16"/>
        </w:rPr>
        <w:t xml:space="preserve">Brief of evidence of </w:t>
      </w:r>
      <w:r w:rsidRPr="00FC5F93">
        <w:rPr>
          <w:rFonts w:cs="Arial"/>
          <w:color w:val="auto"/>
          <w:sz w:val="16"/>
          <w:szCs w:val="16"/>
        </w:rPr>
        <w:t xml:space="preserve">Secretary for Education and Chief Executive </w:t>
      </w:r>
      <w:r w:rsidRPr="00FC5F93">
        <w:rPr>
          <w:rFonts w:cs="Arial"/>
          <w:sz w:val="16"/>
          <w:szCs w:val="16"/>
        </w:rPr>
        <w:t xml:space="preserve">Iona Holsted for the Ministry of Education at the Inquiry’s State Institutional Response Hearing (8 August 2022, </w:t>
      </w:r>
      <w:r w:rsidRPr="00FC5F93">
        <w:rPr>
          <w:rFonts w:eastAsia="Roboto" w:cs="Arial"/>
          <w:color w:val="auto"/>
          <w:sz w:val="16"/>
          <w:szCs w:val="16"/>
        </w:rPr>
        <w:t>page 22).</w:t>
      </w:r>
    </w:p>
  </w:footnote>
  <w:footnote w:id="709">
    <w:p w14:paraId="33C4E219"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theme="minorHAnsi"/>
          <w:sz w:val="16"/>
          <w:szCs w:val="16"/>
        </w:rPr>
        <w:t>Educational Review Office, Students in boarding schools: Their safety and welfare (1997, page 2).</w:t>
      </w:r>
    </w:p>
  </w:footnote>
  <w:footnote w:id="710">
    <w:p w14:paraId="2322AD3B"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theme="minorHAnsi"/>
          <w:sz w:val="16"/>
          <w:szCs w:val="16"/>
        </w:rPr>
        <w:t>Educational Review Office, Students in boarding schools: Their safety and welfare (1997, page 3).</w:t>
      </w:r>
    </w:p>
  </w:footnote>
  <w:footnote w:id="711">
    <w:p w14:paraId="045C633D"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theme="minorHAnsi"/>
          <w:sz w:val="16"/>
          <w:szCs w:val="16"/>
        </w:rPr>
        <w:t>Educational Review Office, Students in boarding schools: Their safety and welfare (1997, page 3).</w:t>
      </w:r>
    </w:p>
  </w:footnote>
  <w:footnote w:id="712">
    <w:p w14:paraId="6757D47A"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theme="minorHAnsi"/>
          <w:sz w:val="16"/>
          <w:szCs w:val="16"/>
        </w:rPr>
        <w:t>Educational Review Office, Students in boarding schools: Their safety and welfare (1997, page 4).</w:t>
      </w:r>
    </w:p>
  </w:footnote>
  <w:footnote w:id="713">
    <w:p w14:paraId="2F7F4ACD"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theme="minorHAnsi"/>
          <w:sz w:val="16"/>
          <w:szCs w:val="16"/>
        </w:rPr>
        <w:t>Educational Review Office, Students in boarding schools: Their safety and welfare (1997, page 3).</w:t>
      </w:r>
    </w:p>
  </w:footnote>
  <w:footnote w:id="714">
    <w:p w14:paraId="41656554" w14:textId="77777777" w:rsidR="0062717F" w:rsidRPr="00FC5F93"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theme="minorHAnsi"/>
          <w:sz w:val="16"/>
          <w:szCs w:val="16"/>
        </w:rPr>
        <w:t>Educational Review Office, Students in boarding schools: Their safety and welfare (1997, page 7).</w:t>
      </w:r>
    </w:p>
  </w:footnote>
  <w:footnote w:id="715">
    <w:p w14:paraId="69ED0C99" w14:textId="77777777" w:rsidR="0062717F" w:rsidRPr="00536E67" w:rsidRDefault="0062717F" w:rsidP="0062717F">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theme="minorHAnsi"/>
          <w:sz w:val="16"/>
          <w:szCs w:val="16"/>
        </w:rPr>
        <w:t>Educational Review Office, Students in boarding schools: Their safety and welfare (1997, page 7).</w:t>
      </w:r>
    </w:p>
  </w:footnote>
  <w:footnote w:id="716">
    <w:p w14:paraId="7A4CCBFE" w14:textId="2029B5C3" w:rsidR="004C3995" w:rsidRPr="00FC5F93" w:rsidRDefault="004C3995" w:rsidP="004C3995">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w:t>
      </w:r>
      <w:r w:rsidRPr="00FC5F93">
        <w:rPr>
          <w:rFonts w:eastAsia="Arial" w:cs="Arial"/>
          <w:color w:val="auto"/>
          <w:sz w:val="16"/>
          <w:szCs w:val="16"/>
        </w:rPr>
        <w:t>Buckley, B, ‘As loyal citizens...’: the relationship between New Zealand Catholicism, the state and politics, 1945</w:t>
      </w:r>
      <w:r w:rsidRPr="00FC5F93">
        <w:rPr>
          <w:rStyle w:val="normaltextrun"/>
          <w:rFonts w:cs="Arial"/>
          <w:color w:val="000000"/>
          <w:sz w:val="16"/>
          <w:szCs w:val="16"/>
          <w:bdr w:val="none" w:sz="0" w:space="0" w:color="auto" w:frame="1"/>
        </w:rPr>
        <w:t>–</w:t>
      </w:r>
      <w:r w:rsidRPr="00FC5F93">
        <w:rPr>
          <w:rFonts w:eastAsia="Arial" w:cs="Arial"/>
          <w:color w:val="auto"/>
          <w:sz w:val="16"/>
          <w:szCs w:val="16"/>
        </w:rPr>
        <w:t xml:space="preserve">1965, Doctoral </w:t>
      </w:r>
      <w:r w:rsidR="006F66BE">
        <w:rPr>
          <w:rFonts w:eastAsia="Arial" w:cs="Arial"/>
          <w:color w:val="auto"/>
          <w:sz w:val="16"/>
          <w:szCs w:val="16"/>
        </w:rPr>
        <w:t>Thesis</w:t>
      </w:r>
      <w:r w:rsidRPr="00FC5F93">
        <w:rPr>
          <w:rFonts w:eastAsia="Arial" w:cs="Arial"/>
          <w:color w:val="auto"/>
          <w:sz w:val="16"/>
          <w:szCs w:val="16"/>
        </w:rPr>
        <w:t>, Massey University (2014, page 202).</w:t>
      </w:r>
    </w:p>
  </w:footnote>
  <w:footnote w:id="717">
    <w:p w14:paraId="6F3AC548" w14:textId="77777777" w:rsidR="004C3995" w:rsidRPr="00FC5F93" w:rsidRDefault="004C3995" w:rsidP="004C3995">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Adhar R, &amp; Stenhouse, J (eds), God and government: The New Zealand Experience (Otago University Press, 2000).</w:t>
      </w:r>
    </w:p>
  </w:footnote>
  <w:footnote w:id="718">
    <w:p w14:paraId="3CAF5EA8" w14:textId="77777777" w:rsidR="004C3995" w:rsidRPr="00FC5F93" w:rsidRDefault="004C3995" w:rsidP="004C3995">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w:t>
      </w:r>
      <w:r w:rsidRPr="00FC5F93">
        <w:rPr>
          <w:rFonts w:eastAsia="Arial" w:cs="Arial"/>
          <w:color w:val="auto"/>
          <w:sz w:val="16"/>
          <w:szCs w:val="16"/>
        </w:rPr>
        <w:t>Evans, J, Church state relations in New Zealand 1940</w:t>
      </w:r>
      <w:r w:rsidRPr="00FC5F93">
        <w:rPr>
          <w:rStyle w:val="normaltextrun"/>
          <w:rFonts w:cs="Arial"/>
          <w:color w:val="000000"/>
          <w:sz w:val="16"/>
          <w:szCs w:val="16"/>
          <w:bdr w:val="none" w:sz="0" w:space="0" w:color="auto" w:frame="1"/>
        </w:rPr>
        <w:t>–</w:t>
      </w:r>
      <w:r w:rsidRPr="00FC5F93">
        <w:rPr>
          <w:rFonts w:eastAsia="Arial" w:cs="Arial"/>
          <w:color w:val="auto"/>
          <w:sz w:val="16"/>
          <w:szCs w:val="16"/>
        </w:rPr>
        <w:t xml:space="preserve">1990, with particular reference to the Presbyterian and Methodist churches, Doctoral Thesis, University of Otago (1992, </w:t>
      </w:r>
      <w:r w:rsidRPr="00FC5F93">
        <w:rPr>
          <w:rFonts w:cs="Arial"/>
          <w:color w:val="auto"/>
          <w:sz w:val="16"/>
          <w:szCs w:val="16"/>
        </w:rPr>
        <w:t>pages</w:t>
      </w:r>
      <w:r w:rsidRPr="00FC5F93">
        <w:rPr>
          <w:rFonts w:eastAsia="Arial" w:cs="Arial"/>
          <w:color w:val="auto"/>
          <w:sz w:val="16"/>
          <w:szCs w:val="16"/>
        </w:rPr>
        <w:t xml:space="preserve"> 26 and 54</w:t>
      </w:r>
      <w:r w:rsidRPr="00FC5F93">
        <w:rPr>
          <w:rFonts w:cs="Arial"/>
          <w:sz w:val="16"/>
          <w:szCs w:val="16"/>
        </w:rPr>
        <w:t>–</w:t>
      </w:r>
      <w:r w:rsidRPr="00FC5F93">
        <w:rPr>
          <w:rFonts w:eastAsia="Arial" w:cs="Arial"/>
          <w:color w:val="auto"/>
          <w:sz w:val="16"/>
          <w:szCs w:val="16"/>
        </w:rPr>
        <w:t>56).</w:t>
      </w:r>
    </w:p>
  </w:footnote>
  <w:footnote w:id="719">
    <w:p w14:paraId="2ECF247B" w14:textId="77777777" w:rsidR="004C3995" w:rsidRPr="00FC5F93" w:rsidRDefault="004C3995" w:rsidP="004C3995">
      <w:pPr>
        <w:pStyle w:val="NoSpacing"/>
        <w:spacing w:line="20" w:lineRule="atLeast"/>
        <w:rPr>
          <w:rFonts w:ascii="Arial" w:hAnsi="Arial" w:cs="Arial"/>
          <w:color w:val="auto"/>
          <w:sz w:val="16"/>
          <w:szCs w:val="16"/>
        </w:rPr>
      </w:pPr>
      <w:r w:rsidRPr="00536E67">
        <w:rPr>
          <w:rStyle w:val="StyleFootnoteReferenceFagoFunotenzeichenFagoFunotenzeichen"/>
          <w:sz w:val="16"/>
          <w:szCs w:val="16"/>
        </w:rPr>
        <w:footnoteRef/>
      </w:r>
      <w:r w:rsidRPr="00FC5F93">
        <w:rPr>
          <w:rFonts w:ascii="Arial" w:hAnsi="Arial" w:cs="Arial"/>
          <w:color w:val="auto"/>
          <w:sz w:val="16"/>
          <w:szCs w:val="16"/>
        </w:rPr>
        <w:t xml:space="preserve"> </w:t>
      </w:r>
      <w:r w:rsidRPr="00FC5F93">
        <w:rPr>
          <w:rFonts w:ascii="Arial" w:eastAsia="Arial" w:hAnsi="Arial" w:cs="Arial"/>
          <w:color w:val="auto"/>
          <w:sz w:val="16"/>
          <w:szCs w:val="16"/>
        </w:rPr>
        <w:t>Tennant, M, O'Brien, M &amp; Sanders, J, The history of the non-profit sector in New Zealand (Office for the Community and Voluntary Sector, 2008).</w:t>
      </w:r>
    </w:p>
  </w:footnote>
  <w:footnote w:id="720">
    <w:p w14:paraId="5BB7472B" w14:textId="77777777" w:rsidR="004C3995" w:rsidRPr="00FC5F93" w:rsidRDefault="004C3995" w:rsidP="004C3995">
      <w:pPr>
        <w:pStyle w:val="NoSpacing"/>
        <w:spacing w:line="20" w:lineRule="atLeast"/>
        <w:rPr>
          <w:rFonts w:ascii="Arial" w:hAnsi="Arial" w:cs="Arial"/>
          <w:color w:val="auto"/>
          <w:sz w:val="16"/>
          <w:szCs w:val="16"/>
        </w:rPr>
      </w:pPr>
      <w:r w:rsidRPr="00536E67">
        <w:rPr>
          <w:rStyle w:val="StyleFootnoteReferenceFagoFunotenzeichenFagoFunotenzeichen"/>
          <w:sz w:val="16"/>
          <w:szCs w:val="16"/>
        </w:rPr>
        <w:footnoteRef/>
      </w:r>
      <w:r w:rsidRPr="00FC5F93">
        <w:rPr>
          <w:rFonts w:ascii="Arial" w:hAnsi="Arial" w:cs="Arial"/>
          <w:color w:val="auto"/>
          <w:sz w:val="16"/>
          <w:szCs w:val="16"/>
        </w:rPr>
        <w:t xml:space="preserve"> </w:t>
      </w:r>
      <w:r w:rsidRPr="00FC5F93">
        <w:rPr>
          <w:rFonts w:ascii="Arial" w:eastAsia="Arial" w:hAnsi="Arial" w:cs="Arial"/>
          <w:color w:val="auto"/>
          <w:sz w:val="16"/>
          <w:szCs w:val="16"/>
        </w:rPr>
        <w:t xml:space="preserve">Evans, J, “Government support of the church in the modern era,” Journal of Law and Religion, 13(2), </w:t>
      </w:r>
      <w:r w:rsidRPr="00FC5F93">
        <w:rPr>
          <w:rFonts w:ascii="Arial" w:hAnsi="Arial" w:cs="Arial"/>
          <w:color w:val="000000"/>
          <w:sz w:val="16"/>
          <w:szCs w:val="16"/>
          <w:shd w:val="clear" w:color="auto" w:fill="FFFFFF"/>
        </w:rPr>
        <w:t xml:space="preserve">(1998, </w:t>
      </w:r>
      <w:r w:rsidRPr="00FC5F93">
        <w:rPr>
          <w:rFonts w:ascii="Arial" w:hAnsi="Arial" w:cs="Arial"/>
          <w:color w:val="auto"/>
          <w:sz w:val="16"/>
          <w:szCs w:val="16"/>
        </w:rPr>
        <w:t xml:space="preserve">pages </w:t>
      </w:r>
      <w:r w:rsidRPr="00FC5F93">
        <w:rPr>
          <w:rFonts w:ascii="Arial" w:eastAsia="Arial" w:hAnsi="Arial" w:cs="Arial"/>
          <w:color w:val="auto"/>
          <w:sz w:val="16"/>
          <w:szCs w:val="16"/>
        </w:rPr>
        <w:t>517</w:t>
      </w:r>
      <w:r w:rsidRPr="00FC5F93">
        <w:rPr>
          <w:rFonts w:ascii="Arial" w:hAnsi="Arial" w:cs="Arial"/>
          <w:sz w:val="16"/>
          <w:szCs w:val="16"/>
        </w:rPr>
        <w:t>–</w:t>
      </w:r>
      <w:r w:rsidRPr="00FC5F93">
        <w:rPr>
          <w:rFonts w:ascii="Arial" w:eastAsia="Arial" w:hAnsi="Arial" w:cs="Arial"/>
          <w:color w:val="auto"/>
          <w:sz w:val="16"/>
          <w:szCs w:val="16"/>
        </w:rPr>
        <w:t xml:space="preserve">530, page 518). </w:t>
      </w:r>
    </w:p>
  </w:footnote>
  <w:footnote w:id="721">
    <w:p w14:paraId="21321736" w14:textId="77777777" w:rsidR="004C3995" w:rsidRPr="00FC5F93" w:rsidRDefault="004C3995" w:rsidP="004C3995">
      <w:pPr>
        <w:keepLines w:val="0"/>
        <w:spacing w:before="0" w:after="0" w:line="20" w:lineRule="atLeast"/>
        <w:rPr>
          <w:rFonts w:ascii="Arial" w:eastAsia="Times New Roman" w:hAnsi="Arial" w:cs="Arial"/>
          <w:color w:val="auto"/>
          <w:sz w:val="16"/>
          <w:szCs w:val="16"/>
          <w:lang w:eastAsia="en-NZ"/>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w:t>
      </w:r>
      <w:r w:rsidRPr="00FC5F93">
        <w:rPr>
          <w:rFonts w:ascii="Arial" w:eastAsia="Arial" w:hAnsi="Arial" w:cs="Arial"/>
          <w:color w:val="auto"/>
          <w:sz w:val="16"/>
          <w:szCs w:val="16"/>
        </w:rPr>
        <w:t>Evans, J, Church state relations in New Zealand 1940</w:t>
      </w:r>
      <w:r w:rsidRPr="00FC5F93">
        <w:rPr>
          <w:rStyle w:val="normaltextrun"/>
          <w:rFonts w:ascii="Arial" w:hAnsi="Arial" w:cs="Arial"/>
          <w:color w:val="000000"/>
          <w:sz w:val="16"/>
          <w:szCs w:val="16"/>
          <w:bdr w:val="none" w:sz="0" w:space="0" w:color="auto" w:frame="1"/>
        </w:rPr>
        <w:t>–</w:t>
      </w:r>
      <w:r w:rsidRPr="00FC5F93">
        <w:rPr>
          <w:rFonts w:ascii="Arial" w:eastAsia="Arial" w:hAnsi="Arial" w:cs="Arial"/>
          <w:color w:val="auto"/>
          <w:sz w:val="16"/>
          <w:szCs w:val="16"/>
        </w:rPr>
        <w:t>1990, with particular reference to the Presbyterian and Methodist churches, Doctoral</w:t>
      </w:r>
      <w:r w:rsidRPr="00FC5F93" w:rsidDel="006528C3">
        <w:rPr>
          <w:rFonts w:ascii="Arial" w:eastAsia="Arial" w:hAnsi="Arial" w:cs="Arial"/>
          <w:color w:val="auto"/>
          <w:sz w:val="16"/>
          <w:szCs w:val="16"/>
        </w:rPr>
        <w:t xml:space="preserve"> </w:t>
      </w:r>
      <w:r w:rsidRPr="00FC5F93">
        <w:rPr>
          <w:rFonts w:ascii="Arial" w:eastAsia="Arial" w:hAnsi="Arial" w:cs="Arial"/>
          <w:color w:val="auto"/>
          <w:sz w:val="16"/>
          <w:szCs w:val="16"/>
        </w:rPr>
        <w:t>Thesis, University of Otago (1992, page 82).</w:t>
      </w:r>
    </w:p>
  </w:footnote>
  <w:footnote w:id="722">
    <w:p w14:paraId="19B13D40" w14:textId="77777777" w:rsidR="004C3995" w:rsidRPr="00FC5F93" w:rsidRDefault="004C3995" w:rsidP="004C3995">
      <w:pPr>
        <w:pStyle w:val="NoSpacing"/>
        <w:spacing w:line="20" w:lineRule="atLeast"/>
        <w:rPr>
          <w:rFonts w:ascii="Arial" w:hAnsi="Arial" w:cs="Arial"/>
          <w:color w:val="auto"/>
          <w:sz w:val="16"/>
          <w:szCs w:val="16"/>
        </w:rPr>
      </w:pPr>
      <w:r w:rsidRPr="00536E67">
        <w:rPr>
          <w:rStyle w:val="StyleFootnoteReferenceFagoFunotenzeichenFagoFunotenzeichen"/>
          <w:sz w:val="16"/>
          <w:szCs w:val="16"/>
        </w:rPr>
        <w:footnoteRef/>
      </w:r>
      <w:r w:rsidRPr="00FC5F93">
        <w:rPr>
          <w:rFonts w:ascii="Arial" w:hAnsi="Arial" w:cs="Arial"/>
          <w:color w:val="auto"/>
          <w:sz w:val="16"/>
          <w:szCs w:val="16"/>
        </w:rPr>
        <w:t xml:space="preserve"> Dalley, B, Family matters: Child welfare in twentieth-century New Zealand (Auckland University Press, 1998, page 134).</w:t>
      </w:r>
    </w:p>
  </w:footnote>
  <w:footnote w:id="723">
    <w:p w14:paraId="3F87706E" w14:textId="77777777" w:rsidR="004C3995" w:rsidRPr="00FC5F93" w:rsidRDefault="004C3995" w:rsidP="004C3995">
      <w:pPr>
        <w:pStyle w:val="NoSpacing"/>
        <w:spacing w:line="20" w:lineRule="atLeast"/>
        <w:rPr>
          <w:rFonts w:ascii="Arial" w:hAnsi="Arial" w:cs="Arial"/>
          <w:color w:val="auto"/>
          <w:sz w:val="16"/>
          <w:szCs w:val="16"/>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w:t>
      </w:r>
      <w:r w:rsidRPr="00FC5F93">
        <w:rPr>
          <w:rFonts w:ascii="Arial" w:eastAsia="Arial" w:hAnsi="Arial" w:cs="Arial"/>
          <w:color w:val="auto"/>
          <w:sz w:val="16"/>
          <w:szCs w:val="16"/>
        </w:rPr>
        <w:t>Tennant, M, O'Brien, M &amp; Sanders, J, The history of the non-profit sector in New Zealand (Office for the Community and Voluntary Sector, 2008, page 20).</w:t>
      </w:r>
    </w:p>
  </w:footnote>
  <w:footnote w:id="724">
    <w:p w14:paraId="49F0FDEF" w14:textId="77777777" w:rsidR="004C3995" w:rsidRPr="00FC5F93" w:rsidRDefault="004C3995" w:rsidP="004C3995">
      <w:pPr>
        <w:pStyle w:val="NoSpacing"/>
        <w:spacing w:line="20" w:lineRule="atLeast"/>
        <w:rPr>
          <w:rFonts w:ascii="Arial" w:hAnsi="Arial" w:cs="Arial"/>
          <w:color w:val="auto"/>
          <w:sz w:val="16"/>
          <w:szCs w:val="16"/>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Evans, J, “Government Support of the Church in the Modern Era,” Journal of Law and Religion, 13(2), (1998, pages 517</w:t>
      </w:r>
      <w:r w:rsidRPr="00FC5F93">
        <w:rPr>
          <w:rFonts w:ascii="Arial" w:hAnsi="Arial" w:cs="Arial"/>
          <w:sz w:val="16"/>
          <w:szCs w:val="16"/>
        </w:rPr>
        <w:t>–</w:t>
      </w:r>
      <w:r w:rsidRPr="00FC5F93">
        <w:rPr>
          <w:rFonts w:ascii="Arial" w:hAnsi="Arial" w:cs="Arial"/>
          <w:color w:val="auto"/>
          <w:sz w:val="16"/>
          <w:szCs w:val="16"/>
        </w:rPr>
        <w:t xml:space="preserve">530, page 518); </w:t>
      </w:r>
      <w:r w:rsidRPr="00FC5F93">
        <w:rPr>
          <w:rFonts w:ascii="Arial" w:eastAsia="Arial" w:hAnsi="Arial" w:cs="Arial"/>
          <w:color w:val="auto"/>
          <w:sz w:val="16"/>
          <w:szCs w:val="16"/>
        </w:rPr>
        <w:t>Evans, J, Church state relations in New Zealand 1940</w:t>
      </w:r>
      <w:r w:rsidRPr="00FC5F93">
        <w:rPr>
          <w:rStyle w:val="normaltextrun"/>
          <w:rFonts w:ascii="Arial" w:hAnsi="Arial" w:cs="Arial"/>
          <w:color w:val="000000"/>
          <w:sz w:val="16"/>
          <w:szCs w:val="16"/>
          <w:bdr w:val="none" w:sz="0" w:space="0" w:color="auto" w:frame="1"/>
        </w:rPr>
        <w:t>–</w:t>
      </w:r>
      <w:r w:rsidRPr="00FC5F93">
        <w:rPr>
          <w:rFonts w:ascii="Arial" w:eastAsia="Arial" w:hAnsi="Arial" w:cs="Arial"/>
          <w:color w:val="auto"/>
          <w:sz w:val="16"/>
          <w:szCs w:val="16"/>
        </w:rPr>
        <w:t>1990, with particular reference to the Presbyterian and Methodist churches, Doctoral</w:t>
      </w:r>
      <w:r w:rsidRPr="00FC5F93" w:rsidDel="006528C3">
        <w:rPr>
          <w:rFonts w:ascii="Arial" w:eastAsia="Arial" w:hAnsi="Arial" w:cs="Arial"/>
          <w:color w:val="auto"/>
          <w:sz w:val="16"/>
          <w:szCs w:val="16"/>
        </w:rPr>
        <w:t xml:space="preserve"> </w:t>
      </w:r>
      <w:r w:rsidRPr="00FC5F93">
        <w:rPr>
          <w:rFonts w:ascii="Arial" w:eastAsia="Arial" w:hAnsi="Arial" w:cs="Arial"/>
          <w:color w:val="auto"/>
          <w:sz w:val="16"/>
          <w:szCs w:val="16"/>
        </w:rPr>
        <w:t>Thesis, University of Otago (1992, page 43).</w:t>
      </w:r>
    </w:p>
  </w:footnote>
  <w:footnote w:id="725">
    <w:p w14:paraId="6F6C054F" w14:textId="63BCFF48" w:rsidR="004C3995" w:rsidRPr="00FC5F93" w:rsidRDefault="004C3995" w:rsidP="007F2D2B">
      <w:pPr>
        <w:pStyle w:val="FootnoteText"/>
        <w:rPr>
          <w:rFonts w:cs="Arial"/>
          <w:sz w:val="16"/>
          <w:szCs w:val="16"/>
        </w:rPr>
      </w:pPr>
      <w:r w:rsidRPr="004F003B">
        <w:rPr>
          <w:rStyle w:val="StyleFootnoteReferenceFagoFunotenzeichenFagoFunotenzeichen"/>
          <w:sz w:val="16"/>
          <w:szCs w:val="16"/>
        </w:rPr>
        <w:footnoteRef/>
      </w:r>
      <w:r w:rsidRPr="00FC5F93">
        <w:rPr>
          <w:rFonts w:cs="Arial"/>
          <w:sz w:val="16"/>
          <w:szCs w:val="16"/>
        </w:rPr>
        <w:t xml:space="preserve"> Cahill, T, Mitchell, A, Nixon, A, Sherry, B &amp; Wetterstrom, J, Church social services:</w:t>
      </w:r>
      <w:r w:rsidRPr="00FC5F93">
        <w:rPr>
          <w:sz w:val="16"/>
          <w:szCs w:val="16"/>
        </w:rPr>
        <w:t xml:space="preserve"> A report of an Inquiry into childcare services (Department of Social Welfare, 1977</w:t>
      </w:r>
      <w:r w:rsidRPr="00FC5F93" w:rsidDel="002440EC">
        <w:rPr>
          <w:sz w:val="16"/>
          <w:szCs w:val="16"/>
        </w:rPr>
        <w:t>,</w:t>
      </w:r>
      <w:r w:rsidRPr="00FC5F93">
        <w:rPr>
          <w:rFonts w:cs="Arial"/>
          <w:sz w:val="16"/>
          <w:szCs w:val="16"/>
        </w:rPr>
        <w:t xml:space="preserve"> </w:t>
      </w:r>
      <w:r w:rsidRPr="00FC5F93">
        <w:rPr>
          <w:rFonts w:eastAsia="Arial" w:cs="Arial"/>
          <w:color w:val="auto"/>
          <w:sz w:val="16"/>
          <w:szCs w:val="16"/>
        </w:rPr>
        <w:t>page</w:t>
      </w:r>
      <w:r w:rsidRPr="00FC5F93">
        <w:rPr>
          <w:rFonts w:cs="Arial"/>
          <w:sz w:val="16"/>
          <w:szCs w:val="16"/>
        </w:rPr>
        <w:t xml:space="preserve"> 12).</w:t>
      </w:r>
    </w:p>
  </w:footnote>
  <w:footnote w:id="726">
    <w:p w14:paraId="1E149B51" w14:textId="77777777" w:rsidR="004C3995" w:rsidRPr="00FC5F93" w:rsidRDefault="004C3995" w:rsidP="004C3995">
      <w:pPr>
        <w:pStyle w:val="FootnoteText"/>
        <w:rPr>
          <w:color w:val="auto"/>
          <w:sz w:val="16"/>
          <w:szCs w:val="16"/>
        </w:rPr>
      </w:pPr>
      <w:r w:rsidRPr="00536E67">
        <w:rPr>
          <w:rStyle w:val="StyleFootnoteReferenceFagoFunotenzeichenFagoFunotenzeichen"/>
          <w:sz w:val="16"/>
          <w:szCs w:val="16"/>
        </w:rPr>
        <w:footnoteRef/>
      </w:r>
      <w:r w:rsidRPr="00FC5F93">
        <w:rPr>
          <w:color w:val="auto"/>
          <w:sz w:val="16"/>
          <w:szCs w:val="16"/>
        </w:rPr>
        <w:t xml:space="preserve"> </w:t>
      </w:r>
      <w:r w:rsidRPr="00FC5F93">
        <w:rPr>
          <w:rFonts w:cs="Arial"/>
          <w:color w:val="auto"/>
          <w:sz w:val="16"/>
          <w:szCs w:val="16"/>
        </w:rPr>
        <w:t>Tennant, M, The fabric of welfare: Voluntary organisations, government and welfare in New Zealand, 1840–2005 (Bridget Williams Books, 2007, page 104).</w:t>
      </w:r>
    </w:p>
  </w:footnote>
  <w:footnote w:id="727">
    <w:p w14:paraId="17973065" w14:textId="77777777" w:rsidR="004C3995" w:rsidRPr="00FC5F93" w:rsidRDefault="004C3995" w:rsidP="004C3995">
      <w:pPr>
        <w:pStyle w:val="FootnoteText"/>
        <w:rPr>
          <w:sz w:val="16"/>
          <w:szCs w:val="16"/>
        </w:rPr>
      </w:pPr>
      <w:r w:rsidRPr="00536E67">
        <w:rPr>
          <w:rStyle w:val="StyleFootnoteReferenceFagoFunotenzeichenFagoFunotenzeichen"/>
          <w:sz w:val="16"/>
          <w:szCs w:val="16"/>
        </w:rPr>
        <w:footnoteRef/>
      </w:r>
      <w:r w:rsidRPr="00FC5F93">
        <w:rPr>
          <w:color w:val="auto"/>
          <w:sz w:val="16"/>
          <w:szCs w:val="16"/>
        </w:rPr>
        <w:t xml:space="preserve"> </w:t>
      </w:r>
      <w:r w:rsidRPr="00FC5F93">
        <w:rPr>
          <w:rStyle w:val="normaltextrun"/>
          <w:rFonts w:cs="Arial"/>
          <w:color w:val="auto"/>
          <w:sz w:val="16"/>
          <w:szCs w:val="16"/>
          <w:shd w:val="clear" w:color="auto" w:fill="FFFFFF"/>
        </w:rPr>
        <w:t xml:space="preserve">Craig, T &amp; Mills, M, Care and control: The role of institutions in New Zealand (New Zealand Planning Council, 1987, </w:t>
      </w:r>
      <w:r w:rsidRPr="00FC5F93">
        <w:rPr>
          <w:color w:val="auto"/>
          <w:sz w:val="16"/>
          <w:szCs w:val="16"/>
        </w:rPr>
        <w:t>page 37).</w:t>
      </w:r>
    </w:p>
  </w:footnote>
  <w:footnote w:id="728">
    <w:p w14:paraId="1E284E7D" w14:textId="77777777" w:rsidR="004C3995" w:rsidRPr="00FC5F93" w:rsidRDefault="004C3995" w:rsidP="004C3995">
      <w:pPr>
        <w:pStyle w:val="NoSpacing"/>
        <w:spacing w:line="20" w:lineRule="atLeast"/>
        <w:rPr>
          <w:rFonts w:ascii="Arial" w:hAnsi="Arial" w:cs="Arial"/>
          <w:color w:val="auto"/>
          <w:sz w:val="16"/>
          <w:szCs w:val="16"/>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w:t>
      </w:r>
      <w:r w:rsidRPr="00FC5F93">
        <w:rPr>
          <w:rFonts w:ascii="Arial" w:eastAsia="Arial" w:hAnsi="Arial" w:cs="Arial"/>
          <w:color w:val="auto"/>
          <w:sz w:val="16"/>
          <w:szCs w:val="16"/>
        </w:rPr>
        <w:t>Evans, J, Church state relations in New Zealand 1940</w:t>
      </w:r>
      <w:r w:rsidRPr="00FC5F93">
        <w:rPr>
          <w:rStyle w:val="normaltextrun"/>
          <w:rFonts w:ascii="Arial" w:hAnsi="Arial" w:cs="Arial"/>
          <w:color w:val="000000"/>
          <w:sz w:val="16"/>
          <w:szCs w:val="16"/>
          <w:bdr w:val="none" w:sz="0" w:space="0" w:color="auto" w:frame="1"/>
        </w:rPr>
        <w:t>–</w:t>
      </w:r>
      <w:r w:rsidRPr="00FC5F93">
        <w:rPr>
          <w:rFonts w:ascii="Arial" w:eastAsia="Arial" w:hAnsi="Arial" w:cs="Arial"/>
          <w:color w:val="auto"/>
          <w:sz w:val="16"/>
          <w:szCs w:val="16"/>
        </w:rPr>
        <w:t>1990, with particular reference to the Presbyterian and Methodist churches, Doctoral</w:t>
      </w:r>
      <w:r w:rsidRPr="00FC5F93" w:rsidDel="006528C3">
        <w:rPr>
          <w:rFonts w:ascii="Arial" w:eastAsia="Arial" w:hAnsi="Arial" w:cs="Arial"/>
          <w:color w:val="auto"/>
          <w:sz w:val="16"/>
          <w:szCs w:val="16"/>
        </w:rPr>
        <w:t xml:space="preserve"> </w:t>
      </w:r>
      <w:r w:rsidRPr="00FC5F93">
        <w:rPr>
          <w:rFonts w:ascii="Arial" w:eastAsia="Arial" w:hAnsi="Arial" w:cs="Arial"/>
          <w:color w:val="auto"/>
          <w:sz w:val="16"/>
          <w:szCs w:val="16"/>
        </w:rPr>
        <w:t>Thesis, University of Otago</w:t>
      </w:r>
      <w:r w:rsidRPr="00FC5F93" w:rsidDel="006528C3">
        <w:rPr>
          <w:rFonts w:ascii="Arial" w:eastAsia="Arial" w:hAnsi="Arial" w:cs="Arial"/>
          <w:color w:val="auto"/>
          <w:sz w:val="16"/>
          <w:szCs w:val="16"/>
        </w:rPr>
        <w:t xml:space="preserve"> </w:t>
      </w:r>
      <w:r w:rsidRPr="00FC5F93">
        <w:rPr>
          <w:rFonts w:ascii="Arial" w:eastAsia="Arial" w:hAnsi="Arial" w:cs="Arial"/>
          <w:color w:val="auto"/>
          <w:sz w:val="16"/>
          <w:szCs w:val="16"/>
        </w:rPr>
        <w:t>(1992, page</w:t>
      </w:r>
      <w:r w:rsidRPr="00FC5F93">
        <w:rPr>
          <w:rFonts w:ascii="Arial" w:eastAsia="Calibri" w:hAnsi="Arial" w:cs="Arial"/>
          <w:color w:val="auto"/>
          <w:sz w:val="16"/>
          <w:szCs w:val="16"/>
        </w:rPr>
        <w:t xml:space="preserve"> 322). </w:t>
      </w:r>
    </w:p>
  </w:footnote>
  <w:footnote w:id="729">
    <w:p w14:paraId="0B57C2F1" w14:textId="77777777" w:rsidR="004C3995" w:rsidRPr="00FC5F93" w:rsidRDefault="004C3995" w:rsidP="004C3995">
      <w:pPr>
        <w:pStyle w:val="NoSpacing"/>
        <w:spacing w:line="20" w:lineRule="atLeast"/>
        <w:rPr>
          <w:rFonts w:ascii="Arial" w:hAnsi="Arial" w:cs="Arial"/>
          <w:color w:val="auto"/>
          <w:sz w:val="16"/>
          <w:szCs w:val="16"/>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w:t>
      </w:r>
      <w:r w:rsidRPr="00FC5F93">
        <w:rPr>
          <w:rFonts w:ascii="Arial" w:eastAsia="Arial" w:hAnsi="Arial" w:cs="Arial"/>
          <w:color w:val="auto"/>
          <w:sz w:val="16"/>
          <w:szCs w:val="16"/>
        </w:rPr>
        <w:t>Evans, J, Church state relations in New Zealand 1940</w:t>
      </w:r>
      <w:r w:rsidRPr="00FC5F93">
        <w:rPr>
          <w:rStyle w:val="normaltextrun"/>
          <w:rFonts w:ascii="Arial" w:hAnsi="Arial" w:cs="Arial"/>
          <w:color w:val="000000"/>
          <w:sz w:val="16"/>
          <w:szCs w:val="16"/>
          <w:bdr w:val="none" w:sz="0" w:space="0" w:color="auto" w:frame="1"/>
        </w:rPr>
        <w:t>–</w:t>
      </w:r>
      <w:r w:rsidRPr="00FC5F93">
        <w:rPr>
          <w:rFonts w:ascii="Arial" w:eastAsia="Arial" w:hAnsi="Arial" w:cs="Arial"/>
          <w:color w:val="auto"/>
          <w:sz w:val="16"/>
          <w:szCs w:val="16"/>
        </w:rPr>
        <w:t>1990, with particular reference to the Presbyterian and Methodist churches, Doctoral</w:t>
      </w:r>
      <w:r w:rsidRPr="00FC5F93" w:rsidDel="006528C3">
        <w:rPr>
          <w:rFonts w:ascii="Arial" w:eastAsia="Arial" w:hAnsi="Arial" w:cs="Arial"/>
          <w:color w:val="auto"/>
          <w:sz w:val="16"/>
          <w:szCs w:val="16"/>
        </w:rPr>
        <w:t xml:space="preserve"> </w:t>
      </w:r>
      <w:r w:rsidRPr="00FC5F93">
        <w:rPr>
          <w:rFonts w:ascii="Arial" w:eastAsia="Arial" w:hAnsi="Arial" w:cs="Arial"/>
          <w:color w:val="auto"/>
          <w:sz w:val="16"/>
          <w:szCs w:val="16"/>
        </w:rPr>
        <w:t>Thesis,</w:t>
      </w:r>
      <w:r w:rsidRPr="00FC5F93">
        <w:rPr>
          <w:rFonts w:ascii="Arial" w:eastAsia="Times New Roman" w:hAnsi="Arial" w:cs="Arial"/>
          <w:color w:val="auto"/>
          <w:sz w:val="16"/>
          <w:szCs w:val="16"/>
          <w:lang w:eastAsia="en-NZ"/>
        </w:rPr>
        <w:t xml:space="preserve"> </w:t>
      </w:r>
      <w:r w:rsidRPr="00FC5F93">
        <w:rPr>
          <w:rFonts w:ascii="Arial" w:eastAsia="Arial" w:hAnsi="Arial" w:cs="Arial"/>
          <w:color w:val="auto"/>
          <w:sz w:val="16"/>
          <w:szCs w:val="16"/>
        </w:rPr>
        <w:t>University of Otago (1992).</w:t>
      </w:r>
    </w:p>
  </w:footnote>
  <w:footnote w:id="730">
    <w:p w14:paraId="40DE4D80" w14:textId="77777777" w:rsidR="004C3995" w:rsidRPr="00FC5F93" w:rsidRDefault="004C3995" w:rsidP="004C3995">
      <w:pPr>
        <w:pStyle w:val="NoSpacing"/>
        <w:spacing w:line="20" w:lineRule="atLeast"/>
        <w:rPr>
          <w:rFonts w:ascii="Arial" w:hAnsi="Arial" w:cs="Arial"/>
          <w:color w:val="auto"/>
          <w:sz w:val="16"/>
          <w:szCs w:val="16"/>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w:t>
      </w:r>
      <w:r w:rsidRPr="00FC5F93">
        <w:rPr>
          <w:rFonts w:ascii="Arial" w:eastAsia="Calibri" w:hAnsi="Arial" w:cs="Arial"/>
          <w:color w:val="auto"/>
          <w:sz w:val="16"/>
          <w:szCs w:val="16"/>
        </w:rPr>
        <w:t xml:space="preserve">Lineham, P, “The voice of inspiration? Religious contributions to social policy,” in Dalley, B &amp; Tennant, M (eds) Past judgement: Social policy in New Zealand history (Otago University Press, 2004, </w:t>
      </w:r>
      <w:r w:rsidRPr="00FC5F93">
        <w:rPr>
          <w:rFonts w:ascii="Arial" w:hAnsi="Arial" w:cs="Arial"/>
          <w:color w:val="auto"/>
          <w:sz w:val="16"/>
          <w:szCs w:val="16"/>
        </w:rPr>
        <w:t>pages</w:t>
      </w:r>
      <w:r w:rsidRPr="00FC5F93">
        <w:rPr>
          <w:rFonts w:ascii="Arial" w:eastAsia="Calibri" w:hAnsi="Arial" w:cs="Arial"/>
          <w:color w:val="auto"/>
          <w:sz w:val="16"/>
          <w:szCs w:val="16"/>
        </w:rPr>
        <w:t xml:space="preserve"> 57</w:t>
      </w:r>
      <w:r w:rsidRPr="00FC5F93">
        <w:rPr>
          <w:rFonts w:ascii="Arial" w:hAnsi="Arial" w:cs="Arial"/>
          <w:sz w:val="16"/>
          <w:szCs w:val="16"/>
        </w:rPr>
        <w:t>–</w:t>
      </w:r>
      <w:r w:rsidRPr="00FC5F93">
        <w:rPr>
          <w:rFonts w:ascii="Arial" w:eastAsia="Calibri" w:hAnsi="Arial" w:cs="Arial"/>
          <w:color w:val="auto"/>
          <w:sz w:val="16"/>
          <w:szCs w:val="16"/>
        </w:rPr>
        <w:t>74).</w:t>
      </w:r>
    </w:p>
  </w:footnote>
  <w:footnote w:id="731">
    <w:p w14:paraId="2B4FF8F3"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Cahill, T, Mitchell, A, Nixon, A, Sherry, B &amp; Wetterstrom, J, Church Social Services: A report of an Inquiry into childcare services (Department of Social Welfare</w:t>
      </w:r>
      <w:r w:rsidRPr="00FC5F93" w:rsidDel="001B6CD8">
        <w:rPr>
          <w:sz w:val="16"/>
          <w:szCs w:val="16"/>
        </w:rPr>
        <w:t xml:space="preserve">, </w:t>
      </w:r>
      <w:r w:rsidRPr="00FC5F93">
        <w:rPr>
          <w:sz w:val="16"/>
          <w:szCs w:val="16"/>
        </w:rPr>
        <w:t>1977, page 3).</w:t>
      </w:r>
    </w:p>
  </w:footnote>
  <w:footnote w:id="732">
    <w:p w14:paraId="360E46C3"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w:t>
      </w:r>
      <w:r w:rsidRPr="00FC5F93">
        <w:rPr>
          <w:rFonts w:cs="Arial"/>
          <w:sz w:val="16"/>
          <w:szCs w:val="16"/>
        </w:rPr>
        <w:t xml:space="preserve">Calculated from the Reserve Bank of New Zealand inflation adjustment calculator using general consumer price index as a comparator, Reserve Bank of New Zealand website, Inflation calculator (accessed February 2024), </w:t>
      </w:r>
      <w:hyperlink r:id="rId114" w:history="1">
        <w:r w:rsidRPr="00FC5F93">
          <w:rPr>
            <w:rStyle w:val="Hyperlink"/>
            <w:rFonts w:cs="Arial"/>
            <w:sz w:val="16"/>
            <w:szCs w:val="16"/>
          </w:rPr>
          <w:t>https://www.rbnz.govt.nz/monetary-policy/about-monetary-policy/inflation-calculator</w:t>
        </w:r>
      </w:hyperlink>
      <w:r w:rsidRPr="00FC5F93">
        <w:rPr>
          <w:rFonts w:cs="Arial"/>
          <w:sz w:val="16"/>
          <w:szCs w:val="16"/>
        </w:rPr>
        <w:t>.</w:t>
      </w:r>
    </w:p>
  </w:footnote>
  <w:footnote w:id="733">
    <w:p w14:paraId="5CBD816D"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Cahill, T, Mitchell, A, Nixon, A, Sherry, B &amp; Wetterstrom, J, Church Social Services: A report of an Inquiry into childcare services (Department of Social Welfare, 1977, page 3).</w:t>
      </w:r>
    </w:p>
  </w:footnote>
  <w:footnote w:id="734">
    <w:p w14:paraId="6D1B2396"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w:t>
      </w:r>
      <w:r w:rsidRPr="00FC5F93">
        <w:rPr>
          <w:rFonts w:cs="Arial"/>
          <w:sz w:val="16"/>
          <w:szCs w:val="16"/>
        </w:rPr>
        <w:t>Cahill, T, Mitchell, A, Nixon, A, Sherry, B &amp; Wetterstrom, J, Church Social Services</w:t>
      </w:r>
      <w:r w:rsidRPr="00FC5F93">
        <w:rPr>
          <w:sz w:val="16"/>
          <w:szCs w:val="16"/>
        </w:rPr>
        <w:t>: A report of an Inquiry into childcare services (Department of Social Welfare, 1977</w:t>
      </w:r>
      <w:r w:rsidRPr="00FC5F93" w:rsidDel="007D09F8">
        <w:rPr>
          <w:sz w:val="16"/>
          <w:szCs w:val="16"/>
        </w:rPr>
        <w:t>,</w:t>
      </w:r>
      <w:r w:rsidRPr="00FC5F93">
        <w:rPr>
          <w:rFonts w:cs="Arial"/>
          <w:sz w:val="16"/>
          <w:szCs w:val="16"/>
        </w:rPr>
        <w:t xml:space="preserve"> </w:t>
      </w:r>
      <w:r w:rsidRPr="00FC5F93">
        <w:rPr>
          <w:sz w:val="16"/>
          <w:szCs w:val="16"/>
        </w:rPr>
        <w:t>page</w:t>
      </w:r>
      <w:r w:rsidRPr="00FC5F93">
        <w:rPr>
          <w:rFonts w:cs="Arial"/>
          <w:sz w:val="16"/>
          <w:szCs w:val="16"/>
        </w:rPr>
        <w:t xml:space="preserve"> 12).</w:t>
      </w:r>
    </w:p>
  </w:footnote>
  <w:footnote w:id="735">
    <w:p w14:paraId="45312E66" w14:textId="77777777" w:rsidR="004C3995" w:rsidRPr="00FC5F93" w:rsidRDefault="004C3995" w:rsidP="004C3995">
      <w:pPr>
        <w:pStyle w:val="FootnoteText"/>
        <w:spacing w:line="20" w:lineRule="atLeast"/>
        <w:rPr>
          <w:rFonts w:cs="Arial"/>
          <w:sz w:val="16"/>
          <w:szCs w:val="16"/>
        </w:rPr>
      </w:pPr>
      <w:r w:rsidRPr="004F003B">
        <w:rPr>
          <w:rStyle w:val="StyleFootnoteReferenceFagoFunotenzeichenFagoFunotenzeichen"/>
          <w:sz w:val="16"/>
          <w:szCs w:val="16"/>
        </w:rPr>
        <w:footnoteRef/>
      </w:r>
      <w:r w:rsidRPr="00FC5F93">
        <w:rPr>
          <w:sz w:val="16"/>
          <w:szCs w:val="16"/>
        </w:rPr>
        <w:t xml:space="preserve"> </w:t>
      </w:r>
      <w:r w:rsidRPr="00FC5F93">
        <w:rPr>
          <w:rFonts w:cs="Arial"/>
          <w:sz w:val="16"/>
          <w:szCs w:val="16"/>
        </w:rPr>
        <w:t xml:space="preserve">Calculated from the Reserve Bank of New Zealand inflation adjustment calculator using general consumer price index as a comparator, Reserve Bank of New Zealand website, Inflation calculator (accessed February 2023), </w:t>
      </w:r>
      <w:hyperlink r:id="rId115" w:history="1">
        <w:r w:rsidRPr="00FC5F93">
          <w:rPr>
            <w:rStyle w:val="Hyperlink"/>
            <w:rFonts w:cs="Arial"/>
            <w:sz w:val="16"/>
            <w:szCs w:val="16"/>
          </w:rPr>
          <w:t>h</w:t>
        </w:r>
        <w:r w:rsidRPr="00FC5F93">
          <w:rPr>
            <w:rStyle w:val="Hyperlink"/>
            <w:sz w:val="16"/>
            <w:szCs w:val="16"/>
          </w:rPr>
          <w:t>ttps://www.rbnz.govt.nz/monetary-policy/about-monetary-policy/inflation-calculator</w:t>
        </w:r>
      </w:hyperlink>
      <w:r w:rsidRPr="00FC5F93">
        <w:rPr>
          <w:rStyle w:val="Hyperlink"/>
          <w:sz w:val="16"/>
          <w:szCs w:val="16"/>
        </w:rPr>
        <w:t>.</w:t>
      </w:r>
    </w:p>
  </w:footnote>
  <w:footnote w:id="736">
    <w:p w14:paraId="0ACDD11B" w14:textId="77777777" w:rsidR="004C3995" w:rsidRPr="00FC5F93" w:rsidRDefault="004C3995" w:rsidP="004C3995">
      <w:pPr>
        <w:pStyle w:val="FootnoteText"/>
        <w:spacing w:before="0" w:after="0" w:line="20" w:lineRule="atLeast"/>
        <w:rPr>
          <w:rFonts w:cs="Arial"/>
          <w:color w:val="auto"/>
          <w:sz w:val="16"/>
          <w:szCs w:val="16"/>
        </w:rPr>
      </w:pPr>
      <w:r w:rsidRPr="004F003B">
        <w:rPr>
          <w:rStyle w:val="StyleFootnoteReferenceFagoFunotenzeichenFagoFunotenzeichen"/>
          <w:sz w:val="16"/>
          <w:szCs w:val="16"/>
        </w:rPr>
        <w:footnoteRef/>
      </w:r>
      <w:r w:rsidRPr="00FC5F93">
        <w:rPr>
          <w:rFonts w:cs="Arial"/>
          <w:color w:val="auto"/>
          <w:sz w:val="16"/>
          <w:szCs w:val="16"/>
        </w:rPr>
        <w:t xml:space="preserve"> </w:t>
      </w:r>
      <w:r w:rsidRPr="00FC5F93">
        <w:rPr>
          <w:rFonts w:eastAsia="Arial" w:cs="Arial"/>
          <w:color w:val="auto"/>
          <w:sz w:val="16"/>
          <w:szCs w:val="16"/>
        </w:rPr>
        <w:t>Tennant, M, O'Brien, M, &amp; Sanders, J, The History of the Non-profit Sector in New Zealand (Office for the Community and Voluntary Sector</w:t>
      </w:r>
      <w:r w:rsidRPr="00FC5F93">
        <w:rPr>
          <w:rFonts w:eastAsia="Calibri" w:cs="Arial"/>
          <w:color w:val="auto"/>
          <w:sz w:val="16"/>
          <w:szCs w:val="16"/>
        </w:rPr>
        <w:t xml:space="preserve">, 2008, </w:t>
      </w:r>
      <w:r w:rsidRPr="00FC5F93">
        <w:rPr>
          <w:sz w:val="16"/>
          <w:szCs w:val="16"/>
        </w:rPr>
        <w:t>page</w:t>
      </w:r>
      <w:r w:rsidRPr="00FC5F93">
        <w:rPr>
          <w:rFonts w:eastAsia="Calibri" w:cs="Arial"/>
          <w:color w:val="auto"/>
          <w:sz w:val="16"/>
          <w:szCs w:val="16"/>
        </w:rPr>
        <w:t xml:space="preserve"> 20). </w:t>
      </w:r>
    </w:p>
  </w:footnote>
  <w:footnote w:id="737">
    <w:p w14:paraId="14DBA851" w14:textId="77777777" w:rsidR="004C3995" w:rsidRPr="00FC5F93" w:rsidRDefault="004C3995" w:rsidP="004C3995">
      <w:pPr>
        <w:pStyle w:val="FootnoteText"/>
        <w:spacing w:line="20" w:lineRule="atLeast"/>
        <w:rPr>
          <w:rFonts w:cs="Arial"/>
          <w:sz w:val="16"/>
          <w:szCs w:val="16"/>
        </w:rPr>
      </w:pPr>
      <w:r w:rsidRPr="004F003B">
        <w:rPr>
          <w:rStyle w:val="StyleFootnoteReferenceFagoFunotenzeichenFagoFunotenzeichen"/>
          <w:sz w:val="16"/>
          <w:szCs w:val="16"/>
        </w:rPr>
        <w:footnoteRef/>
      </w:r>
      <w:r w:rsidRPr="00FC5F93">
        <w:rPr>
          <w:rFonts w:cs="Arial"/>
          <w:sz w:val="16"/>
          <w:szCs w:val="16"/>
        </w:rPr>
        <w:t xml:space="preserve"> Both conversions calculated from the Reserve Bank of New Zealand inflation adjustment calculator using general</w:t>
      </w:r>
      <w:r w:rsidRPr="00FC5F93" w:rsidDel="006E36CB">
        <w:rPr>
          <w:rFonts w:cs="Arial"/>
          <w:sz w:val="16"/>
          <w:szCs w:val="16"/>
        </w:rPr>
        <w:t xml:space="preserve"> </w:t>
      </w:r>
      <w:r w:rsidRPr="00FC5F93">
        <w:rPr>
          <w:rFonts w:cs="Arial"/>
          <w:sz w:val="16"/>
          <w:szCs w:val="16"/>
        </w:rPr>
        <w:t xml:space="preserve">consumer price index as a comparator, Reserve Bank of New Zealand website, Inflation calculator (accessed February 2023), </w:t>
      </w:r>
      <w:hyperlink r:id="rId116" w:history="1">
        <w:r w:rsidRPr="00FC5F93">
          <w:rPr>
            <w:rStyle w:val="Hyperlink"/>
            <w:rFonts w:cs="Arial"/>
            <w:sz w:val="16"/>
            <w:szCs w:val="16"/>
          </w:rPr>
          <w:t>h</w:t>
        </w:r>
        <w:r w:rsidRPr="00FC5F93">
          <w:rPr>
            <w:rStyle w:val="Hyperlink"/>
            <w:sz w:val="16"/>
            <w:szCs w:val="16"/>
          </w:rPr>
          <w:t>ttps://www.rbnz.govt.nz/monetary-policy/about-monetary-policy/inflation-calculator</w:t>
        </w:r>
      </w:hyperlink>
      <w:r w:rsidRPr="00FC5F93">
        <w:rPr>
          <w:rStyle w:val="Hyperlink"/>
          <w:sz w:val="16"/>
          <w:szCs w:val="16"/>
        </w:rPr>
        <w:t>.</w:t>
      </w:r>
      <w:r w:rsidRPr="00FC5F93">
        <w:rPr>
          <w:sz w:val="16"/>
          <w:szCs w:val="16"/>
        </w:rPr>
        <w:t xml:space="preserve"> </w:t>
      </w:r>
    </w:p>
  </w:footnote>
  <w:footnote w:id="738">
    <w:p w14:paraId="49D4E50C"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The Holy See has ratified a number of international conventions, including the United Nations Convention on the Rights of the Child and the Convention Against Torture and Other Cruel Inhuman or Degrading Treatment or Punishment.</w:t>
      </w:r>
    </w:p>
  </w:footnote>
  <w:footnote w:id="739">
    <w:p w14:paraId="0763CAFD"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Code of Canon Law (1983), canon 333 §1.</w:t>
      </w:r>
    </w:p>
  </w:footnote>
  <w:footnote w:id="740">
    <w:p w14:paraId="1A6F0648" w14:textId="77777777" w:rsidR="004C3995" w:rsidRPr="004F003B"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Code of Canon Law (1983), canons 431–436.</w:t>
      </w:r>
    </w:p>
  </w:footnote>
  <w:footnote w:id="741">
    <w:p w14:paraId="3050BEBD"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Witness statement of Cardinal John Dew for the Archdiocese of Wellington and the Metropolitan Diocese (23 September 2020, page 10).</w:t>
      </w:r>
    </w:p>
  </w:footnote>
  <w:footnote w:id="742">
    <w:p w14:paraId="24B2368C"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Witness statement of Cardinal John Dew for the Archdiocese of Wellington and the Metropolitan Diocese (23 September 2020, page 11).</w:t>
      </w:r>
    </w:p>
  </w:footnote>
  <w:footnote w:id="743">
    <w:p w14:paraId="63E36330"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Title G, Canon XIII of Holy Orders in the Anglican Church in Aotearoa, New Zealand &amp; Polynesia (1992), section 6.1. The Anglican Church does not take direction from overseas but presents itself as in full communion with the Church of England and all other churches of the Anglican Communion. </w:t>
      </w:r>
    </w:p>
  </w:footnote>
  <w:footnote w:id="744">
    <w:p w14:paraId="25610979"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Witness statement of Archbishop Philip Richardson for the Anglican Church (12 February 2021, pages 11–12).</w:t>
      </w:r>
    </w:p>
  </w:footnote>
  <w:footnote w:id="745">
    <w:p w14:paraId="16B5230D"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Pr>
          <w:sz w:val="16"/>
          <w:szCs w:val="16"/>
        </w:rPr>
        <w:t xml:space="preserve"> Witness statement of Archbishop Philip Richardson for the Anglican Church (12 February 2021, pages 9–10).</w:t>
      </w:r>
    </w:p>
  </w:footnote>
  <w:footnote w:id="746">
    <w:p w14:paraId="3E0E7720" w14:textId="77777777" w:rsidR="004C3995" w:rsidRPr="00FC5F93" w:rsidRDefault="004C3995" w:rsidP="004C3995">
      <w:pPr>
        <w:pStyle w:val="footnotes"/>
        <w:rPr>
          <w:rFonts w:cs="Arial"/>
          <w:sz w:val="16"/>
          <w:szCs w:val="16"/>
        </w:rPr>
      </w:pPr>
      <w:r w:rsidRPr="004F003B">
        <w:rPr>
          <w:rStyle w:val="StyleFootnoteReferenceFagoFunotenzeichenFagoFunotenzeichen"/>
          <w:sz w:val="16"/>
          <w:szCs w:val="16"/>
        </w:rPr>
        <w:footnoteRef/>
      </w:r>
      <w:r w:rsidRPr="00FC5F93">
        <w:rPr>
          <w:rFonts w:ascii="Arial" w:hAnsi="Arial" w:cs="Arial"/>
          <w:sz w:val="16"/>
          <w:szCs w:val="16"/>
        </w:rPr>
        <w:t xml:space="preserve"> </w:t>
      </w:r>
      <w:r w:rsidRPr="00FC5F93">
        <w:rPr>
          <w:rFonts w:ascii="Arial" w:hAnsi="Arial" w:cs="Arial"/>
          <w:iCs/>
          <w:sz w:val="16"/>
          <w:szCs w:val="16"/>
        </w:rPr>
        <w:t>Witness statement of Colonel Gerry Walker for The Salvation Army (</w:t>
      </w:r>
      <w:r w:rsidRPr="00FC5F93">
        <w:rPr>
          <w:rFonts w:ascii="Arial" w:hAnsi="Arial" w:cs="Arial"/>
          <w:sz w:val="16"/>
          <w:szCs w:val="16"/>
        </w:rPr>
        <w:t xml:space="preserve">18 September 2020, page 22). </w:t>
      </w:r>
    </w:p>
  </w:footnote>
  <w:footnote w:id="747">
    <w:p w14:paraId="4BFCD274" w14:textId="77777777" w:rsidR="004C3995" w:rsidRPr="00FC5F93" w:rsidRDefault="004C3995" w:rsidP="004C3995">
      <w:pPr>
        <w:pStyle w:val="FootnoteText"/>
        <w:rPr>
          <w:sz w:val="16"/>
          <w:szCs w:val="16"/>
        </w:rPr>
      </w:pPr>
      <w:r w:rsidRPr="004F003B">
        <w:rPr>
          <w:rStyle w:val="StyleFootnoteReferenceFagoFunotenzeichenFagoFunotenzeichen"/>
          <w:sz w:val="16"/>
          <w:szCs w:val="16"/>
        </w:rPr>
        <w:footnoteRef/>
      </w:r>
      <w:r w:rsidRPr="00FC5F93" w:rsidDel="00595649">
        <w:rPr>
          <w:sz w:val="16"/>
          <w:szCs w:val="16"/>
        </w:rPr>
        <w:t xml:space="preserve"> </w:t>
      </w:r>
      <w:r w:rsidRPr="00FC5F93">
        <w:rPr>
          <w:sz w:val="16"/>
          <w:szCs w:val="16"/>
        </w:rPr>
        <w:t>Witness statement of Colonel Gerry Walker for The Salvation Army (18 September 2020, page 25).</w:t>
      </w:r>
    </w:p>
  </w:footnote>
  <w:footnote w:id="748">
    <w:p w14:paraId="3D227F16" w14:textId="77777777" w:rsidR="004C3995" w:rsidRPr="00FC5F93" w:rsidRDefault="004C3995" w:rsidP="004C3995">
      <w:pPr>
        <w:pStyle w:val="footnotes"/>
        <w:rPr>
          <w:rFonts w:ascii="Arial" w:hAnsi="Arial" w:cs="Arial"/>
          <w:sz w:val="16"/>
          <w:szCs w:val="16"/>
        </w:rPr>
      </w:pPr>
      <w:r w:rsidRPr="004F003B">
        <w:rPr>
          <w:rStyle w:val="StyleFootnoteReferenceFagoFunotenzeichenFagoFunotenzeichen"/>
          <w:sz w:val="16"/>
          <w:szCs w:val="16"/>
        </w:rPr>
        <w:footnoteRef/>
      </w:r>
      <w:r w:rsidRPr="00FC5F93">
        <w:rPr>
          <w:rFonts w:ascii="Arial" w:hAnsi="Arial" w:cs="Arial"/>
          <w:sz w:val="16"/>
          <w:szCs w:val="16"/>
        </w:rPr>
        <w:t xml:space="preserve"> Opening submissions of the Methodist Church of New Zealand, Wesley College Board of Trustees and Wesley College Trust Board (18 October 2022, para 3.4).</w:t>
      </w:r>
    </w:p>
  </w:footnote>
  <w:footnote w:id="749">
    <w:p w14:paraId="6F724BC0" w14:textId="77777777" w:rsidR="004C3995" w:rsidRPr="00FC5F93" w:rsidRDefault="004C3995" w:rsidP="004C3995">
      <w:pPr>
        <w:pStyle w:val="footnotes"/>
        <w:rPr>
          <w:rFonts w:ascii="Arial" w:hAnsi="Arial" w:cs="Arial"/>
          <w:sz w:val="16"/>
          <w:szCs w:val="16"/>
        </w:rPr>
      </w:pPr>
      <w:r w:rsidRPr="004F003B">
        <w:rPr>
          <w:rStyle w:val="StyleFootnoteReferenceFagoFunotenzeichenFagoFunotenzeichen"/>
          <w:sz w:val="16"/>
          <w:szCs w:val="16"/>
        </w:rPr>
        <w:footnoteRef/>
      </w:r>
      <w:r w:rsidRPr="00FC5F93">
        <w:rPr>
          <w:rFonts w:ascii="Arial" w:hAnsi="Arial" w:cs="Arial"/>
          <w:sz w:val="16"/>
          <w:szCs w:val="16"/>
        </w:rPr>
        <w:t xml:space="preserve"> Methodist Church of New Zealand, Laws and Regulations of the Methodist Church of New Zealand (2021, </w:t>
      </w:r>
      <w:r w:rsidRPr="00FC5F93">
        <w:rPr>
          <w:rFonts w:ascii="Arial" w:hAnsi="Arial" w:cs="Arial"/>
          <w:color w:val="auto"/>
          <w:sz w:val="16"/>
          <w:szCs w:val="16"/>
        </w:rPr>
        <w:t xml:space="preserve">pages </w:t>
      </w:r>
      <w:r w:rsidRPr="00FC5F93">
        <w:rPr>
          <w:rFonts w:ascii="Arial" w:hAnsi="Arial" w:cs="Arial"/>
          <w:sz w:val="16"/>
          <w:szCs w:val="16"/>
        </w:rPr>
        <w:t>5 and 84).</w:t>
      </w:r>
    </w:p>
  </w:footnote>
  <w:footnote w:id="750">
    <w:p w14:paraId="0ED10003" w14:textId="77777777" w:rsidR="004C3995" w:rsidRPr="00FC5F93" w:rsidRDefault="004C3995" w:rsidP="004C3995">
      <w:pPr>
        <w:pStyle w:val="footnotes"/>
        <w:rPr>
          <w:rFonts w:ascii="Arial" w:hAnsi="Arial" w:cs="Arial"/>
          <w:sz w:val="16"/>
          <w:szCs w:val="16"/>
        </w:rPr>
      </w:pPr>
      <w:r w:rsidRPr="004F003B">
        <w:rPr>
          <w:rStyle w:val="StyleFootnoteReferenceFagoFunotenzeichenFagoFunotenzeichen"/>
          <w:sz w:val="16"/>
          <w:szCs w:val="16"/>
        </w:rPr>
        <w:footnoteRef/>
      </w:r>
      <w:r w:rsidRPr="00FC5F93">
        <w:rPr>
          <w:rFonts w:ascii="Arial" w:hAnsi="Arial" w:cs="Arial"/>
          <w:sz w:val="16"/>
          <w:szCs w:val="16"/>
        </w:rPr>
        <w:t xml:space="preserve"> Methodist Church of New Zealand, Response to </w:t>
      </w:r>
      <w:r w:rsidRPr="00FC5F93">
        <w:rPr>
          <w:rStyle w:val="normaltextrun"/>
          <w:rFonts w:ascii="Arial" w:hAnsi="Arial" w:cs="Arial"/>
          <w:color w:val="000000"/>
          <w:sz w:val="16"/>
          <w:szCs w:val="16"/>
          <w:bdr w:val="none" w:sz="0" w:space="0" w:color="auto" w:frame="1"/>
        </w:rPr>
        <w:t>Royal Commission of Inquiry into Abuse in Care</w:t>
      </w:r>
      <w:r w:rsidRPr="00FC5F93">
        <w:rPr>
          <w:rFonts w:cs="Arial"/>
          <w:color w:val="auto"/>
          <w:sz w:val="16"/>
          <w:szCs w:val="16"/>
        </w:rPr>
        <w:t xml:space="preserve"> </w:t>
      </w:r>
      <w:r w:rsidRPr="00FC5F93">
        <w:rPr>
          <w:rFonts w:ascii="Arial" w:hAnsi="Arial" w:cs="Arial"/>
          <w:sz w:val="16"/>
          <w:szCs w:val="16"/>
        </w:rPr>
        <w:t>Notice to Produce 452 (questions 2</w:t>
      </w:r>
      <w:r w:rsidRPr="00FC5F93">
        <w:rPr>
          <w:rStyle w:val="normaltextrun"/>
          <w:rFonts w:ascii="Arial" w:hAnsi="Arial" w:cs="Arial"/>
          <w:color w:val="000000"/>
          <w:sz w:val="16"/>
          <w:szCs w:val="16"/>
          <w:bdr w:val="none" w:sz="0" w:space="0" w:color="auto" w:frame="1"/>
        </w:rPr>
        <w:t>–</w:t>
      </w:r>
      <w:r w:rsidRPr="00FC5F93">
        <w:rPr>
          <w:rFonts w:ascii="Arial" w:hAnsi="Arial" w:cs="Arial"/>
          <w:sz w:val="16"/>
          <w:szCs w:val="16"/>
        </w:rPr>
        <w:t>7) (24 May 2022, page 6).</w:t>
      </w:r>
    </w:p>
  </w:footnote>
  <w:footnote w:id="751">
    <w:p w14:paraId="02FA1EED" w14:textId="77777777" w:rsidR="004C3995" w:rsidRPr="00FC5F93" w:rsidRDefault="004C3995" w:rsidP="004C3995">
      <w:pPr>
        <w:pStyle w:val="footnotes"/>
        <w:rPr>
          <w:rFonts w:ascii="Arial" w:hAnsi="Arial" w:cs="Arial"/>
          <w:sz w:val="16"/>
          <w:szCs w:val="16"/>
        </w:rPr>
      </w:pPr>
      <w:r w:rsidRPr="004F003B">
        <w:rPr>
          <w:rStyle w:val="StyleFootnoteReferenceFagoFunotenzeichenFagoFunotenzeichen"/>
          <w:sz w:val="16"/>
          <w:szCs w:val="16"/>
        </w:rPr>
        <w:footnoteRef/>
      </w:r>
      <w:r w:rsidRPr="00FC5F93">
        <w:rPr>
          <w:rFonts w:ascii="Arial" w:hAnsi="Arial" w:cs="Arial"/>
          <w:sz w:val="16"/>
          <w:szCs w:val="16"/>
        </w:rPr>
        <w:t xml:space="preserve"> Methodist Church of New Zealand, Response to </w:t>
      </w:r>
      <w:r w:rsidRPr="00FC5F93">
        <w:rPr>
          <w:rStyle w:val="normaltextrun"/>
          <w:rFonts w:ascii="Arial" w:hAnsi="Arial" w:cs="Arial"/>
          <w:color w:val="000000"/>
          <w:sz w:val="16"/>
          <w:szCs w:val="16"/>
          <w:bdr w:val="none" w:sz="0" w:space="0" w:color="auto" w:frame="1"/>
        </w:rPr>
        <w:t>Royal Commission of Inquiry into Abuse in Care</w:t>
      </w:r>
      <w:r w:rsidRPr="00FC5F93">
        <w:rPr>
          <w:rFonts w:cs="Arial"/>
          <w:color w:val="auto"/>
          <w:sz w:val="16"/>
          <w:szCs w:val="16"/>
        </w:rPr>
        <w:t xml:space="preserve"> </w:t>
      </w:r>
      <w:r w:rsidRPr="00FC5F93">
        <w:rPr>
          <w:rFonts w:ascii="Arial" w:hAnsi="Arial" w:cs="Arial"/>
          <w:sz w:val="16"/>
          <w:szCs w:val="16"/>
        </w:rPr>
        <w:t>Notice to Produce 452 (questions 2</w:t>
      </w:r>
      <w:r w:rsidRPr="00FC5F93">
        <w:rPr>
          <w:rStyle w:val="normaltextrun"/>
          <w:rFonts w:ascii="Arial" w:hAnsi="Arial" w:cs="Arial"/>
          <w:color w:val="000000"/>
          <w:sz w:val="16"/>
          <w:szCs w:val="16"/>
          <w:bdr w:val="none" w:sz="0" w:space="0" w:color="auto" w:frame="1"/>
        </w:rPr>
        <w:t>–</w:t>
      </w:r>
      <w:r w:rsidRPr="00FC5F93">
        <w:rPr>
          <w:rFonts w:ascii="Arial" w:hAnsi="Arial" w:cs="Arial"/>
          <w:sz w:val="16"/>
          <w:szCs w:val="16"/>
        </w:rPr>
        <w:t>7) (24 May 2022, page 2).</w:t>
      </w:r>
    </w:p>
  </w:footnote>
  <w:footnote w:id="752">
    <w:p w14:paraId="5081278A" w14:textId="77777777" w:rsidR="004C3995" w:rsidRPr="00FC5F93" w:rsidRDefault="004C3995" w:rsidP="004C3995">
      <w:pPr>
        <w:pStyle w:val="footnotes"/>
        <w:rPr>
          <w:rFonts w:ascii="Arial" w:hAnsi="Arial" w:cs="Arial"/>
          <w:sz w:val="16"/>
          <w:szCs w:val="16"/>
        </w:rPr>
      </w:pPr>
      <w:r w:rsidRPr="004F003B">
        <w:rPr>
          <w:rStyle w:val="StyleFootnoteReferenceFagoFunotenzeichenFagoFunotenzeichen"/>
          <w:sz w:val="16"/>
          <w:szCs w:val="16"/>
        </w:rPr>
        <w:footnoteRef/>
      </w:r>
      <w:r w:rsidRPr="00FC5F93">
        <w:rPr>
          <w:rFonts w:ascii="Arial" w:hAnsi="Arial" w:cs="Arial"/>
          <w:sz w:val="16"/>
          <w:szCs w:val="16"/>
        </w:rPr>
        <w:t xml:space="preserve"> Methodist Church of New Zealand, Laws and Regulations of the Methodist Church of New Zealand (2021, page 5).</w:t>
      </w:r>
    </w:p>
  </w:footnote>
  <w:footnote w:id="753">
    <w:p w14:paraId="05D6B0E1" w14:textId="77777777" w:rsidR="004C3995" w:rsidRPr="00FC5F93" w:rsidRDefault="004C3995" w:rsidP="004C3995">
      <w:pPr>
        <w:pStyle w:val="footnotes"/>
        <w:rPr>
          <w:rFonts w:ascii="Arial" w:hAnsi="Arial" w:cs="Arial"/>
          <w:sz w:val="16"/>
          <w:szCs w:val="16"/>
        </w:rPr>
      </w:pPr>
      <w:r w:rsidRPr="004F003B">
        <w:rPr>
          <w:rStyle w:val="StyleFootnoteReferenceFagoFunotenzeichenFagoFunotenzeichen"/>
          <w:sz w:val="16"/>
          <w:szCs w:val="16"/>
        </w:rPr>
        <w:footnoteRef/>
      </w:r>
      <w:r w:rsidRPr="00FC5F93">
        <w:rPr>
          <w:rFonts w:ascii="Arial" w:hAnsi="Arial" w:cs="Arial"/>
          <w:sz w:val="16"/>
          <w:szCs w:val="16"/>
        </w:rPr>
        <w:t xml:space="preserve"> Methodist Church of New Zealand, Laws and Regulations of the Methodist Church of New Zealand (2021, page 10).</w:t>
      </w:r>
    </w:p>
  </w:footnote>
  <w:footnote w:id="754">
    <w:p w14:paraId="184C66C1" w14:textId="77777777" w:rsidR="004C3995" w:rsidRPr="00FC5F93" w:rsidRDefault="004C3995" w:rsidP="004C3995">
      <w:pPr>
        <w:pStyle w:val="footnotes"/>
        <w:rPr>
          <w:rFonts w:ascii="Arial" w:hAnsi="Arial" w:cs="Arial"/>
          <w:sz w:val="16"/>
          <w:szCs w:val="16"/>
        </w:rPr>
      </w:pPr>
      <w:r w:rsidRPr="004F003B">
        <w:rPr>
          <w:rStyle w:val="StyleFootnoteReferenceFagoFunotenzeichenFagoFunotenzeichen"/>
          <w:sz w:val="16"/>
          <w:szCs w:val="16"/>
        </w:rPr>
        <w:footnoteRef/>
      </w:r>
      <w:r w:rsidRPr="00FC5F93">
        <w:rPr>
          <w:rFonts w:ascii="Arial" w:hAnsi="Arial" w:cs="Arial"/>
          <w:sz w:val="16"/>
          <w:szCs w:val="16"/>
        </w:rPr>
        <w:t xml:space="preserve"> Methodist Church of New Zealand, Laws and Regulations of the Methodist Church of New Zealand (2021). </w:t>
      </w:r>
    </w:p>
  </w:footnote>
  <w:footnote w:id="755">
    <w:p w14:paraId="460ECABC" w14:textId="77777777" w:rsidR="004C3995" w:rsidRPr="00FC5F93" w:rsidRDefault="004C3995" w:rsidP="004C3995">
      <w:pPr>
        <w:pStyle w:val="footnotes"/>
        <w:rPr>
          <w:rFonts w:ascii="Arial" w:hAnsi="Arial" w:cs="Arial"/>
          <w:sz w:val="16"/>
          <w:szCs w:val="16"/>
        </w:rPr>
      </w:pPr>
      <w:r w:rsidRPr="004F003B">
        <w:rPr>
          <w:rStyle w:val="StyleFootnoteReferenceFagoFunotenzeichenFagoFunotenzeichen"/>
          <w:sz w:val="16"/>
          <w:szCs w:val="16"/>
        </w:rPr>
        <w:footnoteRef/>
      </w:r>
      <w:r w:rsidRPr="00FC5F93">
        <w:rPr>
          <w:rFonts w:ascii="Arial" w:hAnsi="Arial" w:cs="Arial"/>
          <w:sz w:val="16"/>
          <w:szCs w:val="16"/>
        </w:rPr>
        <w:t xml:space="preserve"> Methodist Church of New Zealand, Response to </w:t>
      </w:r>
      <w:r w:rsidRPr="00FC5F93">
        <w:rPr>
          <w:rStyle w:val="normaltextrun"/>
          <w:rFonts w:ascii="Arial" w:hAnsi="Arial" w:cs="Arial"/>
          <w:color w:val="000000"/>
          <w:sz w:val="16"/>
          <w:szCs w:val="16"/>
          <w:bdr w:val="none" w:sz="0" w:space="0" w:color="auto" w:frame="1"/>
        </w:rPr>
        <w:t>Royal Commission of Inquiry into Abuse in Care</w:t>
      </w:r>
      <w:r w:rsidRPr="00FC5F93">
        <w:rPr>
          <w:rFonts w:cs="Arial"/>
          <w:color w:val="auto"/>
          <w:sz w:val="16"/>
          <w:szCs w:val="16"/>
        </w:rPr>
        <w:t xml:space="preserve"> </w:t>
      </w:r>
      <w:r w:rsidRPr="00FC5F93">
        <w:rPr>
          <w:rFonts w:ascii="Arial" w:hAnsi="Arial" w:cs="Arial"/>
          <w:sz w:val="16"/>
          <w:szCs w:val="16"/>
        </w:rPr>
        <w:t>Notice to Produce 452 (questions 2</w:t>
      </w:r>
      <w:r w:rsidRPr="00FC5F93">
        <w:rPr>
          <w:rStyle w:val="normaltextrun"/>
          <w:rFonts w:ascii="Arial" w:hAnsi="Arial" w:cs="Arial"/>
          <w:color w:val="000000"/>
          <w:sz w:val="16"/>
          <w:szCs w:val="16"/>
          <w:bdr w:val="none" w:sz="0" w:space="0" w:color="auto" w:frame="1"/>
        </w:rPr>
        <w:t>–</w:t>
      </w:r>
      <w:r w:rsidRPr="00FC5F93">
        <w:rPr>
          <w:rFonts w:ascii="Arial" w:hAnsi="Arial" w:cs="Arial"/>
          <w:sz w:val="16"/>
          <w:szCs w:val="16"/>
        </w:rPr>
        <w:t>7) (24 May 2022, page 4).</w:t>
      </w:r>
    </w:p>
  </w:footnote>
  <w:footnote w:id="756">
    <w:p w14:paraId="40847938" w14:textId="77777777" w:rsidR="004C3995" w:rsidRPr="00FC5F93" w:rsidRDefault="004C3995" w:rsidP="004C3995">
      <w:pPr>
        <w:pStyle w:val="footnotes"/>
        <w:rPr>
          <w:rFonts w:ascii="Arial" w:hAnsi="Arial" w:cs="Arial"/>
          <w:sz w:val="16"/>
          <w:szCs w:val="16"/>
        </w:rPr>
      </w:pPr>
      <w:r w:rsidRPr="004F003B">
        <w:rPr>
          <w:rStyle w:val="StyleFootnoteReferenceFagoFunotenzeichenFagoFunotenzeichen"/>
          <w:sz w:val="16"/>
          <w:szCs w:val="16"/>
        </w:rPr>
        <w:footnoteRef/>
      </w:r>
      <w:r w:rsidRPr="00FC5F93">
        <w:rPr>
          <w:rFonts w:ascii="Arial" w:hAnsi="Arial" w:cs="Arial"/>
          <w:sz w:val="16"/>
          <w:szCs w:val="16"/>
        </w:rPr>
        <w:t xml:space="preserve"> Methodist Church of New Zealand, Response to </w:t>
      </w:r>
      <w:r w:rsidRPr="00FC5F93">
        <w:rPr>
          <w:rStyle w:val="normaltextrun"/>
          <w:rFonts w:ascii="Arial" w:hAnsi="Arial" w:cs="Arial"/>
          <w:color w:val="000000"/>
          <w:sz w:val="16"/>
          <w:szCs w:val="16"/>
          <w:bdr w:val="none" w:sz="0" w:space="0" w:color="auto" w:frame="1"/>
        </w:rPr>
        <w:t>Royal Commission of Inquiry into Abuse in Care</w:t>
      </w:r>
      <w:r w:rsidRPr="00FC5F93">
        <w:rPr>
          <w:rFonts w:cs="Arial"/>
          <w:color w:val="auto"/>
          <w:sz w:val="16"/>
          <w:szCs w:val="16"/>
        </w:rPr>
        <w:t xml:space="preserve"> </w:t>
      </w:r>
      <w:r w:rsidRPr="00FC5F93">
        <w:rPr>
          <w:rFonts w:ascii="Arial" w:hAnsi="Arial" w:cs="Arial"/>
          <w:sz w:val="16"/>
          <w:szCs w:val="16"/>
        </w:rPr>
        <w:t>Notice to Produce 452 (questions 2</w:t>
      </w:r>
      <w:r w:rsidRPr="00FC5F93">
        <w:rPr>
          <w:rStyle w:val="normaltextrun"/>
          <w:rFonts w:ascii="Arial" w:hAnsi="Arial" w:cs="Arial"/>
          <w:color w:val="000000"/>
          <w:sz w:val="16"/>
          <w:szCs w:val="16"/>
          <w:bdr w:val="none" w:sz="0" w:space="0" w:color="auto" w:frame="1"/>
        </w:rPr>
        <w:t>–</w:t>
      </w:r>
      <w:r w:rsidRPr="00FC5F93">
        <w:rPr>
          <w:rFonts w:ascii="Arial" w:hAnsi="Arial" w:cs="Arial"/>
          <w:sz w:val="16"/>
          <w:szCs w:val="16"/>
        </w:rPr>
        <w:t>7) (24 May 2022, page 1).</w:t>
      </w:r>
    </w:p>
  </w:footnote>
  <w:footnote w:id="757">
    <w:p w14:paraId="352B3AE7" w14:textId="77777777" w:rsidR="004C3995" w:rsidRPr="00FC5F93" w:rsidRDefault="004C3995" w:rsidP="004C3995">
      <w:pPr>
        <w:pStyle w:val="footnotes"/>
        <w:rPr>
          <w:rFonts w:ascii="Arial" w:hAnsi="Arial" w:cs="Arial"/>
          <w:color w:val="auto"/>
          <w:sz w:val="16"/>
          <w:szCs w:val="16"/>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Presbyterian Church of Aotearoa New Zealand, ‘General Assembly’.</w:t>
      </w:r>
    </w:p>
  </w:footnote>
  <w:footnote w:id="758">
    <w:p w14:paraId="567F766D" w14:textId="77777777" w:rsidR="004C3995" w:rsidRPr="00FC5F93" w:rsidRDefault="004C3995" w:rsidP="004C3995">
      <w:pPr>
        <w:pStyle w:val="footnotes"/>
        <w:rPr>
          <w:rFonts w:ascii="Arial" w:hAnsi="Arial" w:cs="Arial"/>
          <w:color w:val="auto"/>
          <w:sz w:val="16"/>
          <w:szCs w:val="16"/>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Transcript of submissions of Matthew Hague, counsel for the Presbyterian Church of Aotearoa New Zealand at the Inquiry’s Faith-based Institutional Response Hearing (Royal Commission of Inquiry into Abuse in Care, 19 October 2022, pages 295–296).</w:t>
      </w:r>
    </w:p>
  </w:footnote>
  <w:footnote w:id="759">
    <w:p w14:paraId="72EF0A83" w14:textId="77777777" w:rsidR="004C3995" w:rsidRPr="00FC5F93" w:rsidRDefault="004C3995" w:rsidP="004C3995">
      <w:pPr>
        <w:pStyle w:val="footnotes"/>
        <w:rPr>
          <w:rFonts w:ascii="Arial" w:hAnsi="Arial" w:cs="Arial"/>
          <w:color w:val="auto"/>
          <w:sz w:val="16"/>
          <w:szCs w:val="16"/>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Transcript of submissions of Matthew Hague, counsel for the Presbyterian Church of Aotearoa New Zealand at the Inquiry’s Faith-based Institutional Response Hearing (Royal Commission of Inquiry into Abuse in Care, 19 October 2022, page 296).</w:t>
      </w:r>
    </w:p>
  </w:footnote>
  <w:footnote w:id="760">
    <w:p w14:paraId="57733867" w14:textId="77777777" w:rsidR="004C3995" w:rsidRPr="00FC5F93" w:rsidRDefault="004C3995" w:rsidP="004C3995">
      <w:pPr>
        <w:pStyle w:val="footnotes"/>
        <w:rPr>
          <w:rFonts w:ascii="Arial" w:hAnsi="Arial" w:cs="Arial"/>
          <w:color w:val="auto"/>
          <w:sz w:val="16"/>
          <w:szCs w:val="16"/>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Transcript of submissions of Matthew Hague, counsel for the Presbyterian Church of Aotearoa New Zealand at the Inquiry’s Faith-based Institutional Response Hearing (Royal Commission of Inquiry into Abuse in Care, 19 October 2022, page 296).</w:t>
      </w:r>
    </w:p>
  </w:footnote>
  <w:footnote w:id="761">
    <w:p w14:paraId="7A47A826" w14:textId="77777777" w:rsidR="004C3995" w:rsidRPr="00FC5F93" w:rsidRDefault="004C3995" w:rsidP="004C3995">
      <w:pPr>
        <w:pStyle w:val="footnotes"/>
        <w:rPr>
          <w:rFonts w:ascii="Arial" w:hAnsi="Arial" w:cs="Arial"/>
          <w:color w:val="auto"/>
          <w:sz w:val="16"/>
          <w:szCs w:val="16"/>
        </w:rPr>
      </w:pPr>
      <w:r w:rsidRPr="004F003B">
        <w:rPr>
          <w:rStyle w:val="StyleFootnoteReferenceFagoFunotenzeichenFagoFunotenzeichen"/>
          <w:sz w:val="16"/>
          <w:szCs w:val="16"/>
        </w:rPr>
        <w:footnoteRef/>
      </w:r>
      <w:r w:rsidRPr="00FC5F93">
        <w:rPr>
          <w:rFonts w:ascii="Arial" w:hAnsi="Arial" w:cs="Arial"/>
          <w:color w:val="auto"/>
          <w:sz w:val="16"/>
          <w:szCs w:val="16"/>
        </w:rPr>
        <w:t xml:space="preserve"> Transcript of evidence of Wayne Matheson for the Presbyterian Church of Aotearoa New Zealand at the Inquiry’s Faith-based Institutional Response Hearing (Royal Commission of Inquiry into Abuse in Care, 19 October 2022, page 298).</w:t>
      </w:r>
    </w:p>
  </w:footnote>
  <w:footnote w:id="762">
    <w:p w14:paraId="2A0AA6C1"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Transcript of opening statement from Presbyterian Support Central and Presbyterian Support Otago at the Inquiry’s Faith-based Institutional Response Hearing (</w:t>
      </w:r>
      <w:r w:rsidRPr="00FC5F93" w:rsidDel="001679F9">
        <w:rPr>
          <w:rFonts w:cs="Arial"/>
          <w:color w:val="auto"/>
          <w:sz w:val="16"/>
          <w:szCs w:val="16"/>
        </w:rPr>
        <w:t xml:space="preserve">Royal Commission of Inquiry into Abuse in Care, </w:t>
      </w:r>
      <w:r w:rsidRPr="00FC5F93">
        <w:rPr>
          <w:rFonts w:cs="Arial"/>
          <w:color w:val="auto"/>
          <w:sz w:val="16"/>
          <w:szCs w:val="16"/>
        </w:rPr>
        <w:t xml:space="preserve">19 October 2022, page 240). </w:t>
      </w:r>
    </w:p>
  </w:footnote>
  <w:footnote w:id="763">
    <w:p w14:paraId="75ABF1C8"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Transcript of opening statement from Presbyterian Support Central and Presbyterian Support Otago at the Inquiry’s Faith-based Institutional Response Hearing (</w:t>
      </w:r>
      <w:r w:rsidRPr="00FC5F93" w:rsidDel="001679F9">
        <w:rPr>
          <w:rFonts w:cs="Arial"/>
          <w:color w:val="auto"/>
          <w:sz w:val="16"/>
          <w:szCs w:val="16"/>
        </w:rPr>
        <w:t xml:space="preserve">Royal Commission of Inquiry into Abuse in Care, </w:t>
      </w:r>
      <w:r w:rsidRPr="00FC5F93">
        <w:rPr>
          <w:rFonts w:cs="Arial"/>
          <w:color w:val="auto"/>
          <w:sz w:val="16"/>
          <w:szCs w:val="16"/>
        </w:rPr>
        <w:t>19 October 2022, page 240).</w:t>
      </w:r>
    </w:p>
  </w:footnote>
  <w:footnote w:id="764">
    <w:p w14:paraId="60678449"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w:t>
      </w:r>
      <w:r w:rsidRPr="00FC5F93">
        <w:rPr>
          <w:rFonts w:eastAsia="Calibri" w:cs="Arial"/>
          <w:color w:val="auto"/>
          <w:sz w:val="16"/>
          <w:szCs w:val="16"/>
        </w:rPr>
        <w:t xml:space="preserve">Gloriavale Christian Community, A life in common: The experience of the Gloriavale Christian Community, </w:t>
      </w:r>
      <w:r w:rsidRPr="00FC5F93">
        <w:rPr>
          <w:rFonts w:cs="Arial"/>
          <w:sz w:val="16"/>
          <w:szCs w:val="16"/>
        </w:rPr>
        <w:t>Response to</w:t>
      </w:r>
      <w:r w:rsidRPr="00FC5F93">
        <w:rPr>
          <w:rStyle w:val="normaltextrun"/>
          <w:rFonts w:cs="Arial"/>
          <w:sz w:val="16"/>
          <w:szCs w:val="16"/>
          <w:bdr w:val="none" w:sz="0" w:space="0" w:color="auto" w:frame="1"/>
        </w:rPr>
        <w:t xml:space="preserve"> </w:t>
      </w:r>
      <w:r w:rsidRPr="00FC5F93">
        <w:rPr>
          <w:rFonts w:cs="Arial"/>
          <w:color w:val="auto"/>
          <w:sz w:val="16"/>
          <w:szCs w:val="16"/>
        </w:rPr>
        <w:t xml:space="preserve">Royal Commission of Inquiry into Abuse in Care </w:t>
      </w:r>
      <w:r w:rsidRPr="00FC5F93">
        <w:rPr>
          <w:rFonts w:cs="Arial"/>
          <w:sz w:val="16"/>
          <w:szCs w:val="16"/>
        </w:rPr>
        <w:t xml:space="preserve">Notice to Produce 1 </w:t>
      </w:r>
      <w:r w:rsidRPr="00FC5F93">
        <w:rPr>
          <w:rFonts w:eastAsia="Calibri" w:cs="Arial"/>
          <w:color w:val="auto"/>
          <w:sz w:val="16"/>
          <w:szCs w:val="16"/>
        </w:rPr>
        <w:t xml:space="preserve">(2018, </w:t>
      </w:r>
      <w:r w:rsidRPr="00FC5F93">
        <w:rPr>
          <w:rFonts w:cs="Arial"/>
          <w:color w:val="auto"/>
          <w:sz w:val="16"/>
          <w:szCs w:val="16"/>
        </w:rPr>
        <w:t>page</w:t>
      </w:r>
      <w:r w:rsidRPr="00FC5F93">
        <w:rPr>
          <w:rFonts w:eastAsia="Calibri" w:cs="Arial"/>
          <w:color w:val="auto"/>
          <w:sz w:val="16"/>
          <w:szCs w:val="16"/>
        </w:rPr>
        <w:t xml:space="preserve"> 8).</w:t>
      </w:r>
    </w:p>
  </w:footnote>
  <w:footnote w:id="765">
    <w:p w14:paraId="7E4ABD75"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w:t>
      </w:r>
      <w:r w:rsidRPr="00FC5F93">
        <w:rPr>
          <w:rFonts w:eastAsia="Calibri" w:cs="Arial"/>
          <w:color w:val="auto"/>
          <w:sz w:val="16"/>
          <w:szCs w:val="16"/>
        </w:rPr>
        <w:t xml:space="preserve">Gloriavale Christian Community, A life in common: The experience of the Gloriavale Christian Community, </w:t>
      </w:r>
      <w:r w:rsidRPr="00FC5F93">
        <w:rPr>
          <w:rFonts w:cs="Arial"/>
          <w:sz w:val="16"/>
          <w:szCs w:val="16"/>
        </w:rPr>
        <w:t xml:space="preserve">Response to </w:t>
      </w:r>
      <w:r w:rsidRPr="00FC5F93">
        <w:rPr>
          <w:rFonts w:cs="Arial"/>
          <w:color w:val="auto"/>
          <w:sz w:val="16"/>
          <w:szCs w:val="16"/>
        </w:rPr>
        <w:t xml:space="preserve">Response to </w:t>
      </w:r>
      <w:r w:rsidRPr="00FC5F93">
        <w:rPr>
          <w:rStyle w:val="normaltextrun"/>
          <w:rFonts w:cs="Arial"/>
          <w:sz w:val="16"/>
          <w:szCs w:val="16"/>
          <w:bdr w:val="none" w:sz="0" w:space="0" w:color="auto" w:frame="1"/>
        </w:rPr>
        <w:t xml:space="preserve">Royal Commission of Inquiry into Abuse in Care </w:t>
      </w:r>
      <w:r w:rsidRPr="00FC5F93">
        <w:rPr>
          <w:rFonts w:cs="Arial"/>
          <w:sz w:val="16"/>
          <w:szCs w:val="16"/>
        </w:rPr>
        <w:t>Notice to Produce 1</w:t>
      </w:r>
      <w:r w:rsidRPr="00FC5F93">
        <w:rPr>
          <w:rFonts w:eastAsia="Calibri" w:cs="Arial"/>
          <w:color w:val="auto"/>
          <w:sz w:val="16"/>
          <w:szCs w:val="16"/>
        </w:rPr>
        <w:t xml:space="preserve"> (2018, pages 9–12).</w:t>
      </w:r>
    </w:p>
  </w:footnote>
  <w:footnote w:id="766">
    <w:p w14:paraId="145322A6"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w:t>
      </w:r>
      <w:r w:rsidRPr="00FC5F93">
        <w:rPr>
          <w:rFonts w:eastAsia="Calibri" w:cs="Arial"/>
          <w:color w:val="auto"/>
          <w:sz w:val="16"/>
          <w:szCs w:val="16"/>
        </w:rPr>
        <w:t xml:space="preserve">Gloriavale Christian Community, A life in common: The experience of the Gloriavale Christian Community, </w:t>
      </w:r>
      <w:r w:rsidRPr="00FC5F93">
        <w:rPr>
          <w:rFonts w:cs="Arial"/>
          <w:sz w:val="16"/>
          <w:szCs w:val="16"/>
        </w:rPr>
        <w:t xml:space="preserve">Response to </w:t>
      </w:r>
      <w:r w:rsidRPr="00FC5F93">
        <w:rPr>
          <w:rFonts w:cs="Arial"/>
          <w:color w:val="auto"/>
          <w:sz w:val="16"/>
          <w:szCs w:val="16"/>
        </w:rPr>
        <w:t xml:space="preserve">Response to </w:t>
      </w:r>
      <w:r w:rsidRPr="00FC5F93">
        <w:rPr>
          <w:rStyle w:val="normaltextrun"/>
          <w:rFonts w:cs="Arial"/>
          <w:sz w:val="16"/>
          <w:szCs w:val="16"/>
          <w:bdr w:val="none" w:sz="0" w:space="0" w:color="auto" w:frame="1"/>
        </w:rPr>
        <w:t xml:space="preserve">Royal Commission of Inquiry into Abuse in Care </w:t>
      </w:r>
      <w:r w:rsidRPr="00FC5F93">
        <w:rPr>
          <w:rFonts w:cs="Arial"/>
          <w:sz w:val="16"/>
          <w:szCs w:val="16"/>
        </w:rPr>
        <w:t xml:space="preserve">Notice to Produce 1 </w:t>
      </w:r>
      <w:r w:rsidRPr="00FC5F93">
        <w:rPr>
          <w:rFonts w:eastAsia="Calibri" w:cs="Arial"/>
          <w:color w:val="auto"/>
          <w:sz w:val="16"/>
          <w:szCs w:val="16"/>
        </w:rPr>
        <w:t>(2018, pages 9–12).</w:t>
      </w:r>
    </w:p>
  </w:footnote>
  <w:footnote w:id="767">
    <w:p w14:paraId="5464F892" w14:textId="77777777" w:rsidR="004C3995" w:rsidRPr="00FC5F93" w:rsidRDefault="004C3995" w:rsidP="004C3995">
      <w:pPr>
        <w:pStyle w:val="FootnoteText"/>
        <w:rPr>
          <w:sz w:val="16"/>
          <w:szCs w:val="16"/>
        </w:rPr>
      </w:pPr>
      <w:r w:rsidRPr="00196479">
        <w:rPr>
          <w:rStyle w:val="StyleFootnoteReferenceFagoFunotenzeichenFagoFunotenzeichen"/>
          <w:sz w:val="16"/>
          <w:szCs w:val="16"/>
        </w:rPr>
        <w:footnoteRef/>
      </w:r>
      <w:r w:rsidRPr="00FC5F93">
        <w:rPr>
          <w:sz w:val="16"/>
          <w:szCs w:val="16"/>
        </w:rPr>
        <w:t xml:space="preserve"> Gloriavale Christian Community, A life in common: The experience of the Gloriavale Christian Community, Response to Response to Royal Commission of Inquiry into Abuse in Care Notice to Produce 1 (2018, page 12).</w:t>
      </w:r>
    </w:p>
  </w:footnote>
  <w:footnote w:id="768">
    <w:p w14:paraId="40A0D0B5" w14:textId="77777777" w:rsidR="004C3995" w:rsidRPr="00FC5F93" w:rsidRDefault="004C3995" w:rsidP="004C3995">
      <w:pPr>
        <w:pStyle w:val="footnotes"/>
        <w:rPr>
          <w:rFonts w:ascii="Arial" w:hAnsi="Arial" w:cs="Arial"/>
          <w:color w:val="000000" w:themeColor="text1"/>
          <w:sz w:val="16"/>
          <w:szCs w:val="16"/>
        </w:rPr>
      </w:pPr>
      <w:r w:rsidRPr="00196479">
        <w:rPr>
          <w:rStyle w:val="StyleFootnoteReferenceFagoFunotenzeichenFagoFunotenzeichen"/>
          <w:sz w:val="16"/>
          <w:szCs w:val="16"/>
        </w:rPr>
        <w:footnoteRef/>
      </w:r>
      <w:r w:rsidRPr="00FC5F93">
        <w:rPr>
          <w:rFonts w:ascii="Arial" w:hAnsi="Arial" w:cs="Arial"/>
          <w:sz w:val="16"/>
          <w:szCs w:val="16"/>
        </w:rPr>
        <w:t xml:space="preserve"> </w:t>
      </w:r>
      <w:r w:rsidRPr="00FC5F93">
        <w:rPr>
          <w:rFonts w:ascii="Arial" w:hAnsi="Arial" w:cs="Arial"/>
          <w:color w:val="000000" w:themeColor="text1"/>
          <w:sz w:val="16"/>
          <w:szCs w:val="16"/>
        </w:rPr>
        <w:t xml:space="preserve">Gloriavale Christian Community, A life in common: The experience of the Gloriavale Christian Community, Response to </w:t>
      </w:r>
      <w:r w:rsidRPr="00FC5F93">
        <w:rPr>
          <w:rStyle w:val="normaltextrun"/>
          <w:rFonts w:ascii="Arial" w:hAnsi="Arial" w:cs="Arial"/>
          <w:sz w:val="16"/>
          <w:szCs w:val="16"/>
          <w:bdr w:val="none" w:sz="0" w:space="0" w:color="auto" w:frame="1"/>
        </w:rPr>
        <w:t xml:space="preserve">Royal Commission of Inquiry into Abuse in Care </w:t>
      </w:r>
      <w:r w:rsidRPr="00FC5F93">
        <w:rPr>
          <w:rFonts w:ascii="Arial" w:hAnsi="Arial" w:cs="Arial"/>
          <w:color w:val="000000" w:themeColor="text1"/>
          <w:sz w:val="16"/>
          <w:szCs w:val="16"/>
        </w:rPr>
        <w:t xml:space="preserve">Notice to Produce 1 (May 2021, </w:t>
      </w:r>
      <w:r w:rsidRPr="00FC5F93">
        <w:rPr>
          <w:rFonts w:ascii="Arial" w:hAnsi="Arial" w:cs="Arial"/>
          <w:color w:val="auto"/>
          <w:sz w:val="16"/>
          <w:szCs w:val="16"/>
        </w:rPr>
        <w:t xml:space="preserve">page </w:t>
      </w:r>
      <w:r w:rsidRPr="00FC5F93">
        <w:rPr>
          <w:rFonts w:ascii="Arial" w:hAnsi="Arial" w:cs="Arial"/>
          <w:color w:val="000000" w:themeColor="text1"/>
          <w:sz w:val="16"/>
          <w:szCs w:val="16"/>
        </w:rPr>
        <w:t>30).</w:t>
      </w:r>
    </w:p>
  </w:footnote>
  <w:footnote w:id="769">
    <w:p w14:paraId="74737728" w14:textId="77777777" w:rsidR="004C3995" w:rsidRPr="00FC5F93" w:rsidRDefault="004C3995" w:rsidP="004C3995">
      <w:pPr>
        <w:pStyle w:val="footnotes"/>
        <w:rPr>
          <w:rFonts w:ascii="Arial" w:hAnsi="Arial" w:cs="Arial"/>
          <w:color w:val="000000" w:themeColor="text1"/>
          <w:sz w:val="16"/>
          <w:szCs w:val="16"/>
        </w:rPr>
      </w:pPr>
      <w:r w:rsidRPr="00196479">
        <w:rPr>
          <w:rStyle w:val="StyleFootnoteReferenceFagoFunotenzeichenFagoFunotenzeichen"/>
          <w:sz w:val="16"/>
          <w:szCs w:val="16"/>
        </w:rPr>
        <w:footnoteRef/>
      </w:r>
      <w:r w:rsidRPr="00FC5F93">
        <w:rPr>
          <w:rFonts w:ascii="Arial" w:hAnsi="Arial" w:cs="Arial"/>
          <w:color w:val="000000" w:themeColor="text1"/>
          <w:sz w:val="16"/>
          <w:szCs w:val="16"/>
        </w:rPr>
        <w:t xml:space="preserve"> Transcript of evidence of Howard Wendell Temple and Rachel Stedfast on behalf of Gloriavale Christian Community at the Inquiry’s Faith Institutional Response Hearing (</w:t>
      </w:r>
      <w:r w:rsidRPr="00FC5F93" w:rsidDel="001679F9">
        <w:rPr>
          <w:rFonts w:ascii="Arial" w:hAnsi="Arial" w:cs="Arial"/>
          <w:color w:val="000000" w:themeColor="text1"/>
          <w:sz w:val="16"/>
          <w:szCs w:val="16"/>
        </w:rPr>
        <w:t xml:space="preserve">Royal Commission of Inquiry into Abuse in Care, </w:t>
      </w:r>
      <w:r w:rsidRPr="00FC5F93">
        <w:rPr>
          <w:rFonts w:ascii="Arial" w:hAnsi="Arial" w:cs="Arial"/>
          <w:color w:val="000000" w:themeColor="text1"/>
          <w:sz w:val="16"/>
          <w:szCs w:val="16"/>
        </w:rPr>
        <w:t xml:space="preserve">13 October 2022, </w:t>
      </w:r>
      <w:r w:rsidRPr="00FC5F93">
        <w:rPr>
          <w:rFonts w:ascii="Arial" w:hAnsi="Arial" w:cs="Arial"/>
          <w:color w:val="auto"/>
          <w:sz w:val="16"/>
          <w:szCs w:val="16"/>
        </w:rPr>
        <w:t>page</w:t>
      </w:r>
      <w:r w:rsidRPr="00FC5F93">
        <w:rPr>
          <w:rFonts w:ascii="Arial" w:hAnsi="Arial" w:cs="Arial"/>
          <w:color w:val="000000" w:themeColor="text1"/>
          <w:sz w:val="16"/>
          <w:szCs w:val="16"/>
        </w:rPr>
        <w:t xml:space="preserve"> 44).</w:t>
      </w:r>
    </w:p>
  </w:footnote>
  <w:footnote w:id="770">
    <w:p w14:paraId="0CAF3DB5" w14:textId="77777777" w:rsidR="004C3995" w:rsidRPr="00FC5F93" w:rsidRDefault="004C3995" w:rsidP="004C3995">
      <w:pPr>
        <w:pStyle w:val="footnotes"/>
        <w:rPr>
          <w:rFonts w:ascii="Arial" w:hAnsi="Arial" w:cs="Arial"/>
          <w:sz w:val="16"/>
          <w:szCs w:val="16"/>
        </w:rPr>
      </w:pPr>
      <w:r w:rsidRPr="00196479">
        <w:rPr>
          <w:rStyle w:val="StyleFootnoteReferenceFagoFunotenzeichenFagoFunotenzeichen"/>
          <w:sz w:val="16"/>
          <w:szCs w:val="16"/>
        </w:rPr>
        <w:footnoteRef/>
      </w:r>
      <w:r w:rsidRPr="00FC5F93">
        <w:rPr>
          <w:rFonts w:ascii="Arial" w:hAnsi="Arial" w:cs="Arial"/>
          <w:color w:val="000000" w:themeColor="text1"/>
          <w:sz w:val="16"/>
          <w:szCs w:val="16"/>
        </w:rPr>
        <w:t xml:space="preserve"> Transcript of evidence of Howard Wendell Temple and Rachel Stedfast on behalf of Gloriavale Christian Community at the Inquiry’s Faith Institutional Response Hearing (</w:t>
      </w:r>
      <w:r w:rsidRPr="00FC5F93" w:rsidDel="001679F9">
        <w:rPr>
          <w:rFonts w:ascii="Arial" w:hAnsi="Arial" w:cs="Arial"/>
          <w:color w:val="000000" w:themeColor="text1"/>
          <w:sz w:val="16"/>
          <w:szCs w:val="16"/>
        </w:rPr>
        <w:t>Royal Commission of Inquiry into Abuse in Care,</w:t>
      </w:r>
      <w:r w:rsidRPr="00FC5F93" w:rsidDel="001679F9">
        <w:rPr>
          <w:rFonts w:cs="Arial"/>
          <w:color w:val="auto"/>
          <w:sz w:val="16"/>
          <w:szCs w:val="16"/>
        </w:rPr>
        <w:t xml:space="preserve"> </w:t>
      </w:r>
      <w:r w:rsidRPr="00FC5F93">
        <w:rPr>
          <w:rFonts w:ascii="Arial" w:hAnsi="Arial" w:cs="Arial"/>
          <w:color w:val="000000" w:themeColor="text1"/>
          <w:sz w:val="16"/>
          <w:szCs w:val="16"/>
        </w:rPr>
        <w:t xml:space="preserve">13 October 2022, </w:t>
      </w:r>
      <w:r w:rsidRPr="00FC5F93">
        <w:rPr>
          <w:rFonts w:ascii="Arial" w:hAnsi="Arial" w:cs="Arial"/>
          <w:color w:val="auto"/>
          <w:sz w:val="16"/>
          <w:szCs w:val="16"/>
        </w:rPr>
        <w:t>page</w:t>
      </w:r>
      <w:r w:rsidRPr="00FC5F93">
        <w:rPr>
          <w:rFonts w:ascii="Arial" w:hAnsi="Arial" w:cs="Arial"/>
          <w:color w:val="000000" w:themeColor="text1"/>
          <w:sz w:val="16"/>
          <w:szCs w:val="16"/>
        </w:rPr>
        <w:t xml:space="preserve"> 46).</w:t>
      </w:r>
    </w:p>
  </w:footnote>
  <w:footnote w:id="771">
    <w:p w14:paraId="39DF0C1D" w14:textId="77777777" w:rsidR="004C3995" w:rsidRPr="00FC5F93" w:rsidRDefault="004C3995" w:rsidP="004C3995">
      <w:pPr>
        <w:pStyle w:val="footnotes"/>
        <w:rPr>
          <w:rFonts w:ascii="Arial" w:hAnsi="Arial" w:cs="Arial"/>
          <w:sz w:val="16"/>
          <w:szCs w:val="16"/>
        </w:rPr>
      </w:pPr>
      <w:r w:rsidRPr="00196479">
        <w:rPr>
          <w:rStyle w:val="StyleFootnoteReferenceFagoFunotenzeichenFagoFunotenzeichen"/>
          <w:sz w:val="16"/>
          <w:szCs w:val="16"/>
        </w:rPr>
        <w:footnoteRef/>
      </w:r>
      <w:r w:rsidRPr="00FC5F93">
        <w:rPr>
          <w:rFonts w:ascii="Arial" w:hAnsi="Arial" w:cs="Arial"/>
          <w:color w:val="auto"/>
          <w:sz w:val="16"/>
          <w:szCs w:val="16"/>
        </w:rPr>
        <w:t xml:space="preserve"> Gloriavale Christian Community, A life in common: The experience of the Gloriavale Christian Community, </w:t>
      </w:r>
      <w:r w:rsidRPr="00FC5F93">
        <w:rPr>
          <w:rFonts w:ascii="Arial" w:hAnsi="Arial" w:cs="Arial"/>
          <w:sz w:val="16"/>
          <w:szCs w:val="16"/>
        </w:rPr>
        <w:t xml:space="preserve">Response to </w:t>
      </w:r>
      <w:r w:rsidRPr="00FC5F93">
        <w:rPr>
          <w:rStyle w:val="normaltextrun"/>
          <w:rFonts w:ascii="Arial" w:hAnsi="Arial" w:cs="Arial"/>
          <w:sz w:val="16"/>
          <w:szCs w:val="16"/>
          <w:bdr w:val="none" w:sz="0" w:space="0" w:color="auto" w:frame="1"/>
        </w:rPr>
        <w:t>Royal Commission of Inquiry into Abuse in Care</w:t>
      </w:r>
      <w:r w:rsidRPr="00FC5F93">
        <w:rPr>
          <w:rFonts w:ascii="Arial" w:hAnsi="Arial" w:cs="Arial"/>
          <w:sz w:val="16"/>
          <w:szCs w:val="16"/>
        </w:rPr>
        <w:t xml:space="preserve"> Notice to Produce 1</w:t>
      </w:r>
      <w:r w:rsidRPr="00FC5F93">
        <w:rPr>
          <w:rFonts w:ascii="Arial" w:hAnsi="Arial" w:cs="Arial"/>
          <w:color w:val="auto"/>
          <w:sz w:val="16"/>
          <w:szCs w:val="16"/>
        </w:rPr>
        <w:t xml:space="preserve"> (May 2021, page 19).</w:t>
      </w:r>
    </w:p>
  </w:footnote>
  <w:footnote w:id="772">
    <w:p w14:paraId="3CE099B0" w14:textId="77777777" w:rsidR="004C3995" w:rsidRPr="00FC5F93" w:rsidRDefault="004C3995" w:rsidP="004C3995">
      <w:pPr>
        <w:pStyle w:val="FootnoteText"/>
        <w:spacing w:line="20" w:lineRule="atLeast"/>
        <w:rPr>
          <w:color w:val="auto"/>
          <w:sz w:val="16"/>
          <w:szCs w:val="16"/>
        </w:rPr>
      </w:pPr>
      <w:r w:rsidRPr="00196479">
        <w:rPr>
          <w:rStyle w:val="StyleFootnoteReferenceFagoFunotenzeichenFagoFunotenzeichen"/>
          <w:sz w:val="16"/>
          <w:szCs w:val="16"/>
        </w:rPr>
        <w:footnoteRef/>
      </w:r>
      <w:r w:rsidRPr="00FC5F93">
        <w:rPr>
          <w:color w:val="auto"/>
          <w:sz w:val="16"/>
          <w:szCs w:val="16"/>
        </w:rPr>
        <w:t xml:space="preserve"> </w:t>
      </w:r>
      <w:r w:rsidRPr="00FC5F93">
        <w:rPr>
          <w:rFonts w:cs="Arial"/>
          <w:sz w:val="16"/>
          <w:szCs w:val="16"/>
        </w:rPr>
        <w:t>Plymouth Brethren Christian Church, Natural Justice response letter (10 January 2024, page 9).</w:t>
      </w:r>
    </w:p>
  </w:footnote>
  <w:footnote w:id="773">
    <w:p w14:paraId="0F74D706"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sz w:val="16"/>
          <w:szCs w:val="16"/>
        </w:rPr>
        <w:t xml:space="preserve"> Plymouth Brethren Christian Church, </w:t>
      </w:r>
      <w:r w:rsidRPr="00FC5F93">
        <w:rPr>
          <w:rStyle w:val="normaltextrun"/>
          <w:rFonts w:cs="Arial"/>
          <w:sz w:val="16"/>
          <w:szCs w:val="16"/>
          <w:bdr w:val="none" w:sz="0" w:space="0" w:color="auto" w:frame="1"/>
        </w:rPr>
        <w:t xml:space="preserve">Response to Royal Commission of Inquiry into Abuse in Care Notice to Produce 1 (23 April 2021, </w:t>
      </w:r>
      <w:r w:rsidRPr="00FC5F93">
        <w:rPr>
          <w:rFonts w:cs="Arial"/>
          <w:color w:val="auto"/>
          <w:sz w:val="16"/>
          <w:szCs w:val="16"/>
        </w:rPr>
        <w:t>page</w:t>
      </w:r>
      <w:r w:rsidRPr="00FC5F93">
        <w:rPr>
          <w:rFonts w:eastAsia="Calibri" w:cs="Arial"/>
          <w:sz w:val="16"/>
          <w:szCs w:val="16"/>
        </w:rPr>
        <w:t xml:space="preserve"> 2).</w:t>
      </w:r>
    </w:p>
  </w:footnote>
  <w:footnote w:id="774">
    <w:p w14:paraId="1069ABBE"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Notes from meeting with representatives of the Plymouth Brethren Christian Church</w:t>
      </w:r>
      <w:r w:rsidRPr="00FC5F93" w:rsidDel="00DE7B45">
        <w:rPr>
          <w:rFonts w:cs="Arial"/>
          <w:color w:val="auto"/>
          <w:sz w:val="16"/>
          <w:szCs w:val="16"/>
        </w:rPr>
        <w:t xml:space="preserve"> (</w:t>
      </w:r>
      <w:r w:rsidRPr="00FC5F93">
        <w:rPr>
          <w:rFonts w:cs="Arial"/>
          <w:color w:val="auto"/>
          <w:sz w:val="16"/>
          <w:szCs w:val="16"/>
        </w:rPr>
        <w:t>29 November 2022, pages 4</w:t>
      </w:r>
      <w:r w:rsidRPr="00FC5F93">
        <w:rPr>
          <w:rFonts w:eastAsia="Calibri" w:cs="Arial"/>
          <w:color w:val="auto"/>
          <w:sz w:val="16"/>
          <w:szCs w:val="16"/>
        </w:rPr>
        <w:t>–</w:t>
      </w:r>
      <w:r w:rsidRPr="00FC5F93">
        <w:rPr>
          <w:rFonts w:cs="Arial"/>
          <w:color w:val="auto"/>
          <w:sz w:val="16"/>
          <w:szCs w:val="16"/>
        </w:rPr>
        <w:t xml:space="preserve">5). </w:t>
      </w:r>
    </w:p>
  </w:footnote>
  <w:footnote w:id="775">
    <w:p w14:paraId="40EE5218"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w:t>
      </w:r>
      <w:r w:rsidRPr="00FC5F93">
        <w:rPr>
          <w:rFonts w:cs="Arial"/>
          <w:sz w:val="16"/>
          <w:szCs w:val="16"/>
        </w:rPr>
        <w:t xml:space="preserve">Plymouth Brethren Christian Church, </w:t>
      </w:r>
      <w:r w:rsidRPr="00FC5F93">
        <w:rPr>
          <w:rStyle w:val="normaltextrun"/>
          <w:rFonts w:cs="Arial"/>
          <w:sz w:val="16"/>
          <w:szCs w:val="16"/>
          <w:bdr w:val="none" w:sz="0" w:space="0" w:color="auto" w:frame="1"/>
        </w:rPr>
        <w:t xml:space="preserve">Response to Royal Commission of Inquiry into Abuse in Care Notice to Produce 1 </w:t>
      </w:r>
      <w:r w:rsidRPr="00FC5F93">
        <w:rPr>
          <w:rStyle w:val="normaltextrun"/>
          <w:rFonts w:cs="Arial"/>
          <w:color w:val="000000"/>
          <w:sz w:val="16"/>
          <w:szCs w:val="16"/>
          <w:bdr w:val="none" w:sz="0" w:space="0" w:color="auto" w:frame="1"/>
        </w:rPr>
        <w:t xml:space="preserve">(23 April 2021, </w:t>
      </w:r>
      <w:r w:rsidRPr="00FC5F93">
        <w:rPr>
          <w:rFonts w:cs="Arial"/>
          <w:color w:val="auto"/>
          <w:sz w:val="16"/>
          <w:szCs w:val="16"/>
        </w:rPr>
        <w:t>page</w:t>
      </w:r>
      <w:r w:rsidRPr="00FC5F93">
        <w:rPr>
          <w:rFonts w:eastAsia="Calibri" w:cs="Arial"/>
          <w:color w:val="auto"/>
          <w:sz w:val="16"/>
          <w:szCs w:val="16"/>
        </w:rPr>
        <w:t xml:space="preserve"> 2).</w:t>
      </w:r>
    </w:p>
  </w:footnote>
  <w:footnote w:id="776">
    <w:p w14:paraId="11D033CB"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w:t>
      </w:r>
      <w:r w:rsidRPr="00FC5F93">
        <w:rPr>
          <w:rFonts w:cs="Arial"/>
          <w:sz w:val="16"/>
          <w:szCs w:val="16"/>
        </w:rPr>
        <w:t xml:space="preserve">Plymouth Brethren Christian Church, </w:t>
      </w:r>
      <w:r w:rsidRPr="00FC5F93">
        <w:rPr>
          <w:rStyle w:val="normaltextrun"/>
          <w:rFonts w:cs="Arial"/>
          <w:sz w:val="16"/>
          <w:szCs w:val="16"/>
          <w:bdr w:val="none" w:sz="0" w:space="0" w:color="auto" w:frame="1"/>
        </w:rPr>
        <w:t>Response to Royal Commission of Inquiry into Abuse in Care Notice to Produce 1</w:t>
      </w:r>
      <w:r w:rsidRPr="00FC5F93">
        <w:rPr>
          <w:rStyle w:val="normaltextrun"/>
          <w:rFonts w:cs="Arial"/>
          <w:color w:val="000000"/>
          <w:sz w:val="16"/>
          <w:szCs w:val="16"/>
          <w:bdr w:val="none" w:sz="0" w:space="0" w:color="auto" w:frame="1"/>
        </w:rPr>
        <w:t xml:space="preserve"> (23 April 2021, </w:t>
      </w:r>
      <w:r w:rsidRPr="00FC5F93">
        <w:rPr>
          <w:rFonts w:cs="Arial"/>
          <w:color w:val="auto"/>
          <w:sz w:val="16"/>
          <w:szCs w:val="16"/>
        </w:rPr>
        <w:t>page</w:t>
      </w:r>
      <w:r w:rsidRPr="00FC5F93">
        <w:rPr>
          <w:rFonts w:eastAsia="Calibri" w:cs="Arial"/>
          <w:color w:val="auto"/>
          <w:sz w:val="16"/>
          <w:szCs w:val="16"/>
        </w:rPr>
        <w:t xml:space="preserve"> 2).</w:t>
      </w:r>
    </w:p>
  </w:footnote>
  <w:footnote w:id="777">
    <w:p w14:paraId="7B5FBAC0"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Notes from meeting with representatives of the Plymouth Brethren Christian Church</w:t>
      </w:r>
      <w:r w:rsidRPr="00FC5F93" w:rsidDel="00DE7B45">
        <w:rPr>
          <w:rFonts w:cs="Arial"/>
          <w:color w:val="auto"/>
          <w:sz w:val="16"/>
          <w:szCs w:val="16"/>
        </w:rPr>
        <w:t xml:space="preserve"> (</w:t>
      </w:r>
      <w:r w:rsidRPr="00FC5F93">
        <w:rPr>
          <w:rFonts w:cs="Arial"/>
          <w:color w:val="auto"/>
          <w:sz w:val="16"/>
          <w:szCs w:val="16"/>
        </w:rPr>
        <w:t>29 November 2022, page 6).</w:t>
      </w:r>
    </w:p>
  </w:footnote>
  <w:footnote w:id="778">
    <w:p w14:paraId="228C46F2" w14:textId="77777777" w:rsidR="004C3995" w:rsidRPr="00FC5F93" w:rsidRDefault="004C3995" w:rsidP="004C3995">
      <w:pPr>
        <w:pStyle w:val="FootnoteText"/>
        <w:rPr>
          <w:sz w:val="16"/>
          <w:szCs w:val="16"/>
        </w:rPr>
      </w:pPr>
      <w:r w:rsidRPr="00196479">
        <w:rPr>
          <w:rStyle w:val="StyleFootnoteReferenceFagoFunotenzeichenFagoFunotenzeichen"/>
          <w:sz w:val="16"/>
          <w:szCs w:val="16"/>
        </w:rPr>
        <w:footnoteRef/>
      </w:r>
      <w:r w:rsidRPr="00FC5F93" w:rsidDel="00B06D4E">
        <w:rPr>
          <w:sz w:val="16"/>
          <w:szCs w:val="16"/>
        </w:rPr>
        <w:t xml:space="preserve"> </w:t>
      </w:r>
      <w:r w:rsidRPr="00FC5F93">
        <w:rPr>
          <w:sz w:val="16"/>
          <w:szCs w:val="16"/>
        </w:rPr>
        <w:t xml:space="preserve">Plymouth Brethren </w:t>
      </w:r>
      <w:r w:rsidRPr="00FC5F93">
        <w:rPr>
          <w:rFonts w:cs="Arial"/>
          <w:sz w:val="16"/>
          <w:szCs w:val="16"/>
        </w:rPr>
        <w:t xml:space="preserve">Christian </w:t>
      </w:r>
      <w:r w:rsidRPr="00FC5F93">
        <w:rPr>
          <w:sz w:val="16"/>
          <w:szCs w:val="16"/>
        </w:rPr>
        <w:t xml:space="preserve">Church, Response to </w:t>
      </w:r>
      <w:r w:rsidRPr="00FC5F93">
        <w:rPr>
          <w:rStyle w:val="normaltextrun"/>
          <w:rFonts w:cs="Arial"/>
          <w:sz w:val="16"/>
          <w:szCs w:val="16"/>
          <w:bdr w:val="none" w:sz="0" w:space="0" w:color="auto" w:frame="1"/>
        </w:rPr>
        <w:t xml:space="preserve">Royal Commission of Inquiry into Abuse in Care </w:t>
      </w:r>
      <w:r w:rsidRPr="00FC5F93">
        <w:rPr>
          <w:sz w:val="16"/>
          <w:szCs w:val="16"/>
        </w:rPr>
        <w:t xml:space="preserve">Notice to Produce 1 (23 April 2021), Appendix 1: Overview of the Plymouth Brethren </w:t>
      </w:r>
      <w:r w:rsidRPr="00FC5F93">
        <w:rPr>
          <w:rFonts w:cs="Arial"/>
          <w:sz w:val="16"/>
          <w:szCs w:val="16"/>
        </w:rPr>
        <w:t xml:space="preserve">Christian </w:t>
      </w:r>
      <w:r w:rsidRPr="00FC5F93">
        <w:rPr>
          <w:sz w:val="16"/>
          <w:szCs w:val="16"/>
        </w:rPr>
        <w:t>Church, paras 7–8.</w:t>
      </w:r>
    </w:p>
  </w:footnote>
  <w:footnote w:id="779">
    <w:p w14:paraId="7A8A7AAB"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w:t>
      </w:r>
      <w:r w:rsidRPr="00FC5F93">
        <w:rPr>
          <w:rFonts w:cs="Arial"/>
          <w:sz w:val="16"/>
          <w:szCs w:val="16"/>
        </w:rPr>
        <w:t xml:space="preserve">Plymouth Brethren Christian Church, </w:t>
      </w:r>
      <w:r w:rsidRPr="00FC5F93">
        <w:rPr>
          <w:rStyle w:val="normaltextrun"/>
          <w:rFonts w:cs="Arial"/>
          <w:sz w:val="16"/>
          <w:szCs w:val="16"/>
          <w:bdr w:val="none" w:sz="0" w:space="0" w:color="auto" w:frame="1"/>
        </w:rPr>
        <w:t>Response to Royal Commission of Inquiry into Abuse in Care Notice to Produce 1</w:t>
      </w:r>
      <w:r w:rsidRPr="00FC5F93">
        <w:rPr>
          <w:rStyle w:val="normaltextrun"/>
          <w:rFonts w:cs="Arial"/>
          <w:color w:val="000000"/>
          <w:sz w:val="16"/>
          <w:szCs w:val="16"/>
          <w:bdr w:val="none" w:sz="0" w:space="0" w:color="auto" w:frame="1"/>
        </w:rPr>
        <w:t xml:space="preserve"> (23 April 2021, </w:t>
      </w:r>
      <w:r w:rsidRPr="00FC5F93">
        <w:rPr>
          <w:rFonts w:cs="Arial"/>
          <w:color w:val="auto"/>
          <w:sz w:val="16"/>
          <w:szCs w:val="16"/>
        </w:rPr>
        <w:t>page</w:t>
      </w:r>
      <w:r w:rsidRPr="00FC5F93">
        <w:rPr>
          <w:rFonts w:cs="Arial"/>
          <w:sz w:val="16"/>
          <w:szCs w:val="16"/>
        </w:rPr>
        <w:t xml:space="preserve"> </w:t>
      </w:r>
      <w:r w:rsidRPr="00FC5F93">
        <w:rPr>
          <w:rFonts w:eastAsia="Calibri" w:cs="Arial"/>
          <w:color w:val="auto"/>
          <w:sz w:val="16"/>
          <w:szCs w:val="16"/>
        </w:rPr>
        <w:t>2).</w:t>
      </w:r>
    </w:p>
  </w:footnote>
  <w:footnote w:id="780">
    <w:p w14:paraId="2D90DA46" w14:textId="77777777" w:rsidR="004C3995" w:rsidRPr="00FC5F93" w:rsidRDefault="004C3995" w:rsidP="004C3995">
      <w:pPr>
        <w:pStyle w:val="FootnoteText"/>
        <w:spacing w:before="0" w:after="0" w:line="20" w:lineRule="atLeast"/>
        <w:rPr>
          <w:rFonts w:cs="Arial"/>
          <w:color w:val="auto"/>
          <w:sz w:val="16"/>
          <w:szCs w:val="16"/>
        </w:rPr>
      </w:pPr>
      <w:r w:rsidRPr="00196479">
        <w:rPr>
          <w:rStyle w:val="StyleFootnoteReferenceFagoFunotenzeichenFagoFunotenzeichen"/>
          <w:sz w:val="16"/>
          <w:szCs w:val="16"/>
        </w:rPr>
        <w:footnoteRef/>
      </w:r>
      <w:r w:rsidRPr="00FC5F93">
        <w:rPr>
          <w:rFonts w:cs="Arial"/>
          <w:color w:val="auto"/>
          <w:sz w:val="16"/>
          <w:szCs w:val="16"/>
        </w:rPr>
        <w:t xml:space="preserve"> </w:t>
      </w:r>
      <w:r w:rsidRPr="00FC5F93">
        <w:rPr>
          <w:rFonts w:cs="Arial"/>
          <w:sz w:val="16"/>
          <w:szCs w:val="16"/>
        </w:rPr>
        <w:t xml:space="preserve">Plymouth Brethren Christian Church, </w:t>
      </w:r>
      <w:r w:rsidRPr="00FC5F93">
        <w:rPr>
          <w:rStyle w:val="normaltextrun"/>
          <w:rFonts w:cs="Arial"/>
          <w:sz w:val="16"/>
          <w:szCs w:val="16"/>
          <w:bdr w:val="none" w:sz="0" w:space="0" w:color="auto" w:frame="1"/>
        </w:rPr>
        <w:t>Response to Royal Commission of Inquiry into Abuse in Care Notice to Produce 1</w:t>
      </w:r>
      <w:r w:rsidRPr="00FC5F93">
        <w:rPr>
          <w:rStyle w:val="normaltextrun"/>
          <w:rFonts w:cs="Arial"/>
          <w:color w:val="000000"/>
          <w:sz w:val="16"/>
          <w:szCs w:val="16"/>
          <w:bdr w:val="none" w:sz="0" w:space="0" w:color="auto" w:frame="1"/>
        </w:rPr>
        <w:t xml:space="preserve"> (23 April 2021, </w:t>
      </w:r>
      <w:r w:rsidRPr="00FC5F93">
        <w:rPr>
          <w:rFonts w:cs="Arial"/>
          <w:color w:val="auto"/>
          <w:sz w:val="16"/>
          <w:szCs w:val="16"/>
        </w:rPr>
        <w:t>page</w:t>
      </w:r>
      <w:r w:rsidRPr="00FC5F93">
        <w:rPr>
          <w:rFonts w:cs="Arial"/>
          <w:sz w:val="16"/>
          <w:szCs w:val="16"/>
        </w:rPr>
        <w:t xml:space="preserve"> </w:t>
      </w:r>
      <w:r w:rsidRPr="00FC5F93">
        <w:rPr>
          <w:rFonts w:eastAsia="Calibri" w:cs="Arial"/>
          <w:color w:val="auto"/>
          <w:sz w:val="16"/>
          <w:szCs w:val="16"/>
        </w:rPr>
        <w:t>2).</w:t>
      </w:r>
    </w:p>
  </w:footnote>
  <w:footnote w:id="781">
    <w:p w14:paraId="2912757D" w14:textId="77777777" w:rsidR="004C3995" w:rsidRPr="00FC5F93" w:rsidRDefault="004C3995" w:rsidP="004C3995">
      <w:pPr>
        <w:pStyle w:val="FootnoteText"/>
        <w:spacing w:line="20" w:lineRule="atLeast"/>
        <w:rPr>
          <w:sz w:val="16"/>
          <w:szCs w:val="16"/>
        </w:rPr>
      </w:pPr>
      <w:r w:rsidRPr="00196479">
        <w:rPr>
          <w:rStyle w:val="StyleFootnoteReferenceFagoFunotenzeichenFagoFunotenzeichen"/>
          <w:sz w:val="16"/>
          <w:szCs w:val="16"/>
        </w:rPr>
        <w:footnoteRef/>
      </w:r>
      <w:r w:rsidRPr="00522836">
        <w:rPr>
          <w:color w:val="auto"/>
          <w:sz w:val="16"/>
          <w:szCs w:val="16"/>
        </w:rPr>
        <w:t xml:space="preserve"> </w:t>
      </w:r>
      <w:r w:rsidRPr="00522836">
        <w:rPr>
          <w:rFonts w:cs="Arial"/>
          <w:color w:val="auto"/>
          <w:sz w:val="16"/>
          <w:szCs w:val="16"/>
        </w:rPr>
        <w:t xml:space="preserve">Plymouth Brethren Christian Church, </w:t>
      </w:r>
      <w:r w:rsidRPr="00522836">
        <w:rPr>
          <w:rStyle w:val="normaltextrun"/>
          <w:rFonts w:cs="Arial"/>
          <w:color w:val="auto"/>
          <w:sz w:val="16"/>
          <w:szCs w:val="16"/>
          <w:bdr w:val="none" w:sz="0" w:space="0" w:color="auto" w:frame="1"/>
        </w:rPr>
        <w:t>Response to Royal Commission of Inquiry into Abuse in Care Notice to Produce 1</w:t>
      </w:r>
      <w:r w:rsidRPr="00522836">
        <w:rPr>
          <w:color w:val="auto"/>
          <w:sz w:val="16"/>
          <w:szCs w:val="16"/>
        </w:rPr>
        <w:t xml:space="preserve"> (23 April 2021, page 2</w:t>
      </w:r>
      <w:r w:rsidRPr="00FC5F93">
        <w:rPr>
          <w:color w:val="auto"/>
          <w:sz w:val="16"/>
          <w:szCs w:val="16"/>
        </w:rPr>
        <w:t>).</w:t>
      </w:r>
    </w:p>
  </w:footnote>
  <w:footnote w:id="782">
    <w:p w14:paraId="238B9942" w14:textId="77777777" w:rsidR="00D21348" w:rsidRPr="001A64D4" w:rsidRDefault="00D21348" w:rsidP="00D21348">
      <w:pPr>
        <w:rPr>
          <w:rFonts w:ascii="Calibri" w:eastAsia="Calibri" w:hAnsi="Calibri" w:cs="Calibri"/>
          <w:color w:val="348087" w:themeColor="hyperlink"/>
          <w:sz w:val="16"/>
          <w:szCs w:val="16"/>
          <w:u w:val="single"/>
        </w:rPr>
      </w:pPr>
      <w:r w:rsidRPr="001A64D4">
        <w:rPr>
          <w:rStyle w:val="FootnoteReference"/>
          <w:rFonts w:asciiTheme="majorHAnsi" w:hAnsiTheme="majorHAnsi"/>
          <w:sz w:val="16"/>
          <w:szCs w:val="16"/>
        </w:rPr>
        <w:footnoteRef/>
      </w:r>
      <w:r w:rsidRPr="001A64D4">
        <w:rPr>
          <w:rFonts w:asciiTheme="majorHAnsi" w:hAnsiTheme="majorHAnsi" w:cstheme="majorBidi"/>
          <w:sz w:val="16"/>
          <w:szCs w:val="16"/>
        </w:rPr>
        <w:t xml:space="preserve"> </w:t>
      </w:r>
      <w:r w:rsidRPr="001A64D4">
        <w:rPr>
          <w:rFonts w:ascii="Calibri" w:eastAsia="Calibri" w:hAnsi="Calibri" w:cs="Calibri"/>
          <w:sz w:val="16"/>
          <w:szCs w:val="16"/>
        </w:rPr>
        <w:t xml:space="preserve"> JW.Org &gt; About Us &gt; Frequently Asked Questions &gt; How Many of Jehovah’s Witnesses Are There Worldwide (Jehovah’s Witnesses, 2023) </w:t>
      </w:r>
      <w:hyperlink r:id="rId117" w:history="1">
        <w:r w:rsidRPr="001A64D4">
          <w:rPr>
            <w:rStyle w:val="Hyperlink"/>
            <w:rFonts w:ascii="Calibri" w:eastAsia="Calibri" w:hAnsi="Calibri" w:cs="Calibri"/>
            <w:sz w:val="16"/>
            <w:szCs w:val="16"/>
          </w:rPr>
          <w:t>https://www.jw.org/en/jehovahs-witnesses/faq/how-many-jw/.</w:t>
        </w:r>
      </w:hyperlink>
    </w:p>
  </w:footnote>
  <w:footnote w:id="783">
    <w:p w14:paraId="44320FE1" w14:textId="77777777" w:rsidR="004C3995" w:rsidRPr="00FC5F93" w:rsidRDefault="004C3995" w:rsidP="004C3995">
      <w:pPr>
        <w:pStyle w:val="FootnoteText"/>
        <w:rPr>
          <w:rFonts w:cs="Arial"/>
          <w:sz w:val="16"/>
          <w:szCs w:val="16"/>
        </w:rPr>
      </w:pPr>
      <w:r w:rsidRPr="002F10B6">
        <w:rPr>
          <w:rStyle w:val="StyleFootnoteReferenceFagoFunotenzeichenFagoFunotenzeichen"/>
          <w:sz w:val="16"/>
          <w:szCs w:val="16"/>
        </w:rPr>
        <w:footnoteRef/>
      </w:r>
      <w:r w:rsidRPr="00FC5F93">
        <w:rPr>
          <w:rFonts w:asciiTheme="majorHAnsi" w:hAnsiTheme="majorHAnsi" w:cstheme="majorHAnsi"/>
          <w:sz w:val="16"/>
          <w:szCs w:val="16"/>
        </w:rPr>
        <w:t xml:space="preserve"> </w:t>
      </w:r>
      <w:r w:rsidRPr="00FC5F93">
        <w:rPr>
          <w:rFonts w:cs="Arial"/>
          <w:sz w:val="16"/>
          <w:szCs w:val="16"/>
        </w:rPr>
        <w:t xml:space="preserve">“Seventy-Five years of ‘legally establishing’ the Good News in New Zealand,” Jehovah’s Witnesses (7 March 2022) </w:t>
      </w:r>
      <w:hyperlink r:id="rId118" w:history="1">
        <w:r w:rsidRPr="00FC5F93">
          <w:rPr>
            <w:rStyle w:val="Hyperlink"/>
            <w:rFonts w:cs="Arial"/>
            <w:sz w:val="16"/>
            <w:szCs w:val="16"/>
          </w:rPr>
          <w:t>https://www.jw.org/en/news/region/new-zealand/Seventy-Five-Years-of-Legally-Establishing-the-Good-News-in-New-Zealand/</w:t>
        </w:r>
      </w:hyperlink>
      <w:r w:rsidRPr="00FC5F93">
        <w:rPr>
          <w:rStyle w:val="Hyperlink"/>
          <w:rFonts w:cs="Arial"/>
          <w:sz w:val="16"/>
          <w:szCs w:val="16"/>
        </w:rPr>
        <w:t>.</w:t>
      </w:r>
      <w:r w:rsidRPr="00FC5F93">
        <w:rPr>
          <w:rFonts w:cs="Arial"/>
          <w:sz w:val="16"/>
          <w:szCs w:val="16"/>
        </w:rPr>
        <w:t xml:space="preserve"> </w:t>
      </w:r>
    </w:p>
  </w:footnote>
  <w:footnote w:id="784">
    <w:p w14:paraId="083227B2" w14:textId="2AC2F340" w:rsidR="00A061A7" w:rsidRPr="001A64D4" w:rsidRDefault="00A061A7" w:rsidP="00A061A7">
      <w:pPr>
        <w:pStyle w:val="FootnoteText"/>
        <w:rPr>
          <w:rFonts w:asciiTheme="majorHAnsi" w:hAnsiTheme="majorHAnsi" w:cstheme="majorHAnsi"/>
          <w:sz w:val="16"/>
          <w:szCs w:val="16"/>
        </w:rPr>
      </w:pPr>
      <w:r w:rsidRPr="001A64D4">
        <w:rPr>
          <w:rStyle w:val="FootnoteReference"/>
          <w:rFonts w:asciiTheme="majorHAnsi" w:hAnsiTheme="majorHAnsi" w:cstheme="majorHAnsi"/>
          <w:sz w:val="16"/>
          <w:szCs w:val="16"/>
        </w:rPr>
        <w:footnoteRef/>
      </w:r>
      <w:r w:rsidRPr="001A64D4">
        <w:rPr>
          <w:rFonts w:asciiTheme="majorHAnsi" w:hAnsiTheme="majorHAnsi" w:cstheme="majorHAnsi"/>
          <w:sz w:val="16"/>
          <w:szCs w:val="16"/>
        </w:rPr>
        <w:t xml:space="preserve"> Charities Services Ngā Ratonga Kaupapa Atawhai (Charities Register), </w:t>
      </w:r>
      <w:hyperlink r:id="rId119" w:history="1">
        <w:r w:rsidRPr="001A64D4">
          <w:rPr>
            <w:rStyle w:val="Hyperlink"/>
            <w:rFonts w:asciiTheme="majorHAnsi" w:hAnsiTheme="majorHAnsi" w:cstheme="majorHAnsi"/>
            <w:sz w:val="16"/>
            <w:szCs w:val="16"/>
          </w:rPr>
          <w:t>https://register.charities.govt.nz/CharitiesRegister/Search accessed 24 April 2024</w:t>
        </w:r>
      </w:hyperlink>
      <w:r w:rsidRPr="001A64D4">
        <w:rPr>
          <w:rFonts w:asciiTheme="majorHAnsi" w:hAnsiTheme="majorHAnsi" w:cstheme="majorHAnsi"/>
          <w:sz w:val="16"/>
          <w:szCs w:val="16"/>
        </w:rPr>
        <w:t xml:space="preserve">. </w:t>
      </w:r>
    </w:p>
  </w:footnote>
  <w:footnote w:id="785">
    <w:p w14:paraId="07298C91" w14:textId="10B7E719" w:rsidR="00A061A7" w:rsidRPr="001A64D4" w:rsidRDefault="00A061A7" w:rsidP="00A061A7">
      <w:pPr>
        <w:pStyle w:val="FootnoteText"/>
        <w:rPr>
          <w:rFonts w:asciiTheme="majorHAnsi" w:hAnsiTheme="majorHAnsi" w:cstheme="majorHAnsi"/>
          <w:sz w:val="16"/>
          <w:szCs w:val="16"/>
        </w:rPr>
      </w:pPr>
      <w:r w:rsidRPr="001A64D4">
        <w:rPr>
          <w:rStyle w:val="FootnoteReference"/>
          <w:rFonts w:asciiTheme="majorHAnsi" w:hAnsiTheme="majorHAnsi" w:cstheme="majorHAnsi"/>
          <w:sz w:val="16"/>
          <w:szCs w:val="16"/>
        </w:rPr>
        <w:footnoteRef/>
      </w:r>
      <w:r w:rsidRPr="001A64D4">
        <w:rPr>
          <w:rFonts w:asciiTheme="majorHAnsi" w:hAnsiTheme="majorHAnsi" w:cstheme="majorHAnsi"/>
          <w:sz w:val="16"/>
          <w:szCs w:val="16"/>
        </w:rPr>
        <w:t xml:space="preserve"> Charities Services Ngā Ratonga Kaupapa Atawhai, Charity Summary of the New Zealand Association of Jehovah’s Witnesses</w:t>
      </w:r>
      <w:r w:rsidRPr="001A64D4">
        <w:rPr>
          <w:sz w:val="16"/>
          <w:szCs w:val="16"/>
        </w:rPr>
        <w:t xml:space="preserve"> </w:t>
      </w:r>
      <w:hyperlink r:id="rId120" w:history="1">
        <w:r w:rsidRPr="001A64D4">
          <w:rPr>
            <w:rStyle w:val="Hyperlink"/>
            <w:rFonts w:asciiTheme="majorHAnsi" w:hAnsiTheme="majorHAnsi" w:cstheme="majorHAnsi"/>
            <w:sz w:val="16"/>
            <w:szCs w:val="16"/>
          </w:rPr>
          <w:t>https://register.charities.govt.nz/Charity/CC29352</w:t>
        </w:r>
      </w:hyperlink>
      <w:r w:rsidRPr="001A64D4">
        <w:rPr>
          <w:rFonts w:asciiTheme="majorHAnsi" w:hAnsiTheme="majorHAnsi" w:cstheme="majorHAnsi"/>
          <w:sz w:val="16"/>
          <w:szCs w:val="16"/>
        </w:rPr>
        <w:t>, noting there is a set of rules included in the charity documents.</w:t>
      </w:r>
    </w:p>
  </w:footnote>
  <w:footnote w:id="786">
    <w:p w14:paraId="24725364" w14:textId="7A295457" w:rsidR="009B38BA" w:rsidRPr="001A64D4" w:rsidRDefault="009B38BA" w:rsidP="009B38BA">
      <w:pPr>
        <w:pStyle w:val="FootnoteText"/>
        <w:rPr>
          <w:rFonts w:asciiTheme="majorHAnsi" w:hAnsiTheme="majorHAnsi" w:cstheme="majorBidi"/>
          <w:sz w:val="16"/>
          <w:szCs w:val="16"/>
        </w:rPr>
      </w:pPr>
      <w:r w:rsidRPr="001A64D4">
        <w:rPr>
          <w:rStyle w:val="FootnoteReference"/>
          <w:rFonts w:asciiTheme="majorHAnsi" w:hAnsiTheme="majorHAnsi"/>
          <w:sz w:val="16"/>
          <w:szCs w:val="16"/>
        </w:rPr>
        <w:footnoteRef/>
      </w:r>
      <w:r w:rsidRPr="001A64D4">
        <w:rPr>
          <w:rFonts w:asciiTheme="majorHAnsi" w:hAnsiTheme="majorHAnsi" w:cstheme="majorBidi"/>
          <w:sz w:val="16"/>
          <w:szCs w:val="16"/>
        </w:rPr>
        <w:t xml:space="preserve"> Australian Child Sexual Abuse Royal Commission into Institutional responses to Child Sexual Abuse, Report of Case study no 29, (Commonwealth of Australia, October 2016), p 15. </w:t>
      </w:r>
    </w:p>
  </w:footnote>
  <w:footnote w:id="787">
    <w:p w14:paraId="50F5E2B7" w14:textId="77777777" w:rsidR="009B38BA" w:rsidRDefault="009B38BA" w:rsidP="009B38BA">
      <w:pPr>
        <w:pStyle w:val="FootnoteText"/>
      </w:pPr>
      <w:r w:rsidRPr="001A64D4">
        <w:rPr>
          <w:rStyle w:val="FootnoteReference"/>
          <w:sz w:val="16"/>
          <w:szCs w:val="16"/>
        </w:rPr>
        <w:footnoteRef/>
      </w:r>
      <w:r w:rsidRPr="001A64D4">
        <w:rPr>
          <w:sz w:val="16"/>
          <w:szCs w:val="16"/>
        </w:rPr>
        <w:t xml:space="preserve"> </w:t>
      </w:r>
      <w:r w:rsidRPr="001A64D4">
        <w:rPr>
          <w:rFonts w:ascii="Calibri" w:hAnsi="Calibri" w:cs="Calibri"/>
          <w:sz w:val="16"/>
          <w:szCs w:val="16"/>
          <w:shd w:val="clear" w:color="auto" w:fill="FFFFFF"/>
        </w:rPr>
        <w:t>JW.org, “Do Jehovah’s Witnesses Have Women Ministers?” (“Yes, worldwide Jehovah’s Witnesses have several million women ministers. They are a great host of preachers of the good news of God’s Kingdom. Psalm 68:11 says prophetically of those ministers: “Jehovah himself gives the saying; the women telling the good news are a large army”).</w:t>
      </w:r>
    </w:p>
  </w:footnote>
  <w:footnote w:id="788">
    <w:p w14:paraId="0D1AE444" w14:textId="1E957888" w:rsidR="00340905" w:rsidRPr="001A64D4" w:rsidRDefault="00340905" w:rsidP="00340905">
      <w:pPr>
        <w:pStyle w:val="FootnoteText"/>
        <w:rPr>
          <w:rFonts w:asciiTheme="majorHAnsi" w:hAnsiTheme="majorHAnsi" w:cstheme="majorHAnsi"/>
          <w:sz w:val="16"/>
          <w:szCs w:val="16"/>
        </w:rPr>
      </w:pPr>
      <w:r w:rsidRPr="001A64D4">
        <w:rPr>
          <w:rStyle w:val="FootnoteReference"/>
          <w:rFonts w:asciiTheme="majorHAnsi" w:hAnsiTheme="majorHAnsi" w:cstheme="majorHAnsi"/>
          <w:sz w:val="16"/>
          <w:szCs w:val="16"/>
        </w:rPr>
        <w:footnoteRef/>
      </w:r>
      <w:r w:rsidRPr="001A64D4">
        <w:rPr>
          <w:rFonts w:asciiTheme="majorHAnsi" w:hAnsiTheme="majorHAnsi" w:cstheme="majorHAnsi"/>
          <w:sz w:val="16"/>
          <w:szCs w:val="16"/>
        </w:rPr>
        <w:t xml:space="preserve"> Witness statement of Paul Gillies, The United Kingdom Independent Inquiry into Child Sexual Abuse (2 December 2019, para 9) </w:t>
      </w:r>
    </w:p>
  </w:footnote>
  <w:footnote w:id="789">
    <w:p w14:paraId="5BB3B4E1" w14:textId="673DB4AC" w:rsidR="00340905" w:rsidRPr="001A64D4" w:rsidRDefault="00340905" w:rsidP="00340905">
      <w:pPr>
        <w:pStyle w:val="FootnoteText"/>
      </w:pPr>
      <w:r w:rsidRPr="001A64D4">
        <w:rPr>
          <w:rStyle w:val="FootnoteReference"/>
          <w:rFonts w:asciiTheme="majorHAnsi" w:hAnsiTheme="majorHAnsi" w:cstheme="majorHAnsi"/>
          <w:sz w:val="16"/>
          <w:szCs w:val="16"/>
        </w:rPr>
        <w:footnoteRef/>
      </w:r>
      <w:r w:rsidRPr="001A64D4">
        <w:rPr>
          <w:rFonts w:asciiTheme="majorHAnsi" w:hAnsiTheme="majorHAnsi" w:cstheme="majorHAnsi"/>
          <w:sz w:val="16"/>
          <w:szCs w:val="16"/>
        </w:rPr>
        <w:t xml:space="preserve"> Witness statement of Paul Gillies, The United Kingdom Independent Inquiry into Child Sexual Abuse (2 December 2019, para 9) </w:t>
      </w:r>
    </w:p>
  </w:footnote>
  <w:footnote w:id="790">
    <w:p w14:paraId="182F1413" w14:textId="45491E53" w:rsidR="00340905" w:rsidRPr="00D6092F" w:rsidRDefault="00340905" w:rsidP="00340905">
      <w:pPr>
        <w:pStyle w:val="FootnoteText"/>
        <w:rPr>
          <w:rFonts w:asciiTheme="majorHAnsi" w:hAnsiTheme="majorHAnsi" w:cstheme="majorHAnsi"/>
          <w:sz w:val="16"/>
          <w:szCs w:val="16"/>
        </w:rPr>
      </w:pPr>
      <w:r w:rsidRPr="001A64D4">
        <w:rPr>
          <w:rStyle w:val="FootnoteReference"/>
          <w:rFonts w:asciiTheme="majorHAnsi" w:hAnsiTheme="majorHAnsi" w:cstheme="majorHAnsi"/>
          <w:sz w:val="16"/>
          <w:szCs w:val="16"/>
        </w:rPr>
        <w:footnoteRef/>
      </w:r>
      <w:r w:rsidRPr="001A64D4">
        <w:rPr>
          <w:rFonts w:asciiTheme="majorHAnsi" w:hAnsiTheme="majorHAnsi" w:cstheme="majorHAnsi"/>
          <w:sz w:val="16"/>
          <w:szCs w:val="16"/>
        </w:rPr>
        <w:t xml:space="preserve"> Supplementary witness statement of Shayne Mechen, Royal Commission of Inquiry into Abuse in Care (21 June 2023, para 4). These scriptures known as ‘inspired qualifications” can be found at: 1 Timothy 3:1-13; Titus 1:5-9; James 3:17&amp;18 and 1 Peter 5:2 &amp; 3.</w:t>
      </w:r>
    </w:p>
  </w:footnote>
  <w:footnote w:id="791">
    <w:p w14:paraId="6121EBCD" w14:textId="77777777" w:rsidR="00340905" w:rsidRPr="001A64D4" w:rsidRDefault="00340905" w:rsidP="00340905">
      <w:pPr>
        <w:pStyle w:val="FootnoteText"/>
        <w:rPr>
          <w:rFonts w:asciiTheme="majorHAnsi" w:hAnsiTheme="majorHAnsi" w:cstheme="majorHAnsi"/>
          <w:sz w:val="16"/>
          <w:szCs w:val="16"/>
        </w:rPr>
      </w:pPr>
      <w:r w:rsidRPr="001A64D4">
        <w:rPr>
          <w:rStyle w:val="FootnoteReference"/>
          <w:rFonts w:asciiTheme="majorHAnsi" w:hAnsiTheme="majorHAnsi" w:cstheme="majorHAnsi"/>
          <w:sz w:val="16"/>
          <w:szCs w:val="16"/>
        </w:rPr>
        <w:footnoteRef/>
      </w:r>
      <w:r w:rsidRPr="001A64D4">
        <w:rPr>
          <w:rFonts w:asciiTheme="majorHAnsi" w:hAnsiTheme="majorHAnsi" w:cstheme="majorHAnsi"/>
          <w:sz w:val="16"/>
          <w:szCs w:val="16"/>
        </w:rPr>
        <w:t xml:space="preserve"> Memorandum to Counsel Assisting the Royal Commission of Inquiry into Historical Abuse in State Care and in the </w:t>
      </w:r>
    </w:p>
    <w:p w14:paraId="6D5FFB93" w14:textId="77777777" w:rsidR="00340905" w:rsidRPr="001A64D4" w:rsidRDefault="00340905" w:rsidP="00340905">
      <w:pPr>
        <w:pStyle w:val="FootnoteText"/>
        <w:rPr>
          <w:rFonts w:asciiTheme="majorHAnsi" w:hAnsiTheme="majorHAnsi" w:cstheme="majorHAnsi"/>
          <w:sz w:val="16"/>
          <w:szCs w:val="16"/>
        </w:rPr>
      </w:pPr>
      <w:r w:rsidRPr="001A64D4">
        <w:rPr>
          <w:rFonts w:asciiTheme="majorHAnsi" w:hAnsiTheme="majorHAnsi" w:cstheme="majorHAnsi"/>
          <w:sz w:val="16"/>
          <w:szCs w:val="16"/>
        </w:rPr>
        <w:t xml:space="preserve">Care of Faith-based Institutions (“Inquiry”) on behalf of Jehovah’s Witnesses of New Zealand (1 November </w:t>
      </w:r>
    </w:p>
    <w:p w14:paraId="16432A05" w14:textId="211D28F3" w:rsidR="00340905" w:rsidRPr="00D6092F" w:rsidRDefault="00340905" w:rsidP="00340905">
      <w:pPr>
        <w:pStyle w:val="FootnoteText"/>
        <w:rPr>
          <w:rFonts w:asciiTheme="majorHAnsi" w:hAnsiTheme="majorHAnsi" w:cstheme="majorHAnsi"/>
          <w:sz w:val="16"/>
          <w:szCs w:val="16"/>
        </w:rPr>
      </w:pPr>
      <w:r w:rsidRPr="001A64D4">
        <w:rPr>
          <w:rFonts w:asciiTheme="majorHAnsi" w:hAnsiTheme="majorHAnsi" w:cstheme="majorHAnsi"/>
          <w:sz w:val="16"/>
          <w:szCs w:val="16"/>
        </w:rPr>
        <w:t>2019, para 3.5).</w:t>
      </w:r>
    </w:p>
  </w:footnote>
  <w:footnote w:id="792">
    <w:p w14:paraId="29AFBFC9" w14:textId="76B8C119" w:rsidR="00340905" w:rsidRPr="00D6092F" w:rsidRDefault="00340905" w:rsidP="00340905">
      <w:pPr>
        <w:pStyle w:val="FootnoteText"/>
        <w:rPr>
          <w:rFonts w:asciiTheme="majorHAnsi" w:hAnsiTheme="majorHAnsi" w:cstheme="majorHAnsi"/>
          <w:sz w:val="16"/>
          <w:szCs w:val="16"/>
        </w:rPr>
      </w:pPr>
      <w:r w:rsidRPr="001A64D4">
        <w:rPr>
          <w:rStyle w:val="FootnoteReference"/>
          <w:rFonts w:asciiTheme="majorHAnsi" w:hAnsiTheme="majorHAnsi" w:cstheme="majorHAnsi"/>
          <w:sz w:val="16"/>
          <w:szCs w:val="16"/>
        </w:rPr>
        <w:footnoteRef/>
      </w:r>
      <w:r w:rsidRPr="001A64D4">
        <w:rPr>
          <w:rFonts w:asciiTheme="majorHAnsi" w:hAnsiTheme="majorHAnsi" w:cstheme="majorHAnsi"/>
          <w:sz w:val="16"/>
          <w:szCs w:val="16"/>
        </w:rPr>
        <w:t xml:space="preserve"> Jehovah’s Witnesses interview transcript with the Royal Commission of Inquiry into Abuse in Care (8 March 2023, pages 20-21).</w:t>
      </w:r>
    </w:p>
  </w:footnote>
  <w:footnote w:id="793">
    <w:p w14:paraId="081A539B" w14:textId="77777777" w:rsidR="004C3995" w:rsidRPr="00CB4F47" w:rsidRDefault="004C3995" w:rsidP="004C3995">
      <w:pPr>
        <w:pStyle w:val="NoSpacing"/>
        <w:spacing w:line="20" w:lineRule="atLeast"/>
        <w:rPr>
          <w:rFonts w:ascii="Arial" w:hAnsi="Arial" w:cs="Arial"/>
          <w:color w:val="auto"/>
          <w:sz w:val="16"/>
          <w:szCs w:val="16"/>
        </w:rPr>
      </w:pPr>
      <w:r w:rsidRPr="004F003B">
        <w:rPr>
          <w:rStyle w:val="StyleFootnoteReferenceFagoFunotenzeichenFagoFunotenzeichen"/>
          <w:sz w:val="16"/>
          <w:szCs w:val="16"/>
        </w:rPr>
        <w:footnoteRef/>
      </w:r>
      <w:r w:rsidRPr="00CB4F47">
        <w:rPr>
          <w:rFonts w:ascii="Arial" w:hAnsi="Arial" w:cs="Arial"/>
          <w:color w:val="auto"/>
          <w:sz w:val="16"/>
          <w:szCs w:val="16"/>
        </w:rPr>
        <w:t xml:space="preserve"> Evans, J, “Government </w:t>
      </w:r>
      <w:r>
        <w:rPr>
          <w:rFonts w:ascii="Arial" w:hAnsi="Arial" w:cs="Arial"/>
          <w:color w:val="auto"/>
          <w:sz w:val="16"/>
          <w:szCs w:val="16"/>
        </w:rPr>
        <w:t>s</w:t>
      </w:r>
      <w:r w:rsidRPr="00CB4F47">
        <w:rPr>
          <w:rFonts w:ascii="Arial" w:hAnsi="Arial" w:cs="Arial"/>
          <w:color w:val="auto"/>
          <w:sz w:val="16"/>
          <w:szCs w:val="16"/>
        </w:rPr>
        <w:t xml:space="preserve">upport of the </w:t>
      </w:r>
      <w:r>
        <w:rPr>
          <w:rFonts w:ascii="Arial" w:hAnsi="Arial" w:cs="Arial"/>
          <w:color w:val="auto"/>
          <w:sz w:val="16"/>
          <w:szCs w:val="16"/>
        </w:rPr>
        <w:t>c</w:t>
      </w:r>
      <w:r w:rsidRPr="00CB4F47">
        <w:rPr>
          <w:rFonts w:ascii="Arial" w:hAnsi="Arial" w:cs="Arial"/>
          <w:color w:val="auto"/>
          <w:sz w:val="16"/>
          <w:szCs w:val="16"/>
        </w:rPr>
        <w:t xml:space="preserve">hurch in the </w:t>
      </w:r>
      <w:r>
        <w:rPr>
          <w:rFonts w:ascii="Arial" w:hAnsi="Arial" w:cs="Arial"/>
          <w:color w:val="auto"/>
          <w:sz w:val="16"/>
          <w:szCs w:val="16"/>
        </w:rPr>
        <w:t>m</w:t>
      </w:r>
      <w:r w:rsidRPr="00CB4F47">
        <w:rPr>
          <w:rFonts w:ascii="Arial" w:hAnsi="Arial" w:cs="Arial"/>
          <w:color w:val="auto"/>
          <w:sz w:val="16"/>
          <w:szCs w:val="16"/>
        </w:rPr>
        <w:t xml:space="preserve">odern </w:t>
      </w:r>
      <w:r>
        <w:rPr>
          <w:rFonts w:ascii="Arial" w:hAnsi="Arial" w:cs="Arial"/>
          <w:color w:val="auto"/>
          <w:sz w:val="16"/>
          <w:szCs w:val="16"/>
        </w:rPr>
        <w:t>e</w:t>
      </w:r>
      <w:r w:rsidRPr="00CB4F47">
        <w:rPr>
          <w:rFonts w:ascii="Arial" w:hAnsi="Arial" w:cs="Arial"/>
          <w:color w:val="auto"/>
          <w:sz w:val="16"/>
          <w:szCs w:val="16"/>
        </w:rPr>
        <w:t>ra,” Journal of Law and Religion, 13(2), (1998, pages 517</w:t>
      </w:r>
      <w:r w:rsidRPr="00CB4F47">
        <w:rPr>
          <w:rFonts w:ascii="Arial" w:hAnsi="Arial" w:cs="Arial"/>
          <w:sz w:val="16"/>
          <w:szCs w:val="16"/>
        </w:rPr>
        <w:t>–</w:t>
      </w:r>
      <w:r w:rsidRPr="00CB4F47">
        <w:rPr>
          <w:rFonts w:ascii="Arial" w:hAnsi="Arial" w:cs="Arial"/>
          <w:color w:val="auto"/>
          <w:sz w:val="16"/>
          <w:szCs w:val="16"/>
        </w:rPr>
        <w:t>530, page 519</w:t>
      </w:r>
      <w:r>
        <w:rPr>
          <w:rFonts w:ascii="Arial" w:hAnsi="Arial" w:cs="Arial"/>
          <w:color w:val="auto"/>
          <w:sz w:val="16"/>
          <w:szCs w:val="16"/>
        </w:rPr>
        <w:t>)</w:t>
      </w:r>
      <w:r w:rsidRPr="00CB4F47">
        <w:rPr>
          <w:rFonts w:ascii="Arial" w:hAnsi="Arial" w:cs="Arial"/>
          <w:color w:val="auto"/>
          <w:sz w:val="16"/>
          <w:szCs w:val="16"/>
        </w:rPr>
        <w:t xml:space="preserve">. </w:t>
      </w:r>
    </w:p>
  </w:footnote>
  <w:footnote w:id="794">
    <w:p w14:paraId="7506051F" w14:textId="77777777" w:rsidR="004C3995" w:rsidRPr="00FC5F93" w:rsidRDefault="004C3995" w:rsidP="004C3995">
      <w:pPr>
        <w:pStyle w:val="FootnoteText"/>
        <w:spacing w:before="0" w:after="0" w:line="20" w:lineRule="atLeast"/>
        <w:rPr>
          <w:rFonts w:cs="Arial"/>
          <w:sz w:val="16"/>
          <w:szCs w:val="16"/>
        </w:rPr>
      </w:pPr>
      <w:r w:rsidRPr="00536E67">
        <w:rPr>
          <w:rStyle w:val="StyleFootnoteReferenceFagoFunotenzeichenFagoFunotenzeichen"/>
          <w:sz w:val="16"/>
          <w:szCs w:val="16"/>
        </w:rPr>
        <w:footnoteRef/>
      </w:r>
      <w:r w:rsidRPr="00FC5F93">
        <w:rPr>
          <w:rFonts w:cs="Arial"/>
          <w:sz w:val="16"/>
          <w:szCs w:val="16"/>
        </w:rPr>
        <w:t xml:space="preserve"> Brief of evidence of Sonja Cooper and Amanda Hill on behalf of Cooper Legal at the Inquiry’s Contextual Hearing (Royal Commission of Inquiry into Abuse in Care, 5 September 2019, para 38).</w:t>
      </w:r>
    </w:p>
  </w:footnote>
  <w:footnote w:id="795">
    <w:p w14:paraId="02FF7B3A" w14:textId="77777777" w:rsidR="004C3995" w:rsidRPr="00973973" w:rsidRDefault="004C3995" w:rsidP="004C3995">
      <w:pPr>
        <w:pStyle w:val="FootnoteText"/>
        <w:rPr>
          <w:sz w:val="16"/>
          <w:szCs w:val="16"/>
        </w:rPr>
      </w:pPr>
      <w:r w:rsidRPr="00973973">
        <w:rPr>
          <w:rStyle w:val="StyleFootnoteReferenceFagoFunotenzeichenFagoFunotenzeichen"/>
          <w:sz w:val="16"/>
          <w:szCs w:val="16"/>
        </w:rPr>
        <w:footnoteRef/>
      </w:r>
      <w:r w:rsidRPr="00973973">
        <w:rPr>
          <w:sz w:val="16"/>
          <w:szCs w:val="16"/>
        </w:rPr>
        <w:t xml:space="preserve"> </w:t>
      </w:r>
      <w:r w:rsidRPr="00FC5F93">
        <w:rPr>
          <w:rFonts w:cs="Arial"/>
          <w:color w:val="auto"/>
          <w:sz w:val="16"/>
          <w:szCs w:val="16"/>
        </w:rPr>
        <w:t xml:space="preserve">Department of Social Welfare, Directory of residential facilities for disturbed children in New Zealand (1975, pages 22, 24, 26–27, 29, 31, 34); </w:t>
      </w:r>
      <w:r w:rsidRPr="00973973">
        <w:rPr>
          <w:sz w:val="16"/>
          <w:szCs w:val="16"/>
        </w:rPr>
        <w:t>O</w:t>
      </w:r>
      <w:r w:rsidRPr="00FC5F93">
        <w:rPr>
          <w:rFonts w:cs="Arial"/>
          <w:color w:val="auto"/>
          <w:sz w:val="16"/>
          <w:szCs w:val="16"/>
        </w:rPr>
        <w:t>ranga Tamariki, Response to Royal Commission of Inquiry into Abuse in Care Notice to Produce 14, Schedule 2 (22 January 2021, pages 2, 12, 21).</w:t>
      </w:r>
    </w:p>
  </w:footnote>
  <w:footnote w:id="796">
    <w:p w14:paraId="1E270CCE" w14:textId="77777777" w:rsidR="004C3995" w:rsidRPr="00973973" w:rsidRDefault="004C3995" w:rsidP="004C3995">
      <w:pPr>
        <w:pStyle w:val="FootnoteText"/>
        <w:rPr>
          <w:sz w:val="16"/>
          <w:szCs w:val="16"/>
        </w:rPr>
      </w:pPr>
      <w:r w:rsidRPr="00973973">
        <w:rPr>
          <w:rStyle w:val="StyleFootnoteReferenceFagoFunotenzeichenFagoFunotenzeichen"/>
          <w:sz w:val="16"/>
          <w:szCs w:val="16"/>
        </w:rPr>
        <w:footnoteRef/>
      </w:r>
      <w:r w:rsidRPr="00973973">
        <w:rPr>
          <w:sz w:val="16"/>
          <w:szCs w:val="16"/>
        </w:rPr>
        <w:t xml:space="preserve"> </w:t>
      </w:r>
      <w:r w:rsidRPr="00FC5F93">
        <w:rPr>
          <w:rFonts w:cs="Arial"/>
          <w:color w:val="auto"/>
          <w:sz w:val="16"/>
          <w:szCs w:val="16"/>
        </w:rPr>
        <w:t>Department of Social Welfare, Directory of residential facilities for disturbed children in New Zealand (1975, pages 21, 23–24, 28, 30, 37–39); Presbyterian Support Southland, Submission settings out a narrative and analysis of the information requested in Schedule A (2024, page 2); Oranga Tamariki, Response to Royal Commission of Inquiry into Abuse in Care Notice to Produce 14, Schedule 2 (22 January 2021, pages 12–13).</w:t>
      </w:r>
    </w:p>
  </w:footnote>
  <w:footnote w:id="797">
    <w:p w14:paraId="5B22FF2C" w14:textId="77777777" w:rsidR="004C3995" w:rsidRPr="00FC5F93" w:rsidRDefault="004C3995" w:rsidP="004C3995">
      <w:pPr>
        <w:pStyle w:val="FootnoteText"/>
        <w:rPr>
          <w:rFonts w:cs="Arial"/>
          <w:color w:val="auto"/>
          <w:sz w:val="16"/>
          <w:szCs w:val="16"/>
        </w:rPr>
      </w:pPr>
      <w:r w:rsidRPr="00973973">
        <w:rPr>
          <w:rStyle w:val="StyleFootnoteReferenceFagoFunotenzeichenFagoFunotenzeichen"/>
          <w:sz w:val="16"/>
          <w:szCs w:val="16"/>
        </w:rPr>
        <w:footnoteRef/>
      </w:r>
      <w:r w:rsidRPr="00973973">
        <w:rPr>
          <w:sz w:val="16"/>
          <w:szCs w:val="16"/>
        </w:rPr>
        <w:t xml:space="preserve"> </w:t>
      </w:r>
      <w:r w:rsidRPr="00FC5F93">
        <w:rPr>
          <w:rFonts w:cs="Arial"/>
          <w:color w:val="auto"/>
          <w:sz w:val="16"/>
          <w:szCs w:val="16"/>
        </w:rPr>
        <w:t xml:space="preserve">Department of Social Welfare, Directory of residential facilities for disturbed children in New Zealand (1975, pages 24, 27– 28, 32, 37); Oranga Tamariki, Response to Royal Commission of Inquiry into Abuse in Care Notice to Produce 14, Schedule 2 (22 January 2021, pages 7, 14); Hawke’s Bay children’s holding trust, Our history (accessed 22 March 2024), </w:t>
      </w:r>
      <w:hyperlink r:id="rId121" w:history="1">
        <w:r w:rsidRPr="00FC5F93">
          <w:rPr>
            <w:rFonts w:cs="Arial"/>
            <w:color w:val="auto"/>
            <w:sz w:val="16"/>
            <w:szCs w:val="16"/>
          </w:rPr>
          <w:t>https://hbcht.org.nz/our-history/</w:t>
        </w:r>
      </w:hyperlink>
      <w:r w:rsidRPr="00FC5F93">
        <w:rPr>
          <w:rFonts w:cs="Arial"/>
          <w:color w:val="auto"/>
          <w:sz w:val="16"/>
          <w:szCs w:val="16"/>
        </w:rPr>
        <w:t xml:space="preserve">; Cussen, I, Help where help was needed: Single mothers and the Salvation Army Bethany home in 1960s-70s Auckland (Auckland History Initiative, 5 August 2021) </w:t>
      </w:r>
      <w:hyperlink r:id="rId122" w:history="1">
        <w:r w:rsidRPr="00FC5F93">
          <w:rPr>
            <w:rFonts w:cs="Arial"/>
            <w:color w:val="auto"/>
            <w:sz w:val="16"/>
            <w:szCs w:val="16"/>
          </w:rPr>
          <w:t>https://ahi.auckland.ac.nz/2021/08/05/help-where-help-was-needed-single-mothers-and-the-salvation-army-bethany-home-in-1960s-70s-auckland/</w:t>
        </w:r>
      </w:hyperlink>
      <w:r w:rsidRPr="00FC5F93">
        <w:rPr>
          <w:rFonts w:cs="Arial"/>
          <w:color w:val="auto"/>
          <w:sz w:val="16"/>
          <w:szCs w:val="16"/>
        </w:rPr>
        <w:t>.</w:t>
      </w:r>
    </w:p>
  </w:footnote>
  <w:footnote w:id="798">
    <w:p w14:paraId="68A41EA3" w14:textId="77777777" w:rsidR="004C3995" w:rsidRPr="00973973" w:rsidRDefault="004C3995" w:rsidP="004C3995">
      <w:pPr>
        <w:pStyle w:val="FootnoteText"/>
        <w:rPr>
          <w:sz w:val="16"/>
          <w:szCs w:val="16"/>
        </w:rPr>
      </w:pPr>
      <w:r w:rsidRPr="00973973">
        <w:rPr>
          <w:rStyle w:val="StyleFootnoteReferenceFagoFunotenzeichenFagoFunotenzeichen"/>
          <w:sz w:val="16"/>
          <w:szCs w:val="16"/>
        </w:rPr>
        <w:footnoteRef/>
      </w:r>
      <w:r w:rsidRPr="00973973">
        <w:rPr>
          <w:sz w:val="16"/>
          <w:szCs w:val="16"/>
        </w:rPr>
        <w:t xml:space="preserve"> </w:t>
      </w:r>
      <w:r w:rsidRPr="00FC5F93">
        <w:rPr>
          <w:rFonts w:cs="Arial"/>
          <w:color w:val="auto"/>
          <w:sz w:val="16"/>
          <w:szCs w:val="16"/>
        </w:rPr>
        <w:t>Department of Social Welfare, Directory of residential facilities for disturbed children in New Zealand (1975, pages 22–23, 31–32, 34–35, 38);</w:t>
      </w:r>
      <w:r w:rsidRPr="00973973">
        <w:rPr>
          <w:sz w:val="16"/>
          <w:szCs w:val="16"/>
        </w:rPr>
        <w:t xml:space="preserve"> </w:t>
      </w:r>
      <w:r w:rsidRPr="00FC5F93">
        <w:rPr>
          <w:rFonts w:cs="Arial"/>
          <w:color w:val="auto"/>
          <w:sz w:val="16"/>
          <w:szCs w:val="16"/>
        </w:rPr>
        <w:t>Ponter, Elizabeth, Interface: A review of Catholic social services New Zealand (National Directorate, Catholic Social Services 1986, pages 7–8); Oranga Tamariki, Response to Royal Commission of Inquiry into Abuse in Care Notice to Produce 14, Schedule 2 (22 January 2021, pages 5–6, 12, 14–16, 20–23).</w:t>
      </w:r>
    </w:p>
  </w:footnote>
  <w:footnote w:id="799">
    <w:p w14:paraId="7B384361" w14:textId="77777777" w:rsidR="004C3995" w:rsidRPr="00973973" w:rsidRDefault="004C3995" w:rsidP="004C3995">
      <w:pPr>
        <w:pStyle w:val="FootnoteText"/>
        <w:rPr>
          <w:sz w:val="16"/>
          <w:szCs w:val="16"/>
        </w:rPr>
      </w:pPr>
      <w:r w:rsidRPr="00973973">
        <w:rPr>
          <w:rStyle w:val="StyleFootnoteReferenceFagoFunotenzeichenFagoFunotenzeichen"/>
          <w:sz w:val="16"/>
          <w:szCs w:val="16"/>
        </w:rPr>
        <w:footnoteRef/>
      </w:r>
      <w:r w:rsidRPr="00973973">
        <w:rPr>
          <w:sz w:val="16"/>
          <w:szCs w:val="16"/>
        </w:rPr>
        <w:t xml:space="preserve"> </w:t>
      </w:r>
      <w:r w:rsidRPr="00FC5F93">
        <w:rPr>
          <w:rFonts w:cs="Arial"/>
          <w:color w:val="auto"/>
          <w:sz w:val="16"/>
          <w:szCs w:val="16"/>
        </w:rPr>
        <w:t>Department of Social Welfare, Directory of residential facilities for disturbed children in New Zealand (1975, pages 21, 25, 35)</w:t>
      </w:r>
    </w:p>
  </w:footnote>
  <w:footnote w:id="800">
    <w:p w14:paraId="387DDD38" w14:textId="77777777" w:rsidR="004C3995" w:rsidRPr="00FC5F93" w:rsidRDefault="004C3995" w:rsidP="004C3995">
      <w:pPr>
        <w:pStyle w:val="FootnoteText"/>
        <w:spacing w:before="0" w:after="0" w:line="20" w:lineRule="atLeast"/>
        <w:rPr>
          <w:rFonts w:cs="Arial"/>
          <w:sz w:val="16"/>
          <w:szCs w:val="16"/>
        </w:rPr>
      </w:pPr>
      <w:r w:rsidRPr="00973973">
        <w:rPr>
          <w:rStyle w:val="StyleFootnoteReferenceFagoFunotenzeichenFagoFunotenzeichen"/>
          <w:sz w:val="16"/>
          <w:szCs w:val="16"/>
        </w:rPr>
        <w:footnoteRef/>
      </w:r>
      <w:r w:rsidRPr="00FC5F93">
        <w:rPr>
          <w:rFonts w:cs="Arial"/>
          <w:color w:val="auto"/>
          <w:sz w:val="16"/>
          <w:szCs w:val="16"/>
        </w:rPr>
        <w:t xml:space="preserve"> Witness statement of Charlene Montgomery (</w:t>
      </w:r>
      <w:r w:rsidRPr="00FC5F93">
        <w:rPr>
          <w:rStyle w:val="normaltextrun"/>
          <w:rFonts w:cs="Arial"/>
          <w:color w:val="auto"/>
          <w:sz w:val="16"/>
          <w:szCs w:val="16"/>
          <w:shd w:val="clear" w:color="auto" w:fill="FFFFFF"/>
        </w:rPr>
        <w:t>May 2022, page 2).</w:t>
      </w:r>
    </w:p>
  </w:footnote>
  <w:footnote w:id="801">
    <w:p w14:paraId="4F9C8648" w14:textId="77777777" w:rsidR="004C3995" w:rsidRPr="00FC5F93" w:rsidRDefault="004C3995" w:rsidP="004C3995">
      <w:pPr>
        <w:pStyle w:val="NoSpacing"/>
        <w:spacing w:line="20" w:lineRule="atLeast"/>
        <w:rPr>
          <w:rFonts w:ascii="Arial" w:hAnsi="Arial" w:cs="Arial"/>
          <w:color w:val="000000" w:themeColor="text1"/>
          <w:sz w:val="16"/>
          <w:szCs w:val="16"/>
        </w:rPr>
      </w:pPr>
      <w:r w:rsidRPr="00973973">
        <w:rPr>
          <w:rStyle w:val="StyleFootnoteReferenceFagoFunotenzeichenFagoFunotenzeichen"/>
          <w:sz w:val="16"/>
          <w:szCs w:val="16"/>
        </w:rPr>
        <w:footnoteRef/>
      </w:r>
      <w:r w:rsidRPr="00FC5F93">
        <w:rPr>
          <w:rFonts w:ascii="Arial" w:hAnsi="Arial" w:cs="Arial"/>
          <w:sz w:val="16"/>
          <w:szCs w:val="16"/>
        </w:rPr>
        <w:t xml:space="preserve"> </w:t>
      </w:r>
      <w:r w:rsidRPr="00FC5F93">
        <w:rPr>
          <w:rFonts w:ascii="Arial" w:hAnsi="Arial" w:cs="Arial"/>
          <w:color w:val="000000" w:themeColor="text1"/>
          <w:sz w:val="16"/>
          <w:szCs w:val="16"/>
        </w:rPr>
        <w:t xml:space="preserve">Letter from Cooper Legal to the National Office for Professional Standards on behalf of Alexandra Murray (23 May 2018, </w:t>
      </w:r>
      <w:r w:rsidRPr="00FC5F93">
        <w:rPr>
          <w:rFonts w:ascii="Arial" w:hAnsi="Arial" w:cs="Arial"/>
          <w:color w:val="auto"/>
          <w:sz w:val="16"/>
          <w:szCs w:val="16"/>
        </w:rPr>
        <w:t xml:space="preserve">pages </w:t>
      </w:r>
      <w:r w:rsidRPr="00FC5F93">
        <w:rPr>
          <w:rFonts w:ascii="Arial" w:hAnsi="Arial" w:cs="Arial"/>
          <w:color w:val="000000" w:themeColor="text1"/>
          <w:sz w:val="16"/>
          <w:szCs w:val="16"/>
        </w:rPr>
        <w:t xml:space="preserve">6–7); Witness statements of Ms NJ (10 February 2022, page 6); Anne Hill (28 September 2020, page 5) and Linda Taylor and Janice Taylor (5 March 2021, paras 123, 128–129). Private session of Mr SI (5 August 2021, page 7). </w:t>
      </w:r>
    </w:p>
  </w:footnote>
  <w:footnote w:id="802">
    <w:p w14:paraId="42D8694C" w14:textId="01102367" w:rsidR="004C3995" w:rsidRPr="00FC5F93" w:rsidRDefault="004C3995" w:rsidP="004C3995">
      <w:pPr>
        <w:pStyle w:val="NoSpacing"/>
        <w:spacing w:line="20" w:lineRule="atLeast"/>
        <w:rPr>
          <w:rFonts w:ascii="Arial" w:hAnsi="Arial" w:cs="Arial"/>
          <w:color w:val="000000" w:themeColor="text1"/>
          <w:sz w:val="16"/>
          <w:szCs w:val="16"/>
          <w:highlight w:val="green"/>
        </w:rPr>
      </w:pPr>
      <w:r w:rsidRPr="00973973">
        <w:rPr>
          <w:rStyle w:val="StyleFootnoteReferenceFagoFunotenzeichenFagoFunotenzeichen"/>
          <w:sz w:val="16"/>
          <w:szCs w:val="16"/>
        </w:rPr>
        <w:footnoteRef/>
      </w:r>
      <w:r w:rsidRPr="00FC5F93">
        <w:rPr>
          <w:rFonts w:cs="Arial"/>
          <w:sz w:val="16"/>
          <w:szCs w:val="16"/>
        </w:rPr>
        <w:t xml:space="preserve"> Written account of </w:t>
      </w:r>
      <w:r w:rsidR="009A7EE9">
        <w:rPr>
          <w:rFonts w:cs="Arial"/>
          <w:sz w:val="16"/>
          <w:szCs w:val="16"/>
        </w:rPr>
        <w:t>K.C.</w:t>
      </w:r>
      <w:r w:rsidRPr="00FC5F93">
        <w:rPr>
          <w:rFonts w:cs="Arial"/>
          <w:sz w:val="16"/>
          <w:szCs w:val="16"/>
        </w:rPr>
        <w:t xml:space="preserve"> (24 April 2021, page 8).</w:t>
      </w:r>
    </w:p>
  </w:footnote>
  <w:footnote w:id="803">
    <w:p w14:paraId="034C6D18" w14:textId="77777777" w:rsidR="004C3995" w:rsidRPr="00FC5F93" w:rsidRDefault="004C3995" w:rsidP="004C3995">
      <w:pPr>
        <w:pStyle w:val="FootnoteText"/>
        <w:spacing w:before="0" w:after="0" w:line="20" w:lineRule="atLeast"/>
        <w:rPr>
          <w:rFonts w:cs="Arial"/>
          <w:sz w:val="16"/>
          <w:szCs w:val="16"/>
        </w:rPr>
      </w:pPr>
      <w:r w:rsidRPr="00973973">
        <w:rPr>
          <w:rStyle w:val="StyleFootnoteReferenceFagoFunotenzeichenFagoFunotenzeichen"/>
          <w:sz w:val="16"/>
          <w:szCs w:val="16"/>
        </w:rPr>
        <w:footnoteRef/>
      </w:r>
      <w:r w:rsidRPr="00FC5F93">
        <w:rPr>
          <w:rFonts w:cs="Arial"/>
          <w:sz w:val="16"/>
          <w:szCs w:val="16"/>
        </w:rPr>
        <w:t xml:space="preserve"> Witness statement of Dr Anne Else (9 October </w:t>
      </w:r>
      <w:r w:rsidRPr="00FC5F93" w:rsidDel="007F2971">
        <w:rPr>
          <w:rFonts w:cs="Arial"/>
          <w:sz w:val="16"/>
          <w:szCs w:val="16"/>
        </w:rPr>
        <w:t>2019</w:t>
      </w:r>
      <w:r w:rsidRPr="00FC5F93">
        <w:rPr>
          <w:rFonts w:cs="Arial"/>
          <w:sz w:val="16"/>
          <w:szCs w:val="16"/>
        </w:rPr>
        <w:t>, page 3).</w:t>
      </w:r>
    </w:p>
  </w:footnote>
  <w:footnote w:id="804">
    <w:p w14:paraId="2601D516" w14:textId="77777777" w:rsidR="004C3995" w:rsidRPr="00FC5F93" w:rsidRDefault="004C3995" w:rsidP="004C3995">
      <w:pPr>
        <w:pStyle w:val="FootnoteText"/>
        <w:spacing w:before="0" w:after="0" w:line="20" w:lineRule="atLeast"/>
        <w:rPr>
          <w:rFonts w:cs="Arial"/>
          <w:color w:val="auto"/>
          <w:sz w:val="16"/>
          <w:szCs w:val="16"/>
        </w:rPr>
      </w:pPr>
      <w:r w:rsidRPr="00973973">
        <w:rPr>
          <w:rStyle w:val="StyleFootnoteReferenceFagoFunotenzeichenFagoFunotenzeichen"/>
          <w:sz w:val="16"/>
          <w:szCs w:val="16"/>
        </w:rPr>
        <w:footnoteRef/>
      </w:r>
      <w:r w:rsidRPr="00FC5F93">
        <w:rPr>
          <w:rFonts w:cs="Arial"/>
          <w:color w:val="auto"/>
          <w:sz w:val="16"/>
          <w:szCs w:val="16"/>
        </w:rPr>
        <w:t xml:space="preserve"> </w:t>
      </w:r>
      <w:r w:rsidRPr="00FC5F93">
        <w:rPr>
          <w:rFonts w:cs="Arial"/>
          <w:sz w:val="16"/>
          <w:szCs w:val="16"/>
        </w:rPr>
        <w:t xml:space="preserve">Witness statement of Dr Anne Else (9 October 2019, </w:t>
      </w:r>
      <w:r w:rsidRPr="00FC5F93">
        <w:rPr>
          <w:rFonts w:cs="Arial"/>
          <w:color w:val="auto"/>
          <w:sz w:val="16"/>
          <w:szCs w:val="16"/>
        </w:rPr>
        <w:t>page 4).</w:t>
      </w:r>
    </w:p>
  </w:footnote>
  <w:footnote w:id="805">
    <w:p w14:paraId="2F587CA5" w14:textId="77777777" w:rsidR="004C3995" w:rsidRPr="00FC5F93" w:rsidRDefault="004C3995" w:rsidP="004C3995">
      <w:pPr>
        <w:pStyle w:val="FootnoteText"/>
        <w:spacing w:before="0" w:after="0" w:line="20" w:lineRule="atLeast"/>
        <w:rPr>
          <w:rFonts w:cs="Arial"/>
          <w:color w:val="auto"/>
          <w:sz w:val="16"/>
          <w:szCs w:val="16"/>
        </w:rPr>
      </w:pPr>
      <w:r w:rsidRPr="00973973">
        <w:rPr>
          <w:rStyle w:val="StyleFootnoteReferenceFagoFunotenzeichenFagoFunotenzeichen"/>
          <w:sz w:val="16"/>
          <w:szCs w:val="16"/>
        </w:rPr>
        <w:footnoteRef/>
      </w:r>
      <w:r w:rsidRPr="00FC5F93">
        <w:rPr>
          <w:rFonts w:cs="Arial"/>
          <w:color w:val="auto"/>
          <w:sz w:val="16"/>
          <w:szCs w:val="16"/>
        </w:rPr>
        <w:t xml:space="preserve"> Witness statement of Lesley Hooper on behalf of the bishops and congregational leaders of the Catholic Church in Aotearoa New Zealand </w:t>
      </w:r>
      <w:r w:rsidRPr="00FC5F93">
        <w:rPr>
          <w:rFonts w:cs="Arial"/>
          <w:sz w:val="16"/>
          <w:szCs w:val="16"/>
        </w:rPr>
        <w:t>(</w:t>
      </w:r>
      <w:r w:rsidRPr="00FC5F93">
        <w:rPr>
          <w:rFonts w:cs="Arial"/>
          <w:color w:val="auto"/>
          <w:sz w:val="16"/>
          <w:szCs w:val="16"/>
        </w:rPr>
        <w:t>16 June 2022, page 6).</w:t>
      </w:r>
    </w:p>
  </w:footnote>
  <w:footnote w:id="806">
    <w:p w14:paraId="70B293A4" w14:textId="77777777" w:rsidR="004C3995" w:rsidRPr="00FC5F93" w:rsidRDefault="004C3995" w:rsidP="004C3995">
      <w:pPr>
        <w:pStyle w:val="FootnoteText"/>
        <w:spacing w:before="0" w:after="0" w:line="20" w:lineRule="atLeast"/>
        <w:rPr>
          <w:rFonts w:cs="Arial"/>
          <w:color w:val="auto"/>
          <w:sz w:val="16"/>
          <w:szCs w:val="16"/>
        </w:rPr>
      </w:pPr>
      <w:r w:rsidRPr="00973973">
        <w:rPr>
          <w:rStyle w:val="StyleFootnoteReferenceFagoFunotenzeichenFagoFunotenzeichen"/>
          <w:sz w:val="16"/>
          <w:szCs w:val="16"/>
        </w:rPr>
        <w:footnoteRef/>
      </w:r>
      <w:r w:rsidRPr="00FC5F93">
        <w:rPr>
          <w:rFonts w:cs="Arial"/>
          <w:color w:val="auto"/>
          <w:sz w:val="16"/>
          <w:szCs w:val="16"/>
        </w:rPr>
        <w:t xml:space="preserve"> Archdiocese of Wellington, </w:t>
      </w:r>
      <w:r w:rsidRPr="00FC5F93">
        <w:rPr>
          <w:rStyle w:val="normaltextrun"/>
          <w:rFonts w:cs="Arial"/>
          <w:color w:val="auto"/>
          <w:sz w:val="16"/>
          <w:szCs w:val="16"/>
        </w:rPr>
        <w:t>Social Welfare Work in the Archdiocese (n.d., page 2).</w:t>
      </w:r>
    </w:p>
  </w:footnote>
  <w:footnote w:id="807">
    <w:p w14:paraId="0DD6E248" w14:textId="77777777" w:rsidR="004C3995" w:rsidRPr="00FC5F93" w:rsidRDefault="004C3995" w:rsidP="004C3995">
      <w:pPr>
        <w:pStyle w:val="FootnoteText"/>
        <w:spacing w:before="0" w:after="0" w:line="20" w:lineRule="atLeast"/>
        <w:rPr>
          <w:rFonts w:cs="Arial"/>
          <w:color w:val="auto"/>
          <w:sz w:val="16"/>
          <w:szCs w:val="16"/>
        </w:rPr>
      </w:pPr>
      <w:r w:rsidRPr="00973973">
        <w:rPr>
          <w:rStyle w:val="StyleFootnoteReferenceFagoFunotenzeichenFagoFunotenzeichen"/>
          <w:sz w:val="16"/>
          <w:szCs w:val="16"/>
        </w:rPr>
        <w:footnoteRef/>
      </w:r>
      <w:r w:rsidRPr="00FC5F93">
        <w:rPr>
          <w:rFonts w:cs="Arial"/>
          <w:color w:val="auto"/>
          <w:sz w:val="16"/>
          <w:szCs w:val="16"/>
        </w:rPr>
        <w:t xml:space="preserve"> Between March 1961 and March 1962 alone, Wellington Catholic Social Services recorded 130 adoptions. See Catholic Social Services Summary of Statistics, March 1961</w:t>
      </w:r>
      <w:r w:rsidRPr="00FC5F93">
        <w:rPr>
          <w:rFonts w:cs="Arial"/>
          <w:sz w:val="16"/>
          <w:szCs w:val="16"/>
        </w:rPr>
        <w:t>–</w:t>
      </w:r>
      <w:r w:rsidRPr="00FC5F93">
        <w:rPr>
          <w:rFonts w:cs="Arial"/>
          <w:color w:val="auto"/>
          <w:sz w:val="16"/>
          <w:szCs w:val="16"/>
        </w:rPr>
        <w:t xml:space="preserve">March 1962 (page 1). </w:t>
      </w:r>
    </w:p>
  </w:footnote>
  <w:footnote w:id="808">
    <w:p w14:paraId="07B3A69F" w14:textId="77777777" w:rsidR="004C3995" w:rsidRPr="00FC5F93" w:rsidRDefault="004C3995" w:rsidP="004C3995">
      <w:pPr>
        <w:pStyle w:val="FootnoteText"/>
        <w:spacing w:before="0" w:after="0" w:line="20" w:lineRule="atLeast"/>
        <w:rPr>
          <w:rFonts w:cs="Arial"/>
          <w:color w:val="auto"/>
          <w:sz w:val="16"/>
          <w:szCs w:val="16"/>
        </w:rPr>
      </w:pPr>
      <w:r w:rsidRPr="00973973">
        <w:rPr>
          <w:rStyle w:val="StyleFootnoteReferenceFagoFunotenzeichenFagoFunotenzeichen"/>
          <w:sz w:val="16"/>
          <w:szCs w:val="16"/>
        </w:rPr>
        <w:footnoteRef/>
      </w:r>
      <w:r w:rsidRPr="00FC5F93">
        <w:rPr>
          <w:rFonts w:cs="Arial"/>
          <w:color w:val="auto"/>
          <w:sz w:val="16"/>
          <w:szCs w:val="16"/>
        </w:rPr>
        <w:t xml:space="preserve"> Sumner, B, External consultation</w:t>
      </w:r>
      <w:r w:rsidRPr="00973973">
        <w:rPr>
          <w:sz w:val="16"/>
          <w:szCs w:val="16"/>
        </w:rPr>
        <w:t xml:space="preserve"> </w:t>
      </w:r>
      <w:r w:rsidRPr="00FC5F93">
        <w:rPr>
          <w:rFonts w:cs="Arial"/>
          <w:color w:val="auto"/>
          <w:sz w:val="16"/>
          <w:szCs w:val="16"/>
        </w:rPr>
        <w:t>prepared for the Royal Commission of Inquiry into Abuse in Care (15 August 2022, pages 17–18).</w:t>
      </w:r>
    </w:p>
  </w:footnote>
  <w:footnote w:id="809">
    <w:p w14:paraId="120BD9A9" w14:textId="77777777" w:rsidR="004C3995" w:rsidRPr="00FC5F93" w:rsidRDefault="004C3995" w:rsidP="004C3995">
      <w:pPr>
        <w:pStyle w:val="FootnoteText"/>
        <w:spacing w:before="0" w:after="0" w:line="20" w:lineRule="atLeast"/>
        <w:rPr>
          <w:rFonts w:cs="Arial"/>
          <w:color w:val="auto"/>
          <w:sz w:val="16"/>
          <w:szCs w:val="16"/>
        </w:rPr>
      </w:pPr>
      <w:r w:rsidRPr="00973973">
        <w:rPr>
          <w:rStyle w:val="StyleFootnoteReferenceFagoFunotenzeichenFagoFunotenzeichen"/>
          <w:sz w:val="16"/>
          <w:szCs w:val="16"/>
        </w:rPr>
        <w:footnoteRef/>
      </w:r>
      <w:r w:rsidRPr="00FC5F93">
        <w:rPr>
          <w:rFonts w:cs="Arial"/>
          <w:color w:val="auto"/>
          <w:sz w:val="16"/>
          <w:szCs w:val="16"/>
        </w:rPr>
        <w:t xml:space="preserve"> Adult Adoption Information Bill submission by Major Eunice Eichler (16 February 1981), in Sumner, B, External consultation </w:t>
      </w:r>
      <w:r w:rsidRPr="00FC5F93">
        <w:rPr>
          <w:rFonts w:cs="Arial"/>
          <w:color w:val="262626"/>
          <w:sz w:val="16"/>
          <w:szCs w:val="16"/>
        </w:rPr>
        <w:t>prepared for the Royal Commission of Inquiry into Abuse in Care</w:t>
      </w:r>
      <w:r w:rsidRPr="00FC5F93">
        <w:rPr>
          <w:rFonts w:cs="Arial"/>
          <w:color w:val="auto"/>
          <w:sz w:val="16"/>
          <w:szCs w:val="16"/>
        </w:rPr>
        <w:t xml:space="preserve"> (15 August 2022, pages 19–20).</w:t>
      </w:r>
    </w:p>
  </w:footnote>
  <w:footnote w:id="810">
    <w:p w14:paraId="6BA9EF33" w14:textId="77777777" w:rsidR="004C3995" w:rsidRPr="00FC5F93" w:rsidRDefault="004C3995" w:rsidP="004C3995">
      <w:pPr>
        <w:pStyle w:val="FootnoteText"/>
        <w:spacing w:before="0" w:after="0" w:line="20" w:lineRule="atLeast"/>
        <w:rPr>
          <w:rFonts w:cs="Arial"/>
          <w:color w:val="auto"/>
          <w:sz w:val="16"/>
          <w:szCs w:val="16"/>
        </w:rPr>
      </w:pPr>
      <w:r w:rsidRPr="00973973">
        <w:rPr>
          <w:rStyle w:val="StyleFootnoteReferenceFagoFunotenzeichenFagoFunotenzeichen"/>
          <w:sz w:val="16"/>
          <w:szCs w:val="16"/>
        </w:rPr>
        <w:footnoteRef/>
      </w:r>
      <w:r w:rsidRPr="00FC5F93" w:rsidDel="0056589E">
        <w:rPr>
          <w:rFonts w:cs="Arial"/>
          <w:color w:val="auto"/>
          <w:sz w:val="16"/>
          <w:szCs w:val="16"/>
        </w:rPr>
        <w:t xml:space="preserve"> </w:t>
      </w:r>
      <w:r w:rsidRPr="00FC5F93">
        <w:rPr>
          <w:rFonts w:cs="Arial"/>
          <w:color w:val="auto"/>
          <w:sz w:val="16"/>
          <w:szCs w:val="16"/>
        </w:rPr>
        <w:t>Presbyterian Support Central told the Inquiry about an unsuccessful adoption arrangement where a child was returned to Berhampore Children’s Home after being abused by the man who had adopted him;</w:t>
      </w:r>
      <w:r w:rsidRPr="00FC5F93" w:rsidDel="00300205">
        <w:rPr>
          <w:rFonts w:cs="Arial"/>
          <w:color w:val="auto"/>
          <w:sz w:val="16"/>
          <w:szCs w:val="16"/>
        </w:rPr>
        <w:t xml:space="preserve"> </w:t>
      </w:r>
      <w:r w:rsidRPr="00FC5F93">
        <w:rPr>
          <w:rFonts w:cs="Arial"/>
          <w:color w:val="auto"/>
          <w:sz w:val="16"/>
          <w:szCs w:val="16"/>
        </w:rPr>
        <w:t xml:space="preserve">Berhampore Childrens Home – Abuse </w:t>
      </w:r>
      <w:r w:rsidRPr="00FC5F93">
        <w:rPr>
          <w:rStyle w:val="Hyperlink"/>
          <w:rFonts w:cs="Arial"/>
          <w:color w:val="auto"/>
          <w:sz w:val="16"/>
          <w:szCs w:val="16"/>
          <w:u w:val="none"/>
        </w:rPr>
        <w:t>(2005</w:t>
      </w:r>
      <w:r w:rsidRPr="00FC5F93">
        <w:rPr>
          <w:rFonts w:cs="Arial"/>
          <w:color w:val="auto"/>
          <w:sz w:val="16"/>
          <w:szCs w:val="16"/>
        </w:rPr>
        <w:t>, pages 7–11).</w:t>
      </w:r>
    </w:p>
  </w:footnote>
  <w:footnote w:id="811">
    <w:p w14:paraId="714A6A51" w14:textId="77777777" w:rsidR="004C3995" w:rsidRPr="00FC5F93" w:rsidRDefault="004C3995" w:rsidP="004C3995">
      <w:pPr>
        <w:pStyle w:val="FootnoteText"/>
        <w:spacing w:before="0" w:after="0" w:line="20" w:lineRule="atLeast"/>
        <w:rPr>
          <w:rStyle w:val="Hyperlink"/>
          <w:rFonts w:cs="Arial"/>
          <w:color w:val="auto"/>
          <w:sz w:val="16"/>
          <w:szCs w:val="16"/>
        </w:rPr>
      </w:pPr>
      <w:r w:rsidRPr="00973973">
        <w:rPr>
          <w:rStyle w:val="StyleFootnoteReferenceFagoFunotenzeichenFagoFunotenzeichen"/>
          <w:sz w:val="16"/>
          <w:szCs w:val="16"/>
        </w:rPr>
        <w:footnoteRef/>
      </w:r>
      <w:r w:rsidRPr="00FC5F93">
        <w:rPr>
          <w:rFonts w:cs="Arial"/>
          <w:color w:val="auto"/>
          <w:sz w:val="16"/>
          <w:szCs w:val="16"/>
        </w:rPr>
        <w:t xml:space="preserve"> Presbyterian Support Upper South Island, Holly House Guidelines re Adoption (December 1997, page 1).</w:t>
      </w:r>
    </w:p>
  </w:footnote>
  <w:footnote w:id="812">
    <w:p w14:paraId="4EDD89C1" w14:textId="77777777" w:rsidR="004C3995" w:rsidRPr="00FC5F93" w:rsidRDefault="004C3995" w:rsidP="004C3995">
      <w:pPr>
        <w:pStyle w:val="FootnoteText"/>
        <w:spacing w:before="0" w:after="0" w:line="20" w:lineRule="atLeast"/>
        <w:rPr>
          <w:rFonts w:cs="Arial"/>
          <w:color w:val="auto"/>
          <w:sz w:val="16"/>
          <w:szCs w:val="16"/>
        </w:rPr>
      </w:pPr>
      <w:r w:rsidRPr="00973973">
        <w:rPr>
          <w:rStyle w:val="StyleFootnoteReferenceFagoFunotenzeichenFagoFunotenzeichen"/>
          <w:sz w:val="16"/>
          <w:szCs w:val="16"/>
        </w:rPr>
        <w:footnoteRef/>
      </w:r>
      <w:r w:rsidRPr="00FC5F93">
        <w:rPr>
          <w:rFonts w:cs="Arial"/>
          <w:color w:val="auto"/>
          <w:sz w:val="16"/>
          <w:szCs w:val="16"/>
        </w:rPr>
        <w:t xml:space="preserve"> Presbyterian Church of New Zealand, Care of deprived children (n.d., page 2).</w:t>
      </w:r>
    </w:p>
  </w:footnote>
  <w:footnote w:id="813">
    <w:p w14:paraId="23FA9359" w14:textId="77777777" w:rsidR="004C3995" w:rsidRPr="00CB4F47" w:rsidRDefault="004C3995" w:rsidP="004C3995">
      <w:pPr>
        <w:pStyle w:val="FootnoteText"/>
        <w:spacing w:before="0" w:after="0" w:line="20" w:lineRule="atLeast"/>
        <w:rPr>
          <w:rFonts w:cs="Arial"/>
          <w:color w:val="auto"/>
          <w:sz w:val="16"/>
          <w:szCs w:val="16"/>
        </w:rPr>
      </w:pPr>
      <w:r w:rsidRPr="004F003B">
        <w:rPr>
          <w:rStyle w:val="StyleFootnoteReferenceFagoFunotenzeichenFagoFunotenzeichen"/>
          <w:sz w:val="16"/>
          <w:szCs w:val="16"/>
        </w:rPr>
        <w:footnoteRef/>
      </w:r>
      <w:r w:rsidRPr="00CB4F47">
        <w:rPr>
          <w:rFonts w:cs="Arial"/>
          <w:color w:val="auto"/>
          <w:sz w:val="16"/>
          <w:szCs w:val="16"/>
        </w:rPr>
        <w:t xml:space="preserve"> Brief of </w:t>
      </w:r>
      <w:r>
        <w:rPr>
          <w:rFonts w:cs="Arial"/>
          <w:color w:val="auto"/>
          <w:sz w:val="16"/>
          <w:szCs w:val="16"/>
        </w:rPr>
        <w:t>e</w:t>
      </w:r>
      <w:r w:rsidRPr="00CB4F47">
        <w:rPr>
          <w:rFonts w:cs="Arial"/>
          <w:color w:val="auto"/>
          <w:sz w:val="16"/>
          <w:szCs w:val="16"/>
        </w:rPr>
        <w:t>vidence of Helen Hurst for the Ministry of Education</w:t>
      </w:r>
      <w:r>
        <w:rPr>
          <w:rFonts w:cs="Arial"/>
          <w:color w:val="auto"/>
          <w:sz w:val="16"/>
          <w:szCs w:val="16"/>
        </w:rPr>
        <w:t xml:space="preserve"> at the </w:t>
      </w:r>
      <w:r>
        <w:rPr>
          <w:rFonts w:cs="Arial"/>
          <w:sz w:val="16"/>
          <w:szCs w:val="16"/>
        </w:rPr>
        <w:t>Inquiry’s</w:t>
      </w:r>
      <w:r>
        <w:rPr>
          <w:rFonts w:cs="Arial"/>
          <w:color w:val="auto"/>
          <w:sz w:val="16"/>
          <w:szCs w:val="16"/>
        </w:rPr>
        <w:t xml:space="preserve"> Marylands School </w:t>
      </w:r>
      <w:r w:rsidRPr="00120E85">
        <w:rPr>
          <w:rFonts w:cs="Arial"/>
          <w:color w:val="auto"/>
          <w:sz w:val="16"/>
          <w:szCs w:val="16"/>
        </w:rPr>
        <w:t>(St John of God)</w:t>
      </w:r>
      <w:r w:rsidRPr="004F003B">
        <w:rPr>
          <w:sz w:val="16"/>
          <w:szCs w:val="16"/>
        </w:rPr>
        <w:t xml:space="preserve"> </w:t>
      </w:r>
      <w:r>
        <w:rPr>
          <w:rFonts w:cs="Arial"/>
          <w:color w:val="auto"/>
          <w:sz w:val="16"/>
          <w:szCs w:val="16"/>
        </w:rPr>
        <w:t>Hearing</w:t>
      </w:r>
      <w:r w:rsidRPr="00CB4F47">
        <w:rPr>
          <w:rFonts w:cs="Arial"/>
          <w:color w:val="auto"/>
          <w:sz w:val="16"/>
          <w:szCs w:val="16"/>
        </w:rPr>
        <w:t xml:space="preserve"> </w:t>
      </w:r>
      <w:r>
        <w:rPr>
          <w:rFonts w:cs="Arial"/>
          <w:color w:val="auto"/>
          <w:sz w:val="16"/>
          <w:szCs w:val="16"/>
        </w:rPr>
        <w:t>(</w:t>
      </w:r>
      <w:r w:rsidRPr="00DD5764">
        <w:rPr>
          <w:rFonts w:cs="Arial"/>
          <w:color w:val="auto"/>
          <w:sz w:val="16"/>
          <w:szCs w:val="16"/>
        </w:rPr>
        <w:t>Royal Commission of Inquiry into Abuse in Care,</w:t>
      </w:r>
      <w:r w:rsidRPr="004F003B">
        <w:rPr>
          <w:rFonts w:cs="Arial"/>
          <w:sz w:val="16"/>
          <w:szCs w:val="16"/>
        </w:rPr>
        <w:t xml:space="preserve"> </w:t>
      </w:r>
      <w:r w:rsidRPr="00CB4F47">
        <w:rPr>
          <w:rFonts w:cs="Arial"/>
          <w:color w:val="auto"/>
          <w:sz w:val="16"/>
          <w:szCs w:val="16"/>
        </w:rPr>
        <w:t>7 October 2021, paras 3.19</w:t>
      </w:r>
      <w:r w:rsidRPr="00CB4F47">
        <w:rPr>
          <w:rStyle w:val="normaltextrun"/>
          <w:rFonts w:cs="Arial"/>
          <w:color w:val="000000"/>
          <w:sz w:val="16"/>
          <w:szCs w:val="16"/>
          <w:bdr w:val="none" w:sz="0" w:space="0" w:color="auto" w:frame="1"/>
        </w:rPr>
        <w:t>–</w:t>
      </w:r>
      <w:r w:rsidRPr="00CB4F47">
        <w:rPr>
          <w:rFonts w:cs="Arial"/>
          <w:color w:val="auto"/>
          <w:sz w:val="16"/>
          <w:szCs w:val="16"/>
        </w:rPr>
        <w:t>3.20</w:t>
      </w:r>
      <w:r>
        <w:rPr>
          <w:rFonts w:cs="Arial"/>
          <w:color w:val="auto"/>
          <w:sz w:val="16"/>
          <w:szCs w:val="16"/>
        </w:rPr>
        <w:t>)</w:t>
      </w:r>
      <w:r w:rsidRPr="00CB4F47">
        <w:rPr>
          <w:rFonts w:cs="Arial"/>
          <w:color w:val="auto"/>
          <w:sz w:val="16"/>
          <w:szCs w:val="16"/>
        </w:rPr>
        <w:t xml:space="preserve">; </w:t>
      </w:r>
      <w:r>
        <w:rPr>
          <w:rFonts w:cs="Arial"/>
          <w:color w:val="auto"/>
          <w:sz w:val="16"/>
          <w:szCs w:val="16"/>
        </w:rPr>
        <w:t xml:space="preserve">Ministry of Education website, </w:t>
      </w:r>
      <w:r w:rsidRPr="00CB4F47">
        <w:rPr>
          <w:rFonts w:cs="Arial"/>
          <w:color w:val="auto"/>
          <w:sz w:val="16"/>
          <w:szCs w:val="16"/>
        </w:rPr>
        <w:t>Types of schools and year levels, (last reviewed</w:t>
      </w:r>
      <w:r w:rsidRPr="00CB4F47" w:rsidDel="002D7946">
        <w:rPr>
          <w:rFonts w:cs="Arial"/>
          <w:color w:val="auto"/>
          <w:sz w:val="16"/>
          <w:szCs w:val="16"/>
        </w:rPr>
        <w:t xml:space="preserve"> </w:t>
      </w:r>
      <w:r w:rsidRPr="00CB4F47">
        <w:rPr>
          <w:rFonts w:cs="Arial"/>
          <w:color w:val="auto"/>
          <w:sz w:val="16"/>
          <w:szCs w:val="16"/>
        </w:rPr>
        <w:t>2</w:t>
      </w:r>
      <w:r>
        <w:rPr>
          <w:rFonts w:cs="Arial"/>
          <w:color w:val="auto"/>
          <w:sz w:val="16"/>
          <w:szCs w:val="16"/>
        </w:rPr>
        <w:t>8</w:t>
      </w:r>
      <w:r w:rsidRPr="00CB4F47">
        <w:rPr>
          <w:rFonts w:cs="Arial"/>
          <w:color w:val="auto"/>
          <w:sz w:val="16"/>
          <w:szCs w:val="16"/>
        </w:rPr>
        <w:t xml:space="preserve"> </w:t>
      </w:r>
      <w:r>
        <w:rPr>
          <w:rFonts w:cs="Arial"/>
          <w:color w:val="auto"/>
          <w:sz w:val="16"/>
          <w:szCs w:val="16"/>
        </w:rPr>
        <w:t>April</w:t>
      </w:r>
      <w:r w:rsidRPr="00CB4F47">
        <w:rPr>
          <w:rFonts w:cs="Arial"/>
          <w:color w:val="auto"/>
          <w:sz w:val="16"/>
          <w:szCs w:val="16"/>
        </w:rPr>
        <w:t xml:space="preserve"> 202</w:t>
      </w:r>
      <w:r>
        <w:rPr>
          <w:rFonts w:cs="Arial"/>
          <w:color w:val="auto"/>
          <w:sz w:val="16"/>
          <w:szCs w:val="16"/>
        </w:rPr>
        <w:t>2</w:t>
      </w:r>
      <w:r w:rsidRPr="00CB4F47">
        <w:rPr>
          <w:rFonts w:cs="Arial"/>
          <w:color w:val="auto"/>
          <w:sz w:val="16"/>
          <w:szCs w:val="16"/>
        </w:rPr>
        <w:t>)</w:t>
      </w:r>
      <w:r>
        <w:rPr>
          <w:rFonts w:cs="Arial"/>
          <w:color w:val="auto"/>
          <w:sz w:val="16"/>
          <w:szCs w:val="16"/>
        </w:rPr>
        <w:t xml:space="preserve">, </w:t>
      </w:r>
      <w:hyperlink r:id="rId123" w:history="1">
        <w:r w:rsidRPr="00201F48">
          <w:rPr>
            <w:rStyle w:val="Hyperlink"/>
            <w:rFonts w:cs="Arial"/>
            <w:sz w:val="16"/>
            <w:szCs w:val="16"/>
          </w:rPr>
          <w:t>https://www.education.govt.nz/school/new-zealands-network-of-schools/about/types-of-schools-and-year-levels/.</w:t>
        </w:r>
      </w:hyperlink>
      <w:r w:rsidRPr="00CB4F47">
        <w:rPr>
          <w:rFonts w:cs="Arial"/>
          <w:color w:val="auto"/>
          <w:sz w:val="16"/>
          <w:szCs w:val="16"/>
        </w:rPr>
        <w:t xml:space="preserve"> </w:t>
      </w:r>
    </w:p>
  </w:footnote>
  <w:footnote w:id="814">
    <w:p w14:paraId="5EF375D4" w14:textId="77777777" w:rsidR="004C3995" w:rsidRPr="00CB4F47" w:rsidRDefault="004C3995" w:rsidP="004C3995">
      <w:pPr>
        <w:pStyle w:val="FootnoteText"/>
        <w:spacing w:before="0" w:after="0" w:line="20" w:lineRule="atLeast"/>
        <w:rPr>
          <w:rFonts w:cs="Arial"/>
          <w:color w:val="auto"/>
          <w:sz w:val="16"/>
          <w:szCs w:val="16"/>
        </w:rPr>
      </w:pPr>
      <w:r w:rsidRPr="004F003B">
        <w:rPr>
          <w:rStyle w:val="StyleFootnoteReferenceFagoFunotenzeichenFagoFunotenzeichen"/>
          <w:sz w:val="16"/>
          <w:szCs w:val="16"/>
        </w:rPr>
        <w:footnoteRef/>
      </w:r>
      <w:r w:rsidRPr="00CB4F47">
        <w:rPr>
          <w:rFonts w:cs="Arial"/>
          <w:color w:val="auto"/>
          <w:sz w:val="16"/>
          <w:szCs w:val="16"/>
        </w:rPr>
        <w:t xml:space="preserve"> Ministry of Education, Response to </w:t>
      </w:r>
      <w:r w:rsidRPr="00CB4F47">
        <w:rPr>
          <w:rStyle w:val="normaltextrun"/>
          <w:rFonts w:cs="Arial"/>
          <w:color w:val="000000"/>
          <w:sz w:val="16"/>
          <w:szCs w:val="16"/>
          <w:bdr w:val="none" w:sz="0" w:space="0" w:color="auto" w:frame="1"/>
        </w:rPr>
        <w:t>Royal Commission of Inquiry into Abuse in Care</w:t>
      </w:r>
      <w:r w:rsidRPr="00CB4F47">
        <w:rPr>
          <w:rFonts w:cs="Arial"/>
          <w:color w:val="auto"/>
          <w:sz w:val="16"/>
          <w:szCs w:val="16"/>
        </w:rPr>
        <w:t xml:space="preserve"> Notice to Produce 468 (7 July 2022), page 6.</w:t>
      </w:r>
    </w:p>
  </w:footnote>
  <w:footnote w:id="815">
    <w:p w14:paraId="3CFC1E35" w14:textId="77777777" w:rsidR="004C3995" w:rsidRPr="00FC5F93" w:rsidRDefault="004C3995" w:rsidP="004C3995">
      <w:pPr>
        <w:pStyle w:val="FootnoteText"/>
        <w:spacing w:before="0" w:after="0" w:line="20" w:lineRule="atLeast"/>
        <w:rPr>
          <w:rFonts w:cs="Arial"/>
          <w:color w:val="auto"/>
          <w:sz w:val="16"/>
          <w:szCs w:val="16"/>
        </w:rPr>
      </w:pPr>
      <w:r w:rsidRPr="004F003B">
        <w:rPr>
          <w:rStyle w:val="StyleFootnoteReferenceFagoFunotenzeichenFagoFunotenzeichen"/>
          <w:sz w:val="16"/>
          <w:szCs w:val="16"/>
        </w:rPr>
        <w:footnoteRef/>
      </w:r>
      <w:r w:rsidRPr="00FC5F93">
        <w:rPr>
          <w:rFonts w:cs="Arial"/>
          <w:color w:val="auto"/>
          <w:sz w:val="16"/>
          <w:szCs w:val="16"/>
        </w:rPr>
        <w:t xml:space="preserve"> Brief of evidence of Helen Hurst for the Ministry of Education at the </w:t>
      </w:r>
      <w:r w:rsidRPr="00FC5F93">
        <w:rPr>
          <w:rFonts w:cs="Arial"/>
          <w:sz w:val="16"/>
          <w:szCs w:val="16"/>
        </w:rPr>
        <w:t xml:space="preserve">Inquiry’s </w:t>
      </w:r>
      <w:r w:rsidRPr="00FC5F93">
        <w:rPr>
          <w:rFonts w:cs="Arial"/>
          <w:color w:val="auto"/>
          <w:sz w:val="16"/>
          <w:szCs w:val="16"/>
        </w:rPr>
        <w:t>Marylands School (St John of God)</w:t>
      </w:r>
      <w:r w:rsidRPr="004F003B">
        <w:rPr>
          <w:sz w:val="16"/>
          <w:szCs w:val="16"/>
        </w:rPr>
        <w:t xml:space="preserve"> </w:t>
      </w:r>
      <w:r w:rsidRPr="00FC5F93">
        <w:rPr>
          <w:rFonts w:cs="Arial"/>
          <w:color w:val="auto"/>
          <w:sz w:val="16"/>
          <w:szCs w:val="16"/>
        </w:rPr>
        <w:t>Hearing (Royal Commission of Inquiry into Abuse in Care, 7 October 2021, para 3.19).</w:t>
      </w:r>
    </w:p>
  </w:footnote>
  <w:footnote w:id="816">
    <w:p w14:paraId="2F1FA914" w14:textId="77777777" w:rsidR="004C3995" w:rsidRPr="00FC5F93" w:rsidRDefault="004C3995" w:rsidP="004C3995">
      <w:pPr>
        <w:pStyle w:val="footnotes"/>
        <w:rPr>
          <w:rFonts w:ascii="Arial" w:hAnsi="Arial" w:cs="Arial"/>
          <w:sz w:val="16"/>
          <w:szCs w:val="16"/>
          <w:lang w:val="mi-NZ"/>
        </w:rPr>
      </w:pPr>
      <w:r w:rsidRPr="004F003B">
        <w:rPr>
          <w:rStyle w:val="StyleFootnoteReferenceFagoFunotenzeichenFagoFunotenzeichen"/>
          <w:sz w:val="16"/>
          <w:szCs w:val="16"/>
        </w:rPr>
        <w:footnoteRef/>
      </w:r>
      <w:r w:rsidRPr="00FC5F93">
        <w:rPr>
          <w:sz w:val="16"/>
          <w:szCs w:val="16"/>
        </w:rPr>
        <w:t xml:space="preserve"> </w:t>
      </w:r>
      <w:r w:rsidRPr="00FC5F93">
        <w:rPr>
          <w:rFonts w:ascii="Arial" w:hAnsi="Arial" w:cs="Arial"/>
          <w:sz w:val="16"/>
          <w:szCs w:val="16"/>
        </w:rPr>
        <w:t xml:space="preserve">Education Review Office, Evaluation of the residential behaviour schools (2008, page 11). </w:t>
      </w:r>
    </w:p>
  </w:footnote>
  <w:footnote w:id="817">
    <w:p w14:paraId="6CA6253A" w14:textId="77777777" w:rsidR="004C3995" w:rsidRPr="00FC5F93" w:rsidRDefault="004C3995" w:rsidP="004C3995">
      <w:pPr>
        <w:pStyle w:val="NoSpacing"/>
        <w:spacing w:line="20" w:lineRule="atLeast"/>
        <w:rPr>
          <w:rFonts w:ascii="Arial" w:hAnsi="Arial" w:cs="Arial"/>
          <w:color w:val="auto"/>
          <w:sz w:val="16"/>
          <w:szCs w:val="16"/>
        </w:rPr>
      </w:pPr>
      <w:r w:rsidRPr="00536E67">
        <w:rPr>
          <w:rStyle w:val="StyleFootnoteReferenceFagoFunotenzeichenFagoFunotenzeichen"/>
          <w:sz w:val="16"/>
          <w:szCs w:val="16"/>
        </w:rPr>
        <w:footnoteRef/>
      </w:r>
      <w:r w:rsidRPr="00FC5F93">
        <w:rPr>
          <w:rFonts w:ascii="Arial" w:eastAsia="Calibri" w:hAnsi="Arial" w:cs="Arial"/>
          <w:color w:val="auto"/>
          <w:sz w:val="16"/>
          <w:szCs w:val="16"/>
        </w:rPr>
        <w:t xml:space="preserve"> Cook, M, Private education:</w:t>
      </w:r>
      <w:r w:rsidRPr="00FC5F93" w:rsidDel="00140B1B">
        <w:rPr>
          <w:rFonts w:ascii="Arial" w:eastAsia="Calibri" w:hAnsi="Arial" w:cs="Arial"/>
          <w:color w:val="auto"/>
          <w:sz w:val="16"/>
          <w:szCs w:val="16"/>
        </w:rPr>
        <w:t xml:space="preserve"> </w:t>
      </w:r>
      <w:r w:rsidRPr="00FC5F93">
        <w:rPr>
          <w:rFonts w:ascii="Arial" w:eastAsia="Calibri" w:hAnsi="Arial" w:cs="Arial"/>
          <w:color w:val="auto"/>
          <w:sz w:val="16"/>
          <w:szCs w:val="16"/>
        </w:rPr>
        <w:t xml:space="preserve">Elite private schools (Te Ara – The </w:t>
      </w:r>
      <w:r w:rsidRPr="00FC5F93" w:rsidDel="00207C05">
        <w:rPr>
          <w:rFonts w:ascii="Arial" w:eastAsia="Calibri" w:hAnsi="Arial" w:cs="Arial"/>
          <w:color w:val="auto"/>
          <w:sz w:val="16"/>
          <w:szCs w:val="16"/>
        </w:rPr>
        <w:t>Encyclopedia</w:t>
      </w:r>
      <w:r w:rsidRPr="00FC5F93">
        <w:rPr>
          <w:rFonts w:ascii="Arial" w:eastAsia="Calibri" w:hAnsi="Arial" w:cs="Arial"/>
          <w:color w:val="auto"/>
          <w:sz w:val="16"/>
          <w:szCs w:val="16"/>
        </w:rPr>
        <w:t xml:space="preserve"> of New Zealand, 2012, page 3), </w:t>
      </w:r>
      <w:hyperlink r:id="rId124" w:history="1">
        <w:r w:rsidRPr="00FC5F93">
          <w:rPr>
            <w:rStyle w:val="Hyperlink"/>
            <w:rFonts w:ascii="Arial" w:eastAsia="Calibri" w:hAnsi="Arial" w:cs="Arial"/>
            <w:sz w:val="16"/>
            <w:szCs w:val="16"/>
          </w:rPr>
          <w:t>https://teara.govt.nz/en/private-education/page-3</w:t>
        </w:r>
      </w:hyperlink>
      <w:r w:rsidRPr="00FC5F93">
        <w:rPr>
          <w:rFonts w:ascii="Arial" w:eastAsia="Calibri" w:hAnsi="Arial" w:cs="Arial"/>
          <w:color w:val="auto"/>
          <w:sz w:val="16"/>
          <w:szCs w:val="16"/>
        </w:rPr>
        <w:t xml:space="preserve">. </w:t>
      </w:r>
    </w:p>
  </w:footnote>
  <w:footnote w:id="818">
    <w:p w14:paraId="3CEF0E6B" w14:textId="77777777" w:rsidR="004C3995" w:rsidRPr="00FC5F93" w:rsidRDefault="004C3995" w:rsidP="004C3995">
      <w:pPr>
        <w:pStyle w:val="NoSpacing"/>
        <w:spacing w:line="20" w:lineRule="atLeast"/>
        <w:rPr>
          <w:rFonts w:ascii="Arial" w:hAnsi="Arial" w:cs="Arial"/>
          <w:color w:val="000000" w:themeColor="text1"/>
          <w:sz w:val="16"/>
          <w:szCs w:val="16"/>
        </w:rPr>
      </w:pPr>
      <w:r w:rsidRPr="00536E67">
        <w:rPr>
          <w:rStyle w:val="StyleFootnoteReferenceFagoFunotenzeichenFagoFunotenzeichen"/>
          <w:sz w:val="16"/>
          <w:szCs w:val="16"/>
        </w:rPr>
        <w:footnoteRef/>
      </w:r>
      <w:r w:rsidRPr="00FC5F93">
        <w:rPr>
          <w:rFonts w:ascii="Arial" w:hAnsi="Arial" w:cs="Arial"/>
          <w:color w:val="auto"/>
          <w:sz w:val="16"/>
          <w:szCs w:val="16"/>
        </w:rPr>
        <w:t xml:space="preserve"> </w:t>
      </w:r>
      <w:r w:rsidRPr="00FC5F93">
        <w:rPr>
          <w:rStyle w:val="normaltextrun"/>
          <w:rFonts w:ascii="Arial" w:hAnsi="Arial" w:cs="Arial"/>
          <w:color w:val="auto"/>
          <w:sz w:val="16"/>
          <w:szCs w:val="16"/>
        </w:rPr>
        <w:t>T</w:t>
      </w:r>
      <w:r w:rsidRPr="00FC5F93">
        <w:rPr>
          <w:rFonts w:ascii="Arial" w:eastAsia="Arial" w:hAnsi="Arial" w:cs="Arial"/>
          <w:color w:val="auto"/>
          <w:sz w:val="16"/>
          <w:szCs w:val="16"/>
        </w:rPr>
        <w:t>ennant, M, The fabric of welfare: Voluntary organisations, government and welfare in New Zealand, 1840–</w:t>
      </w:r>
      <w:r w:rsidRPr="00FC5F93">
        <w:rPr>
          <w:rFonts w:ascii="Arial" w:eastAsia="Arial" w:hAnsi="Arial" w:cs="Arial"/>
          <w:color w:val="000000" w:themeColor="text1"/>
          <w:sz w:val="16"/>
          <w:szCs w:val="16"/>
        </w:rPr>
        <w:t>2005 (Bridget Williams Books, 2007</w:t>
      </w:r>
      <w:r w:rsidRPr="00FC5F93">
        <w:rPr>
          <w:rStyle w:val="normaltextrun"/>
          <w:rFonts w:ascii="Arial" w:hAnsi="Arial" w:cs="Arial"/>
          <w:color w:val="000000" w:themeColor="text1"/>
          <w:sz w:val="16"/>
          <w:szCs w:val="16"/>
        </w:rPr>
        <w:t xml:space="preserve">, </w:t>
      </w:r>
      <w:r w:rsidRPr="00FC5F93">
        <w:rPr>
          <w:rFonts w:ascii="Arial" w:hAnsi="Arial" w:cs="Arial"/>
          <w:color w:val="auto"/>
          <w:sz w:val="16"/>
          <w:szCs w:val="16"/>
        </w:rPr>
        <w:t>page</w:t>
      </w:r>
      <w:r w:rsidRPr="00FC5F93">
        <w:rPr>
          <w:rStyle w:val="normaltextrun"/>
          <w:rFonts w:ascii="Arial" w:hAnsi="Arial" w:cs="Arial"/>
          <w:color w:val="000000" w:themeColor="text1"/>
          <w:sz w:val="16"/>
          <w:szCs w:val="16"/>
        </w:rPr>
        <w:t xml:space="preserve"> 107).</w:t>
      </w:r>
    </w:p>
  </w:footnote>
  <w:footnote w:id="819">
    <w:p w14:paraId="3A08EB86" w14:textId="77777777" w:rsidR="004C3995" w:rsidRPr="00FC5F93" w:rsidRDefault="004C3995" w:rsidP="004C3995">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Witness statement of Reverend Tara Tautari on behalf of the Methodist Church of New Zealand (1 July 2022, page 7).</w:t>
      </w:r>
    </w:p>
  </w:footnote>
  <w:footnote w:id="820">
    <w:p w14:paraId="0340468E" w14:textId="77777777" w:rsidR="004C3995" w:rsidRPr="00536E67" w:rsidRDefault="004C3995" w:rsidP="004C3995">
      <w:pPr>
        <w:pStyle w:val="FootnoteText"/>
        <w:rPr>
          <w:sz w:val="16"/>
          <w:szCs w:val="16"/>
        </w:rPr>
      </w:pPr>
      <w:r w:rsidRPr="00536E67">
        <w:rPr>
          <w:rStyle w:val="StyleFootnoteReferenceFagoFunotenzeichenFagoFunotenzeichen"/>
          <w:sz w:val="16"/>
          <w:szCs w:val="16"/>
        </w:rPr>
        <w:footnoteRef/>
      </w:r>
      <w:r w:rsidRPr="00536E67">
        <w:rPr>
          <w:sz w:val="16"/>
          <w:szCs w:val="16"/>
        </w:rPr>
        <w:t xml:space="preserve"> </w:t>
      </w:r>
      <w:r w:rsidRPr="00FC5F93">
        <w:rPr>
          <w:rFonts w:cs="Arial"/>
          <w:color w:val="auto"/>
          <w:sz w:val="16"/>
          <w:szCs w:val="16"/>
        </w:rPr>
        <w:t xml:space="preserve">Presbyterian Church, Response to </w:t>
      </w:r>
      <w:r w:rsidRPr="00FC5F93">
        <w:rPr>
          <w:rStyle w:val="normaltextrun"/>
          <w:rFonts w:cs="Arial"/>
          <w:sz w:val="16"/>
          <w:szCs w:val="16"/>
          <w:bdr w:val="none" w:sz="0" w:space="0" w:color="auto" w:frame="1"/>
        </w:rPr>
        <w:t xml:space="preserve">Royal Commission of Inquiry into Abuse in Care </w:t>
      </w:r>
      <w:r w:rsidRPr="00FC5F93">
        <w:rPr>
          <w:rFonts w:cs="Arial"/>
          <w:color w:val="auto"/>
          <w:sz w:val="16"/>
          <w:szCs w:val="16"/>
        </w:rPr>
        <w:t>Notice to Produce 286 (30 November 2021, pages 2–3).</w:t>
      </w:r>
    </w:p>
  </w:footnote>
  <w:footnote w:id="821">
    <w:p w14:paraId="53DF6504" w14:textId="77777777" w:rsidR="004C3995" w:rsidRPr="00FC5F93" w:rsidRDefault="004C3995" w:rsidP="004C3995">
      <w:pPr>
        <w:pStyle w:val="FootnoteText"/>
        <w:rPr>
          <w:sz w:val="16"/>
          <w:szCs w:val="16"/>
        </w:rPr>
      </w:pPr>
      <w:r w:rsidRPr="00536E67">
        <w:rPr>
          <w:rStyle w:val="StyleFootnoteReferenceFagoFunotenzeichenFagoFunotenzeichen"/>
          <w:sz w:val="16"/>
          <w:szCs w:val="16"/>
        </w:rPr>
        <w:footnoteRef/>
      </w:r>
      <w:r w:rsidRPr="00FC5F93">
        <w:rPr>
          <w:sz w:val="16"/>
          <w:szCs w:val="16"/>
        </w:rPr>
        <w:t xml:space="preserve"> The</w:t>
      </w:r>
      <w:r w:rsidRPr="00FC5F93" w:rsidDel="001141D1">
        <w:rPr>
          <w:sz w:val="16"/>
          <w:szCs w:val="16"/>
        </w:rPr>
        <w:t xml:space="preserve"> </w:t>
      </w:r>
      <w:r w:rsidRPr="00FC5F93">
        <w:rPr>
          <w:sz w:val="16"/>
          <w:szCs w:val="16"/>
        </w:rPr>
        <w:t>10 Māori denominational boarding schools in 1910 were as follows. For boys: Te Aute College</w:t>
      </w:r>
      <w:r>
        <w:rPr>
          <w:sz w:val="16"/>
          <w:szCs w:val="16"/>
        </w:rPr>
        <w:t xml:space="preserve"> (</w:t>
      </w:r>
      <w:r w:rsidRPr="00FC5F93">
        <w:rPr>
          <w:sz w:val="16"/>
          <w:szCs w:val="16"/>
        </w:rPr>
        <w:t>Hawke’s Bay</w:t>
      </w:r>
      <w:r>
        <w:rPr>
          <w:sz w:val="16"/>
          <w:szCs w:val="16"/>
        </w:rPr>
        <w:t>),</w:t>
      </w:r>
      <w:r w:rsidRPr="00FC5F93">
        <w:rPr>
          <w:sz w:val="16"/>
          <w:szCs w:val="16"/>
        </w:rPr>
        <w:t xml:space="preserve"> St Stephen’s Boys’ School</w:t>
      </w:r>
      <w:r>
        <w:rPr>
          <w:sz w:val="16"/>
          <w:szCs w:val="16"/>
        </w:rPr>
        <w:t xml:space="preserve"> (Auckland),</w:t>
      </w:r>
      <w:r w:rsidRPr="00FC5F93">
        <w:rPr>
          <w:sz w:val="16"/>
          <w:szCs w:val="16"/>
        </w:rPr>
        <w:t xml:space="preserve"> Waerenga-a-hika College</w:t>
      </w:r>
      <w:r>
        <w:rPr>
          <w:sz w:val="16"/>
          <w:szCs w:val="16"/>
        </w:rPr>
        <w:t xml:space="preserve"> (near </w:t>
      </w:r>
      <w:r w:rsidRPr="00FC5F93">
        <w:rPr>
          <w:sz w:val="16"/>
          <w:szCs w:val="16"/>
        </w:rPr>
        <w:t>Gisborne</w:t>
      </w:r>
      <w:r>
        <w:rPr>
          <w:sz w:val="16"/>
          <w:szCs w:val="16"/>
        </w:rPr>
        <w:t>),</w:t>
      </w:r>
      <w:r w:rsidRPr="00FC5F93">
        <w:rPr>
          <w:sz w:val="16"/>
          <w:szCs w:val="16"/>
        </w:rPr>
        <w:t xml:space="preserve"> Hikurangi College </w:t>
      </w:r>
      <w:r w:rsidRPr="00CE0E88">
        <w:rPr>
          <w:sz w:val="16"/>
          <w:szCs w:val="16"/>
        </w:rPr>
        <w:t>(</w:t>
      </w:r>
      <w:r w:rsidRPr="00FC5F93">
        <w:rPr>
          <w:sz w:val="16"/>
          <w:szCs w:val="16"/>
        </w:rPr>
        <w:t>Wairarapa</w:t>
      </w:r>
      <w:r>
        <w:rPr>
          <w:sz w:val="16"/>
          <w:szCs w:val="16"/>
        </w:rPr>
        <w:t>)</w:t>
      </w:r>
      <w:r w:rsidRPr="00FC5F93">
        <w:rPr>
          <w:sz w:val="16"/>
          <w:szCs w:val="16"/>
        </w:rPr>
        <w:t>. For girls: Hukarere Protestant Girls’ School</w:t>
      </w:r>
      <w:r>
        <w:rPr>
          <w:sz w:val="16"/>
          <w:szCs w:val="16"/>
        </w:rPr>
        <w:t xml:space="preserve"> (</w:t>
      </w:r>
      <w:r w:rsidRPr="00FC5F93">
        <w:rPr>
          <w:sz w:val="16"/>
          <w:szCs w:val="16"/>
        </w:rPr>
        <w:t>Napier</w:t>
      </w:r>
      <w:r>
        <w:rPr>
          <w:sz w:val="16"/>
          <w:szCs w:val="16"/>
        </w:rPr>
        <w:t>)</w:t>
      </w:r>
      <w:r w:rsidRPr="00FC5F93">
        <w:rPr>
          <w:sz w:val="16"/>
          <w:szCs w:val="16"/>
        </w:rPr>
        <w:t xml:space="preserve"> St Joseph’s Roman Catholic Girls’ School</w:t>
      </w:r>
      <w:r>
        <w:rPr>
          <w:sz w:val="16"/>
          <w:szCs w:val="16"/>
        </w:rPr>
        <w:t xml:space="preserve"> (</w:t>
      </w:r>
      <w:r w:rsidRPr="00FC5F93">
        <w:rPr>
          <w:sz w:val="16"/>
          <w:szCs w:val="16"/>
        </w:rPr>
        <w:t>Napier</w:t>
      </w:r>
      <w:r>
        <w:rPr>
          <w:sz w:val="16"/>
          <w:szCs w:val="16"/>
        </w:rPr>
        <w:t>),</w:t>
      </w:r>
      <w:r w:rsidRPr="00FC5F93">
        <w:rPr>
          <w:sz w:val="16"/>
          <w:szCs w:val="16"/>
        </w:rPr>
        <w:t xml:space="preserve"> Queen Victoria School for Māori Girls</w:t>
      </w:r>
      <w:r>
        <w:rPr>
          <w:sz w:val="16"/>
          <w:szCs w:val="16"/>
        </w:rPr>
        <w:t xml:space="preserve"> (</w:t>
      </w:r>
      <w:r w:rsidRPr="00FC5F93">
        <w:rPr>
          <w:sz w:val="16"/>
          <w:szCs w:val="16"/>
        </w:rPr>
        <w:t>Auckland</w:t>
      </w:r>
      <w:r>
        <w:rPr>
          <w:sz w:val="16"/>
          <w:szCs w:val="16"/>
        </w:rPr>
        <w:t>)</w:t>
      </w:r>
      <w:r w:rsidRPr="00FC5F93">
        <w:rPr>
          <w:sz w:val="16"/>
          <w:szCs w:val="16"/>
        </w:rPr>
        <w:t>, Turakina Māori Girls’ School</w:t>
      </w:r>
      <w:r>
        <w:rPr>
          <w:sz w:val="16"/>
          <w:szCs w:val="16"/>
        </w:rPr>
        <w:t xml:space="preserve"> (</w:t>
      </w:r>
      <w:r w:rsidRPr="00FC5F93">
        <w:rPr>
          <w:sz w:val="16"/>
          <w:szCs w:val="16"/>
        </w:rPr>
        <w:t>Marton</w:t>
      </w:r>
      <w:r>
        <w:rPr>
          <w:sz w:val="16"/>
          <w:szCs w:val="16"/>
        </w:rPr>
        <w:t>)</w:t>
      </w:r>
      <w:r w:rsidRPr="00FC5F93">
        <w:rPr>
          <w:sz w:val="16"/>
          <w:szCs w:val="16"/>
        </w:rPr>
        <w:t xml:space="preserve"> and Te Waipounamu College</w:t>
      </w:r>
      <w:r>
        <w:rPr>
          <w:sz w:val="16"/>
          <w:szCs w:val="16"/>
        </w:rPr>
        <w:t xml:space="preserve"> (</w:t>
      </w:r>
      <w:r w:rsidRPr="00FC5F93">
        <w:rPr>
          <w:sz w:val="16"/>
          <w:szCs w:val="16"/>
        </w:rPr>
        <w:t>near Christchurch</w:t>
      </w:r>
      <w:r>
        <w:rPr>
          <w:sz w:val="16"/>
          <w:szCs w:val="16"/>
        </w:rPr>
        <w:t>),</w:t>
      </w:r>
      <w:r w:rsidRPr="00FC5F93" w:rsidDel="00C70A25">
        <w:rPr>
          <w:sz w:val="16"/>
          <w:szCs w:val="16"/>
        </w:rPr>
        <w:t xml:space="preserve"> </w:t>
      </w:r>
      <w:r w:rsidRPr="00FC5F93">
        <w:rPr>
          <w:sz w:val="16"/>
          <w:szCs w:val="16"/>
        </w:rPr>
        <w:t>Department of Education, “Education: Native Schools,” AJHR, E-3 (1911, page 10).</w:t>
      </w:r>
    </w:p>
  </w:footnote>
  <w:footnote w:id="822">
    <w:p w14:paraId="3C332379" w14:textId="77777777" w:rsidR="004C3995" w:rsidRPr="00FC5F93" w:rsidRDefault="004C3995" w:rsidP="004C3995">
      <w:pPr>
        <w:pStyle w:val="FootnoteText"/>
        <w:spacing w:before="0" w:after="0" w:line="20" w:lineRule="atLeast"/>
        <w:rPr>
          <w:rFonts w:cs="Arial"/>
          <w:color w:val="auto"/>
          <w:sz w:val="16"/>
          <w:szCs w:val="16"/>
          <w:lang w:val="mi-NZ"/>
        </w:rPr>
      </w:pPr>
      <w:r w:rsidRPr="00536E67">
        <w:rPr>
          <w:rStyle w:val="StyleFootnoteReferenceFagoFunotenzeichenFagoFunotenzeichen"/>
          <w:sz w:val="16"/>
          <w:szCs w:val="16"/>
        </w:rPr>
        <w:footnoteRef/>
      </w:r>
      <w:r w:rsidRPr="00FC5F93">
        <w:rPr>
          <w:rFonts w:cs="Arial"/>
          <w:color w:val="auto"/>
          <w:sz w:val="16"/>
          <w:szCs w:val="16"/>
        </w:rPr>
        <w:t xml:space="preserve"> </w:t>
      </w:r>
      <w:r w:rsidRPr="00FC5F93">
        <w:rPr>
          <w:rFonts w:cs="Arial"/>
          <w:color w:val="auto"/>
          <w:sz w:val="16"/>
          <w:szCs w:val="16"/>
          <w:lang w:val="mi-NZ"/>
        </w:rPr>
        <w:t>Calman, R, Māori education – mātauranga:</w:t>
      </w:r>
      <w:r w:rsidRPr="00FC5F93" w:rsidDel="00654C78">
        <w:rPr>
          <w:rFonts w:cs="Arial"/>
          <w:color w:val="auto"/>
          <w:sz w:val="16"/>
          <w:szCs w:val="16"/>
          <w:lang w:val="mi-NZ"/>
        </w:rPr>
        <w:t xml:space="preserve"> </w:t>
      </w:r>
      <w:r w:rsidRPr="00FC5F93">
        <w:rPr>
          <w:rFonts w:cs="Arial"/>
          <w:color w:val="auto"/>
          <w:sz w:val="16"/>
          <w:szCs w:val="16"/>
          <w:lang w:val="mi-NZ"/>
        </w:rPr>
        <w:t>Māori church boarding schools</w:t>
      </w:r>
      <w:r w:rsidRPr="00FC5F93" w:rsidDel="00654C78">
        <w:rPr>
          <w:rFonts w:cs="Arial"/>
          <w:color w:val="auto"/>
          <w:sz w:val="16"/>
          <w:szCs w:val="16"/>
          <w:lang w:val="mi-NZ"/>
        </w:rPr>
        <w:t xml:space="preserve"> </w:t>
      </w:r>
      <w:r w:rsidRPr="00FC5F93">
        <w:rPr>
          <w:rFonts w:cs="Arial"/>
          <w:color w:val="auto"/>
          <w:sz w:val="16"/>
          <w:szCs w:val="16"/>
          <w:lang w:val="mi-NZ"/>
        </w:rPr>
        <w:t xml:space="preserve">(Te Ara – The </w:t>
      </w:r>
      <w:r w:rsidRPr="00FC5F93" w:rsidDel="00207C05">
        <w:rPr>
          <w:rFonts w:cs="Arial"/>
          <w:color w:val="auto"/>
          <w:sz w:val="16"/>
          <w:szCs w:val="16"/>
          <w:lang w:val="mi-NZ"/>
        </w:rPr>
        <w:t>Encyclopedia</w:t>
      </w:r>
      <w:r w:rsidRPr="00FC5F93">
        <w:rPr>
          <w:rFonts w:cs="Arial"/>
          <w:color w:val="auto"/>
          <w:sz w:val="16"/>
          <w:szCs w:val="16"/>
          <w:lang w:val="mi-NZ"/>
        </w:rPr>
        <w:t xml:space="preserve"> of New Zealand, 2012, page 4), </w:t>
      </w:r>
      <w:hyperlink r:id="rId125" w:history="1">
        <w:r w:rsidRPr="00FC5F93">
          <w:rPr>
            <w:rStyle w:val="Hyperlink"/>
            <w:rFonts w:cs="Arial"/>
            <w:sz w:val="16"/>
            <w:szCs w:val="16"/>
            <w:lang w:val="mi-NZ"/>
          </w:rPr>
          <w:t>https://teara.govt.nz/en/maori-education-matauranga/page-4</w:t>
        </w:r>
      </w:hyperlink>
      <w:r w:rsidRPr="00FC5F93">
        <w:rPr>
          <w:rFonts w:cs="Arial"/>
          <w:color w:val="auto"/>
          <w:sz w:val="16"/>
          <w:szCs w:val="16"/>
          <w:lang w:val="mi-NZ"/>
        </w:rPr>
        <w:t>.</w:t>
      </w:r>
    </w:p>
  </w:footnote>
  <w:footnote w:id="823">
    <w:p w14:paraId="10E49B59" w14:textId="77777777" w:rsidR="004C3995" w:rsidRPr="00FC5F93" w:rsidRDefault="004C3995" w:rsidP="004C3995">
      <w:pPr>
        <w:pStyle w:val="FootnoteText"/>
        <w:rPr>
          <w:sz w:val="16"/>
          <w:szCs w:val="16"/>
        </w:rPr>
      </w:pPr>
      <w:r w:rsidRPr="00536E67">
        <w:rPr>
          <w:rStyle w:val="StyleFootnoteReferenceFagoFunotenzeichenFagoFunotenzeichen"/>
          <w:sz w:val="16"/>
          <w:szCs w:val="16"/>
        </w:rPr>
        <w:footnoteRef/>
      </w:r>
      <w:r w:rsidRPr="00FC5F93" w:rsidDel="008C4C25">
        <w:rPr>
          <w:sz w:val="16"/>
          <w:szCs w:val="16"/>
        </w:rPr>
        <w:t xml:space="preserve"> </w:t>
      </w:r>
      <w:r w:rsidRPr="00FC5F93">
        <w:rPr>
          <w:sz w:val="16"/>
          <w:szCs w:val="16"/>
        </w:rPr>
        <w:t>They were Te Aute</w:t>
      </w:r>
      <w:r>
        <w:rPr>
          <w:sz w:val="16"/>
          <w:szCs w:val="16"/>
        </w:rPr>
        <w:t xml:space="preserve"> College</w:t>
      </w:r>
      <w:r w:rsidRPr="00FC5F93">
        <w:rPr>
          <w:sz w:val="16"/>
          <w:szCs w:val="16"/>
        </w:rPr>
        <w:t xml:space="preserve"> (Hawke’s Bay), St Stephen</w:t>
      </w:r>
      <w:r>
        <w:rPr>
          <w:sz w:val="16"/>
          <w:szCs w:val="16"/>
        </w:rPr>
        <w:t>’</w:t>
      </w:r>
      <w:r w:rsidRPr="00FC5F93">
        <w:rPr>
          <w:sz w:val="16"/>
          <w:szCs w:val="16"/>
        </w:rPr>
        <w:t xml:space="preserve">s </w:t>
      </w:r>
      <w:r>
        <w:rPr>
          <w:sz w:val="16"/>
          <w:szCs w:val="16"/>
        </w:rPr>
        <w:t xml:space="preserve">School </w:t>
      </w:r>
      <w:r w:rsidRPr="00FC5F93">
        <w:rPr>
          <w:sz w:val="16"/>
          <w:szCs w:val="16"/>
        </w:rPr>
        <w:t>(Auckland), Queen Victoria</w:t>
      </w:r>
      <w:r>
        <w:rPr>
          <w:sz w:val="16"/>
          <w:szCs w:val="16"/>
        </w:rPr>
        <w:t xml:space="preserve"> </w:t>
      </w:r>
      <w:r w:rsidRPr="00927F5B">
        <w:rPr>
          <w:sz w:val="16"/>
          <w:szCs w:val="16"/>
        </w:rPr>
        <w:t>Māori Girls</w:t>
      </w:r>
      <w:r>
        <w:rPr>
          <w:sz w:val="16"/>
          <w:szCs w:val="16"/>
        </w:rPr>
        <w:t>’</w:t>
      </w:r>
      <w:r w:rsidRPr="00927F5B">
        <w:rPr>
          <w:sz w:val="16"/>
          <w:szCs w:val="16"/>
        </w:rPr>
        <w:t xml:space="preserve"> Boarding School</w:t>
      </w:r>
      <w:r w:rsidRPr="00FC5F93">
        <w:rPr>
          <w:sz w:val="16"/>
          <w:szCs w:val="16"/>
        </w:rPr>
        <w:t xml:space="preserve"> (Auckland)</w:t>
      </w:r>
      <w:r>
        <w:rPr>
          <w:sz w:val="16"/>
          <w:szCs w:val="16"/>
        </w:rPr>
        <w:t>,</w:t>
      </w:r>
      <w:r w:rsidRPr="00FC5F93">
        <w:rPr>
          <w:sz w:val="16"/>
          <w:szCs w:val="16"/>
        </w:rPr>
        <w:t xml:space="preserve"> St Joseph’s Māori Girls</w:t>
      </w:r>
      <w:r>
        <w:rPr>
          <w:sz w:val="16"/>
          <w:szCs w:val="16"/>
        </w:rPr>
        <w:t>’ College</w:t>
      </w:r>
      <w:r w:rsidRPr="00FC5F93">
        <w:rPr>
          <w:sz w:val="16"/>
          <w:szCs w:val="16"/>
        </w:rPr>
        <w:t xml:space="preserve"> (Napier), Hato P</w:t>
      </w:r>
      <w:r w:rsidRPr="00FC5F93">
        <w:rPr>
          <w:rFonts w:cs="Arial"/>
          <w:sz w:val="16"/>
          <w:szCs w:val="16"/>
        </w:rPr>
        <w:t>ā</w:t>
      </w:r>
      <w:r w:rsidRPr="00FC5F93">
        <w:rPr>
          <w:sz w:val="16"/>
          <w:szCs w:val="16"/>
        </w:rPr>
        <w:t>ora College (Feilding), Hato P</w:t>
      </w:r>
      <w:r w:rsidRPr="00FC5F93">
        <w:rPr>
          <w:rFonts w:cs="Arial"/>
          <w:sz w:val="16"/>
          <w:szCs w:val="16"/>
        </w:rPr>
        <w:t>ē</w:t>
      </w:r>
      <w:r w:rsidRPr="00FC5F93">
        <w:rPr>
          <w:sz w:val="16"/>
          <w:szCs w:val="16"/>
        </w:rPr>
        <w:t xml:space="preserve">tera </w:t>
      </w:r>
      <w:r>
        <w:rPr>
          <w:sz w:val="16"/>
          <w:szCs w:val="16"/>
        </w:rPr>
        <w:t xml:space="preserve">College </w:t>
      </w:r>
      <w:r w:rsidRPr="00FC5F93">
        <w:rPr>
          <w:sz w:val="16"/>
          <w:szCs w:val="16"/>
        </w:rPr>
        <w:t>(Auckland)</w:t>
      </w:r>
      <w:r>
        <w:rPr>
          <w:sz w:val="16"/>
          <w:szCs w:val="16"/>
        </w:rPr>
        <w:t>, Hukarere Girls’ College (Napier) and</w:t>
      </w:r>
      <w:r w:rsidRPr="00FC5F93">
        <w:rPr>
          <w:sz w:val="16"/>
          <w:szCs w:val="16"/>
        </w:rPr>
        <w:t xml:space="preserve"> Turakina</w:t>
      </w:r>
      <w:r>
        <w:rPr>
          <w:sz w:val="16"/>
          <w:szCs w:val="16"/>
        </w:rPr>
        <w:t xml:space="preserve"> </w:t>
      </w:r>
      <w:r w:rsidRPr="00927F5B">
        <w:rPr>
          <w:sz w:val="16"/>
          <w:szCs w:val="16"/>
        </w:rPr>
        <w:t>Māori Girls’ College</w:t>
      </w:r>
      <w:r w:rsidRPr="00FC5F93">
        <w:rPr>
          <w:sz w:val="16"/>
          <w:szCs w:val="16"/>
        </w:rPr>
        <w:t xml:space="preserve"> (Marton). Remaining open today are St Joseph’s, </w:t>
      </w:r>
      <w:r>
        <w:rPr>
          <w:sz w:val="16"/>
          <w:szCs w:val="16"/>
        </w:rPr>
        <w:t xml:space="preserve">Hukarere, </w:t>
      </w:r>
      <w:r w:rsidRPr="00FC5F93">
        <w:rPr>
          <w:sz w:val="16"/>
          <w:szCs w:val="16"/>
        </w:rPr>
        <w:t>Te Aute and Hato Pāora.</w:t>
      </w:r>
    </w:p>
  </w:footnote>
  <w:footnote w:id="824">
    <w:p w14:paraId="2D285643" w14:textId="77777777" w:rsidR="004C3995" w:rsidRPr="00FC5F93" w:rsidRDefault="004C3995" w:rsidP="004C3995">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w:t>
      </w:r>
      <w:r w:rsidRPr="00FC5F93">
        <w:rPr>
          <w:rFonts w:eastAsia="Calibri" w:cs="Arial"/>
          <w:color w:val="auto"/>
          <w:sz w:val="16"/>
          <w:szCs w:val="16"/>
        </w:rPr>
        <w:t>Complaints Assessment Committee v Faithful Pilgrim [2022] NZTDT 2021/35,</w:t>
      </w:r>
      <w:r w:rsidRPr="00FC5F93" w:rsidDel="00180CDB">
        <w:rPr>
          <w:rFonts w:eastAsia="Calibri" w:cs="Arial"/>
          <w:color w:val="auto"/>
          <w:sz w:val="16"/>
          <w:szCs w:val="16"/>
        </w:rPr>
        <w:t xml:space="preserve"> </w:t>
      </w:r>
      <w:r w:rsidRPr="00FC5F93">
        <w:rPr>
          <w:rFonts w:eastAsia="Calibri" w:cs="Arial"/>
          <w:color w:val="auto"/>
          <w:sz w:val="16"/>
          <w:szCs w:val="16"/>
        </w:rPr>
        <w:t xml:space="preserve">para 3. </w:t>
      </w:r>
    </w:p>
  </w:footnote>
  <w:footnote w:id="825">
    <w:p w14:paraId="7F821344" w14:textId="77777777" w:rsidR="004C3995" w:rsidRPr="00FC5F93" w:rsidRDefault="004C3995" w:rsidP="004C3995">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w:t>
      </w:r>
      <w:r w:rsidRPr="00FC5F93">
        <w:rPr>
          <w:rFonts w:cs="Arial"/>
          <w:sz w:val="16"/>
          <w:szCs w:val="16"/>
        </w:rPr>
        <w:t xml:space="preserve">Brief of evidence of </w:t>
      </w:r>
      <w:r w:rsidRPr="00FC5F93">
        <w:rPr>
          <w:rFonts w:cs="Arial"/>
          <w:color w:val="auto"/>
          <w:sz w:val="16"/>
          <w:szCs w:val="16"/>
        </w:rPr>
        <w:t xml:space="preserve">Secretary for Education and Chief Executive </w:t>
      </w:r>
      <w:r w:rsidRPr="00FC5F93">
        <w:rPr>
          <w:rFonts w:cs="Arial"/>
          <w:sz w:val="16"/>
          <w:szCs w:val="16"/>
        </w:rPr>
        <w:t xml:space="preserve">Iona Holsted for the Ministry of Education at the Inquiry’s State Institutional Response Hearing (Royal Commission of Inquiry into Abuse in Care, 8 August 2022, </w:t>
      </w:r>
      <w:r w:rsidRPr="00FC5F93">
        <w:rPr>
          <w:rFonts w:eastAsia="Roboto" w:cs="Arial"/>
          <w:color w:val="auto"/>
          <w:sz w:val="16"/>
          <w:szCs w:val="16"/>
        </w:rPr>
        <w:t>page 41).</w:t>
      </w:r>
    </w:p>
  </w:footnote>
  <w:footnote w:id="826">
    <w:p w14:paraId="3C2A0A1F" w14:textId="77777777" w:rsidR="004C3995" w:rsidRPr="00FC5F93" w:rsidRDefault="004C3995" w:rsidP="004C3995">
      <w:pPr>
        <w:pStyle w:val="FootnoteText"/>
        <w:spacing w:before="0" w:after="0" w:line="20" w:lineRule="atLeast"/>
        <w:rPr>
          <w:rFonts w:cs="Arial"/>
          <w:color w:val="auto"/>
          <w:sz w:val="16"/>
          <w:szCs w:val="16"/>
        </w:rPr>
      </w:pPr>
      <w:r w:rsidRPr="00536E67">
        <w:rPr>
          <w:rStyle w:val="StyleFootnoteReferenceFagoFunotenzeichenFagoFunotenzeichen"/>
          <w:sz w:val="16"/>
          <w:szCs w:val="16"/>
        </w:rPr>
        <w:footnoteRef/>
      </w:r>
      <w:r w:rsidRPr="00FC5F93">
        <w:rPr>
          <w:rFonts w:cs="Arial"/>
          <w:color w:val="auto"/>
          <w:sz w:val="16"/>
          <w:szCs w:val="16"/>
        </w:rPr>
        <w:t xml:space="preserve"> Notes from meeting with representatives of the Plymouth Brethren Christian Church</w:t>
      </w:r>
      <w:r w:rsidRPr="00FC5F93" w:rsidDel="008B1F4D">
        <w:rPr>
          <w:rFonts w:cs="Arial"/>
          <w:color w:val="auto"/>
          <w:sz w:val="16"/>
          <w:szCs w:val="16"/>
        </w:rPr>
        <w:t xml:space="preserve"> (</w:t>
      </w:r>
      <w:r w:rsidRPr="00FC5F93">
        <w:rPr>
          <w:rFonts w:cs="Arial"/>
          <w:color w:val="auto"/>
          <w:sz w:val="16"/>
          <w:szCs w:val="16"/>
        </w:rPr>
        <w:t>29 November 2022); Plymouth Brethren Christian Church</w:t>
      </w:r>
      <w:r w:rsidRPr="00FC5F93">
        <w:rPr>
          <w:rFonts w:cs="Arial"/>
          <w:sz w:val="16"/>
          <w:szCs w:val="16"/>
        </w:rPr>
        <w:t xml:space="preserve">, </w:t>
      </w:r>
      <w:r w:rsidRPr="00FC5F93">
        <w:rPr>
          <w:rStyle w:val="normaltextrun"/>
          <w:rFonts w:cs="Arial"/>
          <w:color w:val="000000"/>
          <w:sz w:val="16"/>
          <w:szCs w:val="16"/>
          <w:bdr w:val="none" w:sz="0" w:space="0" w:color="auto" w:frame="1"/>
        </w:rPr>
        <w:t xml:space="preserve">Response to </w:t>
      </w:r>
      <w:r w:rsidRPr="00FC5F93">
        <w:rPr>
          <w:rFonts w:cs="Arial"/>
          <w:color w:val="auto"/>
          <w:sz w:val="16"/>
          <w:szCs w:val="16"/>
        </w:rPr>
        <w:t>Royal Commission of Inquiry into Abuse in Care</w:t>
      </w:r>
      <w:r w:rsidRPr="00FC5F93">
        <w:rPr>
          <w:rStyle w:val="normaltextrun"/>
          <w:rFonts w:cs="Arial"/>
          <w:color w:val="auto"/>
          <w:sz w:val="16"/>
          <w:szCs w:val="16"/>
          <w:bdr w:val="none" w:sz="0" w:space="0" w:color="auto" w:frame="1"/>
        </w:rPr>
        <w:t xml:space="preserve"> Notice to Produce No 1 (23 April 2021, </w:t>
      </w:r>
      <w:r w:rsidRPr="00FC5F93">
        <w:rPr>
          <w:rFonts w:eastAsia="Calibri" w:cs="Arial"/>
          <w:color w:val="auto"/>
          <w:sz w:val="16"/>
          <w:szCs w:val="16"/>
        </w:rPr>
        <w:t>page 3).</w:t>
      </w:r>
    </w:p>
  </w:footnote>
  <w:footnote w:id="827">
    <w:p w14:paraId="33D308D3" w14:textId="77777777" w:rsidR="004C3995" w:rsidRPr="00FC5F93" w:rsidRDefault="004C3995" w:rsidP="004C3995">
      <w:pPr>
        <w:pStyle w:val="NoSpacing"/>
        <w:spacing w:line="20" w:lineRule="atLeast"/>
        <w:rPr>
          <w:rFonts w:ascii="Arial" w:hAnsi="Arial" w:cs="Arial"/>
          <w:color w:val="auto"/>
          <w:sz w:val="16"/>
          <w:szCs w:val="16"/>
        </w:rPr>
      </w:pPr>
      <w:r w:rsidRPr="00536E67">
        <w:rPr>
          <w:rStyle w:val="StyleFootnoteReferenceFagoFunotenzeichenFagoFunotenzeichen"/>
          <w:sz w:val="16"/>
          <w:szCs w:val="16"/>
        </w:rPr>
        <w:footnoteRef/>
      </w:r>
      <w:r w:rsidRPr="00FC5F93">
        <w:rPr>
          <w:rFonts w:ascii="Arial" w:hAnsi="Arial" w:cs="Arial"/>
          <w:color w:val="auto"/>
          <w:sz w:val="16"/>
          <w:szCs w:val="16"/>
        </w:rPr>
        <w:t xml:space="preserve"> National Advisory Committee on Health and Disability, To have an ‘ordinary life’ - Kia whai oranga ‘noa’:</w:t>
      </w:r>
      <w:r w:rsidRPr="00FC5F93">
        <w:rPr>
          <w:rFonts w:cs="Arial"/>
          <w:color w:val="auto"/>
          <w:sz w:val="16"/>
          <w:szCs w:val="16"/>
        </w:rPr>
        <w:t xml:space="preserve"> Background papers to inform the National Advisory Committee on Health and Disability</w:t>
      </w:r>
      <w:r w:rsidRPr="00FC5F93">
        <w:rPr>
          <w:rFonts w:ascii="Arial" w:hAnsi="Arial" w:cs="Arial"/>
          <w:color w:val="auto"/>
          <w:sz w:val="16"/>
          <w:szCs w:val="16"/>
        </w:rPr>
        <w:t xml:space="preserve"> (2004, page 30).</w:t>
      </w:r>
    </w:p>
  </w:footnote>
  <w:footnote w:id="828">
    <w:p w14:paraId="42065E05" w14:textId="28D4DF95" w:rsidR="004C3995" w:rsidRPr="00FC5F93" w:rsidRDefault="004C3995" w:rsidP="004C3995">
      <w:pPr>
        <w:pStyle w:val="FootnoteText"/>
        <w:spacing w:before="0" w:after="0"/>
        <w:rPr>
          <w:sz w:val="16"/>
          <w:szCs w:val="16"/>
        </w:rPr>
      </w:pPr>
      <w:r w:rsidRPr="00536E67">
        <w:rPr>
          <w:rStyle w:val="StyleFootnoteReferenceFagoFunotenzeichenFagoFunotenzeichen"/>
          <w:sz w:val="16"/>
          <w:szCs w:val="16"/>
        </w:rPr>
        <w:footnoteRef/>
      </w:r>
      <w:r w:rsidRPr="00FC5F93">
        <w:rPr>
          <w:sz w:val="16"/>
          <w:szCs w:val="16"/>
        </w:rPr>
        <w:t xml:space="preserve"> </w:t>
      </w:r>
      <w:r w:rsidRPr="00FC5F93">
        <w:rPr>
          <w:rFonts w:cs="Arial"/>
          <w:color w:val="auto"/>
          <w:sz w:val="16"/>
          <w:szCs w:val="16"/>
        </w:rPr>
        <w:t xml:space="preserve">Letter from Presbyterian Support Upper South Island </w:t>
      </w:r>
      <w:r w:rsidRPr="001F5F26">
        <w:rPr>
          <w:rFonts w:cs="Arial"/>
          <w:color w:val="auto"/>
          <w:sz w:val="16"/>
          <w:szCs w:val="16"/>
        </w:rPr>
        <w:t xml:space="preserve">to </w:t>
      </w:r>
      <w:r w:rsidR="001F5F26" w:rsidRPr="00814720">
        <w:rPr>
          <w:rStyle w:val="Emphasis"/>
          <w:rFonts w:cs="Arial"/>
          <w:sz w:val="16"/>
          <w:szCs w:val="16"/>
          <w:shd w:val="clear" w:color="auto" w:fill="FFFFFF"/>
        </w:rPr>
        <w:t>Renée</w:t>
      </w:r>
      <w:r w:rsidRPr="00FC5F93">
        <w:rPr>
          <w:rFonts w:cs="Arial"/>
          <w:color w:val="auto"/>
          <w:sz w:val="16"/>
          <w:szCs w:val="16"/>
        </w:rPr>
        <w:t xml:space="preserve"> Habluetzel (15 January 2007</w:t>
      </w:r>
      <w:r w:rsidRPr="00FC5F93">
        <w:rPr>
          <w:rFonts w:cs="Arial"/>
          <w:color w:val="auto"/>
          <w:sz w:val="16"/>
          <w:szCs w:val="16"/>
          <w:shd w:val="clear" w:color="auto" w:fill="FFFFFF"/>
        </w:rPr>
        <w:t>, page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8AD14" w14:textId="4E90F5CA" w:rsidR="000E429D" w:rsidRPr="00662210" w:rsidRDefault="00912091">
    <w:pPr>
      <w:pStyle w:val="Header"/>
    </w:pPr>
    <w:r>
      <w:rPr>
        <w:noProof/>
        <w:color w:val="2B579A"/>
        <w:shd w:val="clear" w:color="auto" w:fill="E6E6E6"/>
      </w:rPr>
      <w:pict w14:anchorId="78325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740969" o:spid="_x0000_s1028" type="#_x0000_t136" style="position:absolute;margin-left:0;margin-top:0;width:552.1pt;height:127.4pt;rotation:315;z-index:-251658240;mso-wrap-edited:f;mso-position-horizontal:center;mso-position-horizontal-relative:margin;mso-position-vertical:center;mso-position-vertical-relative:margin" o:allowincell="f" fillcolor="silver" stroked="f">
          <v:fill opacity=".5"/>
          <v:textpath style="font-family:&quot;Calibri&quot;;font-size:1pt" string="WORKING DRAFT"/>
          <w10:wrap anchorx="margin" anchory="margin"/>
        </v:shape>
      </w:pict>
    </w:r>
  </w:p>
  <w:p w14:paraId="32BA540F" w14:textId="77777777" w:rsidR="000E429D" w:rsidRPr="00662210" w:rsidRDefault="000E429D"/>
  <w:p w14:paraId="058F6B86" w14:textId="77777777" w:rsidR="000E429D" w:rsidRPr="00662210" w:rsidRDefault="000E429D" w:rsidP="008642E7"/>
  <w:p w14:paraId="1FB46360" w14:textId="77777777" w:rsidR="000E429D" w:rsidRPr="00662210" w:rsidRDefault="000E429D" w:rsidP="008642E7"/>
  <w:p w14:paraId="251E57CC" w14:textId="77777777" w:rsidR="000E429D" w:rsidRPr="00662210" w:rsidRDefault="000E42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5453B" w14:textId="4E9F6C68" w:rsidR="000E429D" w:rsidRPr="00FC5151" w:rsidRDefault="000E429D" w:rsidP="00781662">
    <w:pPr>
      <w:pStyle w:val="Header"/>
      <w:jc w:val="right"/>
      <w:rPr>
        <w:rFonts w:ascii="Arial" w:hAnsi="Arial" w:cs="Arial"/>
        <w:b/>
      </w:rPr>
    </w:pPr>
    <w:r w:rsidRPr="00FC5151">
      <w:rPr>
        <w:rFonts w:ascii="Arial" w:hAnsi="Arial" w:cs="Arial"/>
        <w:b/>
      </w:rPr>
      <w:t>In strict confidence – internal deliberations</w:t>
    </w:r>
  </w:p>
  <w:p w14:paraId="3EA175AA" w14:textId="7EDDC2C8" w:rsidR="000E429D" w:rsidRPr="00FC5151" w:rsidRDefault="000E429D" w:rsidP="00781662">
    <w:pPr>
      <w:pStyle w:val="Header"/>
      <w:jc w:val="right"/>
      <w:rPr>
        <w:rFonts w:ascii="Arial" w:hAnsi="Arial" w:cs="Arial"/>
        <w:b/>
      </w:rPr>
    </w:pPr>
    <w:r w:rsidRPr="00FC5151">
      <w:rPr>
        <w:rFonts w:ascii="Arial" w:hAnsi="Arial" w:cs="Arial"/>
        <w:b/>
      </w:rPr>
      <w:t>Not for public distribution</w:t>
    </w:r>
  </w:p>
  <w:p w14:paraId="496CDE7B" w14:textId="113B3E75" w:rsidR="000E429D" w:rsidRPr="00FC5151" w:rsidRDefault="000E429D" w:rsidP="00635DB5">
    <w:pPr>
      <w:pStyle w:val="Header"/>
      <w:pBdr>
        <w:bottom w:val="single" w:sz="4" w:space="1" w:color="auto"/>
      </w:pBdr>
      <w:jc w:val="right"/>
      <w:rPr>
        <w:rFonts w:ascii="Arial" w:hAnsi="Arial" w:cs="Arial"/>
      </w:rPr>
    </w:pPr>
    <w:r w:rsidRPr="00FC5151">
      <w:rPr>
        <w:rFonts w:ascii="Arial" w:hAnsi="Arial" w:cs="Arial"/>
        <w:b/>
      </w:rPr>
      <w:t xml:space="preserve">Working draft </w:t>
    </w:r>
    <w:r w:rsidR="00FC5401">
      <w:rPr>
        <w:rFonts w:ascii="Arial" w:hAnsi="Arial" w:cs="Arial"/>
        <w:b/>
      </w:rPr>
      <w:t>25 February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B82AF" w14:textId="43968577" w:rsidR="000E429D" w:rsidRPr="00662210" w:rsidRDefault="00912091">
    <w:pPr>
      <w:pStyle w:val="Header"/>
    </w:pPr>
    <w:r>
      <w:rPr>
        <w:noProof/>
        <w:color w:val="2B579A"/>
        <w:shd w:val="clear" w:color="auto" w:fill="E6E6E6"/>
      </w:rPr>
      <w:pict w14:anchorId="2CF55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740968" o:spid="_x0000_s1030" type="#_x0000_t136" style="position:absolute;margin-left:0;margin-top:0;width:552.1pt;height:127.4pt;rotation:315;z-index:-251658239;mso-wrap-edited:f;mso-position-horizontal:center;mso-position-horizontal-relative:margin;mso-position-vertical:center;mso-position-vertical-relative:margin" o:allowincell="f" fillcolor="silver" stroked="f">
          <v:fill opacity=".5"/>
          <v:textpath style="font-family:&quot;Calibri&quot;;font-size:1pt" string="WORKING 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XDfXA9P70xRAYg" int2:id="8ObImBw6">
      <int2:state int2:value="Rejected" int2:type="LegacyProofing"/>
    </int2:textHash>
    <int2:textHash int2:hashCode="M+lQXRKULoJZo8" int2:id="U1wHUn8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511"/>
        </w:tabs>
        <w:ind w:left="7511"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1C2F01"/>
    <w:multiLevelType w:val="hybridMultilevel"/>
    <w:tmpl w:val="0B0C2A82"/>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1BD6FA2"/>
    <w:multiLevelType w:val="hybridMultilevel"/>
    <w:tmpl w:val="F7C011E8"/>
    <w:lvl w:ilvl="0" w:tplc="B13E04D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2B16A1D"/>
    <w:multiLevelType w:val="hybridMultilevel"/>
    <w:tmpl w:val="7A92BF54"/>
    <w:lvl w:ilvl="0" w:tplc="7A3A7C9C">
      <w:start w:val="61"/>
      <w:numFmt w:val="decimal"/>
      <w:pStyle w:val="Number"/>
      <w:lvlText w:val="%1."/>
      <w:lvlJc w:val="left"/>
      <w:pPr>
        <w:ind w:left="720" w:hanging="360"/>
      </w:pPr>
      <w:rPr>
        <w:rFonts w:ascii="Calibri" w:hAnsi="Calibri" w:cs="Calibri" w:hint="default"/>
        <w:b w:val="0"/>
        <w:bCs w:val="0"/>
        <w:i w:val="0"/>
        <w:iCs w:val="0"/>
        <w:color w:val="auto"/>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3F56F28"/>
    <w:multiLevelType w:val="hybridMultilevel"/>
    <w:tmpl w:val="E89E822E"/>
    <w:lvl w:ilvl="0" w:tplc="FFFFFFFF">
      <w:start w:val="1"/>
      <w:numFmt w:val="decimal"/>
      <w:lvlText w:val="%1."/>
      <w:lvlJc w:val="left"/>
      <w:pPr>
        <w:ind w:left="720" w:hanging="360"/>
      </w:pPr>
      <w:rPr>
        <w:b w:val="0"/>
        <w:i w:val="0"/>
        <w:color w:val="auto"/>
        <w:sz w:val="22"/>
        <w:szCs w:val="22"/>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2" w15:restartNumberingAfterBreak="0">
    <w:nsid w:val="060F95A0"/>
    <w:multiLevelType w:val="hybridMultilevel"/>
    <w:tmpl w:val="FFFFFFFF"/>
    <w:lvl w:ilvl="0" w:tplc="37CE6136">
      <w:start w:val="1"/>
      <w:numFmt w:val="bullet"/>
      <w:lvlText w:val="·"/>
      <w:lvlJc w:val="left"/>
      <w:pPr>
        <w:ind w:left="720" w:hanging="360"/>
      </w:pPr>
      <w:rPr>
        <w:rFonts w:ascii="Symbol" w:hAnsi="Symbol" w:hint="default"/>
      </w:rPr>
    </w:lvl>
    <w:lvl w:ilvl="1" w:tplc="C76AD43C">
      <w:start w:val="1"/>
      <w:numFmt w:val="bullet"/>
      <w:lvlText w:val="o"/>
      <w:lvlJc w:val="left"/>
      <w:pPr>
        <w:ind w:left="1440" w:hanging="360"/>
      </w:pPr>
      <w:rPr>
        <w:rFonts w:ascii="Courier New" w:hAnsi="Courier New" w:hint="default"/>
      </w:rPr>
    </w:lvl>
    <w:lvl w:ilvl="2" w:tplc="93B29E18">
      <w:start w:val="1"/>
      <w:numFmt w:val="bullet"/>
      <w:lvlText w:val=""/>
      <w:lvlJc w:val="left"/>
      <w:pPr>
        <w:ind w:left="2160" w:hanging="360"/>
      </w:pPr>
      <w:rPr>
        <w:rFonts w:ascii="Wingdings" w:hAnsi="Wingdings" w:hint="default"/>
      </w:rPr>
    </w:lvl>
    <w:lvl w:ilvl="3" w:tplc="9FE6C204">
      <w:start w:val="1"/>
      <w:numFmt w:val="bullet"/>
      <w:lvlText w:val=""/>
      <w:lvlJc w:val="left"/>
      <w:pPr>
        <w:ind w:left="2880" w:hanging="360"/>
      </w:pPr>
      <w:rPr>
        <w:rFonts w:ascii="Symbol" w:hAnsi="Symbol" w:hint="default"/>
      </w:rPr>
    </w:lvl>
    <w:lvl w:ilvl="4" w:tplc="A2FC26F2">
      <w:start w:val="1"/>
      <w:numFmt w:val="bullet"/>
      <w:lvlText w:val="o"/>
      <w:lvlJc w:val="left"/>
      <w:pPr>
        <w:ind w:left="3600" w:hanging="360"/>
      </w:pPr>
      <w:rPr>
        <w:rFonts w:ascii="Courier New" w:hAnsi="Courier New" w:hint="default"/>
      </w:rPr>
    </w:lvl>
    <w:lvl w:ilvl="5" w:tplc="8CB8053E">
      <w:start w:val="1"/>
      <w:numFmt w:val="bullet"/>
      <w:lvlText w:val=""/>
      <w:lvlJc w:val="left"/>
      <w:pPr>
        <w:ind w:left="4320" w:hanging="360"/>
      </w:pPr>
      <w:rPr>
        <w:rFonts w:ascii="Wingdings" w:hAnsi="Wingdings" w:hint="default"/>
      </w:rPr>
    </w:lvl>
    <w:lvl w:ilvl="6" w:tplc="71C04410">
      <w:start w:val="1"/>
      <w:numFmt w:val="bullet"/>
      <w:lvlText w:val=""/>
      <w:lvlJc w:val="left"/>
      <w:pPr>
        <w:ind w:left="5040" w:hanging="360"/>
      </w:pPr>
      <w:rPr>
        <w:rFonts w:ascii="Symbol" w:hAnsi="Symbol" w:hint="default"/>
      </w:rPr>
    </w:lvl>
    <w:lvl w:ilvl="7" w:tplc="A54E0E28">
      <w:start w:val="1"/>
      <w:numFmt w:val="bullet"/>
      <w:lvlText w:val="o"/>
      <w:lvlJc w:val="left"/>
      <w:pPr>
        <w:ind w:left="5760" w:hanging="360"/>
      </w:pPr>
      <w:rPr>
        <w:rFonts w:ascii="Courier New" w:hAnsi="Courier New" w:hint="default"/>
      </w:rPr>
    </w:lvl>
    <w:lvl w:ilvl="8" w:tplc="8468EB60">
      <w:start w:val="1"/>
      <w:numFmt w:val="bullet"/>
      <w:lvlText w:val=""/>
      <w:lvlJc w:val="left"/>
      <w:pPr>
        <w:ind w:left="6480" w:hanging="360"/>
      </w:pPr>
      <w:rPr>
        <w:rFonts w:ascii="Wingdings" w:hAnsi="Wingdings" w:hint="default"/>
      </w:rPr>
    </w:lvl>
  </w:abstractNum>
  <w:abstractNum w:abstractNumId="13" w15:restartNumberingAfterBreak="0">
    <w:nsid w:val="08C9467E"/>
    <w:multiLevelType w:val="hybridMultilevel"/>
    <w:tmpl w:val="D772E052"/>
    <w:lvl w:ilvl="0" w:tplc="25184E4C">
      <w:start w:val="1"/>
      <w:numFmt w:val="decimal"/>
      <w:lvlText w:val="%1."/>
      <w:lvlJc w:val="left"/>
      <w:pPr>
        <w:ind w:left="720" w:hanging="360"/>
      </w:pPr>
      <w:rPr>
        <w:rFonts w:ascii="Arial" w:hAnsi="Arial" w:hint="default"/>
        <w:b w:val="0"/>
        <w:i w:val="0"/>
        <w:iCs w:val="0"/>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9175E97"/>
    <w:multiLevelType w:val="hybridMultilevel"/>
    <w:tmpl w:val="188AE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91845F0"/>
    <w:multiLevelType w:val="hybridMultilevel"/>
    <w:tmpl w:val="FFFFFFFF"/>
    <w:lvl w:ilvl="0" w:tplc="1310AFB4">
      <w:start w:val="1"/>
      <w:numFmt w:val="bullet"/>
      <w:lvlText w:val=""/>
      <w:lvlJc w:val="left"/>
      <w:pPr>
        <w:ind w:left="720" w:hanging="360"/>
      </w:pPr>
      <w:rPr>
        <w:rFonts w:ascii="Symbol" w:hAnsi="Symbol" w:hint="default"/>
      </w:rPr>
    </w:lvl>
    <w:lvl w:ilvl="1" w:tplc="406CE0B2">
      <w:start w:val="1"/>
      <w:numFmt w:val="bullet"/>
      <w:lvlText w:val="·"/>
      <w:lvlJc w:val="left"/>
      <w:pPr>
        <w:ind w:left="1440" w:hanging="360"/>
      </w:pPr>
      <w:rPr>
        <w:rFonts w:ascii="Symbol" w:hAnsi="Symbol" w:hint="default"/>
      </w:rPr>
    </w:lvl>
    <w:lvl w:ilvl="2" w:tplc="9F82D738">
      <w:start w:val="1"/>
      <w:numFmt w:val="bullet"/>
      <w:lvlText w:val=""/>
      <w:lvlJc w:val="left"/>
      <w:pPr>
        <w:ind w:left="2160" w:hanging="360"/>
      </w:pPr>
      <w:rPr>
        <w:rFonts w:ascii="Wingdings" w:hAnsi="Wingdings" w:hint="default"/>
      </w:rPr>
    </w:lvl>
    <w:lvl w:ilvl="3" w:tplc="09B006B2">
      <w:start w:val="1"/>
      <w:numFmt w:val="bullet"/>
      <w:lvlText w:val=""/>
      <w:lvlJc w:val="left"/>
      <w:pPr>
        <w:ind w:left="2880" w:hanging="360"/>
      </w:pPr>
      <w:rPr>
        <w:rFonts w:ascii="Symbol" w:hAnsi="Symbol" w:hint="default"/>
      </w:rPr>
    </w:lvl>
    <w:lvl w:ilvl="4" w:tplc="2B8641EE">
      <w:start w:val="1"/>
      <w:numFmt w:val="bullet"/>
      <w:lvlText w:val="o"/>
      <w:lvlJc w:val="left"/>
      <w:pPr>
        <w:ind w:left="3600" w:hanging="360"/>
      </w:pPr>
      <w:rPr>
        <w:rFonts w:ascii="Courier New" w:hAnsi="Courier New" w:hint="default"/>
      </w:rPr>
    </w:lvl>
    <w:lvl w:ilvl="5" w:tplc="B4DE157E">
      <w:start w:val="1"/>
      <w:numFmt w:val="bullet"/>
      <w:lvlText w:val=""/>
      <w:lvlJc w:val="left"/>
      <w:pPr>
        <w:ind w:left="4320" w:hanging="360"/>
      </w:pPr>
      <w:rPr>
        <w:rFonts w:ascii="Wingdings" w:hAnsi="Wingdings" w:hint="default"/>
      </w:rPr>
    </w:lvl>
    <w:lvl w:ilvl="6" w:tplc="DA4896EA">
      <w:start w:val="1"/>
      <w:numFmt w:val="bullet"/>
      <w:lvlText w:val=""/>
      <w:lvlJc w:val="left"/>
      <w:pPr>
        <w:ind w:left="5040" w:hanging="360"/>
      </w:pPr>
      <w:rPr>
        <w:rFonts w:ascii="Symbol" w:hAnsi="Symbol" w:hint="default"/>
      </w:rPr>
    </w:lvl>
    <w:lvl w:ilvl="7" w:tplc="1AD816BE">
      <w:start w:val="1"/>
      <w:numFmt w:val="bullet"/>
      <w:lvlText w:val="o"/>
      <w:lvlJc w:val="left"/>
      <w:pPr>
        <w:ind w:left="5760" w:hanging="360"/>
      </w:pPr>
      <w:rPr>
        <w:rFonts w:ascii="Courier New" w:hAnsi="Courier New" w:hint="default"/>
      </w:rPr>
    </w:lvl>
    <w:lvl w:ilvl="8" w:tplc="F43084AA">
      <w:start w:val="1"/>
      <w:numFmt w:val="bullet"/>
      <w:lvlText w:val=""/>
      <w:lvlJc w:val="left"/>
      <w:pPr>
        <w:ind w:left="6480" w:hanging="360"/>
      </w:pPr>
      <w:rPr>
        <w:rFonts w:ascii="Wingdings" w:hAnsi="Wingdings" w:hint="default"/>
      </w:rPr>
    </w:lvl>
  </w:abstractNum>
  <w:abstractNum w:abstractNumId="16" w15:restartNumberingAfterBreak="0">
    <w:nsid w:val="09980556"/>
    <w:multiLevelType w:val="hybridMultilevel"/>
    <w:tmpl w:val="FFFFFFFF"/>
    <w:lvl w:ilvl="0" w:tplc="32567D98">
      <w:start w:val="1"/>
      <w:numFmt w:val="bullet"/>
      <w:lvlText w:val="·"/>
      <w:lvlJc w:val="left"/>
      <w:pPr>
        <w:ind w:left="720" w:hanging="360"/>
      </w:pPr>
      <w:rPr>
        <w:rFonts w:ascii="Symbol" w:hAnsi="Symbol" w:hint="default"/>
      </w:rPr>
    </w:lvl>
    <w:lvl w:ilvl="1" w:tplc="A34AFE5A">
      <w:start w:val="1"/>
      <w:numFmt w:val="bullet"/>
      <w:lvlText w:val="o"/>
      <w:lvlJc w:val="left"/>
      <w:pPr>
        <w:ind w:left="1440" w:hanging="360"/>
      </w:pPr>
      <w:rPr>
        <w:rFonts w:ascii="Courier New" w:hAnsi="Courier New" w:hint="default"/>
      </w:rPr>
    </w:lvl>
    <w:lvl w:ilvl="2" w:tplc="7AA692C2">
      <w:start w:val="1"/>
      <w:numFmt w:val="bullet"/>
      <w:lvlText w:val=""/>
      <w:lvlJc w:val="left"/>
      <w:pPr>
        <w:ind w:left="2160" w:hanging="360"/>
      </w:pPr>
      <w:rPr>
        <w:rFonts w:ascii="Wingdings" w:hAnsi="Wingdings" w:hint="default"/>
      </w:rPr>
    </w:lvl>
    <w:lvl w:ilvl="3" w:tplc="AA34FE22">
      <w:start w:val="1"/>
      <w:numFmt w:val="bullet"/>
      <w:lvlText w:val=""/>
      <w:lvlJc w:val="left"/>
      <w:pPr>
        <w:ind w:left="2880" w:hanging="360"/>
      </w:pPr>
      <w:rPr>
        <w:rFonts w:ascii="Symbol" w:hAnsi="Symbol" w:hint="default"/>
      </w:rPr>
    </w:lvl>
    <w:lvl w:ilvl="4" w:tplc="25BE7170">
      <w:start w:val="1"/>
      <w:numFmt w:val="bullet"/>
      <w:lvlText w:val="o"/>
      <w:lvlJc w:val="left"/>
      <w:pPr>
        <w:ind w:left="3600" w:hanging="360"/>
      </w:pPr>
      <w:rPr>
        <w:rFonts w:ascii="Courier New" w:hAnsi="Courier New" w:hint="default"/>
      </w:rPr>
    </w:lvl>
    <w:lvl w:ilvl="5" w:tplc="37DAFFC2">
      <w:start w:val="1"/>
      <w:numFmt w:val="bullet"/>
      <w:lvlText w:val=""/>
      <w:lvlJc w:val="left"/>
      <w:pPr>
        <w:ind w:left="4320" w:hanging="360"/>
      </w:pPr>
      <w:rPr>
        <w:rFonts w:ascii="Wingdings" w:hAnsi="Wingdings" w:hint="default"/>
      </w:rPr>
    </w:lvl>
    <w:lvl w:ilvl="6" w:tplc="77B26432">
      <w:start w:val="1"/>
      <w:numFmt w:val="bullet"/>
      <w:lvlText w:val=""/>
      <w:lvlJc w:val="left"/>
      <w:pPr>
        <w:ind w:left="5040" w:hanging="360"/>
      </w:pPr>
      <w:rPr>
        <w:rFonts w:ascii="Symbol" w:hAnsi="Symbol" w:hint="default"/>
      </w:rPr>
    </w:lvl>
    <w:lvl w:ilvl="7" w:tplc="3C3C53FA">
      <w:start w:val="1"/>
      <w:numFmt w:val="bullet"/>
      <w:lvlText w:val="o"/>
      <w:lvlJc w:val="left"/>
      <w:pPr>
        <w:ind w:left="5760" w:hanging="360"/>
      </w:pPr>
      <w:rPr>
        <w:rFonts w:ascii="Courier New" w:hAnsi="Courier New" w:hint="default"/>
      </w:rPr>
    </w:lvl>
    <w:lvl w:ilvl="8" w:tplc="FC3C498C">
      <w:start w:val="1"/>
      <w:numFmt w:val="bullet"/>
      <w:lvlText w:val=""/>
      <w:lvlJc w:val="left"/>
      <w:pPr>
        <w:ind w:left="6480" w:hanging="360"/>
      </w:pPr>
      <w:rPr>
        <w:rFonts w:ascii="Wingdings" w:hAnsi="Wingdings" w:hint="default"/>
      </w:rPr>
    </w:lvl>
  </w:abstractNum>
  <w:abstractNum w:abstractNumId="17" w15:restartNumberingAfterBreak="0">
    <w:nsid w:val="0A1F55EA"/>
    <w:multiLevelType w:val="hybridMultilevel"/>
    <w:tmpl w:val="FFFFFFFF"/>
    <w:lvl w:ilvl="0" w:tplc="32460BDA">
      <w:start w:val="352"/>
      <w:numFmt w:val="decimal"/>
      <w:lvlText w:val="%1."/>
      <w:lvlJc w:val="left"/>
      <w:pPr>
        <w:ind w:left="720" w:hanging="360"/>
      </w:pPr>
    </w:lvl>
    <w:lvl w:ilvl="1" w:tplc="F106FA9E">
      <w:start w:val="1"/>
      <w:numFmt w:val="lowerLetter"/>
      <w:lvlText w:val="%2."/>
      <w:lvlJc w:val="left"/>
      <w:pPr>
        <w:ind w:left="1440" w:hanging="360"/>
      </w:pPr>
    </w:lvl>
    <w:lvl w:ilvl="2" w:tplc="1964965A">
      <w:start w:val="1"/>
      <w:numFmt w:val="lowerRoman"/>
      <w:lvlText w:val="%3."/>
      <w:lvlJc w:val="right"/>
      <w:pPr>
        <w:ind w:left="2160" w:hanging="180"/>
      </w:pPr>
    </w:lvl>
    <w:lvl w:ilvl="3" w:tplc="6B38DCB4">
      <w:start w:val="1"/>
      <w:numFmt w:val="decimal"/>
      <w:lvlText w:val="%4."/>
      <w:lvlJc w:val="left"/>
      <w:pPr>
        <w:ind w:left="2880" w:hanging="360"/>
      </w:pPr>
    </w:lvl>
    <w:lvl w:ilvl="4" w:tplc="6920679E">
      <w:start w:val="1"/>
      <w:numFmt w:val="lowerLetter"/>
      <w:lvlText w:val="%5."/>
      <w:lvlJc w:val="left"/>
      <w:pPr>
        <w:ind w:left="3600" w:hanging="360"/>
      </w:pPr>
    </w:lvl>
    <w:lvl w:ilvl="5" w:tplc="B332F34E">
      <w:start w:val="1"/>
      <w:numFmt w:val="lowerRoman"/>
      <w:lvlText w:val="%6."/>
      <w:lvlJc w:val="right"/>
      <w:pPr>
        <w:ind w:left="4320" w:hanging="180"/>
      </w:pPr>
    </w:lvl>
    <w:lvl w:ilvl="6" w:tplc="83A02F86">
      <w:start w:val="1"/>
      <w:numFmt w:val="decimal"/>
      <w:lvlText w:val="%7."/>
      <w:lvlJc w:val="left"/>
      <w:pPr>
        <w:ind w:left="5040" w:hanging="360"/>
      </w:pPr>
    </w:lvl>
    <w:lvl w:ilvl="7" w:tplc="A7863C16">
      <w:start w:val="1"/>
      <w:numFmt w:val="lowerLetter"/>
      <w:lvlText w:val="%8."/>
      <w:lvlJc w:val="left"/>
      <w:pPr>
        <w:ind w:left="5760" w:hanging="360"/>
      </w:pPr>
    </w:lvl>
    <w:lvl w:ilvl="8" w:tplc="99C497E6">
      <w:start w:val="1"/>
      <w:numFmt w:val="lowerRoman"/>
      <w:lvlText w:val="%9."/>
      <w:lvlJc w:val="right"/>
      <w:pPr>
        <w:ind w:left="6480" w:hanging="180"/>
      </w:pPr>
    </w:lvl>
  </w:abstractNum>
  <w:abstractNum w:abstractNumId="18"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9" w15:restartNumberingAfterBreak="0">
    <w:nsid w:val="0BC64A20"/>
    <w:multiLevelType w:val="hybridMultilevel"/>
    <w:tmpl w:val="06460DC4"/>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0F27FA8F"/>
    <w:multiLevelType w:val="hybridMultilevel"/>
    <w:tmpl w:val="FFFFFFFF"/>
    <w:lvl w:ilvl="0" w:tplc="9F3AE372">
      <w:start w:val="358"/>
      <w:numFmt w:val="decimal"/>
      <w:lvlText w:val="%1."/>
      <w:lvlJc w:val="left"/>
      <w:pPr>
        <w:ind w:left="720" w:hanging="360"/>
      </w:pPr>
    </w:lvl>
    <w:lvl w:ilvl="1" w:tplc="2A4C0292">
      <w:start w:val="1"/>
      <w:numFmt w:val="lowerLetter"/>
      <w:lvlText w:val="%2."/>
      <w:lvlJc w:val="left"/>
      <w:pPr>
        <w:ind w:left="1440" w:hanging="360"/>
      </w:pPr>
    </w:lvl>
    <w:lvl w:ilvl="2" w:tplc="0A1ACF3E">
      <w:start w:val="1"/>
      <w:numFmt w:val="lowerRoman"/>
      <w:lvlText w:val="%3."/>
      <w:lvlJc w:val="right"/>
      <w:pPr>
        <w:ind w:left="2160" w:hanging="180"/>
      </w:pPr>
    </w:lvl>
    <w:lvl w:ilvl="3" w:tplc="2EFA765E">
      <w:start w:val="1"/>
      <w:numFmt w:val="decimal"/>
      <w:lvlText w:val="%4."/>
      <w:lvlJc w:val="left"/>
      <w:pPr>
        <w:ind w:left="2880" w:hanging="360"/>
      </w:pPr>
    </w:lvl>
    <w:lvl w:ilvl="4" w:tplc="729C38FC">
      <w:start w:val="1"/>
      <w:numFmt w:val="lowerLetter"/>
      <w:lvlText w:val="%5."/>
      <w:lvlJc w:val="left"/>
      <w:pPr>
        <w:ind w:left="3600" w:hanging="360"/>
      </w:pPr>
    </w:lvl>
    <w:lvl w:ilvl="5" w:tplc="7C343C7E">
      <w:start w:val="1"/>
      <w:numFmt w:val="lowerRoman"/>
      <w:lvlText w:val="%6."/>
      <w:lvlJc w:val="right"/>
      <w:pPr>
        <w:ind w:left="4320" w:hanging="180"/>
      </w:pPr>
    </w:lvl>
    <w:lvl w:ilvl="6" w:tplc="3DD8F9F8">
      <w:start w:val="1"/>
      <w:numFmt w:val="decimal"/>
      <w:lvlText w:val="%7."/>
      <w:lvlJc w:val="left"/>
      <w:pPr>
        <w:ind w:left="5040" w:hanging="360"/>
      </w:pPr>
    </w:lvl>
    <w:lvl w:ilvl="7" w:tplc="4D6823EC">
      <w:start w:val="1"/>
      <w:numFmt w:val="lowerLetter"/>
      <w:lvlText w:val="%8."/>
      <w:lvlJc w:val="left"/>
      <w:pPr>
        <w:ind w:left="5760" w:hanging="360"/>
      </w:pPr>
    </w:lvl>
    <w:lvl w:ilvl="8" w:tplc="5AFCF9A0">
      <w:start w:val="1"/>
      <w:numFmt w:val="lowerRoman"/>
      <w:lvlText w:val="%9."/>
      <w:lvlJc w:val="right"/>
      <w:pPr>
        <w:ind w:left="6480" w:hanging="180"/>
      </w:pPr>
    </w:lvl>
  </w:abstractNum>
  <w:abstractNum w:abstractNumId="21" w15:restartNumberingAfterBreak="0">
    <w:nsid w:val="10382475"/>
    <w:multiLevelType w:val="hybridMultilevel"/>
    <w:tmpl w:val="FFFFFFFF"/>
    <w:lvl w:ilvl="0" w:tplc="AF0A9392">
      <w:start w:val="350"/>
      <w:numFmt w:val="decimal"/>
      <w:lvlText w:val="%1."/>
      <w:lvlJc w:val="left"/>
      <w:pPr>
        <w:ind w:left="720" w:hanging="360"/>
      </w:pPr>
    </w:lvl>
    <w:lvl w:ilvl="1" w:tplc="F510F37A">
      <w:start w:val="1"/>
      <w:numFmt w:val="lowerLetter"/>
      <w:lvlText w:val="%2."/>
      <w:lvlJc w:val="left"/>
      <w:pPr>
        <w:ind w:left="1440" w:hanging="360"/>
      </w:pPr>
    </w:lvl>
    <w:lvl w:ilvl="2" w:tplc="470E60AC">
      <w:start w:val="1"/>
      <w:numFmt w:val="lowerRoman"/>
      <w:lvlText w:val="%3."/>
      <w:lvlJc w:val="right"/>
      <w:pPr>
        <w:ind w:left="2160" w:hanging="180"/>
      </w:pPr>
    </w:lvl>
    <w:lvl w:ilvl="3" w:tplc="432C5510">
      <w:start w:val="1"/>
      <w:numFmt w:val="decimal"/>
      <w:lvlText w:val="%4."/>
      <w:lvlJc w:val="left"/>
      <w:pPr>
        <w:ind w:left="2880" w:hanging="360"/>
      </w:pPr>
    </w:lvl>
    <w:lvl w:ilvl="4" w:tplc="98D8FE38">
      <w:start w:val="1"/>
      <w:numFmt w:val="lowerLetter"/>
      <w:lvlText w:val="%5."/>
      <w:lvlJc w:val="left"/>
      <w:pPr>
        <w:ind w:left="3600" w:hanging="360"/>
      </w:pPr>
    </w:lvl>
    <w:lvl w:ilvl="5" w:tplc="61EABDA6">
      <w:start w:val="1"/>
      <w:numFmt w:val="lowerRoman"/>
      <w:lvlText w:val="%6."/>
      <w:lvlJc w:val="right"/>
      <w:pPr>
        <w:ind w:left="4320" w:hanging="180"/>
      </w:pPr>
    </w:lvl>
    <w:lvl w:ilvl="6" w:tplc="326821A2">
      <w:start w:val="1"/>
      <w:numFmt w:val="decimal"/>
      <w:lvlText w:val="%7."/>
      <w:lvlJc w:val="left"/>
      <w:pPr>
        <w:ind w:left="5040" w:hanging="360"/>
      </w:pPr>
    </w:lvl>
    <w:lvl w:ilvl="7" w:tplc="CE88D7DC">
      <w:start w:val="1"/>
      <w:numFmt w:val="lowerLetter"/>
      <w:lvlText w:val="%8."/>
      <w:lvlJc w:val="left"/>
      <w:pPr>
        <w:ind w:left="5760" w:hanging="360"/>
      </w:pPr>
    </w:lvl>
    <w:lvl w:ilvl="8" w:tplc="B9CC51BA">
      <w:start w:val="1"/>
      <w:numFmt w:val="lowerRoman"/>
      <w:lvlText w:val="%9."/>
      <w:lvlJc w:val="right"/>
      <w:pPr>
        <w:ind w:left="6480" w:hanging="180"/>
      </w:pPr>
    </w:lvl>
  </w:abstractNum>
  <w:abstractNum w:abstractNumId="22" w15:restartNumberingAfterBreak="0">
    <w:nsid w:val="105F31AF"/>
    <w:multiLevelType w:val="hybridMultilevel"/>
    <w:tmpl w:val="CF86D368"/>
    <w:lvl w:ilvl="0" w:tplc="FFFFFFFF">
      <w:start w:val="1"/>
      <w:numFmt w:val="decimal"/>
      <w:pStyle w:val="ReportParagraph"/>
      <w:lvlText w:val="%1."/>
      <w:lvlJc w:val="left"/>
      <w:pPr>
        <w:ind w:left="851" w:hanging="851"/>
      </w:pPr>
      <w:rPr>
        <w:b w:val="0"/>
        <w:i w:val="0"/>
        <w:color w:val="auto"/>
        <w:sz w:val="22"/>
        <w:szCs w:val="24"/>
        <w:vertAlign w:val="baseline"/>
      </w:rPr>
    </w:lvl>
    <w:lvl w:ilvl="1" w:tplc="2A100AB4">
      <w:start w:val="1"/>
      <w:numFmt w:val="bullet"/>
      <w:lvlText w:val=""/>
      <w:lvlJc w:val="left"/>
      <w:pPr>
        <w:tabs>
          <w:tab w:val="num" w:pos="9072"/>
        </w:tabs>
        <w:ind w:left="1701" w:hanging="850"/>
      </w:pPr>
      <w:rPr>
        <w:rFonts w:ascii="Symbol" w:hAnsi="Symbol" w:hint="default"/>
        <w:b w:val="0"/>
        <w:color w:val="auto"/>
      </w:rPr>
    </w:lvl>
    <w:lvl w:ilvl="2" w:tplc="11B6DC00">
      <w:start w:val="1"/>
      <w:numFmt w:val="bullet"/>
      <w:lvlText w:val=""/>
      <w:lvlJc w:val="left"/>
      <w:pPr>
        <w:ind w:left="2552" w:hanging="851"/>
      </w:pPr>
      <w:rPr>
        <w:rFonts w:ascii="Symbol" w:hAnsi="Symbol" w:hint="default"/>
        <w:b w:val="0"/>
      </w:rPr>
    </w:lvl>
    <w:lvl w:ilvl="3" w:tplc="9828D528">
      <w:start w:val="1"/>
      <w:numFmt w:val="bullet"/>
      <w:lvlText w:val=""/>
      <w:lvlJc w:val="left"/>
      <w:pPr>
        <w:ind w:left="1701" w:hanging="850"/>
      </w:pPr>
      <w:rPr>
        <w:rFonts w:ascii="Symbol" w:hAnsi="Symbol" w:hint="default"/>
        <w:color w:val="auto"/>
      </w:rPr>
    </w:lvl>
    <w:lvl w:ilvl="4" w:tplc="F5428434">
      <w:start w:val="1"/>
      <w:numFmt w:val="lowerLetter"/>
      <w:lvlText w:val="%5."/>
      <w:lvlJc w:val="left"/>
      <w:pPr>
        <w:ind w:left="7569" w:hanging="360"/>
      </w:pPr>
    </w:lvl>
    <w:lvl w:ilvl="5" w:tplc="29F4B974">
      <w:start w:val="1"/>
      <w:numFmt w:val="lowerRoman"/>
      <w:lvlText w:val="%6."/>
      <w:lvlJc w:val="right"/>
      <w:pPr>
        <w:ind w:left="8289" w:hanging="180"/>
      </w:pPr>
    </w:lvl>
    <w:lvl w:ilvl="6" w:tplc="1C6CBE32">
      <w:start w:val="1"/>
      <w:numFmt w:val="decimal"/>
      <w:lvlText w:val="%7."/>
      <w:lvlJc w:val="left"/>
      <w:pPr>
        <w:ind w:left="9009" w:hanging="360"/>
      </w:pPr>
    </w:lvl>
    <w:lvl w:ilvl="7" w:tplc="382A122C">
      <w:start w:val="1"/>
      <w:numFmt w:val="lowerLetter"/>
      <w:lvlText w:val="%8."/>
      <w:lvlJc w:val="left"/>
      <w:pPr>
        <w:ind w:left="9729" w:hanging="360"/>
      </w:pPr>
    </w:lvl>
    <w:lvl w:ilvl="8" w:tplc="8B804E7C">
      <w:start w:val="1"/>
      <w:numFmt w:val="lowerRoman"/>
      <w:lvlText w:val="%9."/>
      <w:lvlJc w:val="right"/>
      <w:pPr>
        <w:ind w:left="10449" w:hanging="180"/>
      </w:pPr>
    </w:lvl>
  </w:abstractNum>
  <w:abstractNum w:abstractNumId="23" w15:restartNumberingAfterBreak="0">
    <w:nsid w:val="10900699"/>
    <w:multiLevelType w:val="hybridMultilevel"/>
    <w:tmpl w:val="7E807B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23788AD"/>
    <w:multiLevelType w:val="hybridMultilevel"/>
    <w:tmpl w:val="FFFFFFFF"/>
    <w:lvl w:ilvl="0" w:tplc="718ECA28">
      <w:start w:val="348"/>
      <w:numFmt w:val="decimal"/>
      <w:lvlText w:val="%1."/>
      <w:lvlJc w:val="left"/>
      <w:pPr>
        <w:ind w:left="720" w:hanging="360"/>
      </w:pPr>
    </w:lvl>
    <w:lvl w:ilvl="1" w:tplc="1B5043EA">
      <w:start w:val="1"/>
      <w:numFmt w:val="lowerLetter"/>
      <w:lvlText w:val="%2."/>
      <w:lvlJc w:val="left"/>
      <w:pPr>
        <w:ind w:left="1440" w:hanging="360"/>
      </w:pPr>
    </w:lvl>
    <w:lvl w:ilvl="2" w:tplc="BF1E5C90">
      <w:start w:val="1"/>
      <w:numFmt w:val="lowerRoman"/>
      <w:lvlText w:val="%3."/>
      <w:lvlJc w:val="right"/>
      <w:pPr>
        <w:ind w:left="2160" w:hanging="180"/>
      </w:pPr>
    </w:lvl>
    <w:lvl w:ilvl="3" w:tplc="5270E748">
      <w:start w:val="1"/>
      <w:numFmt w:val="decimal"/>
      <w:lvlText w:val="%4."/>
      <w:lvlJc w:val="left"/>
      <w:pPr>
        <w:ind w:left="2880" w:hanging="360"/>
      </w:pPr>
    </w:lvl>
    <w:lvl w:ilvl="4" w:tplc="43FEC81A">
      <w:start w:val="1"/>
      <w:numFmt w:val="lowerLetter"/>
      <w:lvlText w:val="%5."/>
      <w:lvlJc w:val="left"/>
      <w:pPr>
        <w:ind w:left="3600" w:hanging="360"/>
      </w:pPr>
    </w:lvl>
    <w:lvl w:ilvl="5" w:tplc="0A50FF8C">
      <w:start w:val="1"/>
      <w:numFmt w:val="lowerRoman"/>
      <w:lvlText w:val="%6."/>
      <w:lvlJc w:val="right"/>
      <w:pPr>
        <w:ind w:left="4320" w:hanging="180"/>
      </w:pPr>
    </w:lvl>
    <w:lvl w:ilvl="6" w:tplc="3176EA58">
      <w:start w:val="1"/>
      <w:numFmt w:val="decimal"/>
      <w:lvlText w:val="%7."/>
      <w:lvlJc w:val="left"/>
      <w:pPr>
        <w:ind w:left="5040" w:hanging="360"/>
      </w:pPr>
    </w:lvl>
    <w:lvl w:ilvl="7" w:tplc="B55E875C">
      <w:start w:val="1"/>
      <w:numFmt w:val="lowerLetter"/>
      <w:lvlText w:val="%8."/>
      <w:lvlJc w:val="left"/>
      <w:pPr>
        <w:ind w:left="5760" w:hanging="360"/>
      </w:pPr>
    </w:lvl>
    <w:lvl w:ilvl="8" w:tplc="56C400A4">
      <w:start w:val="1"/>
      <w:numFmt w:val="lowerRoman"/>
      <w:lvlText w:val="%9."/>
      <w:lvlJc w:val="right"/>
      <w:pPr>
        <w:ind w:left="6480" w:hanging="180"/>
      </w:pPr>
    </w:lvl>
  </w:abstractNum>
  <w:abstractNum w:abstractNumId="25" w15:restartNumberingAfterBreak="0">
    <w:nsid w:val="13DEB1C6"/>
    <w:multiLevelType w:val="hybridMultilevel"/>
    <w:tmpl w:val="FFFFFFFF"/>
    <w:lvl w:ilvl="0" w:tplc="F528A8EE">
      <w:start w:val="353"/>
      <w:numFmt w:val="decimal"/>
      <w:lvlText w:val="%1."/>
      <w:lvlJc w:val="left"/>
      <w:pPr>
        <w:ind w:left="720" w:hanging="360"/>
      </w:pPr>
    </w:lvl>
    <w:lvl w:ilvl="1" w:tplc="2B967EE2">
      <w:start w:val="1"/>
      <w:numFmt w:val="lowerLetter"/>
      <w:lvlText w:val="%2."/>
      <w:lvlJc w:val="left"/>
      <w:pPr>
        <w:ind w:left="1440" w:hanging="360"/>
      </w:pPr>
    </w:lvl>
    <w:lvl w:ilvl="2" w:tplc="4C245BA0">
      <w:start w:val="1"/>
      <w:numFmt w:val="lowerRoman"/>
      <w:lvlText w:val="%3."/>
      <w:lvlJc w:val="right"/>
      <w:pPr>
        <w:ind w:left="2160" w:hanging="180"/>
      </w:pPr>
    </w:lvl>
    <w:lvl w:ilvl="3" w:tplc="8286CE1A">
      <w:start w:val="1"/>
      <w:numFmt w:val="decimal"/>
      <w:lvlText w:val="%4."/>
      <w:lvlJc w:val="left"/>
      <w:pPr>
        <w:ind w:left="2880" w:hanging="360"/>
      </w:pPr>
    </w:lvl>
    <w:lvl w:ilvl="4" w:tplc="3D7AE5D6">
      <w:start w:val="1"/>
      <w:numFmt w:val="lowerLetter"/>
      <w:lvlText w:val="%5."/>
      <w:lvlJc w:val="left"/>
      <w:pPr>
        <w:ind w:left="3600" w:hanging="360"/>
      </w:pPr>
    </w:lvl>
    <w:lvl w:ilvl="5" w:tplc="FFE0EEB2">
      <w:start w:val="1"/>
      <w:numFmt w:val="lowerRoman"/>
      <w:lvlText w:val="%6."/>
      <w:lvlJc w:val="right"/>
      <w:pPr>
        <w:ind w:left="4320" w:hanging="180"/>
      </w:pPr>
    </w:lvl>
    <w:lvl w:ilvl="6" w:tplc="E1C02EC0">
      <w:start w:val="1"/>
      <w:numFmt w:val="decimal"/>
      <w:lvlText w:val="%7."/>
      <w:lvlJc w:val="left"/>
      <w:pPr>
        <w:ind w:left="5040" w:hanging="360"/>
      </w:pPr>
    </w:lvl>
    <w:lvl w:ilvl="7" w:tplc="E092DC28">
      <w:start w:val="1"/>
      <w:numFmt w:val="lowerLetter"/>
      <w:lvlText w:val="%8."/>
      <w:lvlJc w:val="left"/>
      <w:pPr>
        <w:ind w:left="5760" w:hanging="360"/>
      </w:pPr>
    </w:lvl>
    <w:lvl w:ilvl="8" w:tplc="77F6BA2A">
      <w:start w:val="1"/>
      <w:numFmt w:val="lowerRoman"/>
      <w:lvlText w:val="%9."/>
      <w:lvlJc w:val="right"/>
      <w:pPr>
        <w:ind w:left="6480" w:hanging="180"/>
      </w:pPr>
    </w:lvl>
  </w:abstractNum>
  <w:abstractNum w:abstractNumId="26" w15:restartNumberingAfterBreak="0">
    <w:nsid w:val="13F595B2"/>
    <w:multiLevelType w:val="hybridMultilevel"/>
    <w:tmpl w:val="FFFFFFFF"/>
    <w:lvl w:ilvl="0" w:tplc="15746EDA">
      <w:start w:val="351"/>
      <w:numFmt w:val="decimal"/>
      <w:lvlText w:val="%1."/>
      <w:lvlJc w:val="left"/>
      <w:pPr>
        <w:ind w:left="720" w:hanging="360"/>
      </w:pPr>
    </w:lvl>
    <w:lvl w:ilvl="1" w:tplc="FCDC18FE">
      <w:start w:val="1"/>
      <w:numFmt w:val="lowerLetter"/>
      <w:lvlText w:val="%2."/>
      <w:lvlJc w:val="left"/>
      <w:pPr>
        <w:ind w:left="1440" w:hanging="360"/>
      </w:pPr>
    </w:lvl>
    <w:lvl w:ilvl="2" w:tplc="3922573E">
      <w:start w:val="1"/>
      <w:numFmt w:val="lowerRoman"/>
      <w:lvlText w:val="%3."/>
      <w:lvlJc w:val="right"/>
      <w:pPr>
        <w:ind w:left="2160" w:hanging="180"/>
      </w:pPr>
    </w:lvl>
    <w:lvl w:ilvl="3" w:tplc="69A8BC80">
      <w:start w:val="1"/>
      <w:numFmt w:val="decimal"/>
      <w:lvlText w:val="%4."/>
      <w:lvlJc w:val="left"/>
      <w:pPr>
        <w:ind w:left="2880" w:hanging="360"/>
      </w:pPr>
    </w:lvl>
    <w:lvl w:ilvl="4" w:tplc="1F58DAEE">
      <w:start w:val="1"/>
      <w:numFmt w:val="lowerLetter"/>
      <w:lvlText w:val="%5."/>
      <w:lvlJc w:val="left"/>
      <w:pPr>
        <w:ind w:left="3600" w:hanging="360"/>
      </w:pPr>
    </w:lvl>
    <w:lvl w:ilvl="5" w:tplc="86366210">
      <w:start w:val="1"/>
      <w:numFmt w:val="lowerRoman"/>
      <w:lvlText w:val="%6."/>
      <w:lvlJc w:val="right"/>
      <w:pPr>
        <w:ind w:left="4320" w:hanging="180"/>
      </w:pPr>
    </w:lvl>
    <w:lvl w:ilvl="6" w:tplc="8E4C9632">
      <w:start w:val="1"/>
      <w:numFmt w:val="decimal"/>
      <w:lvlText w:val="%7."/>
      <w:lvlJc w:val="left"/>
      <w:pPr>
        <w:ind w:left="5040" w:hanging="360"/>
      </w:pPr>
    </w:lvl>
    <w:lvl w:ilvl="7" w:tplc="7EC60AA0">
      <w:start w:val="1"/>
      <w:numFmt w:val="lowerLetter"/>
      <w:lvlText w:val="%8."/>
      <w:lvlJc w:val="left"/>
      <w:pPr>
        <w:ind w:left="5760" w:hanging="360"/>
      </w:pPr>
    </w:lvl>
    <w:lvl w:ilvl="8" w:tplc="ECE6EC36">
      <w:start w:val="1"/>
      <w:numFmt w:val="lowerRoman"/>
      <w:lvlText w:val="%9."/>
      <w:lvlJc w:val="right"/>
      <w:pPr>
        <w:ind w:left="6480" w:hanging="180"/>
      </w:pPr>
    </w:lvl>
  </w:abstractNum>
  <w:abstractNum w:abstractNumId="27" w15:restartNumberingAfterBreak="0">
    <w:nsid w:val="158680E6"/>
    <w:multiLevelType w:val="hybridMultilevel"/>
    <w:tmpl w:val="FFFFFFFF"/>
    <w:lvl w:ilvl="0" w:tplc="0430E1C2">
      <w:start w:val="357"/>
      <w:numFmt w:val="decimal"/>
      <w:lvlText w:val="%1."/>
      <w:lvlJc w:val="left"/>
      <w:pPr>
        <w:ind w:left="720" w:hanging="360"/>
      </w:pPr>
    </w:lvl>
    <w:lvl w:ilvl="1" w:tplc="70644784">
      <w:start w:val="1"/>
      <w:numFmt w:val="lowerLetter"/>
      <w:lvlText w:val="%2."/>
      <w:lvlJc w:val="left"/>
      <w:pPr>
        <w:ind w:left="1440" w:hanging="360"/>
      </w:pPr>
    </w:lvl>
    <w:lvl w:ilvl="2" w:tplc="28A4A2EE">
      <w:start w:val="1"/>
      <w:numFmt w:val="lowerRoman"/>
      <w:lvlText w:val="%3."/>
      <w:lvlJc w:val="right"/>
      <w:pPr>
        <w:ind w:left="2160" w:hanging="180"/>
      </w:pPr>
    </w:lvl>
    <w:lvl w:ilvl="3" w:tplc="0F848BF0">
      <w:start w:val="1"/>
      <w:numFmt w:val="decimal"/>
      <w:lvlText w:val="%4."/>
      <w:lvlJc w:val="left"/>
      <w:pPr>
        <w:ind w:left="2880" w:hanging="360"/>
      </w:pPr>
    </w:lvl>
    <w:lvl w:ilvl="4" w:tplc="0548E170">
      <w:start w:val="1"/>
      <w:numFmt w:val="lowerLetter"/>
      <w:lvlText w:val="%5."/>
      <w:lvlJc w:val="left"/>
      <w:pPr>
        <w:ind w:left="3600" w:hanging="360"/>
      </w:pPr>
    </w:lvl>
    <w:lvl w:ilvl="5" w:tplc="46BCF2FC">
      <w:start w:val="1"/>
      <w:numFmt w:val="lowerRoman"/>
      <w:lvlText w:val="%6."/>
      <w:lvlJc w:val="right"/>
      <w:pPr>
        <w:ind w:left="4320" w:hanging="180"/>
      </w:pPr>
    </w:lvl>
    <w:lvl w:ilvl="6" w:tplc="417EC9A0">
      <w:start w:val="1"/>
      <w:numFmt w:val="decimal"/>
      <w:lvlText w:val="%7."/>
      <w:lvlJc w:val="left"/>
      <w:pPr>
        <w:ind w:left="5040" w:hanging="360"/>
      </w:pPr>
    </w:lvl>
    <w:lvl w:ilvl="7" w:tplc="779AEE9C">
      <w:start w:val="1"/>
      <w:numFmt w:val="lowerLetter"/>
      <w:lvlText w:val="%8."/>
      <w:lvlJc w:val="left"/>
      <w:pPr>
        <w:ind w:left="5760" w:hanging="360"/>
      </w:pPr>
    </w:lvl>
    <w:lvl w:ilvl="8" w:tplc="7108BF8E">
      <w:start w:val="1"/>
      <w:numFmt w:val="lowerRoman"/>
      <w:lvlText w:val="%9."/>
      <w:lvlJc w:val="right"/>
      <w:pPr>
        <w:ind w:left="6480" w:hanging="180"/>
      </w:pPr>
    </w:lvl>
  </w:abstractNum>
  <w:abstractNum w:abstractNumId="28" w15:restartNumberingAfterBreak="0">
    <w:nsid w:val="170C6F85"/>
    <w:multiLevelType w:val="multilevel"/>
    <w:tmpl w:val="294CC0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18815F53"/>
    <w:multiLevelType w:val="hybridMultilevel"/>
    <w:tmpl w:val="FFFFFFFF"/>
    <w:lvl w:ilvl="0" w:tplc="FBB60B4C">
      <w:start w:val="348"/>
      <w:numFmt w:val="decimal"/>
      <w:lvlText w:val="%1."/>
      <w:lvlJc w:val="left"/>
      <w:pPr>
        <w:ind w:left="720" w:hanging="360"/>
      </w:pPr>
    </w:lvl>
    <w:lvl w:ilvl="1" w:tplc="A5CE7B2A">
      <w:start w:val="1"/>
      <w:numFmt w:val="lowerLetter"/>
      <w:lvlText w:val="%2."/>
      <w:lvlJc w:val="left"/>
      <w:pPr>
        <w:ind w:left="1440" w:hanging="360"/>
      </w:pPr>
    </w:lvl>
    <w:lvl w:ilvl="2" w:tplc="8D009CAC">
      <w:start w:val="1"/>
      <w:numFmt w:val="lowerRoman"/>
      <w:lvlText w:val="%3."/>
      <w:lvlJc w:val="right"/>
      <w:pPr>
        <w:ind w:left="2160" w:hanging="180"/>
      </w:pPr>
    </w:lvl>
    <w:lvl w:ilvl="3" w:tplc="1A86F206">
      <w:start w:val="1"/>
      <w:numFmt w:val="decimal"/>
      <w:lvlText w:val="%4."/>
      <w:lvlJc w:val="left"/>
      <w:pPr>
        <w:ind w:left="2880" w:hanging="360"/>
      </w:pPr>
    </w:lvl>
    <w:lvl w:ilvl="4" w:tplc="52F4ABF8">
      <w:start w:val="1"/>
      <w:numFmt w:val="lowerLetter"/>
      <w:lvlText w:val="%5."/>
      <w:lvlJc w:val="left"/>
      <w:pPr>
        <w:ind w:left="3600" w:hanging="360"/>
      </w:pPr>
    </w:lvl>
    <w:lvl w:ilvl="5" w:tplc="E56CE0B4">
      <w:start w:val="1"/>
      <w:numFmt w:val="lowerRoman"/>
      <w:lvlText w:val="%6."/>
      <w:lvlJc w:val="right"/>
      <w:pPr>
        <w:ind w:left="4320" w:hanging="180"/>
      </w:pPr>
    </w:lvl>
    <w:lvl w:ilvl="6" w:tplc="0F50CB9E">
      <w:start w:val="1"/>
      <w:numFmt w:val="decimal"/>
      <w:lvlText w:val="%7."/>
      <w:lvlJc w:val="left"/>
      <w:pPr>
        <w:ind w:left="5040" w:hanging="360"/>
      </w:pPr>
    </w:lvl>
    <w:lvl w:ilvl="7" w:tplc="299CADC8">
      <w:start w:val="1"/>
      <w:numFmt w:val="lowerLetter"/>
      <w:lvlText w:val="%8."/>
      <w:lvlJc w:val="left"/>
      <w:pPr>
        <w:ind w:left="5760" w:hanging="360"/>
      </w:pPr>
    </w:lvl>
    <w:lvl w:ilvl="8" w:tplc="67A46376">
      <w:start w:val="1"/>
      <w:numFmt w:val="lowerRoman"/>
      <w:lvlText w:val="%9."/>
      <w:lvlJc w:val="right"/>
      <w:pPr>
        <w:ind w:left="6480" w:hanging="180"/>
      </w:pPr>
    </w:lvl>
  </w:abstractNum>
  <w:abstractNum w:abstractNumId="30" w15:restartNumberingAfterBreak="0">
    <w:nsid w:val="18FC371C"/>
    <w:multiLevelType w:val="hybridMultilevel"/>
    <w:tmpl w:val="C47E9748"/>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32" w15:restartNumberingAfterBreak="0">
    <w:nsid w:val="1A39C42A"/>
    <w:multiLevelType w:val="hybridMultilevel"/>
    <w:tmpl w:val="FFFFFFFF"/>
    <w:lvl w:ilvl="0" w:tplc="20E2FFDC">
      <w:start w:val="1"/>
      <w:numFmt w:val="bullet"/>
      <w:lvlText w:val="·"/>
      <w:lvlJc w:val="left"/>
      <w:pPr>
        <w:ind w:left="720" w:hanging="360"/>
      </w:pPr>
      <w:rPr>
        <w:rFonts w:ascii="Symbol" w:hAnsi="Symbol" w:hint="default"/>
      </w:rPr>
    </w:lvl>
    <w:lvl w:ilvl="1" w:tplc="58A2B04C">
      <w:start w:val="1"/>
      <w:numFmt w:val="bullet"/>
      <w:lvlText w:val="o"/>
      <w:lvlJc w:val="left"/>
      <w:pPr>
        <w:ind w:left="1440" w:hanging="360"/>
      </w:pPr>
      <w:rPr>
        <w:rFonts w:ascii="Courier New" w:hAnsi="Courier New" w:hint="default"/>
      </w:rPr>
    </w:lvl>
    <w:lvl w:ilvl="2" w:tplc="C916D5DA">
      <w:start w:val="1"/>
      <w:numFmt w:val="bullet"/>
      <w:lvlText w:val=""/>
      <w:lvlJc w:val="left"/>
      <w:pPr>
        <w:ind w:left="2160" w:hanging="360"/>
      </w:pPr>
      <w:rPr>
        <w:rFonts w:ascii="Wingdings" w:hAnsi="Wingdings" w:hint="default"/>
      </w:rPr>
    </w:lvl>
    <w:lvl w:ilvl="3" w:tplc="C41AAA60">
      <w:start w:val="1"/>
      <w:numFmt w:val="bullet"/>
      <w:lvlText w:val=""/>
      <w:lvlJc w:val="left"/>
      <w:pPr>
        <w:ind w:left="2880" w:hanging="360"/>
      </w:pPr>
      <w:rPr>
        <w:rFonts w:ascii="Symbol" w:hAnsi="Symbol" w:hint="default"/>
      </w:rPr>
    </w:lvl>
    <w:lvl w:ilvl="4" w:tplc="AA2CFC3A">
      <w:start w:val="1"/>
      <w:numFmt w:val="bullet"/>
      <w:lvlText w:val="o"/>
      <w:lvlJc w:val="left"/>
      <w:pPr>
        <w:ind w:left="3600" w:hanging="360"/>
      </w:pPr>
      <w:rPr>
        <w:rFonts w:ascii="Courier New" w:hAnsi="Courier New" w:hint="default"/>
      </w:rPr>
    </w:lvl>
    <w:lvl w:ilvl="5" w:tplc="DDD862BE">
      <w:start w:val="1"/>
      <w:numFmt w:val="bullet"/>
      <w:lvlText w:val=""/>
      <w:lvlJc w:val="left"/>
      <w:pPr>
        <w:ind w:left="4320" w:hanging="360"/>
      </w:pPr>
      <w:rPr>
        <w:rFonts w:ascii="Wingdings" w:hAnsi="Wingdings" w:hint="default"/>
      </w:rPr>
    </w:lvl>
    <w:lvl w:ilvl="6" w:tplc="A92A63E6">
      <w:start w:val="1"/>
      <w:numFmt w:val="bullet"/>
      <w:lvlText w:val=""/>
      <w:lvlJc w:val="left"/>
      <w:pPr>
        <w:ind w:left="5040" w:hanging="360"/>
      </w:pPr>
      <w:rPr>
        <w:rFonts w:ascii="Symbol" w:hAnsi="Symbol" w:hint="default"/>
      </w:rPr>
    </w:lvl>
    <w:lvl w:ilvl="7" w:tplc="FB36DE4A">
      <w:start w:val="1"/>
      <w:numFmt w:val="bullet"/>
      <w:lvlText w:val="o"/>
      <w:lvlJc w:val="left"/>
      <w:pPr>
        <w:ind w:left="5760" w:hanging="360"/>
      </w:pPr>
      <w:rPr>
        <w:rFonts w:ascii="Courier New" w:hAnsi="Courier New" w:hint="default"/>
      </w:rPr>
    </w:lvl>
    <w:lvl w:ilvl="8" w:tplc="821E2D54">
      <w:start w:val="1"/>
      <w:numFmt w:val="bullet"/>
      <w:lvlText w:val=""/>
      <w:lvlJc w:val="left"/>
      <w:pPr>
        <w:ind w:left="6480" w:hanging="360"/>
      </w:pPr>
      <w:rPr>
        <w:rFonts w:ascii="Wingdings" w:hAnsi="Wingdings" w:hint="default"/>
      </w:rPr>
    </w:lvl>
  </w:abstractNum>
  <w:abstractNum w:abstractNumId="33" w15:restartNumberingAfterBreak="0">
    <w:nsid w:val="1A8D90C2"/>
    <w:multiLevelType w:val="hybridMultilevel"/>
    <w:tmpl w:val="FFFFFFFF"/>
    <w:lvl w:ilvl="0" w:tplc="A998CB50">
      <w:start w:val="1"/>
      <w:numFmt w:val="bullet"/>
      <w:lvlText w:val="·"/>
      <w:lvlJc w:val="left"/>
      <w:pPr>
        <w:ind w:left="720" w:hanging="360"/>
      </w:pPr>
      <w:rPr>
        <w:rFonts w:ascii="Symbol" w:hAnsi="Symbol" w:hint="default"/>
      </w:rPr>
    </w:lvl>
    <w:lvl w:ilvl="1" w:tplc="34203A56">
      <w:start w:val="1"/>
      <w:numFmt w:val="bullet"/>
      <w:lvlText w:val="o"/>
      <w:lvlJc w:val="left"/>
      <w:pPr>
        <w:ind w:left="1440" w:hanging="360"/>
      </w:pPr>
      <w:rPr>
        <w:rFonts w:ascii="Courier New" w:hAnsi="Courier New" w:hint="default"/>
      </w:rPr>
    </w:lvl>
    <w:lvl w:ilvl="2" w:tplc="6EEE1E88">
      <w:start w:val="1"/>
      <w:numFmt w:val="bullet"/>
      <w:lvlText w:val=""/>
      <w:lvlJc w:val="left"/>
      <w:pPr>
        <w:ind w:left="2160" w:hanging="360"/>
      </w:pPr>
      <w:rPr>
        <w:rFonts w:ascii="Wingdings" w:hAnsi="Wingdings" w:hint="default"/>
      </w:rPr>
    </w:lvl>
    <w:lvl w:ilvl="3" w:tplc="C330A260">
      <w:start w:val="1"/>
      <w:numFmt w:val="bullet"/>
      <w:lvlText w:val=""/>
      <w:lvlJc w:val="left"/>
      <w:pPr>
        <w:ind w:left="2880" w:hanging="360"/>
      </w:pPr>
      <w:rPr>
        <w:rFonts w:ascii="Symbol" w:hAnsi="Symbol" w:hint="default"/>
      </w:rPr>
    </w:lvl>
    <w:lvl w:ilvl="4" w:tplc="E35600D0">
      <w:start w:val="1"/>
      <w:numFmt w:val="bullet"/>
      <w:lvlText w:val="o"/>
      <w:lvlJc w:val="left"/>
      <w:pPr>
        <w:ind w:left="3600" w:hanging="360"/>
      </w:pPr>
      <w:rPr>
        <w:rFonts w:ascii="Courier New" w:hAnsi="Courier New" w:hint="default"/>
      </w:rPr>
    </w:lvl>
    <w:lvl w:ilvl="5" w:tplc="A06CF094">
      <w:start w:val="1"/>
      <w:numFmt w:val="bullet"/>
      <w:lvlText w:val=""/>
      <w:lvlJc w:val="left"/>
      <w:pPr>
        <w:ind w:left="4320" w:hanging="360"/>
      </w:pPr>
      <w:rPr>
        <w:rFonts w:ascii="Wingdings" w:hAnsi="Wingdings" w:hint="default"/>
      </w:rPr>
    </w:lvl>
    <w:lvl w:ilvl="6" w:tplc="1C6A9024">
      <w:start w:val="1"/>
      <w:numFmt w:val="bullet"/>
      <w:lvlText w:val=""/>
      <w:lvlJc w:val="left"/>
      <w:pPr>
        <w:ind w:left="5040" w:hanging="360"/>
      </w:pPr>
      <w:rPr>
        <w:rFonts w:ascii="Symbol" w:hAnsi="Symbol" w:hint="default"/>
      </w:rPr>
    </w:lvl>
    <w:lvl w:ilvl="7" w:tplc="489CD8BA">
      <w:start w:val="1"/>
      <w:numFmt w:val="bullet"/>
      <w:lvlText w:val="o"/>
      <w:lvlJc w:val="left"/>
      <w:pPr>
        <w:ind w:left="5760" w:hanging="360"/>
      </w:pPr>
      <w:rPr>
        <w:rFonts w:ascii="Courier New" w:hAnsi="Courier New" w:hint="default"/>
      </w:rPr>
    </w:lvl>
    <w:lvl w:ilvl="8" w:tplc="EBB88720">
      <w:start w:val="1"/>
      <w:numFmt w:val="bullet"/>
      <w:lvlText w:val=""/>
      <w:lvlJc w:val="left"/>
      <w:pPr>
        <w:ind w:left="6480" w:hanging="360"/>
      </w:pPr>
      <w:rPr>
        <w:rFonts w:ascii="Wingdings" w:hAnsi="Wingdings" w:hint="default"/>
      </w:rPr>
    </w:lvl>
  </w:abstractNum>
  <w:abstractNum w:abstractNumId="34" w15:restartNumberingAfterBreak="0">
    <w:nsid w:val="1BE00D10"/>
    <w:multiLevelType w:val="hybridMultilevel"/>
    <w:tmpl w:val="A006B8BE"/>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1C491C2B"/>
    <w:multiLevelType w:val="hybridMultilevel"/>
    <w:tmpl w:val="FFFFFFFF"/>
    <w:lvl w:ilvl="0" w:tplc="AE2C7AB4">
      <w:start w:val="349"/>
      <w:numFmt w:val="decimal"/>
      <w:lvlText w:val="%1."/>
      <w:lvlJc w:val="left"/>
      <w:pPr>
        <w:ind w:left="720" w:hanging="360"/>
      </w:pPr>
    </w:lvl>
    <w:lvl w:ilvl="1" w:tplc="A95CABCC">
      <w:start w:val="1"/>
      <w:numFmt w:val="lowerLetter"/>
      <w:lvlText w:val="%2."/>
      <w:lvlJc w:val="left"/>
      <w:pPr>
        <w:ind w:left="1440" w:hanging="360"/>
      </w:pPr>
    </w:lvl>
    <w:lvl w:ilvl="2" w:tplc="2AC06AFA">
      <w:start w:val="1"/>
      <w:numFmt w:val="lowerRoman"/>
      <w:lvlText w:val="%3."/>
      <w:lvlJc w:val="right"/>
      <w:pPr>
        <w:ind w:left="2160" w:hanging="180"/>
      </w:pPr>
    </w:lvl>
    <w:lvl w:ilvl="3" w:tplc="67F0BD34">
      <w:start w:val="1"/>
      <w:numFmt w:val="decimal"/>
      <w:lvlText w:val="%4."/>
      <w:lvlJc w:val="left"/>
      <w:pPr>
        <w:ind w:left="2880" w:hanging="360"/>
      </w:pPr>
    </w:lvl>
    <w:lvl w:ilvl="4" w:tplc="243ED0D4">
      <w:start w:val="1"/>
      <w:numFmt w:val="lowerLetter"/>
      <w:lvlText w:val="%5."/>
      <w:lvlJc w:val="left"/>
      <w:pPr>
        <w:ind w:left="3600" w:hanging="360"/>
      </w:pPr>
    </w:lvl>
    <w:lvl w:ilvl="5" w:tplc="120A90E0">
      <w:start w:val="1"/>
      <w:numFmt w:val="lowerRoman"/>
      <w:lvlText w:val="%6."/>
      <w:lvlJc w:val="right"/>
      <w:pPr>
        <w:ind w:left="4320" w:hanging="180"/>
      </w:pPr>
    </w:lvl>
    <w:lvl w:ilvl="6" w:tplc="888249DE">
      <w:start w:val="1"/>
      <w:numFmt w:val="decimal"/>
      <w:lvlText w:val="%7."/>
      <w:lvlJc w:val="left"/>
      <w:pPr>
        <w:ind w:left="5040" w:hanging="360"/>
      </w:pPr>
    </w:lvl>
    <w:lvl w:ilvl="7" w:tplc="5B7AAF36">
      <w:start w:val="1"/>
      <w:numFmt w:val="lowerLetter"/>
      <w:lvlText w:val="%8."/>
      <w:lvlJc w:val="left"/>
      <w:pPr>
        <w:ind w:left="5760" w:hanging="360"/>
      </w:pPr>
    </w:lvl>
    <w:lvl w:ilvl="8" w:tplc="328CAEC0">
      <w:start w:val="1"/>
      <w:numFmt w:val="lowerRoman"/>
      <w:lvlText w:val="%9."/>
      <w:lvlJc w:val="right"/>
      <w:pPr>
        <w:ind w:left="6480" w:hanging="180"/>
      </w:pPr>
    </w:lvl>
  </w:abstractNum>
  <w:abstractNum w:abstractNumId="36" w15:restartNumberingAfterBreak="0">
    <w:nsid w:val="1F3838F2"/>
    <w:multiLevelType w:val="hybridMultilevel"/>
    <w:tmpl w:val="FFFFFFFF"/>
    <w:lvl w:ilvl="0" w:tplc="C616F7C4">
      <w:start w:val="1"/>
      <w:numFmt w:val="bullet"/>
      <w:lvlText w:val="·"/>
      <w:lvlJc w:val="left"/>
      <w:pPr>
        <w:ind w:left="720" w:hanging="360"/>
      </w:pPr>
      <w:rPr>
        <w:rFonts w:ascii="Symbol" w:hAnsi="Symbol" w:hint="default"/>
      </w:rPr>
    </w:lvl>
    <w:lvl w:ilvl="1" w:tplc="A4B67634">
      <w:start w:val="1"/>
      <w:numFmt w:val="bullet"/>
      <w:lvlText w:val="o"/>
      <w:lvlJc w:val="left"/>
      <w:pPr>
        <w:ind w:left="1440" w:hanging="360"/>
      </w:pPr>
      <w:rPr>
        <w:rFonts w:ascii="Courier New" w:hAnsi="Courier New" w:hint="default"/>
      </w:rPr>
    </w:lvl>
    <w:lvl w:ilvl="2" w:tplc="08701008">
      <w:start w:val="1"/>
      <w:numFmt w:val="bullet"/>
      <w:lvlText w:val=""/>
      <w:lvlJc w:val="left"/>
      <w:pPr>
        <w:ind w:left="2160" w:hanging="360"/>
      </w:pPr>
      <w:rPr>
        <w:rFonts w:ascii="Wingdings" w:hAnsi="Wingdings" w:hint="default"/>
      </w:rPr>
    </w:lvl>
    <w:lvl w:ilvl="3" w:tplc="7E6C8CEA">
      <w:start w:val="1"/>
      <w:numFmt w:val="bullet"/>
      <w:lvlText w:val=""/>
      <w:lvlJc w:val="left"/>
      <w:pPr>
        <w:ind w:left="2880" w:hanging="360"/>
      </w:pPr>
      <w:rPr>
        <w:rFonts w:ascii="Symbol" w:hAnsi="Symbol" w:hint="default"/>
      </w:rPr>
    </w:lvl>
    <w:lvl w:ilvl="4" w:tplc="88B4EF64">
      <w:start w:val="1"/>
      <w:numFmt w:val="bullet"/>
      <w:lvlText w:val="o"/>
      <w:lvlJc w:val="left"/>
      <w:pPr>
        <w:ind w:left="3600" w:hanging="360"/>
      </w:pPr>
      <w:rPr>
        <w:rFonts w:ascii="Courier New" w:hAnsi="Courier New" w:hint="default"/>
      </w:rPr>
    </w:lvl>
    <w:lvl w:ilvl="5" w:tplc="98849FFA">
      <w:start w:val="1"/>
      <w:numFmt w:val="bullet"/>
      <w:lvlText w:val=""/>
      <w:lvlJc w:val="left"/>
      <w:pPr>
        <w:ind w:left="4320" w:hanging="360"/>
      </w:pPr>
      <w:rPr>
        <w:rFonts w:ascii="Wingdings" w:hAnsi="Wingdings" w:hint="default"/>
      </w:rPr>
    </w:lvl>
    <w:lvl w:ilvl="6" w:tplc="AC9EBBC8">
      <w:start w:val="1"/>
      <w:numFmt w:val="bullet"/>
      <w:lvlText w:val=""/>
      <w:lvlJc w:val="left"/>
      <w:pPr>
        <w:ind w:left="5040" w:hanging="360"/>
      </w:pPr>
      <w:rPr>
        <w:rFonts w:ascii="Symbol" w:hAnsi="Symbol" w:hint="default"/>
      </w:rPr>
    </w:lvl>
    <w:lvl w:ilvl="7" w:tplc="63205FF6">
      <w:start w:val="1"/>
      <w:numFmt w:val="bullet"/>
      <w:lvlText w:val="o"/>
      <w:lvlJc w:val="left"/>
      <w:pPr>
        <w:ind w:left="5760" w:hanging="360"/>
      </w:pPr>
      <w:rPr>
        <w:rFonts w:ascii="Courier New" w:hAnsi="Courier New" w:hint="default"/>
      </w:rPr>
    </w:lvl>
    <w:lvl w:ilvl="8" w:tplc="C0E6AF56">
      <w:start w:val="1"/>
      <w:numFmt w:val="bullet"/>
      <w:lvlText w:val=""/>
      <w:lvlJc w:val="left"/>
      <w:pPr>
        <w:ind w:left="6480" w:hanging="360"/>
      </w:pPr>
      <w:rPr>
        <w:rFonts w:ascii="Wingdings" w:hAnsi="Wingdings" w:hint="default"/>
      </w:rPr>
    </w:lvl>
  </w:abstractNum>
  <w:abstractNum w:abstractNumId="37" w15:restartNumberingAfterBreak="0">
    <w:nsid w:val="1F5545B7"/>
    <w:multiLevelType w:val="hybridMultilevel"/>
    <w:tmpl w:val="FFFFFFFF"/>
    <w:lvl w:ilvl="0" w:tplc="CC3258A6">
      <w:start w:val="1"/>
      <w:numFmt w:val="decimal"/>
      <w:lvlText w:val="%1."/>
      <w:lvlJc w:val="left"/>
      <w:pPr>
        <w:ind w:left="720" w:hanging="360"/>
      </w:pPr>
    </w:lvl>
    <w:lvl w:ilvl="1" w:tplc="5290F4A2">
      <w:start w:val="1"/>
      <w:numFmt w:val="lowerLetter"/>
      <w:lvlText w:val="%2."/>
      <w:lvlJc w:val="left"/>
      <w:pPr>
        <w:ind w:left="1440" w:hanging="360"/>
      </w:pPr>
    </w:lvl>
    <w:lvl w:ilvl="2" w:tplc="B008D86A">
      <w:start w:val="1"/>
      <w:numFmt w:val="lowerRoman"/>
      <w:lvlText w:val="%3."/>
      <w:lvlJc w:val="right"/>
      <w:pPr>
        <w:ind w:left="2160" w:hanging="180"/>
      </w:pPr>
    </w:lvl>
    <w:lvl w:ilvl="3" w:tplc="0CCC4D72">
      <w:start w:val="1"/>
      <w:numFmt w:val="decimal"/>
      <w:lvlText w:val="%4."/>
      <w:lvlJc w:val="left"/>
      <w:pPr>
        <w:ind w:left="2880" w:hanging="360"/>
      </w:pPr>
    </w:lvl>
    <w:lvl w:ilvl="4" w:tplc="9BDE0A8A">
      <w:start w:val="1"/>
      <w:numFmt w:val="lowerLetter"/>
      <w:lvlText w:val="%5."/>
      <w:lvlJc w:val="left"/>
      <w:pPr>
        <w:ind w:left="3600" w:hanging="360"/>
      </w:pPr>
    </w:lvl>
    <w:lvl w:ilvl="5" w:tplc="A6F8F6DC">
      <w:start w:val="1"/>
      <w:numFmt w:val="lowerRoman"/>
      <w:lvlText w:val="%6."/>
      <w:lvlJc w:val="right"/>
      <w:pPr>
        <w:ind w:left="4320" w:hanging="180"/>
      </w:pPr>
    </w:lvl>
    <w:lvl w:ilvl="6" w:tplc="F9F0FB1A">
      <w:start w:val="1"/>
      <w:numFmt w:val="decimal"/>
      <w:lvlText w:val="%7."/>
      <w:lvlJc w:val="left"/>
      <w:pPr>
        <w:ind w:left="5040" w:hanging="360"/>
      </w:pPr>
    </w:lvl>
    <w:lvl w:ilvl="7" w:tplc="CDE8E9C6">
      <w:start w:val="1"/>
      <w:numFmt w:val="lowerLetter"/>
      <w:lvlText w:val="%8."/>
      <w:lvlJc w:val="left"/>
      <w:pPr>
        <w:ind w:left="5760" w:hanging="360"/>
      </w:pPr>
    </w:lvl>
    <w:lvl w:ilvl="8" w:tplc="FF0E4CB2">
      <w:start w:val="1"/>
      <w:numFmt w:val="lowerRoman"/>
      <w:lvlText w:val="%9."/>
      <w:lvlJc w:val="right"/>
      <w:pPr>
        <w:ind w:left="6480" w:hanging="180"/>
      </w:pPr>
    </w:lvl>
  </w:abstractNum>
  <w:abstractNum w:abstractNumId="38" w15:restartNumberingAfterBreak="0">
    <w:nsid w:val="1F9DEB46"/>
    <w:multiLevelType w:val="hybridMultilevel"/>
    <w:tmpl w:val="FFFFFFFF"/>
    <w:lvl w:ilvl="0" w:tplc="98E4F0E6">
      <w:start w:val="1"/>
      <w:numFmt w:val="decimal"/>
      <w:lvlText w:val="%1."/>
      <w:lvlJc w:val="left"/>
      <w:pPr>
        <w:ind w:left="720" w:hanging="360"/>
      </w:pPr>
    </w:lvl>
    <w:lvl w:ilvl="1" w:tplc="277C25B2">
      <w:start w:val="1"/>
      <w:numFmt w:val="lowerLetter"/>
      <w:lvlText w:val="%2."/>
      <w:lvlJc w:val="left"/>
      <w:pPr>
        <w:ind w:left="1440" w:hanging="360"/>
      </w:pPr>
    </w:lvl>
    <w:lvl w:ilvl="2" w:tplc="7184342E">
      <w:start w:val="1"/>
      <w:numFmt w:val="lowerRoman"/>
      <w:lvlText w:val="%3."/>
      <w:lvlJc w:val="right"/>
      <w:pPr>
        <w:ind w:left="2160" w:hanging="180"/>
      </w:pPr>
    </w:lvl>
    <w:lvl w:ilvl="3" w:tplc="363E432E">
      <w:start w:val="1"/>
      <w:numFmt w:val="decimal"/>
      <w:lvlText w:val="%4."/>
      <w:lvlJc w:val="left"/>
      <w:pPr>
        <w:ind w:left="2880" w:hanging="360"/>
      </w:pPr>
    </w:lvl>
    <w:lvl w:ilvl="4" w:tplc="D012C9FA">
      <w:start w:val="1"/>
      <w:numFmt w:val="lowerLetter"/>
      <w:lvlText w:val="%5."/>
      <w:lvlJc w:val="left"/>
      <w:pPr>
        <w:ind w:left="3600" w:hanging="360"/>
      </w:pPr>
    </w:lvl>
    <w:lvl w:ilvl="5" w:tplc="3A10D16E">
      <w:start w:val="1"/>
      <w:numFmt w:val="lowerRoman"/>
      <w:lvlText w:val="%6."/>
      <w:lvlJc w:val="right"/>
      <w:pPr>
        <w:ind w:left="4320" w:hanging="180"/>
      </w:pPr>
    </w:lvl>
    <w:lvl w:ilvl="6" w:tplc="11B6DBC6">
      <w:start w:val="1"/>
      <w:numFmt w:val="decimal"/>
      <w:lvlText w:val="%7."/>
      <w:lvlJc w:val="left"/>
      <w:pPr>
        <w:ind w:left="5040" w:hanging="360"/>
      </w:pPr>
    </w:lvl>
    <w:lvl w:ilvl="7" w:tplc="C6E4C332">
      <w:start w:val="1"/>
      <w:numFmt w:val="lowerLetter"/>
      <w:lvlText w:val="%8."/>
      <w:lvlJc w:val="left"/>
      <w:pPr>
        <w:ind w:left="5760" w:hanging="360"/>
      </w:pPr>
    </w:lvl>
    <w:lvl w:ilvl="8" w:tplc="0C70A342">
      <w:start w:val="1"/>
      <w:numFmt w:val="lowerRoman"/>
      <w:lvlText w:val="%9."/>
      <w:lvlJc w:val="right"/>
      <w:pPr>
        <w:ind w:left="6480" w:hanging="180"/>
      </w:pPr>
    </w:lvl>
  </w:abstractNum>
  <w:abstractNum w:abstractNumId="39" w15:restartNumberingAfterBreak="0">
    <w:nsid w:val="1FA071B6"/>
    <w:multiLevelType w:val="hybridMultilevel"/>
    <w:tmpl w:val="F3745922"/>
    <w:lvl w:ilvl="0" w:tplc="DDDA8944">
      <w:start w:val="1"/>
      <w:numFmt w:val="bullet"/>
      <w:pStyle w:val="Bulletpoints"/>
      <w:lvlText w:val=""/>
      <w:lvlJc w:val="left"/>
      <w:pPr>
        <w:ind w:left="1636" w:hanging="360"/>
      </w:pPr>
      <w:rPr>
        <w:rFonts w:ascii="Symbol" w:hAnsi="Symbol" w:hint="default"/>
      </w:rPr>
    </w:lvl>
    <w:lvl w:ilvl="1" w:tplc="14090003">
      <w:start w:val="1"/>
      <w:numFmt w:val="bullet"/>
      <w:lvlText w:val="o"/>
      <w:lvlJc w:val="left"/>
      <w:pPr>
        <w:ind w:left="2356" w:hanging="360"/>
      </w:pPr>
      <w:rPr>
        <w:rFonts w:ascii="Courier New" w:hAnsi="Courier New" w:cs="Courier New" w:hint="default"/>
      </w:rPr>
    </w:lvl>
    <w:lvl w:ilvl="2" w:tplc="14090005" w:tentative="1">
      <w:start w:val="1"/>
      <w:numFmt w:val="bullet"/>
      <w:lvlText w:val=""/>
      <w:lvlJc w:val="left"/>
      <w:pPr>
        <w:ind w:left="3076" w:hanging="360"/>
      </w:pPr>
      <w:rPr>
        <w:rFonts w:ascii="Wingdings" w:hAnsi="Wingdings" w:hint="default"/>
      </w:rPr>
    </w:lvl>
    <w:lvl w:ilvl="3" w:tplc="14090001" w:tentative="1">
      <w:start w:val="1"/>
      <w:numFmt w:val="bullet"/>
      <w:lvlText w:val=""/>
      <w:lvlJc w:val="left"/>
      <w:pPr>
        <w:ind w:left="3796" w:hanging="360"/>
      </w:pPr>
      <w:rPr>
        <w:rFonts w:ascii="Symbol" w:hAnsi="Symbol" w:hint="default"/>
      </w:rPr>
    </w:lvl>
    <w:lvl w:ilvl="4" w:tplc="14090003" w:tentative="1">
      <w:start w:val="1"/>
      <w:numFmt w:val="bullet"/>
      <w:lvlText w:val="o"/>
      <w:lvlJc w:val="left"/>
      <w:pPr>
        <w:ind w:left="4516" w:hanging="360"/>
      </w:pPr>
      <w:rPr>
        <w:rFonts w:ascii="Courier New" w:hAnsi="Courier New" w:cs="Courier New" w:hint="default"/>
      </w:rPr>
    </w:lvl>
    <w:lvl w:ilvl="5" w:tplc="14090005" w:tentative="1">
      <w:start w:val="1"/>
      <w:numFmt w:val="bullet"/>
      <w:lvlText w:val=""/>
      <w:lvlJc w:val="left"/>
      <w:pPr>
        <w:ind w:left="5236" w:hanging="360"/>
      </w:pPr>
      <w:rPr>
        <w:rFonts w:ascii="Wingdings" w:hAnsi="Wingdings" w:hint="default"/>
      </w:rPr>
    </w:lvl>
    <w:lvl w:ilvl="6" w:tplc="14090001" w:tentative="1">
      <w:start w:val="1"/>
      <w:numFmt w:val="bullet"/>
      <w:lvlText w:val=""/>
      <w:lvlJc w:val="left"/>
      <w:pPr>
        <w:ind w:left="5956" w:hanging="360"/>
      </w:pPr>
      <w:rPr>
        <w:rFonts w:ascii="Symbol" w:hAnsi="Symbol" w:hint="default"/>
      </w:rPr>
    </w:lvl>
    <w:lvl w:ilvl="7" w:tplc="14090003" w:tentative="1">
      <w:start w:val="1"/>
      <w:numFmt w:val="bullet"/>
      <w:lvlText w:val="o"/>
      <w:lvlJc w:val="left"/>
      <w:pPr>
        <w:ind w:left="6676" w:hanging="360"/>
      </w:pPr>
      <w:rPr>
        <w:rFonts w:ascii="Courier New" w:hAnsi="Courier New" w:cs="Courier New" w:hint="default"/>
      </w:rPr>
    </w:lvl>
    <w:lvl w:ilvl="8" w:tplc="14090005" w:tentative="1">
      <w:start w:val="1"/>
      <w:numFmt w:val="bullet"/>
      <w:lvlText w:val=""/>
      <w:lvlJc w:val="left"/>
      <w:pPr>
        <w:ind w:left="7396" w:hanging="360"/>
      </w:pPr>
      <w:rPr>
        <w:rFonts w:ascii="Wingdings" w:hAnsi="Wingdings" w:hint="default"/>
      </w:rPr>
    </w:lvl>
  </w:abstractNum>
  <w:abstractNum w:abstractNumId="40" w15:restartNumberingAfterBreak="0">
    <w:nsid w:val="1FF664C8"/>
    <w:multiLevelType w:val="hybridMultilevel"/>
    <w:tmpl w:val="E9A2A7F4"/>
    <w:lvl w:ilvl="0" w:tplc="B13E04D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20CFF116"/>
    <w:multiLevelType w:val="hybridMultilevel"/>
    <w:tmpl w:val="FFFFFFFF"/>
    <w:lvl w:ilvl="0" w:tplc="307EDFBE">
      <w:start w:val="353"/>
      <w:numFmt w:val="decimal"/>
      <w:lvlText w:val="%1."/>
      <w:lvlJc w:val="left"/>
      <w:pPr>
        <w:ind w:left="720" w:hanging="360"/>
      </w:pPr>
    </w:lvl>
    <w:lvl w:ilvl="1" w:tplc="1B2A7ED0">
      <w:start w:val="1"/>
      <w:numFmt w:val="lowerLetter"/>
      <w:lvlText w:val="%2."/>
      <w:lvlJc w:val="left"/>
      <w:pPr>
        <w:ind w:left="1440" w:hanging="360"/>
      </w:pPr>
    </w:lvl>
    <w:lvl w:ilvl="2" w:tplc="8C3E9C74">
      <w:start w:val="1"/>
      <w:numFmt w:val="lowerRoman"/>
      <w:lvlText w:val="%3."/>
      <w:lvlJc w:val="right"/>
      <w:pPr>
        <w:ind w:left="2160" w:hanging="180"/>
      </w:pPr>
    </w:lvl>
    <w:lvl w:ilvl="3" w:tplc="BE14ADB2">
      <w:start w:val="1"/>
      <w:numFmt w:val="decimal"/>
      <w:lvlText w:val="%4."/>
      <w:lvlJc w:val="left"/>
      <w:pPr>
        <w:ind w:left="2880" w:hanging="360"/>
      </w:pPr>
    </w:lvl>
    <w:lvl w:ilvl="4" w:tplc="F6C0E580">
      <w:start w:val="1"/>
      <w:numFmt w:val="lowerLetter"/>
      <w:lvlText w:val="%5."/>
      <w:lvlJc w:val="left"/>
      <w:pPr>
        <w:ind w:left="3600" w:hanging="360"/>
      </w:pPr>
    </w:lvl>
    <w:lvl w:ilvl="5" w:tplc="0EF2A0AC">
      <w:start w:val="1"/>
      <w:numFmt w:val="lowerRoman"/>
      <w:lvlText w:val="%6."/>
      <w:lvlJc w:val="right"/>
      <w:pPr>
        <w:ind w:left="4320" w:hanging="180"/>
      </w:pPr>
    </w:lvl>
    <w:lvl w:ilvl="6" w:tplc="6F5E0CD8">
      <w:start w:val="1"/>
      <w:numFmt w:val="decimal"/>
      <w:lvlText w:val="%7."/>
      <w:lvlJc w:val="left"/>
      <w:pPr>
        <w:ind w:left="5040" w:hanging="360"/>
      </w:pPr>
    </w:lvl>
    <w:lvl w:ilvl="7" w:tplc="209A11F2">
      <w:start w:val="1"/>
      <w:numFmt w:val="lowerLetter"/>
      <w:lvlText w:val="%8."/>
      <w:lvlJc w:val="left"/>
      <w:pPr>
        <w:ind w:left="5760" w:hanging="360"/>
      </w:pPr>
    </w:lvl>
    <w:lvl w:ilvl="8" w:tplc="B42231C6">
      <w:start w:val="1"/>
      <w:numFmt w:val="lowerRoman"/>
      <w:lvlText w:val="%9."/>
      <w:lvlJc w:val="right"/>
      <w:pPr>
        <w:ind w:left="6480" w:hanging="180"/>
      </w:pPr>
    </w:lvl>
  </w:abstractNum>
  <w:abstractNum w:abstractNumId="42" w15:restartNumberingAfterBreak="0">
    <w:nsid w:val="21724144"/>
    <w:multiLevelType w:val="hybridMultilevel"/>
    <w:tmpl w:val="FFFFFFFF"/>
    <w:lvl w:ilvl="0" w:tplc="84285846">
      <w:start w:val="350"/>
      <w:numFmt w:val="decimal"/>
      <w:lvlText w:val="%1."/>
      <w:lvlJc w:val="left"/>
      <w:pPr>
        <w:ind w:left="720" w:hanging="360"/>
      </w:pPr>
    </w:lvl>
    <w:lvl w:ilvl="1" w:tplc="0D0E1594">
      <w:start w:val="1"/>
      <w:numFmt w:val="lowerLetter"/>
      <w:lvlText w:val="%2."/>
      <w:lvlJc w:val="left"/>
      <w:pPr>
        <w:ind w:left="1440" w:hanging="360"/>
      </w:pPr>
    </w:lvl>
    <w:lvl w:ilvl="2" w:tplc="3B7EB8F8">
      <w:start w:val="1"/>
      <w:numFmt w:val="lowerRoman"/>
      <w:lvlText w:val="%3."/>
      <w:lvlJc w:val="right"/>
      <w:pPr>
        <w:ind w:left="2160" w:hanging="180"/>
      </w:pPr>
    </w:lvl>
    <w:lvl w:ilvl="3" w:tplc="8ACAEDDE">
      <w:start w:val="1"/>
      <w:numFmt w:val="decimal"/>
      <w:lvlText w:val="%4."/>
      <w:lvlJc w:val="left"/>
      <w:pPr>
        <w:ind w:left="2880" w:hanging="360"/>
      </w:pPr>
    </w:lvl>
    <w:lvl w:ilvl="4" w:tplc="E6C22B54">
      <w:start w:val="1"/>
      <w:numFmt w:val="lowerLetter"/>
      <w:lvlText w:val="%5."/>
      <w:lvlJc w:val="left"/>
      <w:pPr>
        <w:ind w:left="3600" w:hanging="360"/>
      </w:pPr>
    </w:lvl>
    <w:lvl w:ilvl="5" w:tplc="7F4888CA">
      <w:start w:val="1"/>
      <w:numFmt w:val="lowerRoman"/>
      <w:lvlText w:val="%6."/>
      <w:lvlJc w:val="right"/>
      <w:pPr>
        <w:ind w:left="4320" w:hanging="180"/>
      </w:pPr>
    </w:lvl>
    <w:lvl w:ilvl="6" w:tplc="43462162">
      <w:start w:val="1"/>
      <w:numFmt w:val="decimal"/>
      <w:lvlText w:val="%7."/>
      <w:lvlJc w:val="left"/>
      <w:pPr>
        <w:ind w:left="5040" w:hanging="360"/>
      </w:pPr>
    </w:lvl>
    <w:lvl w:ilvl="7" w:tplc="161EDCCC">
      <w:start w:val="1"/>
      <w:numFmt w:val="lowerLetter"/>
      <w:lvlText w:val="%8."/>
      <w:lvlJc w:val="left"/>
      <w:pPr>
        <w:ind w:left="5760" w:hanging="360"/>
      </w:pPr>
    </w:lvl>
    <w:lvl w:ilvl="8" w:tplc="32962CAE">
      <w:start w:val="1"/>
      <w:numFmt w:val="lowerRoman"/>
      <w:lvlText w:val="%9."/>
      <w:lvlJc w:val="right"/>
      <w:pPr>
        <w:ind w:left="6480" w:hanging="180"/>
      </w:pPr>
    </w:lvl>
  </w:abstractNum>
  <w:abstractNum w:abstractNumId="43" w15:restartNumberingAfterBreak="0">
    <w:nsid w:val="246F536D"/>
    <w:multiLevelType w:val="multilevel"/>
    <w:tmpl w:val="49C6B162"/>
    <w:lvl w:ilvl="0">
      <w:start w:val="1"/>
      <w:numFmt w:val="decimal"/>
      <w:lvlText w:val="%1."/>
      <w:lvlJc w:val="left"/>
      <w:pPr>
        <w:ind w:left="851" w:hanging="85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541C07B"/>
    <w:multiLevelType w:val="hybridMultilevel"/>
    <w:tmpl w:val="FFFFFFFF"/>
    <w:lvl w:ilvl="0" w:tplc="3F76FFEA">
      <w:start w:val="348"/>
      <w:numFmt w:val="decimal"/>
      <w:lvlText w:val="%1."/>
      <w:lvlJc w:val="left"/>
      <w:pPr>
        <w:ind w:left="720" w:hanging="360"/>
      </w:pPr>
    </w:lvl>
    <w:lvl w:ilvl="1" w:tplc="54E6737C">
      <w:start w:val="1"/>
      <w:numFmt w:val="lowerLetter"/>
      <w:lvlText w:val="%2."/>
      <w:lvlJc w:val="left"/>
      <w:pPr>
        <w:ind w:left="1440" w:hanging="360"/>
      </w:pPr>
    </w:lvl>
    <w:lvl w:ilvl="2" w:tplc="C24A2A34">
      <w:start w:val="1"/>
      <w:numFmt w:val="lowerRoman"/>
      <w:lvlText w:val="%3."/>
      <w:lvlJc w:val="right"/>
      <w:pPr>
        <w:ind w:left="2160" w:hanging="180"/>
      </w:pPr>
    </w:lvl>
    <w:lvl w:ilvl="3" w:tplc="636C8224">
      <w:start w:val="1"/>
      <w:numFmt w:val="decimal"/>
      <w:lvlText w:val="%4."/>
      <w:lvlJc w:val="left"/>
      <w:pPr>
        <w:ind w:left="2880" w:hanging="360"/>
      </w:pPr>
    </w:lvl>
    <w:lvl w:ilvl="4" w:tplc="FDE6EB76">
      <w:start w:val="1"/>
      <w:numFmt w:val="lowerLetter"/>
      <w:lvlText w:val="%5."/>
      <w:lvlJc w:val="left"/>
      <w:pPr>
        <w:ind w:left="3600" w:hanging="360"/>
      </w:pPr>
    </w:lvl>
    <w:lvl w:ilvl="5" w:tplc="8C46BA4A">
      <w:start w:val="1"/>
      <w:numFmt w:val="lowerRoman"/>
      <w:lvlText w:val="%6."/>
      <w:lvlJc w:val="right"/>
      <w:pPr>
        <w:ind w:left="4320" w:hanging="180"/>
      </w:pPr>
    </w:lvl>
    <w:lvl w:ilvl="6" w:tplc="43D4AFDA">
      <w:start w:val="1"/>
      <w:numFmt w:val="decimal"/>
      <w:lvlText w:val="%7."/>
      <w:lvlJc w:val="left"/>
      <w:pPr>
        <w:ind w:left="5040" w:hanging="360"/>
      </w:pPr>
    </w:lvl>
    <w:lvl w:ilvl="7" w:tplc="D2C8C520">
      <w:start w:val="1"/>
      <w:numFmt w:val="lowerLetter"/>
      <w:lvlText w:val="%8."/>
      <w:lvlJc w:val="left"/>
      <w:pPr>
        <w:ind w:left="5760" w:hanging="360"/>
      </w:pPr>
    </w:lvl>
    <w:lvl w:ilvl="8" w:tplc="F8F201F4">
      <w:start w:val="1"/>
      <w:numFmt w:val="lowerRoman"/>
      <w:lvlText w:val="%9."/>
      <w:lvlJc w:val="right"/>
      <w:pPr>
        <w:ind w:left="6480" w:hanging="180"/>
      </w:pPr>
    </w:lvl>
  </w:abstractNum>
  <w:abstractNum w:abstractNumId="45" w15:restartNumberingAfterBreak="0">
    <w:nsid w:val="27D703A7"/>
    <w:multiLevelType w:val="hybridMultilevel"/>
    <w:tmpl w:val="FFFFFFFF"/>
    <w:lvl w:ilvl="0" w:tplc="E1DE9F2C">
      <w:start w:val="349"/>
      <w:numFmt w:val="decimal"/>
      <w:lvlText w:val="%1."/>
      <w:lvlJc w:val="left"/>
      <w:pPr>
        <w:ind w:left="720" w:hanging="360"/>
      </w:pPr>
    </w:lvl>
    <w:lvl w:ilvl="1" w:tplc="CFCEA600">
      <w:start w:val="1"/>
      <w:numFmt w:val="lowerLetter"/>
      <w:lvlText w:val="%2."/>
      <w:lvlJc w:val="left"/>
      <w:pPr>
        <w:ind w:left="1440" w:hanging="360"/>
      </w:pPr>
    </w:lvl>
    <w:lvl w:ilvl="2" w:tplc="F3D48E20">
      <w:start w:val="1"/>
      <w:numFmt w:val="lowerRoman"/>
      <w:lvlText w:val="%3."/>
      <w:lvlJc w:val="right"/>
      <w:pPr>
        <w:ind w:left="2160" w:hanging="180"/>
      </w:pPr>
    </w:lvl>
    <w:lvl w:ilvl="3" w:tplc="0680BBE0">
      <w:start w:val="1"/>
      <w:numFmt w:val="decimal"/>
      <w:lvlText w:val="%4."/>
      <w:lvlJc w:val="left"/>
      <w:pPr>
        <w:ind w:left="2880" w:hanging="360"/>
      </w:pPr>
    </w:lvl>
    <w:lvl w:ilvl="4" w:tplc="19F42D94">
      <w:start w:val="1"/>
      <w:numFmt w:val="lowerLetter"/>
      <w:lvlText w:val="%5."/>
      <w:lvlJc w:val="left"/>
      <w:pPr>
        <w:ind w:left="3600" w:hanging="360"/>
      </w:pPr>
    </w:lvl>
    <w:lvl w:ilvl="5" w:tplc="0A9C63F6">
      <w:start w:val="1"/>
      <w:numFmt w:val="lowerRoman"/>
      <w:lvlText w:val="%6."/>
      <w:lvlJc w:val="right"/>
      <w:pPr>
        <w:ind w:left="4320" w:hanging="180"/>
      </w:pPr>
    </w:lvl>
    <w:lvl w:ilvl="6" w:tplc="74DCAB94">
      <w:start w:val="1"/>
      <w:numFmt w:val="decimal"/>
      <w:lvlText w:val="%7."/>
      <w:lvlJc w:val="left"/>
      <w:pPr>
        <w:ind w:left="5040" w:hanging="360"/>
      </w:pPr>
    </w:lvl>
    <w:lvl w:ilvl="7" w:tplc="C5887770">
      <w:start w:val="1"/>
      <w:numFmt w:val="lowerLetter"/>
      <w:lvlText w:val="%8."/>
      <w:lvlJc w:val="left"/>
      <w:pPr>
        <w:ind w:left="5760" w:hanging="360"/>
      </w:pPr>
    </w:lvl>
    <w:lvl w:ilvl="8" w:tplc="638A1066">
      <w:start w:val="1"/>
      <w:numFmt w:val="lowerRoman"/>
      <w:lvlText w:val="%9."/>
      <w:lvlJc w:val="right"/>
      <w:pPr>
        <w:ind w:left="6480" w:hanging="180"/>
      </w:pPr>
    </w:lvl>
  </w:abstractNum>
  <w:abstractNum w:abstractNumId="46" w15:restartNumberingAfterBreak="0">
    <w:nsid w:val="27F2C7D0"/>
    <w:multiLevelType w:val="hybridMultilevel"/>
    <w:tmpl w:val="FFFFFFFF"/>
    <w:lvl w:ilvl="0" w:tplc="F47821F8">
      <w:start w:val="352"/>
      <w:numFmt w:val="decimal"/>
      <w:lvlText w:val="%1."/>
      <w:lvlJc w:val="left"/>
      <w:pPr>
        <w:ind w:left="720" w:hanging="360"/>
      </w:pPr>
    </w:lvl>
    <w:lvl w:ilvl="1" w:tplc="B3BA5812">
      <w:start w:val="1"/>
      <w:numFmt w:val="lowerLetter"/>
      <w:lvlText w:val="%2."/>
      <w:lvlJc w:val="left"/>
      <w:pPr>
        <w:ind w:left="1440" w:hanging="360"/>
      </w:pPr>
    </w:lvl>
    <w:lvl w:ilvl="2" w:tplc="12B2AF76">
      <w:start w:val="1"/>
      <w:numFmt w:val="lowerRoman"/>
      <w:lvlText w:val="%3."/>
      <w:lvlJc w:val="right"/>
      <w:pPr>
        <w:ind w:left="2160" w:hanging="180"/>
      </w:pPr>
    </w:lvl>
    <w:lvl w:ilvl="3" w:tplc="BDD05EA2">
      <w:start w:val="1"/>
      <w:numFmt w:val="decimal"/>
      <w:lvlText w:val="%4."/>
      <w:lvlJc w:val="left"/>
      <w:pPr>
        <w:ind w:left="2880" w:hanging="360"/>
      </w:pPr>
    </w:lvl>
    <w:lvl w:ilvl="4" w:tplc="08A89430">
      <w:start w:val="1"/>
      <w:numFmt w:val="lowerLetter"/>
      <w:lvlText w:val="%5."/>
      <w:lvlJc w:val="left"/>
      <w:pPr>
        <w:ind w:left="3600" w:hanging="360"/>
      </w:pPr>
    </w:lvl>
    <w:lvl w:ilvl="5" w:tplc="62304C6E">
      <w:start w:val="1"/>
      <w:numFmt w:val="lowerRoman"/>
      <w:lvlText w:val="%6."/>
      <w:lvlJc w:val="right"/>
      <w:pPr>
        <w:ind w:left="4320" w:hanging="180"/>
      </w:pPr>
    </w:lvl>
    <w:lvl w:ilvl="6" w:tplc="A1BE9C74">
      <w:start w:val="1"/>
      <w:numFmt w:val="decimal"/>
      <w:lvlText w:val="%7."/>
      <w:lvlJc w:val="left"/>
      <w:pPr>
        <w:ind w:left="5040" w:hanging="360"/>
      </w:pPr>
    </w:lvl>
    <w:lvl w:ilvl="7" w:tplc="A04E5776">
      <w:start w:val="1"/>
      <w:numFmt w:val="lowerLetter"/>
      <w:lvlText w:val="%8."/>
      <w:lvlJc w:val="left"/>
      <w:pPr>
        <w:ind w:left="5760" w:hanging="360"/>
      </w:pPr>
    </w:lvl>
    <w:lvl w:ilvl="8" w:tplc="B2B416CC">
      <w:start w:val="1"/>
      <w:numFmt w:val="lowerRoman"/>
      <w:lvlText w:val="%9."/>
      <w:lvlJc w:val="right"/>
      <w:pPr>
        <w:ind w:left="6480" w:hanging="180"/>
      </w:pPr>
    </w:lvl>
  </w:abstractNum>
  <w:abstractNum w:abstractNumId="47" w15:restartNumberingAfterBreak="0">
    <w:nsid w:val="29BA7621"/>
    <w:multiLevelType w:val="hybridMultilevel"/>
    <w:tmpl w:val="3B1E5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9C03EEF"/>
    <w:multiLevelType w:val="hybridMultilevel"/>
    <w:tmpl w:val="FFFFFFFF"/>
    <w:lvl w:ilvl="0" w:tplc="8F1219BC">
      <w:start w:val="350"/>
      <w:numFmt w:val="decimal"/>
      <w:lvlText w:val="%1."/>
      <w:lvlJc w:val="left"/>
      <w:pPr>
        <w:ind w:left="720" w:hanging="360"/>
      </w:pPr>
    </w:lvl>
    <w:lvl w:ilvl="1" w:tplc="83C48284">
      <w:start w:val="1"/>
      <w:numFmt w:val="lowerLetter"/>
      <w:lvlText w:val="%2."/>
      <w:lvlJc w:val="left"/>
      <w:pPr>
        <w:ind w:left="1440" w:hanging="360"/>
      </w:pPr>
    </w:lvl>
    <w:lvl w:ilvl="2" w:tplc="8870C28E">
      <w:start w:val="1"/>
      <w:numFmt w:val="lowerRoman"/>
      <w:lvlText w:val="%3."/>
      <w:lvlJc w:val="right"/>
      <w:pPr>
        <w:ind w:left="2160" w:hanging="180"/>
      </w:pPr>
    </w:lvl>
    <w:lvl w:ilvl="3" w:tplc="5080A0A2">
      <w:start w:val="1"/>
      <w:numFmt w:val="decimal"/>
      <w:lvlText w:val="%4."/>
      <w:lvlJc w:val="left"/>
      <w:pPr>
        <w:ind w:left="2880" w:hanging="360"/>
      </w:pPr>
    </w:lvl>
    <w:lvl w:ilvl="4" w:tplc="CD7A48DE">
      <w:start w:val="1"/>
      <w:numFmt w:val="lowerLetter"/>
      <w:lvlText w:val="%5."/>
      <w:lvlJc w:val="left"/>
      <w:pPr>
        <w:ind w:left="3600" w:hanging="360"/>
      </w:pPr>
    </w:lvl>
    <w:lvl w:ilvl="5" w:tplc="C902E7CA">
      <w:start w:val="1"/>
      <w:numFmt w:val="lowerRoman"/>
      <w:lvlText w:val="%6."/>
      <w:lvlJc w:val="right"/>
      <w:pPr>
        <w:ind w:left="4320" w:hanging="180"/>
      </w:pPr>
    </w:lvl>
    <w:lvl w:ilvl="6" w:tplc="F6B4114C">
      <w:start w:val="1"/>
      <w:numFmt w:val="decimal"/>
      <w:lvlText w:val="%7."/>
      <w:lvlJc w:val="left"/>
      <w:pPr>
        <w:ind w:left="5040" w:hanging="360"/>
      </w:pPr>
    </w:lvl>
    <w:lvl w:ilvl="7" w:tplc="D228F880">
      <w:start w:val="1"/>
      <w:numFmt w:val="lowerLetter"/>
      <w:lvlText w:val="%8."/>
      <w:lvlJc w:val="left"/>
      <w:pPr>
        <w:ind w:left="5760" w:hanging="360"/>
      </w:pPr>
    </w:lvl>
    <w:lvl w:ilvl="8" w:tplc="DF6CC574">
      <w:start w:val="1"/>
      <w:numFmt w:val="lowerRoman"/>
      <w:lvlText w:val="%9."/>
      <w:lvlJc w:val="right"/>
      <w:pPr>
        <w:ind w:left="6480" w:hanging="180"/>
      </w:pPr>
    </w:lvl>
  </w:abstractNum>
  <w:abstractNum w:abstractNumId="49" w15:restartNumberingAfterBreak="0">
    <w:nsid w:val="2B211252"/>
    <w:multiLevelType w:val="hybridMultilevel"/>
    <w:tmpl w:val="FFFFFFFF"/>
    <w:lvl w:ilvl="0" w:tplc="ACEEC846">
      <w:start w:val="1"/>
      <w:numFmt w:val="bullet"/>
      <w:lvlText w:val=""/>
      <w:lvlJc w:val="left"/>
      <w:pPr>
        <w:ind w:left="720" w:hanging="360"/>
      </w:pPr>
      <w:rPr>
        <w:rFonts w:ascii="Symbol" w:hAnsi="Symbol" w:hint="default"/>
      </w:rPr>
    </w:lvl>
    <w:lvl w:ilvl="1" w:tplc="D494D86E">
      <w:start w:val="1"/>
      <w:numFmt w:val="bullet"/>
      <w:lvlText w:val="·"/>
      <w:lvlJc w:val="left"/>
      <w:pPr>
        <w:ind w:left="1440" w:hanging="360"/>
      </w:pPr>
      <w:rPr>
        <w:rFonts w:ascii="Symbol" w:hAnsi="Symbol" w:hint="default"/>
      </w:rPr>
    </w:lvl>
    <w:lvl w:ilvl="2" w:tplc="9DD6C35E">
      <w:start w:val="1"/>
      <w:numFmt w:val="bullet"/>
      <w:lvlText w:val=""/>
      <w:lvlJc w:val="left"/>
      <w:pPr>
        <w:ind w:left="2160" w:hanging="360"/>
      </w:pPr>
      <w:rPr>
        <w:rFonts w:ascii="Wingdings" w:hAnsi="Wingdings" w:hint="default"/>
      </w:rPr>
    </w:lvl>
    <w:lvl w:ilvl="3" w:tplc="84148E92">
      <w:start w:val="1"/>
      <w:numFmt w:val="bullet"/>
      <w:lvlText w:val=""/>
      <w:lvlJc w:val="left"/>
      <w:pPr>
        <w:ind w:left="2880" w:hanging="360"/>
      </w:pPr>
      <w:rPr>
        <w:rFonts w:ascii="Symbol" w:hAnsi="Symbol" w:hint="default"/>
      </w:rPr>
    </w:lvl>
    <w:lvl w:ilvl="4" w:tplc="0B2296B8">
      <w:start w:val="1"/>
      <w:numFmt w:val="bullet"/>
      <w:lvlText w:val="o"/>
      <w:lvlJc w:val="left"/>
      <w:pPr>
        <w:ind w:left="3600" w:hanging="360"/>
      </w:pPr>
      <w:rPr>
        <w:rFonts w:ascii="Courier New" w:hAnsi="Courier New" w:hint="default"/>
      </w:rPr>
    </w:lvl>
    <w:lvl w:ilvl="5" w:tplc="9E6632C0">
      <w:start w:val="1"/>
      <w:numFmt w:val="bullet"/>
      <w:lvlText w:val=""/>
      <w:lvlJc w:val="left"/>
      <w:pPr>
        <w:ind w:left="4320" w:hanging="360"/>
      </w:pPr>
      <w:rPr>
        <w:rFonts w:ascii="Wingdings" w:hAnsi="Wingdings" w:hint="default"/>
      </w:rPr>
    </w:lvl>
    <w:lvl w:ilvl="6" w:tplc="486E1390">
      <w:start w:val="1"/>
      <w:numFmt w:val="bullet"/>
      <w:lvlText w:val=""/>
      <w:lvlJc w:val="left"/>
      <w:pPr>
        <w:ind w:left="5040" w:hanging="360"/>
      </w:pPr>
      <w:rPr>
        <w:rFonts w:ascii="Symbol" w:hAnsi="Symbol" w:hint="default"/>
      </w:rPr>
    </w:lvl>
    <w:lvl w:ilvl="7" w:tplc="BFEA0704">
      <w:start w:val="1"/>
      <w:numFmt w:val="bullet"/>
      <w:lvlText w:val="o"/>
      <w:lvlJc w:val="left"/>
      <w:pPr>
        <w:ind w:left="5760" w:hanging="360"/>
      </w:pPr>
      <w:rPr>
        <w:rFonts w:ascii="Courier New" w:hAnsi="Courier New" w:hint="default"/>
      </w:rPr>
    </w:lvl>
    <w:lvl w:ilvl="8" w:tplc="A378D6E0">
      <w:start w:val="1"/>
      <w:numFmt w:val="bullet"/>
      <w:lvlText w:val=""/>
      <w:lvlJc w:val="left"/>
      <w:pPr>
        <w:ind w:left="6480" w:hanging="360"/>
      </w:pPr>
      <w:rPr>
        <w:rFonts w:ascii="Wingdings" w:hAnsi="Wingdings" w:hint="default"/>
      </w:rPr>
    </w:lvl>
  </w:abstractNum>
  <w:abstractNum w:abstractNumId="50" w15:restartNumberingAfterBreak="0">
    <w:nsid w:val="2B398EAB"/>
    <w:multiLevelType w:val="hybridMultilevel"/>
    <w:tmpl w:val="FFFFFFFF"/>
    <w:lvl w:ilvl="0" w:tplc="D16CB470">
      <w:start w:val="350"/>
      <w:numFmt w:val="decimal"/>
      <w:lvlText w:val="%1."/>
      <w:lvlJc w:val="left"/>
      <w:pPr>
        <w:ind w:left="720" w:hanging="360"/>
      </w:pPr>
    </w:lvl>
    <w:lvl w:ilvl="1" w:tplc="C8947556">
      <w:start w:val="1"/>
      <w:numFmt w:val="lowerLetter"/>
      <w:lvlText w:val="%2."/>
      <w:lvlJc w:val="left"/>
      <w:pPr>
        <w:ind w:left="1440" w:hanging="360"/>
      </w:pPr>
    </w:lvl>
    <w:lvl w:ilvl="2" w:tplc="D3AACAD0">
      <w:start w:val="1"/>
      <w:numFmt w:val="lowerRoman"/>
      <w:lvlText w:val="%3."/>
      <w:lvlJc w:val="right"/>
      <w:pPr>
        <w:ind w:left="2160" w:hanging="180"/>
      </w:pPr>
    </w:lvl>
    <w:lvl w:ilvl="3" w:tplc="4076481A">
      <w:start w:val="1"/>
      <w:numFmt w:val="decimal"/>
      <w:lvlText w:val="%4."/>
      <w:lvlJc w:val="left"/>
      <w:pPr>
        <w:ind w:left="2880" w:hanging="360"/>
      </w:pPr>
    </w:lvl>
    <w:lvl w:ilvl="4" w:tplc="7EDE9552">
      <w:start w:val="1"/>
      <w:numFmt w:val="lowerLetter"/>
      <w:lvlText w:val="%5."/>
      <w:lvlJc w:val="left"/>
      <w:pPr>
        <w:ind w:left="3600" w:hanging="360"/>
      </w:pPr>
    </w:lvl>
    <w:lvl w:ilvl="5" w:tplc="EBE8C4DA">
      <w:start w:val="1"/>
      <w:numFmt w:val="lowerRoman"/>
      <w:lvlText w:val="%6."/>
      <w:lvlJc w:val="right"/>
      <w:pPr>
        <w:ind w:left="4320" w:hanging="180"/>
      </w:pPr>
    </w:lvl>
    <w:lvl w:ilvl="6" w:tplc="96CEE238">
      <w:start w:val="1"/>
      <w:numFmt w:val="decimal"/>
      <w:lvlText w:val="%7."/>
      <w:lvlJc w:val="left"/>
      <w:pPr>
        <w:ind w:left="5040" w:hanging="360"/>
      </w:pPr>
    </w:lvl>
    <w:lvl w:ilvl="7" w:tplc="018C95DA">
      <w:start w:val="1"/>
      <w:numFmt w:val="lowerLetter"/>
      <w:lvlText w:val="%8."/>
      <w:lvlJc w:val="left"/>
      <w:pPr>
        <w:ind w:left="5760" w:hanging="360"/>
      </w:pPr>
    </w:lvl>
    <w:lvl w:ilvl="8" w:tplc="68ECBF7A">
      <w:start w:val="1"/>
      <w:numFmt w:val="lowerRoman"/>
      <w:lvlText w:val="%9."/>
      <w:lvlJc w:val="right"/>
      <w:pPr>
        <w:ind w:left="6480" w:hanging="180"/>
      </w:pPr>
    </w:lvl>
  </w:abstractNum>
  <w:abstractNum w:abstractNumId="51" w15:restartNumberingAfterBreak="0">
    <w:nsid w:val="2C6792EE"/>
    <w:multiLevelType w:val="hybridMultilevel"/>
    <w:tmpl w:val="FFFFFFFF"/>
    <w:lvl w:ilvl="0" w:tplc="810A04FA">
      <w:start w:val="349"/>
      <w:numFmt w:val="decimal"/>
      <w:lvlText w:val="%1."/>
      <w:lvlJc w:val="left"/>
      <w:pPr>
        <w:ind w:left="720" w:hanging="360"/>
      </w:pPr>
    </w:lvl>
    <w:lvl w:ilvl="1" w:tplc="40544A20">
      <w:start w:val="1"/>
      <w:numFmt w:val="lowerLetter"/>
      <w:lvlText w:val="%2."/>
      <w:lvlJc w:val="left"/>
      <w:pPr>
        <w:ind w:left="1440" w:hanging="360"/>
      </w:pPr>
    </w:lvl>
    <w:lvl w:ilvl="2" w:tplc="2EC00874">
      <w:start w:val="1"/>
      <w:numFmt w:val="lowerRoman"/>
      <w:lvlText w:val="%3."/>
      <w:lvlJc w:val="right"/>
      <w:pPr>
        <w:ind w:left="2160" w:hanging="180"/>
      </w:pPr>
    </w:lvl>
    <w:lvl w:ilvl="3" w:tplc="AAF27518">
      <w:start w:val="1"/>
      <w:numFmt w:val="decimal"/>
      <w:lvlText w:val="%4."/>
      <w:lvlJc w:val="left"/>
      <w:pPr>
        <w:ind w:left="2880" w:hanging="360"/>
      </w:pPr>
    </w:lvl>
    <w:lvl w:ilvl="4" w:tplc="BC3E43B0">
      <w:start w:val="1"/>
      <w:numFmt w:val="lowerLetter"/>
      <w:lvlText w:val="%5."/>
      <w:lvlJc w:val="left"/>
      <w:pPr>
        <w:ind w:left="3600" w:hanging="360"/>
      </w:pPr>
    </w:lvl>
    <w:lvl w:ilvl="5" w:tplc="2278B174">
      <w:start w:val="1"/>
      <w:numFmt w:val="lowerRoman"/>
      <w:lvlText w:val="%6."/>
      <w:lvlJc w:val="right"/>
      <w:pPr>
        <w:ind w:left="4320" w:hanging="180"/>
      </w:pPr>
    </w:lvl>
    <w:lvl w:ilvl="6" w:tplc="5CA49116">
      <w:start w:val="1"/>
      <w:numFmt w:val="decimal"/>
      <w:lvlText w:val="%7."/>
      <w:lvlJc w:val="left"/>
      <w:pPr>
        <w:ind w:left="5040" w:hanging="360"/>
      </w:pPr>
    </w:lvl>
    <w:lvl w:ilvl="7" w:tplc="6C184BAC">
      <w:start w:val="1"/>
      <w:numFmt w:val="lowerLetter"/>
      <w:lvlText w:val="%8."/>
      <w:lvlJc w:val="left"/>
      <w:pPr>
        <w:ind w:left="5760" w:hanging="360"/>
      </w:pPr>
    </w:lvl>
    <w:lvl w:ilvl="8" w:tplc="850A5166">
      <w:start w:val="1"/>
      <w:numFmt w:val="lowerRoman"/>
      <w:lvlText w:val="%9."/>
      <w:lvlJc w:val="right"/>
      <w:pPr>
        <w:ind w:left="6480" w:hanging="180"/>
      </w:pPr>
    </w:lvl>
  </w:abstractNum>
  <w:abstractNum w:abstractNumId="52" w15:restartNumberingAfterBreak="0">
    <w:nsid w:val="2CDF56D9"/>
    <w:multiLevelType w:val="hybridMultilevel"/>
    <w:tmpl w:val="FFFFFFFF"/>
    <w:lvl w:ilvl="0" w:tplc="FE661470">
      <w:start w:val="1"/>
      <w:numFmt w:val="decimal"/>
      <w:lvlText w:val="%1."/>
      <w:lvlJc w:val="left"/>
      <w:pPr>
        <w:ind w:left="720" w:hanging="360"/>
      </w:pPr>
    </w:lvl>
    <w:lvl w:ilvl="1" w:tplc="73D65438">
      <w:start w:val="1"/>
      <w:numFmt w:val="lowerLetter"/>
      <w:lvlText w:val="%2."/>
      <w:lvlJc w:val="left"/>
      <w:pPr>
        <w:ind w:left="1440" w:hanging="360"/>
      </w:pPr>
    </w:lvl>
    <w:lvl w:ilvl="2" w:tplc="7E9CBB9A">
      <w:start w:val="1"/>
      <w:numFmt w:val="lowerRoman"/>
      <w:lvlText w:val="%3."/>
      <w:lvlJc w:val="right"/>
      <w:pPr>
        <w:ind w:left="2160" w:hanging="180"/>
      </w:pPr>
    </w:lvl>
    <w:lvl w:ilvl="3" w:tplc="822C650A">
      <w:start w:val="1"/>
      <w:numFmt w:val="decimal"/>
      <w:lvlText w:val="%4."/>
      <w:lvlJc w:val="left"/>
      <w:pPr>
        <w:ind w:left="2880" w:hanging="360"/>
      </w:pPr>
    </w:lvl>
    <w:lvl w:ilvl="4" w:tplc="9CDE56EA">
      <w:start w:val="1"/>
      <w:numFmt w:val="lowerLetter"/>
      <w:lvlText w:val="%5."/>
      <w:lvlJc w:val="left"/>
      <w:pPr>
        <w:ind w:left="3600" w:hanging="360"/>
      </w:pPr>
    </w:lvl>
    <w:lvl w:ilvl="5" w:tplc="A08EF2C8">
      <w:start w:val="1"/>
      <w:numFmt w:val="lowerRoman"/>
      <w:lvlText w:val="%6."/>
      <w:lvlJc w:val="right"/>
      <w:pPr>
        <w:ind w:left="4320" w:hanging="180"/>
      </w:pPr>
    </w:lvl>
    <w:lvl w:ilvl="6" w:tplc="7ABA8D7C">
      <w:start w:val="1"/>
      <w:numFmt w:val="decimal"/>
      <w:lvlText w:val="%7."/>
      <w:lvlJc w:val="left"/>
      <w:pPr>
        <w:ind w:left="5040" w:hanging="360"/>
      </w:pPr>
    </w:lvl>
    <w:lvl w:ilvl="7" w:tplc="799CF768">
      <w:start w:val="1"/>
      <w:numFmt w:val="lowerLetter"/>
      <w:lvlText w:val="%8."/>
      <w:lvlJc w:val="left"/>
      <w:pPr>
        <w:ind w:left="5760" w:hanging="360"/>
      </w:pPr>
    </w:lvl>
    <w:lvl w:ilvl="8" w:tplc="0B5E78E6">
      <w:start w:val="1"/>
      <w:numFmt w:val="lowerRoman"/>
      <w:lvlText w:val="%9."/>
      <w:lvlJc w:val="right"/>
      <w:pPr>
        <w:ind w:left="6480" w:hanging="180"/>
      </w:pPr>
    </w:lvl>
  </w:abstractNum>
  <w:abstractNum w:abstractNumId="53" w15:restartNumberingAfterBreak="0">
    <w:nsid w:val="2D4027FC"/>
    <w:multiLevelType w:val="hybridMultilevel"/>
    <w:tmpl w:val="336C281E"/>
    <w:lvl w:ilvl="0" w:tplc="B13E04D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2DCD320A"/>
    <w:multiLevelType w:val="hybridMultilevel"/>
    <w:tmpl w:val="FFFFFFFF"/>
    <w:lvl w:ilvl="0" w:tplc="0EB23714">
      <w:start w:val="348"/>
      <w:numFmt w:val="decimal"/>
      <w:lvlText w:val="%1."/>
      <w:lvlJc w:val="left"/>
      <w:pPr>
        <w:ind w:left="720" w:hanging="360"/>
      </w:pPr>
    </w:lvl>
    <w:lvl w:ilvl="1" w:tplc="47A28562">
      <w:start w:val="1"/>
      <w:numFmt w:val="lowerLetter"/>
      <w:lvlText w:val="%2."/>
      <w:lvlJc w:val="left"/>
      <w:pPr>
        <w:ind w:left="1440" w:hanging="360"/>
      </w:pPr>
    </w:lvl>
    <w:lvl w:ilvl="2" w:tplc="8A766522">
      <w:start w:val="1"/>
      <w:numFmt w:val="lowerRoman"/>
      <w:lvlText w:val="%3."/>
      <w:lvlJc w:val="right"/>
      <w:pPr>
        <w:ind w:left="2160" w:hanging="180"/>
      </w:pPr>
    </w:lvl>
    <w:lvl w:ilvl="3" w:tplc="36FA8006">
      <w:start w:val="1"/>
      <w:numFmt w:val="decimal"/>
      <w:lvlText w:val="%4."/>
      <w:lvlJc w:val="left"/>
      <w:pPr>
        <w:ind w:left="2880" w:hanging="360"/>
      </w:pPr>
    </w:lvl>
    <w:lvl w:ilvl="4" w:tplc="F4145018">
      <w:start w:val="1"/>
      <w:numFmt w:val="lowerLetter"/>
      <w:lvlText w:val="%5."/>
      <w:lvlJc w:val="left"/>
      <w:pPr>
        <w:ind w:left="3600" w:hanging="360"/>
      </w:pPr>
    </w:lvl>
    <w:lvl w:ilvl="5" w:tplc="F84298E0">
      <w:start w:val="1"/>
      <w:numFmt w:val="lowerRoman"/>
      <w:lvlText w:val="%6."/>
      <w:lvlJc w:val="right"/>
      <w:pPr>
        <w:ind w:left="4320" w:hanging="180"/>
      </w:pPr>
    </w:lvl>
    <w:lvl w:ilvl="6" w:tplc="5C443304">
      <w:start w:val="1"/>
      <w:numFmt w:val="decimal"/>
      <w:lvlText w:val="%7."/>
      <w:lvlJc w:val="left"/>
      <w:pPr>
        <w:ind w:left="5040" w:hanging="360"/>
      </w:pPr>
    </w:lvl>
    <w:lvl w:ilvl="7" w:tplc="6DBC2834">
      <w:start w:val="1"/>
      <w:numFmt w:val="lowerLetter"/>
      <w:lvlText w:val="%8."/>
      <w:lvlJc w:val="left"/>
      <w:pPr>
        <w:ind w:left="5760" w:hanging="360"/>
      </w:pPr>
    </w:lvl>
    <w:lvl w:ilvl="8" w:tplc="C86A31FE">
      <w:start w:val="1"/>
      <w:numFmt w:val="lowerRoman"/>
      <w:lvlText w:val="%9."/>
      <w:lvlJc w:val="right"/>
      <w:pPr>
        <w:ind w:left="6480" w:hanging="180"/>
      </w:pPr>
    </w:lvl>
  </w:abstractNum>
  <w:abstractNum w:abstractNumId="55" w15:restartNumberingAfterBreak="0">
    <w:nsid w:val="305D87A2"/>
    <w:multiLevelType w:val="hybridMultilevel"/>
    <w:tmpl w:val="FFFFFFFF"/>
    <w:lvl w:ilvl="0" w:tplc="438E0384">
      <w:start w:val="355"/>
      <w:numFmt w:val="decimal"/>
      <w:lvlText w:val="%1."/>
      <w:lvlJc w:val="left"/>
      <w:pPr>
        <w:ind w:left="720" w:hanging="360"/>
      </w:pPr>
    </w:lvl>
    <w:lvl w:ilvl="1" w:tplc="2458C8EC">
      <w:start w:val="1"/>
      <w:numFmt w:val="lowerLetter"/>
      <w:lvlText w:val="%2."/>
      <w:lvlJc w:val="left"/>
      <w:pPr>
        <w:ind w:left="1440" w:hanging="360"/>
      </w:pPr>
    </w:lvl>
    <w:lvl w:ilvl="2" w:tplc="B3FA32D6">
      <w:start w:val="1"/>
      <w:numFmt w:val="lowerRoman"/>
      <w:lvlText w:val="%3."/>
      <w:lvlJc w:val="right"/>
      <w:pPr>
        <w:ind w:left="2160" w:hanging="180"/>
      </w:pPr>
    </w:lvl>
    <w:lvl w:ilvl="3" w:tplc="8714A742">
      <w:start w:val="1"/>
      <w:numFmt w:val="decimal"/>
      <w:lvlText w:val="%4."/>
      <w:lvlJc w:val="left"/>
      <w:pPr>
        <w:ind w:left="2880" w:hanging="360"/>
      </w:pPr>
    </w:lvl>
    <w:lvl w:ilvl="4" w:tplc="F850D93A">
      <w:start w:val="1"/>
      <w:numFmt w:val="lowerLetter"/>
      <w:lvlText w:val="%5."/>
      <w:lvlJc w:val="left"/>
      <w:pPr>
        <w:ind w:left="3600" w:hanging="360"/>
      </w:pPr>
    </w:lvl>
    <w:lvl w:ilvl="5" w:tplc="3FB8DE32">
      <w:start w:val="1"/>
      <w:numFmt w:val="lowerRoman"/>
      <w:lvlText w:val="%6."/>
      <w:lvlJc w:val="right"/>
      <w:pPr>
        <w:ind w:left="4320" w:hanging="180"/>
      </w:pPr>
    </w:lvl>
    <w:lvl w:ilvl="6" w:tplc="B44A22F8">
      <w:start w:val="1"/>
      <w:numFmt w:val="decimal"/>
      <w:lvlText w:val="%7."/>
      <w:lvlJc w:val="left"/>
      <w:pPr>
        <w:ind w:left="5040" w:hanging="360"/>
      </w:pPr>
    </w:lvl>
    <w:lvl w:ilvl="7" w:tplc="E2DE022A">
      <w:start w:val="1"/>
      <w:numFmt w:val="lowerLetter"/>
      <w:lvlText w:val="%8."/>
      <w:lvlJc w:val="left"/>
      <w:pPr>
        <w:ind w:left="5760" w:hanging="360"/>
      </w:pPr>
    </w:lvl>
    <w:lvl w:ilvl="8" w:tplc="4E265AC0">
      <w:start w:val="1"/>
      <w:numFmt w:val="lowerRoman"/>
      <w:lvlText w:val="%9."/>
      <w:lvlJc w:val="right"/>
      <w:pPr>
        <w:ind w:left="6480" w:hanging="180"/>
      </w:pPr>
    </w:lvl>
  </w:abstractNum>
  <w:abstractNum w:abstractNumId="56" w15:restartNumberingAfterBreak="0">
    <w:nsid w:val="31ACE503"/>
    <w:multiLevelType w:val="hybridMultilevel"/>
    <w:tmpl w:val="FFFFFFFF"/>
    <w:lvl w:ilvl="0" w:tplc="8006FB76">
      <w:start w:val="349"/>
      <w:numFmt w:val="decimal"/>
      <w:lvlText w:val="%1."/>
      <w:lvlJc w:val="left"/>
      <w:pPr>
        <w:ind w:left="720" w:hanging="360"/>
      </w:pPr>
    </w:lvl>
    <w:lvl w:ilvl="1" w:tplc="A10230DC">
      <w:start w:val="1"/>
      <w:numFmt w:val="lowerLetter"/>
      <w:lvlText w:val="%2."/>
      <w:lvlJc w:val="left"/>
      <w:pPr>
        <w:ind w:left="1440" w:hanging="360"/>
      </w:pPr>
    </w:lvl>
    <w:lvl w:ilvl="2" w:tplc="D6F05D46">
      <w:start w:val="1"/>
      <w:numFmt w:val="lowerRoman"/>
      <w:lvlText w:val="%3."/>
      <w:lvlJc w:val="right"/>
      <w:pPr>
        <w:ind w:left="2160" w:hanging="180"/>
      </w:pPr>
    </w:lvl>
    <w:lvl w:ilvl="3" w:tplc="E01649CE">
      <w:start w:val="1"/>
      <w:numFmt w:val="decimal"/>
      <w:lvlText w:val="%4."/>
      <w:lvlJc w:val="left"/>
      <w:pPr>
        <w:ind w:left="2880" w:hanging="360"/>
      </w:pPr>
    </w:lvl>
    <w:lvl w:ilvl="4" w:tplc="CD7223BE">
      <w:start w:val="1"/>
      <w:numFmt w:val="lowerLetter"/>
      <w:lvlText w:val="%5."/>
      <w:lvlJc w:val="left"/>
      <w:pPr>
        <w:ind w:left="3600" w:hanging="360"/>
      </w:pPr>
    </w:lvl>
    <w:lvl w:ilvl="5" w:tplc="8B3852B6">
      <w:start w:val="1"/>
      <w:numFmt w:val="lowerRoman"/>
      <w:lvlText w:val="%6."/>
      <w:lvlJc w:val="right"/>
      <w:pPr>
        <w:ind w:left="4320" w:hanging="180"/>
      </w:pPr>
    </w:lvl>
    <w:lvl w:ilvl="6" w:tplc="70527C3A">
      <w:start w:val="1"/>
      <w:numFmt w:val="decimal"/>
      <w:lvlText w:val="%7."/>
      <w:lvlJc w:val="left"/>
      <w:pPr>
        <w:ind w:left="5040" w:hanging="360"/>
      </w:pPr>
    </w:lvl>
    <w:lvl w:ilvl="7" w:tplc="1A0EF408">
      <w:start w:val="1"/>
      <w:numFmt w:val="lowerLetter"/>
      <w:lvlText w:val="%8."/>
      <w:lvlJc w:val="left"/>
      <w:pPr>
        <w:ind w:left="5760" w:hanging="360"/>
      </w:pPr>
    </w:lvl>
    <w:lvl w:ilvl="8" w:tplc="A1DCED22">
      <w:start w:val="1"/>
      <w:numFmt w:val="lowerRoman"/>
      <w:lvlText w:val="%9."/>
      <w:lvlJc w:val="right"/>
      <w:pPr>
        <w:ind w:left="6480" w:hanging="180"/>
      </w:pPr>
    </w:lvl>
  </w:abstractNum>
  <w:abstractNum w:abstractNumId="57" w15:restartNumberingAfterBreak="0">
    <w:nsid w:val="3243E8C7"/>
    <w:multiLevelType w:val="hybridMultilevel"/>
    <w:tmpl w:val="FFFFFFFF"/>
    <w:lvl w:ilvl="0" w:tplc="CF4E667E">
      <w:start w:val="351"/>
      <w:numFmt w:val="decimal"/>
      <w:lvlText w:val="%1."/>
      <w:lvlJc w:val="left"/>
      <w:pPr>
        <w:ind w:left="720" w:hanging="360"/>
      </w:pPr>
    </w:lvl>
    <w:lvl w:ilvl="1" w:tplc="47063406">
      <w:start w:val="1"/>
      <w:numFmt w:val="lowerLetter"/>
      <w:lvlText w:val="%2."/>
      <w:lvlJc w:val="left"/>
      <w:pPr>
        <w:ind w:left="1440" w:hanging="360"/>
      </w:pPr>
    </w:lvl>
    <w:lvl w:ilvl="2" w:tplc="1292AAAE">
      <w:start w:val="1"/>
      <w:numFmt w:val="lowerRoman"/>
      <w:lvlText w:val="%3."/>
      <w:lvlJc w:val="right"/>
      <w:pPr>
        <w:ind w:left="2160" w:hanging="180"/>
      </w:pPr>
    </w:lvl>
    <w:lvl w:ilvl="3" w:tplc="725A67F2">
      <w:start w:val="1"/>
      <w:numFmt w:val="decimal"/>
      <w:lvlText w:val="%4."/>
      <w:lvlJc w:val="left"/>
      <w:pPr>
        <w:ind w:left="2880" w:hanging="360"/>
      </w:pPr>
    </w:lvl>
    <w:lvl w:ilvl="4" w:tplc="33465790">
      <w:start w:val="1"/>
      <w:numFmt w:val="lowerLetter"/>
      <w:lvlText w:val="%5."/>
      <w:lvlJc w:val="left"/>
      <w:pPr>
        <w:ind w:left="3600" w:hanging="360"/>
      </w:pPr>
    </w:lvl>
    <w:lvl w:ilvl="5" w:tplc="98661A4C">
      <w:start w:val="1"/>
      <w:numFmt w:val="lowerRoman"/>
      <w:lvlText w:val="%6."/>
      <w:lvlJc w:val="right"/>
      <w:pPr>
        <w:ind w:left="4320" w:hanging="180"/>
      </w:pPr>
    </w:lvl>
    <w:lvl w:ilvl="6" w:tplc="21BEDB0A">
      <w:start w:val="1"/>
      <w:numFmt w:val="decimal"/>
      <w:lvlText w:val="%7."/>
      <w:lvlJc w:val="left"/>
      <w:pPr>
        <w:ind w:left="5040" w:hanging="360"/>
      </w:pPr>
    </w:lvl>
    <w:lvl w:ilvl="7" w:tplc="CB087D88">
      <w:start w:val="1"/>
      <w:numFmt w:val="lowerLetter"/>
      <w:lvlText w:val="%8."/>
      <w:lvlJc w:val="left"/>
      <w:pPr>
        <w:ind w:left="5760" w:hanging="360"/>
      </w:pPr>
    </w:lvl>
    <w:lvl w:ilvl="8" w:tplc="53568F44">
      <w:start w:val="1"/>
      <w:numFmt w:val="lowerRoman"/>
      <w:lvlText w:val="%9."/>
      <w:lvlJc w:val="right"/>
      <w:pPr>
        <w:ind w:left="6480" w:hanging="180"/>
      </w:pPr>
    </w:lvl>
  </w:abstractNum>
  <w:abstractNum w:abstractNumId="58" w15:restartNumberingAfterBreak="0">
    <w:nsid w:val="329374FA"/>
    <w:multiLevelType w:val="hybridMultilevel"/>
    <w:tmpl w:val="FFFFFFFF"/>
    <w:lvl w:ilvl="0" w:tplc="8FC4D740">
      <w:start w:val="350"/>
      <w:numFmt w:val="decimal"/>
      <w:lvlText w:val="%1."/>
      <w:lvlJc w:val="left"/>
      <w:pPr>
        <w:ind w:left="720" w:hanging="360"/>
      </w:pPr>
    </w:lvl>
    <w:lvl w:ilvl="1" w:tplc="5B2637F0">
      <w:start w:val="1"/>
      <w:numFmt w:val="lowerLetter"/>
      <w:lvlText w:val="%2."/>
      <w:lvlJc w:val="left"/>
      <w:pPr>
        <w:ind w:left="1440" w:hanging="360"/>
      </w:pPr>
    </w:lvl>
    <w:lvl w:ilvl="2" w:tplc="7506F974">
      <w:start w:val="1"/>
      <w:numFmt w:val="lowerRoman"/>
      <w:lvlText w:val="%3."/>
      <w:lvlJc w:val="right"/>
      <w:pPr>
        <w:ind w:left="2160" w:hanging="180"/>
      </w:pPr>
    </w:lvl>
    <w:lvl w:ilvl="3" w:tplc="A1F00846">
      <w:start w:val="1"/>
      <w:numFmt w:val="decimal"/>
      <w:lvlText w:val="%4."/>
      <w:lvlJc w:val="left"/>
      <w:pPr>
        <w:ind w:left="2880" w:hanging="360"/>
      </w:pPr>
    </w:lvl>
    <w:lvl w:ilvl="4" w:tplc="C2409574">
      <w:start w:val="1"/>
      <w:numFmt w:val="lowerLetter"/>
      <w:lvlText w:val="%5."/>
      <w:lvlJc w:val="left"/>
      <w:pPr>
        <w:ind w:left="3600" w:hanging="360"/>
      </w:pPr>
    </w:lvl>
    <w:lvl w:ilvl="5" w:tplc="2854A822">
      <w:start w:val="1"/>
      <w:numFmt w:val="lowerRoman"/>
      <w:lvlText w:val="%6."/>
      <w:lvlJc w:val="right"/>
      <w:pPr>
        <w:ind w:left="4320" w:hanging="180"/>
      </w:pPr>
    </w:lvl>
    <w:lvl w:ilvl="6" w:tplc="B11AC35A">
      <w:start w:val="1"/>
      <w:numFmt w:val="decimal"/>
      <w:lvlText w:val="%7."/>
      <w:lvlJc w:val="left"/>
      <w:pPr>
        <w:ind w:left="5040" w:hanging="360"/>
      </w:pPr>
    </w:lvl>
    <w:lvl w:ilvl="7" w:tplc="D452CC36">
      <w:start w:val="1"/>
      <w:numFmt w:val="lowerLetter"/>
      <w:lvlText w:val="%8."/>
      <w:lvlJc w:val="left"/>
      <w:pPr>
        <w:ind w:left="5760" w:hanging="360"/>
      </w:pPr>
    </w:lvl>
    <w:lvl w:ilvl="8" w:tplc="E3D03E82">
      <w:start w:val="1"/>
      <w:numFmt w:val="lowerRoman"/>
      <w:lvlText w:val="%9."/>
      <w:lvlJc w:val="right"/>
      <w:pPr>
        <w:ind w:left="6480" w:hanging="180"/>
      </w:pPr>
    </w:lvl>
  </w:abstractNum>
  <w:abstractNum w:abstractNumId="59" w15:restartNumberingAfterBreak="0">
    <w:nsid w:val="349120D1"/>
    <w:multiLevelType w:val="hybridMultilevel"/>
    <w:tmpl w:val="FFFFFFFF"/>
    <w:lvl w:ilvl="0" w:tplc="0B56666E">
      <w:start w:val="348"/>
      <w:numFmt w:val="decimal"/>
      <w:lvlText w:val="%1."/>
      <w:lvlJc w:val="left"/>
      <w:pPr>
        <w:ind w:left="720" w:hanging="360"/>
      </w:pPr>
    </w:lvl>
    <w:lvl w:ilvl="1" w:tplc="06D80B40">
      <w:start w:val="1"/>
      <w:numFmt w:val="lowerLetter"/>
      <w:lvlText w:val="%2."/>
      <w:lvlJc w:val="left"/>
      <w:pPr>
        <w:ind w:left="1440" w:hanging="360"/>
      </w:pPr>
    </w:lvl>
    <w:lvl w:ilvl="2" w:tplc="E612CB02">
      <w:start w:val="1"/>
      <w:numFmt w:val="lowerRoman"/>
      <w:lvlText w:val="%3."/>
      <w:lvlJc w:val="right"/>
      <w:pPr>
        <w:ind w:left="2160" w:hanging="180"/>
      </w:pPr>
    </w:lvl>
    <w:lvl w:ilvl="3" w:tplc="AA6A2654">
      <w:start w:val="1"/>
      <w:numFmt w:val="decimal"/>
      <w:lvlText w:val="%4."/>
      <w:lvlJc w:val="left"/>
      <w:pPr>
        <w:ind w:left="2880" w:hanging="360"/>
      </w:pPr>
    </w:lvl>
    <w:lvl w:ilvl="4" w:tplc="AE94CEF6">
      <w:start w:val="1"/>
      <w:numFmt w:val="lowerLetter"/>
      <w:lvlText w:val="%5."/>
      <w:lvlJc w:val="left"/>
      <w:pPr>
        <w:ind w:left="3600" w:hanging="360"/>
      </w:pPr>
    </w:lvl>
    <w:lvl w:ilvl="5" w:tplc="5C92BF50">
      <w:start w:val="1"/>
      <w:numFmt w:val="lowerRoman"/>
      <w:lvlText w:val="%6."/>
      <w:lvlJc w:val="right"/>
      <w:pPr>
        <w:ind w:left="4320" w:hanging="180"/>
      </w:pPr>
    </w:lvl>
    <w:lvl w:ilvl="6" w:tplc="DCC070B6">
      <w:start w:val="1"/>
      <w:numFmt w:val="decimal"/>
      <w:lvlText w:val="%7."/>
      <w:lvlJc w:val="left"/>
      <w:pPr>
        <w:ind w:left="5040" w:hanging="360"/>
      </w:pPr>
    </w:lvl>
    <w:lvl w:ilvl="7" w:tplc="5F581748">
      <w:start w:val="1"/>
      <w:numFmt w:val="lowerLetter"/>
      <w:lvlText w:val="%8."/>
      <w:lvlJc w:val="left"/>
      <w:pPr>
        <w:ind w:left="5760" w:hanging="360"/>
      </w:pPr>
    </w:lvl>
    <w:lvl w:ilvl="8" w:tplc="8DE28D62">
      <w:start w:val="1"/>
      <w:numFmt w:val="lowerRoman"/>
      <w:lvlText w:val="%9."/>
      <w:lvlJc w:val="right"/>
      <w:pPr>
        <w:ind w:left="6480" w:hanging="180"/>
      </w:pPr>
    </w:lvl>
  </w:abstractNum>
  <w:abstractNum w:abstractNumId="60" w15:restartNumberingAfterBreak="0">
    <w:nsid w:val="35164D0C"/>
    <w:multiLevelType w:val="hybridMultilevel"/>
    <w:tmpl w:val="ABCC62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352F8C3E"/>
    <w:multiLevelType w:val="hybridMultilevel"/>
    <w:tmpl w:val="FFFFFFFF"/>
    <w:lvl w:ilvl="0" w:tplc="2E2A6696">
      <w:start w:val="349"/>
      <w:numFmt w:val="decimal"/>
      <w:lvlText w:val="%1."/>
      <w:lvlJc w:val="left"/>
      <w:pPr>
        <w:ind w:left="720" w:hanging="360"/>
      </w:pPr>
    </w:lvl>
    <w:lvl w:ilvl="1" w:tplc="E75A2BA8">
      <w:start w:val="1"/>
      <w:numFmt w:val="lowerLetter"/>
      <w:lvlText w:val="%2."/>
      <w:lvlJc w:val="left"/>
      <w:pPr>
        <w:ind w:left="1440" w:hanging="360"/>
      </w:pPr>
    </w:lvl>
    <w:lvl w:ilvl="2" w:tplc="2F8439DC">
      <w:start w:val="1"/>
      <w:numFmt w:val="lowerRoman"/>
      <w:lvlText w:val="%3."/>
      <w:lvlJc w:val="right"/>
      <w:pPr>
        <w:ind w:left="2160" w:hanging="180"/>
      </w:pPr>
    </w:lvl>
    <w:lvl w:ilvl="3" w:tplc="13FABB46">
      <w:start w:val="1"/>
      <w:numFmt w:val="decimal"/>
      <w:lvlText w:val="%4."/>
      <w:lvlJc w:val="left"/>
      <w:pPr>
        <w:ind w:left="2880" w:hanging="360"/>
      </w:pPr>
    </w:lvl>
    <w:lvl w:ilvl="4" w:tplc="206AE426">
      <w:start w:val="1"/>
      <w:numFmt w:val="lowerLetter"/>
      <w:lvlText w:val="%5."/>
      <w:lvlJc w:val="left"/>
      <w:pPr>
        <w:ind w:left="3600" w:hanging="360"/>
      </w:pPr>
    </w:lvl>
    <w:lvl w:ilvl="5" w:tplc="28E8ADA4">
      <w:start w:val="1"/>
      <w:numFmt w:val="lowerRoman"/>
      <w:lvlText w:val="%6."/>
      <w:lvlJc w:val="right"/>
      <w:pPr>
        <w:ind w:left="4320" w:hanging="180"/>
      </w:pPr>
    </w:lvl>
    <w:lvl w:ilvl="6" w:tplc="F37C5BB8">
      <w:start w:val="1"/>
      <w:numFmt w:val="decimal"/>
      <w:lvlText w:val="%7."/>
      <w:lvlJc w:val="left"/>
      <w:pPr>
        <w:ind w:left="5040" w:hanging="360"/>
      </w:pPr>
    </w:lvl>
    <w:lvl w:ilvl="7" w:tplc="06FEA2EE">
      <w:start w:val="1"/>
      <w:numFmt w:val="lowerLetter"/>
      <w:lvlText w:val="%8."/>
      <w:lvlJc w:val="left"/>
      <w:pPr>
        <w:ind w:left="5760" w:hanging="360"/>
      </w:pPr>
    </w:lvl>
    <w:lvl w:ilvl="8" w:tplc="FD6E236C">
      <w:start w:val="1"/>
      <w:numFmt w:val="lowerRoman"/>
      <w:lvlText w:val="%9."/>
      <w:lvlJc w:val="right"/>
      <w:pPr>
        <w:ind w:left="6480" w:hanging="180"/>
      </w:pPr>
    </w:lvl>
  </w:abstractNum>
  <w:abstractNum w:abstractNumId="62" w15:restartNumberingAfterBreak="0">
    <w:nsid w:val="35B73EDB"/>
    <w:multiLevelType w:val="hybridMultilevel"/>
    <w:tmpl w:val="FFFFFFFF"/>
    <w:lvl w:ilvl="0" w:tplc="779AE918">
      <w:start w:val="349"/>
      <w:numFmt w:val="decimal"/>
      <w:lvlText w:val="%1."/>
      <w:lvlJc w:val="left"/>
      <w:pPr>
        <w:ind w:left="720" w:hanging="360"/>
      </w:pPr>
    </w:lvl>
    <w:lvl w:ilvl="1" w:tplc="FBC6A744">
      <w:start w:val="1"/>
      <w:numFmt w:val="lowerLetter"/>
      <w:lvlText w:val="%2."/>
      <w:lvlJc w:val="left"/>
      <w:pPr>
        <w:ind w:left="1440" w:hanging="360"/>
      </w:pPr>
    </w:lvl>
    <w:lvl w:ilvl="2" w:tplc="8BA6E0C0">
      <w:start w:val="1"/>
      <w:numFmt w:val="lowerRoman"/>
      <w:lvlText w:val="%3."/>
      <w:lvlJc w:val="right"/>
      <w:pPr>
        <w:ind w:left="2160" w:hanging="180"/>
      </w:pPr>
    </w:lvl>
    <w:lvl w:ilvl="3" w:tplc="E58CB986">
      <w:start w:val="1"/>
      <w:numFmt w:val="decimal"/>
      <w:lvlText w:val="%4."/>
      <w:lvlJc w:val="left"/>
      <w:pPr>
        <w:ind w:left="2880" w:hanging="360"/>
      </w:pPr>
    </w:lvl>
    <w:lvl w:ilvl="4" w:tplc="DDD25A84">
      <w:start w:val="1"/>
      <w:numFmt w:val="lowerLetter"/>
      <w:lvlText w:val="%5."/>
      <w:lvlJc w:val="left"/>
      <w:pPr>
        <w:ind w:left="3600" w:hanging="360"/>
      </w:pPr>
    </w:lvl>
    <w:lvl w:ilvl="5" w:tplc="EF844E3A">
      <w:start w:val="1"/>
      <w:numFmt w:val="lowerRoman"/>
      <w:lvlText w:val="%6."/>
      <w:lvlJc w:val="right"/>
      <w:pPr>
        <w:ind w:left="4320" w:hanging="180"/>
      </w:pPr>
    </w:lvl>
    <w:lvl w:ilvl="6" w:tplc="6660C6C6">
      <w:start w:val="1"/>
      <w:numFmt w:val="decimal"/>
      <w:lvlText w:val="%7."/>
      <w:lvlJc w:val="left"/>
      <w:pPr>
        <w:ind w:left="5040" w:hanging="360"/>
      </w:pPr>
    </w:lvl>
    <w:lvl w:ilvl="7" w:tplc="42F87524">
      <w:start w:val="1"/>
      <w:numFmt w:val="lowerLetter"/>
      <w:lvlText w:val="%8."/>
      <w:lvlJc w:val="left"/>
      <w:pPr>
        <w:ind w:left="5760" w:hanging="360"/>
      </w:pPr>
    </w:lvl>
    <w:lvl w:ilvl="8" w:tplc="889E9F2A">
      <w:start w:val="1"/>
      <w:numFmt w:val="lowerRoman"/>
      <w:lvlText w:val="%9."/>
      <w:lvlJc w:val="right"/>
      <w:pPr>
        <w:ind w:left="6480" w:hanging="180"/>
      </w:pPr>
    </w:lvl>
  </w:abstractNum>
  <w:abstractNum w:abstractNumId="63" w15:restartNumberingAfterBreak="0">
    <w:nsid w:val="35CA77D4"/>
    <w:multiLevelType w:val="hybridMultilevel"/>
    <w:tmpl w:val="FFFFFFFF"/>
    <w:lvl w:ilvl="0" w:tplc="A888D806">
      <w:start w:val="1"/>
      <w:numFmt w:val="bullet"/>
      <w:lvlText w:val="·"/>
      <w:lvlJc w:val="left"/>
      <w:pPr>
        <w:ind w:left="720" w:hanging="360"/>
      </w:pPr>
      <w:rPr>
        <w:rFonts w:ascii="Symbol" w:hAnsi="Symbol" w:hint="default"/>
      </w:rPr>
    </w:lvl>
    <w:lvl w:ilvl="1" w:tplc="0B9CAEF6">
      <w:start w:val="1"/>
      <w:numFmt w:val="bullet"/>
      <w:lvlText w:val="o"/>
      <w:lvlJc w:val="left"/>
      <w:pPr>
        <w:ind w:left="1440" w:hanging="360"/>
      </w:pPr>
      <w:rPr>
        <w:rFonts w:ascii="Courier New" w:hAnsi="Courier New" w:hint="default"/>
      </w:rPr>
    </w:lvl>
    <w:lvl w:ilvl="2" w:tplc="9B744034">
      <w:start w:val="1"/>
      <w:numFmt w:val="bullet"/>
      <w:lvlText w:val=""/>
      <w:lvlJc w:val="left"/>
      <w:pPr>
        <w:ind w:left="2160" w:hanging="360"/>
      </w:pPr>
      <w:rPr>
        <w:rFonts w:ascii="Wingdings" w:hAnsi="Wingdings" w:hint="default"/>
      </w:rPr>
    </w:lvl>
    <w:lvl w:ilvl="3" w:tplc="72386BC2">
      <w:start w:val="1"/>
      <w:numFmt w:val="bullet"/>
      <w:lvlText w:val=""/>
      <w:lvlJc w:val="left"/>
      <w:pPr>
        <w:ind w:left="2880" w:hanging="360"/>
      </w:pPr>
      <w:rPr>
        <w:rFonts w:ascii="Symbol" w:hAnsi="Symbol" w:hint="default"/>
      </w:rPr>
    </w:lvl>
    <w:lvl w:ilvl="4" w:tplc="812007E0">
      <w:start w:val="1"/>
      <w:numFmt w:val="bullet"/>
      <w:lvlText w:val="o"/>
      <w:lvlJc w:val="left"/>
      <w:pPr>
        <w:ind w:left="3600" w:hanging="360"/>
      </w:pPr>
      <w:rPr>
        <w:rFonts w:ascii="Courier New" w:hAnsi="Courier New" w:hint="default"/>
      </w:rPr>
    </w:lvl>
    <w:lvl w:ilvl="5" w:tplc="754A2ED4">
      <w:start w:val="1"/>
      <w:numFmt w:val="bullet"/>
      <w:lvlText w:val=""/>
      <w:lvlJc w:val="left"/>
      <w:pPr>
        <w:ind w:left="4320" w:hanging="360"/>
      </w:pPr>
      <w:rPr>
        <w:rFonts w:ascii="Wingdings" w:hAnsi="Wingdings" w:hint="default"/>
      </w:rPr>
    </w:lvl>
    <w:lvl w:ilvl="6" w:tplc="C6240BBE">
      <w:start w:val="1"/>
      <w:numFmt w:val="bullet"/>
      <w:lvlText w:val=""/>
      <w:lvlJc w:val="left"/>
      <w:pPr>
        <w:ind w:left="5040" w:hanging="360"/>
      </w:pPr>
      <w:rPr>
        <w:rFonts w:ascii="Symbol" w:hAnsi="Symbol" w:hint="default"/>
      </w:rPr>
    </w:lvl>
    <w:lvl w:ilvl="7" w:tplc="DFC89E14">
      <w:start w:val="1"/>
      <w:numFmt w:val="bullet"/>
      <w:lvlText w:val="o"/>
      <w:lvlJc w:val="left"/>
      <w:pPr>
        <w:ind w:left="5760" w:hanging="360"/>
      </w:pPr>
      <w:rPr>
        <w:rFonts w:ascii="Courier New" w:hAnsi="Courier New" w:hint="default"/>
      </w:rPr>
    </w:lvl>
    <w:lvl w:ilvl="8" w:tplc="F1A84FCA">
      <w:start w:val="1"/>
      <w:numFmt w:val="bullet"/>
      <w:lvlText w:val=""/>
      <w:lvlJc w:val="left"/>
      <w:pPr>
        <w:ind w:left="6480" w:hanging="360"/>
      </w:pPr>
      <w:rPr>
        <w:rFonts w:ascii="Wingdings" w:hAnsi="Wingdings" w:hint="default"/>
      </w:rPr>
    </w:lvl>
  </w:abstractNum>
  <w:abstractNum w:abstractNumId="64" w15:restartNumberingAfterBreak="0">
    <w:nsid w:val="36645838"/>
    <w:multiLevelType w:val="hybridMultilevel"/>
    <w:tmpl w:val="FFFFFFFF"/>
    <w:lvl w:ilvl="0" w:tplc="18969CCA">
      <w:start w:val="348"/>
      <w:numFmt w:val="decimal"/>
      <w:lvlText w:val="%1."/>
      <w:lvlJc w:val="left"/>
      <w:pPr>
        <w:ind w:left="720" w:hanging="360"/>
      </w:pPr>
    </w:lvl>
    <w:lvl w:ilvl="1" w:tplc="7DE8BD0E">
      <w:start w:val="1"/>
      <w:numFmt w:val="lowerLetter"/>
      <w:lvlText w:val="%2."/>
      <w:lvlJc w:val="left"/>
      <w:pPr>
        <w:ind w:left="1440" w:hanging="360"/>
      </w:pPr>
    </w:lvl>
    <w:lvl w:ilvl="2" w:tplc="75A4B942">
      <w:start w:val="1"/>
      <w:numFmt w:val="lowerRoman"/>
      <w:lvlText w:val="%3."/>
      <w:lvlJc w:val="right"/>
      <w:pPr>
        <w:ind w:left="2160" w:hanging="180"/>
      </w:pPr>
    </w:lvl>
    <w:lvl w:ilvl="3" w:tplc="8FB6AC4A">
      <w:start w:val="1"/>
      <w:numFmt w:val="decimal"/>
      <w:lvlText w:val="%4."/>
      <w:lvlJc w:val="left"/>
      <w:pPr>
        <w:ind w:left="2880" w:hanging="360"/>
      </w:pPr>
    </w:lvl>
    <w:lvl w:ilvl="4" w:tplc="422C0D9C">
      <w:start w:val="1"/>
      <w:numFmt w:val="lowerLetter"/>
      <w:lvlText w:val="%5."/>
      <w:lvlJc w:val="left"/>
      <w:pPr>
        <w:ind w:left="3600" w:hanging="360"/>
      </w:pPr>
    </w:lvl>
    <w:lvl w:ilvl="5" w:tplc="825EBD48">
      <w:start w:val="1"/>
      <w:numFmt w:val="lowerRoman"/>
      <w:lvlText w:val="%6."/>
      <w:lvlJc w:val="right"/>
      <w:pPr>
        <w:ind w:left="4320" w:hanging="180"/>
      </w:pPr>
    </w:lvl>
    <w:lvl w:ilvl="6" w:tplc="E8DC077A">
      <w:start w:val="1"/>
      <w:numFmt w:val="decimal"/>
      <w:lvlText w:val="%7."/>
      <w:lvlJc w:val="left"/>
      <w:pPr>
        <w:ind w:left="5040" w:hanging="360"/>
      </w:pPr>
    </w:lvl>
    <w:lvl w:ilvl="7" w:tplc="43F224AC">
      <w:start w:val="1"/>
      <w:numFmt w:val="lowerLetter"/>
      <w:lvlText w:val="%8."/>
      <w:lvlJc w:val="left"/>
      <w:pPr>
        <w:ind w:left="5760" w:hanging="360"/>
      </w:pPr>
    </w:lvl>
    <w:lvl w:ilvl="8" w:tplc="4DF62B1A">
      <w:start w:val="1"/>
      <w:numFmt w:val="lowerRoman"/>
      <w:lvlText w:val="%9."/>
      <w:lvlJc w:val="right"/>
      <w:pPr>
        <w:ind w:left="6480" w:hanging="180"/>
      </w:pPr>
    </w:lvl>
  </w:abstractNum>
  <w:abstractNum w:abstractNumId="65"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6"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37B0E324"/>
    <w:multiLevelType w:val="hybridMultilevel"/>
    <w:tmpl w:val="FFFFFFFF"/>
    <w:lvl w:ilvl="0" w:tplc="E098A998">
      <w:start w:val="1"/>
      <w:numFmt w:val="bullet"/>
      <w:lvlText w:val=""/>
      <w:lvlJc w:val="left"/>
      <w:pPr>
        <w:ind w:left="720" w:hanging="360"/>
      </w:pPr>
      <w:rPr>
        <w:rFonts w:ascii="Symbol" w:hAnsi="Symbol" w:hint="default"/>
      </w:rPr>
    </w:lvl>
    <w:lvl w:ilvl="1" w:tplc="A98288F2">
      <w:start w:val="1"/>
      <w:numFmt w:val="bullet"/>
      <w:lvlText w:val="·"/>
      <w:lvlJc w:val="left"/>
      <w:pPr>
        <w:ind w:left="1440" w:hanging="360"/>
      </w:pPr>
      <w:rPr>
        <w:rFonts w:ascii="Symbol" w:hAnsi="Symbol" w:hint="default"/>
      </w:rPr>
    </w:lvl>
    <w:lvl w:ilvl="2" w:tplc="43126440">
      <w:start w:val="1"/>
      <w:numFmt w:val="bullet"/>
      <w:lvlText w:val=""/>
      <w:lvlJc w:val="left"/>
      <w:pPr>
        <w:ind w:left="2160" w:hanging="360"/>
      </w:pPr>
      <w:rPr>
        <w:rFonts w:ascii="Wingdings" w:hAnsi="Wingdings" w:hint="default"/>
      </w:rPr>
    </w:lvl>
    <w:lvl w:ilvl="3" w:tplc="6E064BBE">
      <w:start w:val="1"/>
      <w:numFmt w:val="bullet"/>
      <w:lvlText w:val=""/>
      <w:lvlJc w:val="left"/>
      <w:pPr>
        <w:ind w:left="2880" w:hanging="360"/>
      </w:pPr>
      <w:rPr>
        <w:rFonts w:ascii="Symbol" w:hAnsi="Symbol" w:hint="default"/>
      </w:rPr>
    </w:lvl>
    <w:lvl w:ilvl="4" w:tplc="0CFA49FE">
      <w:start w:val="1"/>
      <w:numFmt w:val="bullet"/>
      <w:lvlText w:val="o"/>
      <w:lvlJc w:val="left"/>
      <w:pPr>
        <w:ind w:left="3600" w:hanging="360"/>
      </w:pPr>
      <w:rPr>
        <w:rFonts w:ascii="Courier New" w:hAnsi="Courier New" w:hint="default"/>
      </w:rPr>
    </w:lvl>
    <w:lvl w:ilvl="5" w:tplc="13C2595A">
      <w:start w:val="1"/>
      <w:numFmt w:val="bullet"/>
      <w:lvlText w:val=""/>
      <w:lvlJc w:val="left"/>
      <w:pPr>
        <w:ind w:left="4320" w:hanging="360"/>
      </w:pPr>
      <w:rPr>
        <w:rFonts w:ascii="Wingdings" w:hAnsi="Wingdings" w:hint="default"/>
      </w:rPr>
    </w:lvl>
    <w:lvl w:ilvl="6" w:tplc="4734EBCA">
      <w:start w:val="1"/>
      <w:numFmt w:val="bullet"/>
      <w:lvlText w:val=""/>
      <w:lvlJc w:val="left"/>
      <w:pPr>
        <w:ind w:left="5040" w:hanging="360"/>
      </w:pPr>
      <w:rPr>
        <w:rFonts w:ascii="Symbol" w:hAnsi="Symbol" w:hint="default"/>
      </w:rPr>
    </w:lvl>
    <w:lvl w:ilvl="7" w:tplc="24DC8FCA">
      <w:start w:val="1"/>
      <w:numFmt w:val="bullet"/>
      <w:lvlText w:val="o"/>
      <w:lvlJc w:val="left"/>
      <w:pPr>
        <w:ind w:left="5760" w:hanging="360"/>
      </w:pPr>
      <w:rPr>
        <w:rFonts w:ascii="Courier New" w:hAnsi="Courier New" w:hint="default"/>
      </w:rPr>
    </w:lvl>
    <w:lvl w:ilvl="8" w:tplc="D8FCCA9C">
      <w:start w:val="1"/>
      <w:numFmt w:val="bullet"/>
      <w:lvlText w:val=""/>
      <w:lvlJc w:val="left"/>
      <w:pPr>
        <w:ind w:left="6480" w:hanging="360"/>
      </w:pPr>
      <w:rPr>
        <w:rFonts w:ascii="Wingdings" w:hAnsi="Wingdings" w:hint="default"/>
      </w:rPr>
    </w:lvl>
  </w:abstractNum>
  <w:abstractNum w:abstractNumId="68" w15:restartNumberingAfterBreak="0">
    <w:nsid w:val="3852838D"/>
    <w:multiLevelType w:val="hybridMultilevel"/>
    <w:tmpl w:val="FFFFFFFF"/>
    <w:lvl w:ilvl="0" w:tplc="152EE272">
      <w:start w:val="1"/>
      <w:numFmt w:val="bullet"/>
      <w:lvlText w:val=""/>
      <w:lvlJc w:val="left"/>
      <w:pPr>
        <w:ind w:left="720" w:hanging="360"/>
      </w:pPr>
      <w:rPr>
        <w:rFonts w:ascii="Symbol" w:hAnsi="Symbol" w:hint="default"/>
      </w:rPr>
    </w:lvl>
    <w:lvl w:ilvl="1" w:tplc="C89C888E">
      <w:start w:val="1"/>
      <w:numFmt w:val="bullet"/>
      <w:lvlText w:val="·"/>
      <w:lvlJc w:val="left"/>
      <w:pPr>
        <w:ind w:left="1440" w:hanging="360"/>
      </w:pPr>
      <w:rPr>
        <w:rFonts w:ascii="Symbol" w:hAnsi="Symbol" w:hint="default"/>
      </w:rPr>
    </w:lvl>
    <w:lvl w:ilvl="2" w:tplc="401E1D92">
      <w:start w:val="1"/>
      <w:numFmt w:val="bullet"/>
      <w:lvlText w:val=""/>
      <w:lvlJc w:val="left"/>
      <w:pPr>
        <w:ind w:left="2160" w:hanging="360"/>
      </w:pPr>
      <w:rPr>
        <w:rFonts w:ascii="Wingdings" w:hAnsi="Wingdings" w:hint="default"/>
      </w:rPr>
    </w:lvl>
    <w:lvl w:ilvl="3" w:tplc="ADE6E372">
      <w:start w:val="1"/>
      <w:numFmt w:val="bullet"/>
      <w:lvlText w:val=""/>
      <w:lvlJc w:val="left"/>
      <w:pPr>
        <w:ind w:left="2880" w:hanging="360"/>
      </w:pPr>
      <w:rPr>
        <w:rFonts w:ascii="Symbol" w:hAnsi="Symbol" w:hint="default"/>
      </w:rPr>
    </w:lvl>
    <w:lvl w:ilvl="4" w:tplc="42D68180">
      <w:start w:val="1"/>
      <w:numFmt w:val="bullet"/>
      <w:lvlText w:val="o"/>
      <w:lvlJc w:val="left"/>
      <w:pPr>
        <w:ind w:left="3600" w:hanging="360"/>
      </w:pPr>
      <w:rPr>
        <w:rFonts w:ascii="Courier New" w:hAnsi="Courier New" w:hint="default"/>
      </w:rPr>
    </w:lvl>
    <w:lvl w:ilvl="5" w:tplc="94AAB3DE">
      <w:start w:val="1"/>
      <w:numFmt w:val="bullet"/>
      <w:lvlText w:val=""/>
      <w:lvlJc w:val="left"/>
      <w:pPr>
        <w:ind w:left="4320" w:hanging="360"/>
      </w:pPr>
      <w:rPr>
        <w:rFonts w:ascii="Wingdings" w:hAnsi="Wingdings" w:hint="default"/>
      </w:rPr>
    </w:lvl>
    <w:lvl w:ilvl="6" w:tplc="F606D3D8">
      <w:start w:val="1"/>
      <w:numFmt w:val="bullet"/>
      <w:lvlText w:val=""/>
      <w:lvlJc w:val="left"/>
      <w:pPr>
        <w:ind w:left="5040" w:hanging="360"/>
      </w:pPr>
      <w:rPr>
        <w:rFonts w:ascii="Symbol" w:hAnsi="Symbol" w:hint="default"/>
      </w:rPr>
    </w:lvl>
    <w:lvl w:ilvl="7" w:tplc="AD7869DE">
      <w:start w:val="1"/>
      <w:numFmt w:val="bullet"/>
      <w:lvlText w:val="o"/>
      <w:lvlJc w:val="left"/>
      <w:pPr>
        <w:ind w:left="5760" w:hanging="360"/>
      </w:pPr>
      <w:rPr>
        <w:rFonts w:ascii="Courier New" w:hAnsi="Courier New" w:hint="default"/>
      </w:rPr>
    </w:lvl>
    <w:lvl w:ilvl="8" w:tplc="D4625B26">
      <w:start w:val="1"/>
      <w:numFmt w:val="bullet"/>
      <w:lvlText w:val=""/>
      <w:lvlJc w:val="left"/>
      <w:pPr>
        <w:ind w:left="6480" w:hanging="360"/>
      </w:pPr>
      <w:rPr>
        <w:rFonts w:ascii="Wingdings" w:hAnsi="Wingdings" w:hint="default"/>
      </w:rPr>
    </w:lvl>
  </w:abstractNum>
  <w:abstractNum w:abstractNumId="69" w15:restartNumberingAfterBreak="0">
    <w:nsid w:val="39424766"/>
    <w:multiLevelType w:val="hybridMultilevel"/>
    <w:tmpl w:val="9320A8EA"/>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70" w15:restartNumberingAfterBreak="0">
    <w:nsid w:val="3A963998"/>
    <w:multiLevelType w:val="hybridMultilevel"/>
    <w:tmpl w:val="5536885C"/>
    <w:lvl w:ilvl="0" w:tplc="B13E04D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3AA04414"/>
    <w:multiLevelType w:val="hybridMultilevel"/>
    <w:tmpl w:val="DFFC7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3B772216"/>
    <w:multiLevelType w:val="hybridMultilevel"/>
    <w:tmpl w:val="FFFFFFFF"/>
    <w:lvl w:ilvl="0" w:tplc="EA92804A">
      <w:start w:val="348"/>
      <w:numFmt w:val="decimal"/>
      <w:lvlText w:val="%1."/>
      <w:lvlJc w:val="left"/>
      <w:pPr>
        <w:ind w:left="720" w:hanging="360"/>
      </w:pPr>
    </w:lvl>
    <w:lvl w:ilvl="1" w:tplc="3D50AA6A">
      <w:start w:val="1"/>
      <w:numFmt w:val="bullet"/>
      <w:lvlText w:val="·"/>
      <w:lvlJc w:val="left"/>
      <w:pPr>
        <w:ind w:left="1440" w:hanging="360"/>
      </w:pPr>
      <w:rPr>
        <w:rFonts w:ascii="Symbol" w:hAnsi="Symbol" w:hint="default"/>
      </w:rPr>
    </w:lvl>
    <w:lvl w:ilvl="2" w:tplc="39E2DE56">
      <w:start w:val="1"/>
      <w:numFmt w:val="lowerRoman"/>
      <w:lvlText w:val="%3."/>
      <w:lvlJc w:val="right"/>
      <w:pPr>
        <w:ind w:left="2160" w:hanging="180"/>
      </w:pPr>
    </w:lvl>
    <w:lvl w:ilvl="3" w:tplc="159C82F2">
      <w:start w:val="1"/>
      <w:numFmt w:val="decimal"/>
      <w:lvlText w:val="%4."/>
      <w:lvlJc w:val="left"/>
      <w:pPr>
        <w:ind w:left="2880" w:hanging="360"/>
      </w:pPr>
    </w:lvl>
    <w:lvl w:ilvl="4" w:tplc="EC261C96">
      <w:start w:val="1"/>
      <w:numFmt w:val="lowerLetter"/>
      <w:lvlText w:val="%5."/>
      <w:lvlJc w:val="left"/>
      <w:pPr>
        <w:ind w:left="3600" w:hanging="360"/>
      </w:pPr>
    </w:lvl>
    <w:lvl w:ilvl="5" w:tplc="290E7C90">
      <w:start w:val="1"/>
      <w:numFmt w:val="lowerRoman"/>
      <w:lvlText w:val="%6."/>
      <w:lvlJc w:val="right"/>
      <w:pPr>
        <w:ind w:left="4320" w:hanging="180"/>
      </w:pPr>
    </w:lvl>
    <w:lvl w:ilvl="6" w:tplc="09B4980A">
      <w:start w:val="1"/>
      <w:numFmt w:val="decimal"/>
      <w:lvlText w:val="%7."/>
      <w:lvlJc w:val="left"/>
      <w:pPr>
        <w:ind w:left="5040" w:hanging="360"/>
      </w:pPr>
    </w:lvl>
    <w:lvl w:ilvl="7" w:tplc="596E69C0">
      <w:start w:val="1"/>
      <w:numFmt w:val="lowerLetter"/>
      <w:lvlText w:val="%8."/>
      <w:lvlJc w:val="left"/>
      <w:pPr>
        <w:ind w:left="5760" w:hanging="360"/>
      </w:pPr>
    </w:lvl>
    <w:lvl w:ilvl="8" w:tplc="71321A12">
      <w:start w:val="1"/>
      <w:numFmt w:val="lowerRoman"/>
      <w:lvlText w:val="%9."/>
      <w:lvlJc w:val="right"/>
      <w:pPr>
        <w:ind w:left="6480" w:hanging="180"/>
      </w:pPr>
    </w:lvl>
  </w:abstractNum>
  <w:abstractNum w:abstractNumId="73"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4" w15:restartNumberingAfterBreak="0">
    <w:nsid w:val="3CFC3C91"/>
    <w:multiLevelType w:val="hybridMultilevel"/>
    <w:tmpl w:val="FFFFFFFF"/>
    <w:lvl w:ilvl="0" w:tplc="056A17E2">
      <w:start w:val="1"/>
      <w:numFmt w:val="decimal"/>
      <w:lvlText w:val="%1."/>
      <w:lvlJc w:val="left"/>
      <w:pPr>
        <w:ind w:left="720" w:hanging="360"/>
      </w:pPr>
    </w:lvl>
    <w:lvl w:ilvl="1" w:tplc="7DE673A2">
      <w:start w:val="1"/>
      <w:numFmt w:val="lowerLetter"/>
      <w:lvlText w:val="%2."/>
      <w:lvlJc w:val="left"/>
      <w:pPr>
        <w:ind w:left="1440" w:hanging="360"/>
      </w:pPr>
    </w:lvl>
    <w:lvl w:ilvl="2" w:tplc="74F6A722">
      <w:start w:val="1"/>
      <w:numFmt w:val="lowerRoman"/>
      <w:lvlText w:val="%3."/>
      <w:lvlJc w:val="right"/>
      <w:pPr>
        <w:ind w:left="2160" w:hanging="180"/>
      </w:pPr>
    </w:lvl>
    <w:lvl w:ilvl="3" w:tplc="40F8EB36">
      <w:start w:val="1"/>
      <w:numFmt w:val="decimal"/>
      <w:lvlText w:val="%4."/>
      <w:lvlJc w:val="left"/>
      <w:pPr>
        <w:ind w:left="2880" w:hanging="360"/>
      </w:pPr>
    </w:lvl>
    <w:lvl w:ilvl="4" w:tplc="3F90E162">
      <w:start w:val="1"/>
      <w:numFmt w:val="lowerLetter"/>
      <w:lvlText w:val="%5."/>
      <w:lvlJc w:val="left"/>
      <w:pPr>
        <w:ind w:left="3600" w:hanging="360"/>
      </w:pPr>
    </w:lvl>
    <w:lvl w:ilvl="5" w:tplc="F9DABC70">
      <w:start w:val="1"/>
      <w:numFmt w:val="lowerRoman"/>
      <w:lvlText w:val="%6."/>
      <w:lvlJc w:val="right"/>
      <w:pPr>
        <w:ind w:left="4320" w:hanging="180"/>
      </w:pPr>
    </w:lvl>
    <w:lvl w:ilvl="6" w:tplc="BB040594">
      <w:start w:val="1"/>
      <w:numFmt w:val="decimal"/>
      <w:lvlText w:val="%7."/>
      <w:lvlJc w:val="left"/>
      <w:pPr>
        <w:ind w:left="5040" w:hanging="360"/>
      </w:pPr>
    </w:lvl>
    <w:lvl w:ilvl="7" w:tplc="3BF486AC">
      <w:start w:val="1"/>
      <w:numFmt w:val="lowerLetter"/>
      <w:lvlText w:val="%8."/>
      <w:lvlJc w:val="left"/>
      <w:pPr>
        <w:ind w:left="5760" w:hanging="360"/>
      </w:pPr>
    </w:lvl>
    <w:lvl w:ilvl="8" w:tplc="FC3E8B9C">
      <w:start w:val="1"/>
      <w:numFmt w:val="lowerRoman"/>
      <w:lvlText w:val="%9."/>
      <w:lvlJc w:val="right"/>
      <w:pPr>
        <w:ind w:left="6480" w:hanging="180"/>
      </w:pPr>
    </w:lvl>
  </w:abstractNum>
  <w:abstractNum w:abstractNumId="75" w15:restartNumberingAfterBreak="0">
    <w:nsid w:val="3D232CAF"/>
    <w:multiLevelType w:val="hybridMultilevel"/>
    <w:tmpl w:val="FFFFFFFF"/>
    <w:lvl w:ilvl="0" w:tplc="967A3AFE">
      <w:start w:val="350"/>
      <w:numFmt w:val="decimal"/>
      <w:lvlText w:val="%1."/>
      <w:lvlJc w:val="left"/>
      <w:pPr>
        <w:ind w:left="720" w:hanging="360"/>
      </w:pPr>
    </w:lvl>
    <w:lvl w:ilvl="1" w:tplc="9256919E">
      <w:start w:val="1"/>
      <w:numFmt w:val="lowerLetter"/>
      <w:lvlText w:val="%2."/>
      <w:lvlJc w:val="left"/>
      <w:pPr>
        <w:ind w:left="1440" w:hanging="360"/>
      </w:pPr>
    </w:lvl>
    <w:lvl w:ilvl="2" w:tplc="C7F476BC">
      <w:start w:val="1"/>
      <w:numFmt w:val="lowerRoman"/>
      <w:lvlText w:val="%3."/>
      <w:lvlJc w:val="right"/>
      <w:pPr>
        <w:ind w:left="2160" w:hanging="180"/>
      </w:pPr>
    </w:lvl>
    <w:lvl w:ilvl="3" w:tplc="781C29F0">
      <w:start w:val="1"/>
      <w:numFmt w:val="decimal"/>
      <w:lvlText w:val="%4."/>
      <w:lvlJc w:val="left"/>
      <w:pPr>
        <w:ind w:left="2880" w:hanging="360"/>
      </w:pPr>
    </w:lvl>
    <w:lvl w:ilvl="4" w:tplc="53B8525C">
      <w:start w:val="1"/>
      <w:numFmt w:val="lowerLetter"/>
      <w:lvlText w:val="%5."/>
      <w:lvlJc w:val="left"/>
      <w:pPr>
        <w:ind w:left="3600" w:hanging="360"/>
      </w:pPr>
    </w:lvl>
    <w:lvl w:ilvl="5" w:tplc="24AC4FD4">
      <w:start w:val="1"/>
      <w:numFmt w:val="lowerRoman"/>
      <w:lvlText w:val="%6."/>
      <w:lvlJc w:val="right"/>
      <w:pPr>
        <w:ind w:left="4320" w:hanging="180"/>
      </w:pPr>
    </w:lvl>
    <w:lvl w:ilvl="6" w:tplc="E7DC9FCA">
      <w:start w:val="1"/>
      <w:numFmt w:val="decimal"/>
      <w:lvlText w:val="%7."/>
      <w:lvlJc w:val="left"/>
      <w:pPr>
        <w:ind w:left="5040" w:hanging="360"/>
      </w:pPr>
    </w:lvl>
    <w:lvl w:ilvl="7" w:tplc="9E5CBEB2">
      <w:start w:val="1"/>
      <w:numFmt w:val="lowerLetter"/>
      <w:lvlText w:val="%8."/>
      <w:lvlJc w:val="left"/>
      <w:pPr>
        <w:ind w:left="5760" w:hanging="360"/>
      </w:pPr>
    </w:lvl>
    <w:lvl w:ilvl="8" w:tplc="443C1B46">
      <w:start w:val="1"/>
      <w:numFmt w:val="lowerRoman"/>
      <w:lvlText w:val="%9."/>
      <w:lvlJc w:val="right"/>
      <w:pPr>
        <w:ind w:left="6480" w:hanging="180"/>
      </w:pPr>
    </w:lvl>
  </w:abstractNum>
  <w:abstractNum w:abstractNumId="76" w15:restartNumberingAfterBreak="0">
    <w:nsid w:val="3D2A5DFA"/>
    <w:multiLevelType w:val="hybridMultilevel"/>
    <w:tmpl w:val="FFFFFFFF"/>
    <w:lvl w:ilvl="0" w:tplc="13AAB69C">
      <w:start w:val="353"/>
      <w:numFmt w:val="decimal"/>
      <w:lvlText w:val="%1."/>
      <w:lvlJc w:val="left"/>
      <w:pPr>
        <w:ind w:left="720" w:hanging="360"/>
      </w:pPr>
    </w:lvl>
    <w:lvl w:ilvl="1" w:tplc="ED94CABA">
      <w:start w:val="1"/>
      <w:numFmt w:val="lowerLetter"/>
      <w:lvlText w:val="%2."/>
      <w:lvlJc w:val="left"/>
      <w:pPr>
        <w:ind w:left="1440" w:hanging="360"/>
      </w:pPr>
    </w:lvl>
    <w:lvl w:ilvl="2" w:tplc="E304D0EC">
      <w:start w:val="1"/>
      <w:numFmt w:val="lowerRoman"/>
      <w:lvlText w:val="%3."/>
      <w:lvlJc w:val="right"/>
      <w:pPr>
        <w:ind w:left="2160" w:hanging="180"/>
      </w:pPr>
    </w:lvl>
    <w:lvl w:ilvl="3" w:tplc="897251B2">
      <w:start w:val="1"/>
      <w:numFmt w:val="decimal"/>
      <w:lvlText w:val="%4."/>
      <w:lvlJc w:val="left"/>
      <w:pPr>
        <w:ind w:left="2880" w:hanging="360"/>
      </w:pPr>
    </w:lvl>
    <w:lvl w:ilvl="4" w:tplc="6ABAF012">
      <w:start w:val="1"/>
      <w:numFmt w:val="lowerLetter"/>
      <w:lvlText w:val="%5."/>
      <w:lvlJc w:val="left"/>
      <w:pPr>
        <w:ind w:left="3600" w:hanging="360"/>
      </w:pPr>
    </w:lvl>
    <w:lvl w:ilvl="5" w:tplc="88FA7A78">
      <w:start w:val="1"/>
      <w:numFmt w:val="lowerRoman"/>
      <w:lvlText w:val="%6."/>
      <w:lvlJc w:val="right"/>
      <w:pPr>
        <w:ind w:left="4320" w:hanging="180"/>
      </w:pPr>
    </w:lvl>
    <w:lvl w:ilvl="6" w:tplc="E2FA38A2">
      <w:start w:val="1"/>
      <w:numFmt w:val="decimal"/>
      <w:lvlText w:val="%7."/>
      <w:lvlJc w:val="left"/>
      <w:pPr>
        <w:ind w:left="5040" w:hanging="360"/>
      </w:pPr>
    </w:lvl>
    <w:lvl w:ilvl="7" w:tplc="1D244122">
      <w:start w:val="1"/>
      <w:numFmt w:val="lowerLetter"/>
      <w:lvlText w:val="%8."/>
      <w:lvlJc w:val="left"/>
      <w:pPr>
        <w:ind w:left="5760" w:hanging="360"/>
      </w:pPr>
    </w:lvl>
    <w:lvl w:ilvl="8" w:tplc="12F22F0A">
      <w:start w:val="1"/>
      <w:numFmt w:val="lowerRoman"/>
      <w:lvlText w:val="%9."/>
      <w:lvlJc w:val="right"/>
      <w:pPr>
        <w:ind w:left="6480" w:hanging="180"/>
      </w:pPr>
    </w:lvl>
  </w:abstractNum>
  <w:abstractNum w:abstractNumId="77" w15:restartNumberingAfterBreak="0">
    <w:nsid w:val="3DE65F4D"/>
    <w:multiLevelType w:val="hybridMultilevel"/>
    <w:tmpl w:val="8A10FA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E428D49"/>
    <w:multiLevelType w:val="hybridMultilevel"/>
    <w:tmpl w:val="FFFFFFFF"/>
    <w:lvl w:ilvl="0" w:tplc="FA1A56F0">
      <w:start w:val="357"/>
      <w:numFmt w:val="decimal"/>
      <w:lvlText w:val="%1."/>
      <w:lvlJc w:val="left"/>
      <w:pPr>
        <w:ind w:left="720" w:hanging="360"/>
      </w:pPr>
    </w:lvl>
    <w:lvl w:ilvl="1" w:tplc="9D72CC08">
      <w:start w:val="1"/>
      <w:numFmt w:val="lowerLetter"/>
      <w:lvlText w:val="%2."/>
      <w:lvlJc w:val="left"/>
      <w:pPr>
        <w:ind w:left="1440" w:hanging="360"/>
      </w:pPr>
    </w:lvl>
    <w:lvl w:ilvl="2" w:tplc="E788CED8">
      <w:start w:val="1"/>
      <w:numFmt w:val="lowerRoman"/>
      <w:lvlText w:val="%3."/>
      <w:lvlJc w:val="right"/>
      <w:pPr>
        <w:ind w:left="2160" w:hanging="180"/>
      </w:pPr>
    </w:lvl>
    <w:lvl w:ilvl="3" w:tplc="D390CBA6">
      <w:start w:val="1"/>
      <w:numFmt w:val="decimal"/>
      <w:lvlText w:val="%4."/>
      <w:lvlJc w:val="left"/>
      <w:pPr>
        <w:ind w:left="2880" w:hanging="360"/>
      </w:pPr>
    </w:lvl>
    <w:lvl w:ilvl="4" w:tplc="434072AC">
      <w:start w:val="1"/>
      <w:numFmt w:val="lowerLetter"/>
      <w:lvlText w:val="%5."/>
      <w:lvlJc w:val="left"/>
      <w:pPr>
        <w:ind w:left="3600" w:hanging="360"/>
      </w:pPr>
    </w:lvl>
    <w:lvl w:ilvl="5" w:tplc="9522D610">
      <w:start w:val="1"/>
      <w:numFmt w:val="lowerRoman"/>
      <w:lvlText w:val="%6."/>
      <w:lvlJc w:val="right"/>
      <w:pPr>
        <w:ind w:left="4320" w:hanging="180"/>
      </w:pPr>
    </w:lvl>
    <w:lvl w:ilvl="6" w:tplc="E5DE3AFA">
      <w:start w:val="1"/>
      <w:numFmt w:val="decimal"/>
      <w:lvlText w:val="%7."/>
      <w:lvlJc w:val="left"/>
      <w:pPr>
        <w:ind w:left="5040" w:hanging="360"/>
      </w:pPr>
    </w:lvl>
    <w:lvl w:ilvl="7" w:tplc="F1A25A84">
      <w:start w:val="1"/>
      <w:numFmt w:val="lowerLetter"/>
      <w:lvlText w:val="%8."/>
      <w:lvlJc w:val="left"/>
      <w:pPr>
        <w:ind w:left="5760" w:hanging="360"/>
      </w:pPr>
    </w:lvl>
    <w:lvl w:ilvl="8" w:tplc="0596AFA0">
      <w:start w:val="1"/>
      <w:numFmt w:val="lowerRoman"/>
      <w:lvlText w:val="%9."/>
      <w:lvlJc w:val="right"/>
      <w:pPr>
        <w:ind w:left="6480" w:hanging="180"/>
      </w:pPr>
    </w:lvl>
  </w:abstractNum>
  <w:abstractNum w:abstractNumId="79" w15:restartNumberingAfterBreak="0">
    <w:nsid w:val="3EDA6CAC"/>
    <w:multiLevelType w:val="hybridMultilevel"/>
    <w:tmpl w:val="9A986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401D5AFD"/>
    <w:multiLevelType w:val="multilevel"/>
    <w:tmpl w:val="8D4AF814"/>
    <w:lvl w:ilvl="0">
      <w:start w:val="1"/>
      <w:numFmt w:val="decimal"/>
      <w:lvlText w:val="%1."/>
      <w:lvlJc w:val="left"/>
      <w:pPr>
        <w:ind w:left="92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0E4124B"/>
    <w:multiLevelType w:val="hybridMultilevel"/>
    <w:tmpl w:val="FFFFFFFF"/>
    <w:lvl w:ilvl="0" w:tplc="069E13EC">
      <w:start w:val="351"/>
      <w:numFmt w:val="decimal"/>
      <w:lvlText w:val="%1."/>
      <w:lvlJc w:val="left"/>
      <w:pPr>
        <w:ind w:left="720" w:hanging="360"/>
      </w:pPr>
    </w:lvl>
    <w:lvl w:ilvl="1" w:tplc="BFD4AB00">
      <w:start w:val="1"/>
      <w:numFmt w:val="lowerLetter"/>
      <w:lvlText w:val="%2."/>
      <w:lvlJc w:val="left"/>
      <w:pPr>
        <w:ind w:left="1440" w:hanging="360"/>
      </w:pPr>
    </w:lvl>
    <w:lvl w:ilvl="2" w:tplc="BB66AC14">
      <w:start w:val="1"/>
      <w:numFmt w:val="lowerRoman"/>
      <w:lvlText w:val="%3."/>
      <w:lvlJc w:val="right"/>
      <w:pPr>
        <w:ind w:left="2160" w:hanging="180"/>
      </w:pPr>
    </w:lvl>
    <w:lvl w:ilvl="3" w:tplc="00F03D52">
      <w:start w:val="1"/>
      <w:numFmt w:val="decimal"/>
      <w:lvlText w:val="%4."/>
      <w:lvlJc w:val="left"/>
      <w:pPr>
        <w:ind w:left="2880" w:hanging="360"/>
      </w:pPr>
    </w:lvl>
    <w:lvl w:ilvl="4" w:tplc="E1A61DB8">
      <w:start w:val="1"/>
      <w:numFmt w:val="lowerLetter"/>
      <w:lvlText w:val="%5."/>
      <w:lvlJc w:val="left"/>
      <w:pPr>
        <w:ind w:left="3600" w:hanging="360"/>
      </w:pPr>
    </w:lvl>
    <w:lvl w:ilvl="5" w:tplc="5BECFBB6">
      <w:start w:val="1"/>
      <w:numFmt w:val="lowerRoman"/>
      <w:lvlText w:val="%6."/>
      <w:lvlJc w:val="right"/>
      <w:pPr>
        <w:ind w:left="4320" w:hanging="180"/>
      </w:pPr>
    </w:lvl>
    <w:lvl w:ilvl="6" w:tplc="0C743794">
      <w:start w:val="1"/>
      <w:numFmt w:val="decimal"/>
      <w:lvlText w:val="%7."/>
      <w:lvlJc w:val="left"/>
      <w:pPr>
        <w:ind w:left="5040" w:hanging="360"/>
      </w:pPr>
    </w:lvl>
    <w:lvl w:ilvl="7" w:tplc="A0E4BC4C">
      <w:start w:val="1"/>
      <w:numFmt w:val="lowerLetter"/>
      <w:lvlText w:val="%8."/>
      <w:lvlJc w:val="left"/>
      <w:pPr>
        <w:ind w:left="5760" w:hanging="360"/>
      </w:pPr>
    </w:lvl>
    <w:lvl w:ilvl="8" w:tplc="5A002DCA">
      <w:start w:val="1"/>
      <w:numFmt w:val="lowerRoman"/>
      <w:lvlText w:val="%9."/>
      <w:lvlJc w:val="right"/>
      <w:pPr>
        <w:ind w:left="6480" w:hanging="180"/>
      </w:pPr>
    </w:lvl>
  </w:abstractNum>
  <w:abstractNum w:abstractNumId="82" w15:restartNumberingAfterBreak="0">
    <w:nsid w:val="42E649A4"/>
    <w:multiLevelType w:val="hybridMultilevel"/>
    <w:tmpl w:val="FFFFFFFF"/>
    <w:lvl w:ilvl="0" w:tplc="85323718">
      <w:start w:val="1"/>
      <w:numFmt w:val="bullet"/>
      <w:lvlText w:val="·"/>
      <w:lvlJc w:val="left"/>
      <w:pPr>
        <w:ind w:left="720" w:hanging="360"/>
      </w:pPr>
      <w:rPr>
        <w:rFonts w:ascii="Symbol" w:hAnsi="Symbol" w:hint="default"/>
      </w:rPr>
    </w:lvl>
    <w:lvl w:ilvl="1" w:tplc="1486AE2C">
      <w:start w:val="1"/>
      <w:numFmt w:val="bullet"/>
      <w:lvlText w:val="o"/>
      <w:lvlJc w:val="left"/>
      <w:pPr>
        <w:ind w:left="1440" w:hanging="360"/>
      </w:pPr>
      <w:rPr>
        <w:rFonts w:ascii="Courier New" w:hAnsi="Courier New" w:hint="default"/>
      </w:rPr>
    </w:lvl>
    <w:lvl w:ilvl="2" w:tplc="4C28FC28">
      <w:start w:val="1"/>
      <w:numFmt w:val="bullet"/>
      <w:lvlText w:val=""/>
      <w:lvlJc w:val="left"/>
      <w:pPr>
        <w:ind w:left="2160" w:hanging="360"/>
      </w:pPr>
      <w:rPr>
        <w:rFonts w:ascii="Wingdings" w:hAnsi="Wingdings" w:hint="default"/>
      </w:rPr>
    </w:lvl>
    <w:lvl w:ilvl="3" w:tplc="1340E318">
      <w:start w:val="1"/>
      <w:numFmt w:val="bullet"/>
      <w:lvlText w:val=""/>
      <w:lvlJc w:val="left"/>
      <w:pPr>
        <w:ind w:left="2880" w:hanging="360"/>
      </w:pPr>
      <w:rPr>
        <w:rFonts w:ascii="Symbol" w:hAnsi="Symbol" w:hint="default"/>
      </w:rPr>
    </w:lvl>
    <w:lvl w:ilvl="4" w:tplc="C540B3FA">
      <w:start w:val="1"/>
      <w:numFmt w:val="bullet"/>
      <w:lvlText w:val="o"/>
      <w:lvlJc w:val="left"/>
      <w:pPr>
        <w:ind w:left="3600" w:hanging="360"/>
      </w:pPr>
      <w:rPr>
        <w:rFonts w:ascii="Courier New" w:hAnsi="Courier New" w:hint="default"/>
      </w:rPr>
    </w:lvl>
    <w:lvl w:ilvl="5" w:tplc="2EDE5262">
      <w:start w:val="1"/>
      <w:numFmt w:val="bullet"/>
      <w:lvlText w:val=""/>
      <w:lvlJc w:val="left"/>
      <w:pPr>
        <w:ind w:left="4320" w:hanging="360"/>
      </w:pPr>
      <w:rPr>
        <w:rFonts w:ascii="Wingdings" w:hAnsi="Wingdings" w:hint="default"/>
      </w:rPr>
    </w:lvl>
    <w:lvl w:ilvl="6" w:tplc="FBDE2F34">
      <w:start w:val="1"/>
      <w:numFmt w:val="bullet"/>
      <w:lvlText w:val=""/>
      <w:lvlJc w:val="left"/>
      <w:pPr>
        <w:ind w:left="5040" w:hanging="360"/>
      </w:pPr>
      <w:rPr>
        <w:rFonts w:ascii="Symbol" w:hAnsi="Symbol" w:hint="default"/>
      </w:rPr>
    </w:lvl>
    <w:lvl w:ilvl="7" w:tplc="4E186658">
      <w:start w:val="1"/>
      <w:numFmt w:val="bullet"/>
      <w:lvlText w:val="o"/>
      <w:lvlJc w:val="left"/>
      <w:pPr>
        <w:ind w:left="5760" w:hanging="360"/>
      </w:pPr>
      <w:rPr>
        <w:rFonts w:ascii="Courier New" w:hAnsi="Courier New" w:hint="default"/>
      </w:rPr>
    </w:lvl>
    <w:lvl w:ilvl="8" w:tplc="93A6D226">
      <w:start w:val="1"/>
      <w:numFmt w:val="bullet"/>
      <w:lvlText w:val=""/>
      <w:lvlJc w:val="left"/>
      <w:pPr>
        <w:ind w:left="6480" w:hanging="360"/>
      </w:pPr>
      <w:rPr>
        <w:rFonts w:ascii="Wingdings" w:hAnsi="Wingdings" w:hint="default"/>
      </w:rPr>
    </w:lvl>
  </w:abstractNum>
  <w:abstractNum w:abstractNumId="83" w15:restartNumberingAfterBreak="0">
    <w:nsid w:val="434606D7"/>
    <w:multiLevelType w:val="hybridMultilevel"/>
    <w:tmpl w:val="46BAA0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44677312"/>
    <w:multiLevelType w:val="hybridMultilevel"/>
    <w:tmpl w:val="76307F44"/>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4593DC8B"/>
    <w:multiLevelType w:val="hybridMultilevel"/>
    <w:tmpl w:val="FFFFFFFF"/>
    <w:lvl w:ilvl="0" w:tplc="53EAAFC8">
      <w:start w:val="1"/>
      <w:numFmt w:val="bullet"/>
      <w:lvlText w:val=""/>
      <w:lvlJc w:val="left"/>
      <w:pPr>
        <w:ind w:left="720" w:hanging="360"/>
      </w:pPr>
      <w:rPr>
        <w:rFonts w:ascii="Symbol" w:hAnsi="Symbol" w:hint="default"/>
      </w:rPr>
    </w:lvl>
    <w:lvl w:ilvl="1" w:tplc="2F983A8A">
      <w:start w:val="1"/>
      <w:numFmt w:val="bullet"/>
      <w:lvlText w:val="·"/>
      <w:lvlJc w:val="left"/>
      <w:pPr>
        <w:ind w:left="1440" w:hanging="360"/>
      </w:pPr>
      <w:rPr>
        <w:rFonts w:ascii="Symbol" w:hAnsi="Symbol" w:hint="default"/>
      </w:rPr>
    </w:lvl>
    <w:lvl w:ilvl="2" w:tplc="4E105088">
      <w:start w:val="1"/>
      <w:numFmt w:val="bullet"/>
      <w:lvlText w:val=""/>
      <w:lvlJc w:val="left"/>
      <w:pPr>
        <w:ind w:left="2160" w:hanging="360"/>
      </w:pPr>
      <w:rPr>
        <w:rFonts w:ascii="Wingdings" w:hAnsi="Wingdings" w:hint="default"/>
      </w:rPr>
    </w:lvl>
    <w:lvl w:ilvl="3" w:tplc="E854748A">
      <w:start w:val="1"/>
      <w:numFmt w:val="bullet"/>
      <w:lvlText w:val=""/>
      <w:lvlJc w:val="left"/>
      <w:pPr>
        <w:ind w:left="2880" w:hanging="360"/>
      </w:pPr>
      <w:rPr>
        <w:rFonts w:ascii="Symbol" w:hAnsi="Symbol" w:hint="default"/>
      </w:rPr>
    </w:lvl>
    <w:lvl w:ilvl="4" w:tplc="37F08010">
      <w:start w:val="1"/>
      <w:numFmt w:val="bullet"/>
      <w:lvlText w:val="o"/>
      <w:lvlJc w:val="left"/>
      <w:pPr>
        <w:ind w:left="3600" w:hanging="360"/>
      </w:pPr>
      <w:rPr>
        <w:rFonts w:ascii="Courier New" w:hAnsi="Courier New" w:hint="default"/>
      </w:rPr>
    </w:lvl>
    <w:lvl w:ilvl="5" w:tplc="78CE009E">
      <w:start w:val="1"/>
      <w:numFmt w:val="bullet"/>
      <w:lvlText w:val=""/>
      <w:lvlJc w:val="left"/>
      <w:pPr>
        <w:ind w:left="4320" w:hanging="360"/>
      </w:pPr>
      <w:rPr>
        <w:rFonts w:ascii="Wingdings" w:hAnsi="Wingdings" w:hint="default"/>
      </w:rPr>
    </w:lvl>
    <w:lvl w:ilvl="6" w:tplc="283E466C">
      <w:start w:val="1"/>
      <w:numFmt w:val="bullet"/>
      <w:lvlText w:val=""/>
      <w:lvlJc w:val="left"/>
      <w:pPr>
        <w:ind w:left="5040" w:hanging="360"/>
      </w:pPr>
      <w:rPr>
        <w:rFonts w:ascii="Symbol" w:hAnsi="Symbol" w:hint="default"/>
      </w:rPr>
    </w:lvl>
    <w:lvl w:ilvl="7" w:tplc="2E9EC8E0">
      <w:start w:val="1"/>
      <w:numFmt w:val="bullet"/>
      <w:lvlText w:val="o"/>
      <w:lvlJc w:val="left"/>
      <w:pPr>
        <w:ind w:left="5760" w:hanging="360"/>
      </w:pPr>
      <w:rPr>
        <w:rFonts w:ascii="Courier New" w:hAnsi="Courier New" w:hint="default"/>
      </w:rPr>
    </w:lvl>
    <w:lvl w:ilvl="8" w:tplc="BFF4A5C6">
      <w:start w:val="1"/>
      <w:numFmt w:val="bullet"/>
      <w:lvlText w:val=""/>
      <w:lvlJc w:val="left"/>
      <w:pPr>
        <w:ind w:left="6480" w:hanging="360"/>
      </w:pPr>
      <w:rPr>
        <w:rFonts w:ascii="Wingdings" w:hAnsi="Wingdings" w:hint="default"/>
      </w:rPr>
    </w:lvl>
  </w:abstractNum>
  <w:abstractNum w:abstractNumId="86" w15:restartNumberingAfterBreak="0">
    <w:nsid w:val="4849EA3C"/>
    <w:multiLevelType w:val="hybridMultilevel"/>
    <w:tmpl w:val="FFFFFFFF"/>
    <w:lvl w:ilvl="0" w:tplc="3B046BC0">
      <w:start w:val="348"/>
      <w:numFmt w:val="decimal"/>
      <w:lvlText w:val="%1."/>
      <w:lvlJc w:val="left"/>
      <w:pPr>
        <w:ind w:left="720" w:hanging="360"/>
      </w:pPr>
    </w:lvl>
    <w:lvl w:ilvl="1" w:tplc="39BE91CA">
      <w:start w:val="1"/>
      <w:numFmt w:val="lowerLetter"/>
      <w:lvlText w:val="%2."/>
      <w:lvlJc w:val="left"/>
      <w:pPr>
        <w:ind w:left="1440" w:hanging="360"/>
      </w:pPr>
    </w:lvl>
    <w:lvl w:ilvl="2" w:tplc="8A0675FA">
      <w:start w:val="1"/>
      <w:numFmt w:val="lowerRoman"/>
      <w:lvlText w:val="%3."/>
      <w:lvlJc w:val="right"/>
      <w:pPr>
        <w:ind w:left="2160" w:hanging="180"/>
      </w:pPr>
    </w:lvl>
    <w:lvl w:ilvl="3" w:tplc="625864CA">
      <w:start w:val="1"/>
      <w:numFmt w:val="decimal"/>
      <w:lvlText w:val="%4."/>
      <w:lvlJc w:val="left"/>
      <w:pPr>
        <w:ind w:left="2880" w:hanging="360"/>
      </w:pPr>
    </w:lvl>
    <w:lvl w:ilvl="4" w:tplc="1F8A4FEA">
      <w:start w:val="1"/>
      <w:numFmt w:val="lowerLetter"/>
      <w:lvlText w:val="%5."/>
      <w:lvlJc w:val="left"/>
      <w:pPr>
        <w:ind w:left="3600" w:hanging="360"/>
      </w:pPr>
    </w:lvl>
    <w:lvl w:ilvl="5" w:tplc="5DBC80DC">
      <w:start w:val="1"/>
      <w:numFmt w:val="lowerRoman"/>
      <w:lvlText w:val="%6."/>
      <w:lvlJc w:val="right"/>
      <w:pPr>
        <w:ind w:left="4320" w:hanging="180"/>
      </w:pPr>
    </w:lvl>
    <w:lvl w:ilvl="6" w:tplc="1B3295FE">
      <w:start w:val="1"/>
      <w:numFmt w:val="decimal"/>
      <w:lvlText w:val="%7."/>
      <w:lvlJc w:val="left"/>
      <w:pPr>
        <w:ind w:left="5040" w:hanging="360"/>
      </w:pPr>
    </w:lvl>
    <w:lvl w:ilvl="7" w:tplc="DB0E41E6">
      <w:start w:val="1"/>
      <w:numFmt w:val="lowerLetter"/>
      <w:lvlText w:val="%8."/>
      <w:lvlJc w:val="left"/>
      <w:pPr>
        <w:ind w:left="5760" w:hanging="360"/>
      </w:pPr>
    </w:lvl>
    <w:lvl w:ilvl="8" w:tplc="7EFCFD9C">
      <w:start w:val="1"/>
      <w:numFmt w:val="lowerRoman"/>
      <w:lvlText w:val="%9."/>
      <w:lvlJc w:val="right"/>
      <w:pPr>
        <w:ind w:left="6480" w:hanging="180"/>
      </w:pPr>
    </w:lvl>
  </w:abstractNum>
  <w:abstractNum w:abstractNumId="8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49D4D504"/>
    <w:multiLevelType w:val="hybridMultilevel"/>
    <w:tmpl w:val="FFFFFFFF"/>
    <w:lvl w:ilvl="0" w:tplc="1B86501E">
      <w:start w:val="348"/>
      <w:numFmt w:val="decimal"/>
      <w:lvlText w:val="%1."/>
      <w:lvlJc w:val="left"/>
      <w:pPr>
        <w:ind w:left="720" w:hanging="360"/>
      </w:pPr>
    </w:lvl>
    <w:lvl w:ilvl="1" w:tplc="01F8059A">
      <w:start w:val="1"/>
      <w:numFmt w:val="lowerLetter"/>
      <w:lvlText w:val="%2."/>
      <w:lvlJc w:val="left"/>
      <w:pPr>
        <w:ind w:left="1440" w:hanging="360"/>
      </w:pPr>
    </w:lvl>
    <w:lvl w:ilvl="2" w:tplc="634607A0">
      <w:start w:val="1"/>
      <w:numFmt w:val="lowerRoman"/>
      <w:lvlText w:val="%3."/>
      <w:lvlJc w:val="right"/>
      <w:pPr>
        <w:ind w:left="2160" w:hanging="180"/>
      </w:pPr>
    </w:lvl>
    <w:lvl w:ilvl="3" w:tplc="C3CE46A2">
      <w:start w:val="1"/>
      <w:numFmt w:val="decimal"/>
      <w:lvlText w:val="%4."/>
      <w:lvlJc w:val="left"/>
      <w:pPr>
        <w:ind w:left="2880" w:hanging="360"/>
      </w:pPr>
    </w:lvl>
    <w:lvl w:ilvl="4" w:tplc="37121DD0">
      <w:start w:val="1"/>
      <w:numFmt w:val="lowerLetter"/>
      <w:lvlText w:val="%5."/>
      <w:lvlJc w:val="left"/>
      <w:pPr>
        <w:ind w:left="3600" w:hanging="360"/>
      </w:pPr>
    </w:lvl>
    <w:lvl w:ilvl="5" w:tplc="0234FA0E">
      <w:start w:val="1"/>
      <w:numFmt w:val="lowerRoman"/>
      <w:lvlText w:val="%6."/>
      <w:lvlJc w:val="right"/>
      <w:pPr>
        <w:ind w:left="4320" w:hanging="180"/>
      </w:pPr>
    </w:lvl>
    <w:lvl w:ilvl="6" w:tplc="B294760A">
      <w:start w:val="1"/>
      <w:numFmt w:val="decimal"/>
      <w:lvlText w:val="%7."/>
      <w:lvlJc w:val="left"/>
      <w:pPr>
        <w:ind w:left="5040" w:hanging="360"/>
      </w:pPr>
    </w:lvl>
    <w:lvl w:ilvl="7" w:tplc="006A3EB2">
      <w:start w:val="1"/>
      <w:numFmt w:val="lowerLetter"/>
      <w:lvlText w:val="%8."/>
      <w:lvlJc w:val="left"/>
      <w:pPr>
        <w:ind w:left="5760" w:hanging="360"/>
      </w:pPr>
    </w:lvl>
    <w:lvl w:ilvl="8" w:tplc="A6EA073A">
      <w:start w:val="1"/>
      <w:numFmt w:val="lowerRoman"/>
      <w:lvlText w:val="%9."/>
      <w:lvlJc w:val="right"/>
      <w:pPr>
        <w:ind w:left="6480" w:hanging="180"/>
      </w:pPr>
    </w:lvl>
  </w:abstractNum>
  <w:abstractNum w:abstractNumId="89" w15:restartNumberingAfterBreak="0">
    <w:nsid w:val="4A487A02"/>
    <w:multiLevelType w:val="hybridMultilevel"/>
    <w:tmpl w:val="CC4069BA"/>
    <w:lvl w:ilvl="0" w:tplc="9A98478A">
      <w:start w:val="1"/>
      <w:numFmt w:val="decimal"/>
      <w:lvlText w:val="%1"/>
      <w:lvlJc w:val="left"/>
      <w:pPr>
        <w:ind w:left="722" w:hanging="519"/>
      </w:pPr>
      <w:rPr>
        <w:rFonts w:ascii="Times New Roman" w:eastAsia="Times New Roman" w:hAnsi="Times New Roman" w:cs="Times New Roman" w:hint="default"/>
        <w:b w:val="0"/>
        <w:bCs w:val="0"/>
        <w:i w:val="0"/>
        <w:iCs w:val="0"/>
        <w:w w:val="100"/>
        <w:sz w:val="20"/>
        <w:szCs w:val="20"/>
      </w:rPr>
    </w:lvl>
    <w:lvl w:ilvl="1" w:tplc="E772A29E">
      <w:numFmt w:val="bullet"/>
      <w:lvlText w:val="•"/>
      <w:lvlJc w:val="left"/>
      <w:pPr>
        <w:ind w:left="1686" w:hanging="519"/>
      </w:pPr>
    </w:lvl>
    <w:lvl w:ilvl="2" w:tplc="1EE80C7A">
      <w:numFmt w:val="bullet"/>
      <w:lvlText w:val="•"/>
      <w:lvlJc w:val="left"/>
      <w:pPr>
        <w:ind w:left="2653" w:hanging="519"/>
      </w:pPr>
    </w:lvl>
    <w:lvl w:ilvl="3" w:tplc="E6CA8B48">
      <w:numFmt w:val="bullet"/>
      <w:lvlText w:val="•"/>
      <w:lvlJc w:val="left"/>
      <w:pPr>
        <w:ind w:left="3620" w:hanging="519"/>
      </w:pPr>
    </w:lvl>
    <w:lvl w:ilvl="4" w:tplc="EDE864F0">
      <w:numFmt w:val="bullet"/>
      <w:lvlText w:val="•"/>
      <w:lvlJc w:val="left"/>
      <w:pPr>
        <w:ind w:left="4587" w:hanging="519"/>
      </w:pPr>
    </w:lvl>
    <w:lvl w:ilvl="5" w:tplc="CE80A11E">
      <w:numFmt w:val="bullet"/>
      <w:lvlText w:val="•"/>
      <w:lvlJc w:val="left"/>
      <w:pPr>
        <w:ind w:left="5553" w:hanging="519"/>
      </w:pPr>
    </w:lvl>
    <w:lvl w:ilvl="6" w:tplc="9556ACDA">
      <w:numFmt w:val="bullet"/>
      <w:lvlText w:val="•"/>
      <w:lvlJc w:val="left"/>
      <w:pPr>
        <w:ind w:left="6520" w:hanging="519"/>
      </w:pPr>
    </w:lvl>
    <w:lvl w:ilvl="7" w:tplc="9754E29C">
      <w:numFmt w:val="bullet"/>
      <w:lvlText w:val="•"/>
      <w:lvlJc w:val="left"/>
      <w:pPr>
        <w:ind w:left="7487" w:hanging="519"/>
      </w:pPr>
    </w:lvl>
    <w:lvl w:ilvl="8" w:tplc="049666B4">
      <w:numFmt w:val="bullet"/>
      <w:lvlText w:val="•"/>
      <w:lvlJc w:val="left"/>
      <w:pPr>
        <w:ind w:left="8454" w:hanging="519"/>
      </w:pPr>
    </w:lvl>
  </w:abstractNum>
  <w:abstractNum w:abstractNumId="90" w15:restartNumberingAfterBreak="0">
    <w:nsid w:val="4B365003"/>
    <w:multiLevelType w:val="hybridMultilevel"/>
    <w:tmpl w:val="FFFFFFFF"/>
    <w:lvl w:ilvl="0" w:tplc="BC5A539A">
      <w:start w:val="1"/>
      <w:numFmt w:val="bullet"/>
      <w:lvlText w:val="·"/>
      <w:lvlJc w:val="left"/>
      <w:pPr>
        <w:ind w:left="720" w:hanging="360"/>
      </w:pPr>
      <w:rPr>
        <w:rFonts w:ascii="Symbol" w:hAnsi="Symbol" w:hint="default"/>
      </w:rPr>
    </w:lvl>
    <w:lvl w:ilvl="1" w:tplc="A066EB5C">
      <w:start w:val="1"/>
      <w:numFmt w:val="bullet"/>
      <w:lvlText w:val="o"/>
      <w:lvlJc w:val="left"/>
      <w:pPr>
        <w:ind w:left="1440" w:hanging="360"/>
      </w:pPr>
      <w:rPr>
        <w:rFonts w:ascii="Courier New" w:hAnsi="Courier New" w:hint="default"/>
      </w:rPr>
    </w:lvl>
    <w:lvl w:ilvl="2" w:tplc="EF94C60C">
      <w:start w:val="1"/>
      <w:numFmt w:val="bullet"/>
      <w:lvlText w:val=""/>
      <w:lvlJc w:val="left"/>
      <w:pPr>
        <w:ind w:left="2160" w:hanging="360"/>
      </w:pPr>
      <w:rPr>
        <w:rFonts w:ascii="Wingdings" w:hAnsi="Wingdings" w:hint="default"/>
      </w:rPr>
    </w:lvl>
    <w:lvl w:ilvl="3" w:tplc="30B0210E">
      <w:start w:val="1"/>
      <w:numFmt w:val="bullet"/>
      <w:lvlText w:val=""/>
      <w:lvlJc w:val="left"/>
      <w:pPr>
        <w:ind w:left="2880" w:hanging="360"/>
      </w:pPr>
      <w:rPr>
        <w:rFonts w:ascii="Symbol" w:hAnsi="Symbol" w:hint="default"/>
      </w:rPr>
    </w:lvl>
    <w:lvl w:ilvl="4" w:tplc="7A08F1D6">
      <w:start w:val="1"/>
      <w:numFmt w:val="bullet"/>
      <w:lvlText w:val="o"/>
      <w:lvlJc w:val="left"/>
      <w:pPr>
        <w:ind w:left="3600" w:hanging="360"/>
      </w:pPr>
      <w:rPr>
        <w:rFonts w:ascii="Courier New" w:hAnsi="Courier New" w:hint="default"/>
      </w:rPr>
    </w:lvl>
    <w:lvl w:ilvl="5" w:tplc="20B62F18">
      <w:start w:val="1"/>
      <w:numFmt w:val="bullet"/>
      <w:lvlText w:val=""/>
      <w:lvlJc w:val="left"/>
      <w:pPr>
        <w:ind w:left="4320" w:hanging="360"/>
      </w:pPr>
      <w:rPr>
        <w:rFonts w:ascii="Wingdings" w:hAnsi="Wingdings" w:hint="default"/>
      </w:rPr>
    </w:lvl>
    <w:lvl w:ilvl="6" w:tplc="0BDC5FD8">
      <w:start w:val="1"/>
      <w:numFmt w:val="bullet"/>
      <w:lvlText w:val=""/>
      <w:lvlJc w:val="left"/>
      <w:pPr>
        <w:ind w:left="5040" w:hanging="360"/>
      </w:pPr>
      <w:rPr>
        <w:rFonts w:ascii="Symbol" w:hAnsi="Symbol" w:hint="default"/>
      </w:rPr>
    </w:lvl>
    <w:lvl w:ilvl="7" w:tplc="3EFCC2E6">
      <w:start w:val="1"/>
      <w:numFmt w:val="bullet"/>
      <w:lvlText w:val="o"/>
      <w:lvlJc w:val="left"/>
      <w:pPr>
        <w:ind w:left="5760" w:hanging="360"/>
      </w:pPr>
      <w:rPr>
        <w:rFonts w:ascii="Courier New" w:hAnsi="Courier New" w:hint="default"/>
      </w:rPr>
    </w:lvl>
    <w:lvl w:ilvl="8" w:tplc="67386A58">
      <w:start w:val="1"/>
      <w:numFmt w:val="bullet"/>
      <w:lvlText w:val=""/>
      <w:lvlJc w:val="left"/>
      <w:pPr>
        <w:ind w:left="6480" w:hanging="360"/>
      </w:pPr>
      <w:rPr>
        <w:rFonts w:ascii="Wingdings" w:hAnsi="Wingdings" w:hint="default"/>
      </w:rPr>
    </w:lvl>
  </w:abstractNum>
  <w:abstractNum w:abstractNumId="91" w15:restartNumberingAfterBreak="0">
    <w:nsid w:val="4B5B3D7F"/>
    <w:multiLevelType w:val="hybridMultilevel"/>
    <w:tmpl w:val="FFFFFFFF"/>
    <w:lvl w:ilvl="0" w:tplc="5530626C">
      <w:start w:val="350"/>
      <w:numFmt w:val="decimal"/>
      <w:lvlText w:val="%1."/>
      <w:lvlJc w:val="left"/>
      <w:pPr>
        <w:ind w:left="720" w:hanging="360"/>
      </w:pPr>
    </w:lvl>
    <w:lvl w:ilvl="1" w:tplc="52AA97D6">
      <w:start w:val="1"/>
      <w:numFmt w:val="lowerLetter"/>
      <w:lvlText w:val="%2."/>
      <w:lvlJc w:val="left"/>
      <w:pPr>
        <w:ind w:left="1440" w:hanging="360"/>
      </w:pPr>
    </w:lvl>
    <w:lvl w:ilvl="2" w:tplc="93CC7FFA">
      <w:start w:val="1"/>
      <w:numFmt w:val="lowerRoman"/>
      <w:lvlText w:val="%3."/>
      <w:lvlJc w:val="right"/>
      <w:pPr>
        <w:ind w:left="2160" w:hanging="180"/>
      </w:pPr>
    </w:lvl>
    <w:lvl w:ilvl="3" w:tplc="24BEFBE6">
      <w:start w:val="1"/>
      <w:numFmt w:val="decimal"/>
      <w:lvlText w:val="%4."/>
      <w:lvlJc w:val="left"/>
      <w:pPr>
        <w:ind w:left="2880" w:hanging="360"/>
      </w:pPr>
    </w:lvl>
    <w:lvl w:ilvl="4" w:tplc="5F6AE76E">
      <w:start w:val="1"/>
      <w:numFmt w:val="lowerLetter"/>
      <w:lvlText w:val="%5."/>
      <w:lvlJc w:val="left"/>
      <w:pPr>
        <w:ind w:left="3600" w:hanging="360"/>
      </w:pPr>
    </w:lvl>
    <w:lvl w:ilvl="5" w:tplc="F71C9A60">
      <w:start w:val="1"/>
      <w:numFmt w:val="lowerRoman"/>
      <w:lvlText w:val="%6."/>
      <w:lvlJc w:val="right"/>
      <w:pPr>
        <w:ind w:left="4320" w:hanging="180"/>
      </w:pPr>
    </w:lvl>
    <w:lvl w:ilvl="6" w:tplc="FD02F206">
      <w:start w:val="1"/>
      <w:numFmt w:val="decimal"/>
      <w:lvlText w:val="%7."/>
      <w:lvlJc w:val="left"/>
      <w:pPr>
        <w:ind w:left="5040" w:hanging="360"/>
      </w:pPr>
    </w:lvl>
    <w:lvl w:ilvl="7" w:tplc="506A80C4">
      <w:start w:val="1"/>
      <w:numFmt w:val="lowerLetter"/>
      <w:lvlText w:val="%8."/>
      <w:lvlJc w:val="left"/>
      <w:pPr>
        <w:ind w:left="5760" w:hanging="360"/>
      </w:pPr>
    </w:lvl>
    <w:lvl w:ilvl="8" w:tplc="6E54E75C">
      <w:start w:val="1"/>
      <w:numFmt w:val="lowerRoman"/>
      <w:lvlText w:val="%9."/>
      <w:lvlJc w:val="right"/>
      <w:pPr>
        <w:ind w:left="6480" w:hanging="180"/>
      </w:pPr>
    </w:lvl>
  </w:abstractNum>
  <w:abstractNum w:abstractNumId="92" w15:restartNumberingAfterBreak="0">
    <w:nsid w:val="4B6A59CF"/>
    <w:multiLevelType w:val="hybridMultilevel"/>
    <w:tmpl w:val="3B14C4C2"/>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15:restartNumberingAfterBreak="0">
    <w:nsid w:val="4DF1D036"/>
    <w:multiLevelType w:val="hybridMultilevel"/>
    <w:tmpl w:val="FFFFFFFF"/>
    <w:lvl w:ilvl="0" w:tplc="63D09D26">
      <w:start w:val="1"/>
      <w:numFmt w:val="decimal"/>
      <w:lvlText w:val="%1."/>
      <w:lvlJc w:val="left"/>
      <w:pPr>
        <w:ind w:left="720" w:hanging="360"/>
      </w:pPr>
    </w:lvl>
    <w:lvl w:ilvl="1" w:tplc="2DC8C4A0">
      <w:start w:val="1"/>
      <w:numFmt w:val="lowerLetter"/>
      <w:lvlText w:val="%2."/>
      <w:lvlJc w:val="left"/>
      <w:pPr>
        <w:ind w:left="1440" w:hanging="360"/>
      </w:pPr>
    </w:lvl>
    <w:lvl w:ilvl="2" w:tplc="B3DC7F32">
      <w:start w:val="1"/>
      <w:numFmt w:val="lowerRoman"/>
      <w:lvlText w:val="%3."/>
      <w:lvlJc w:val="right"/>
      <w:pPr>
        <w:ind w:left="2160" w:hanging="180"/>
      </w:pPr>
    </w:lvl>
    <w:lvl w:ilvl="3" w:tplc="40AC776E">
      <w:start w:val="1"/>
      <w:numFmt w:val="decimal"/>
      <w:lvlText w:val="%4."/>
      <w:lvlJc w:val="left"/>
      <w:pPr>
        <w:ind w:left="2880" w:hanging="360"/>
      </w:pPr>
    </w:lvl>
    <w:lvl w:ilvl="4" w:tplc="59406420">
      <w:start w:val="1"/>
      <w:numFmt w:val="lowerLetter"/>
      <w:lvlText w:val="%5."/>
      <w:lvlJc w:val="left"/>
      <w:pPr>
        <w:ind w:left="3600" w:hanging="360"/>
      </w:pPr>
    </w:lvl>
    <w:lvl w:ilvl="5" w:tplc="7FEC0DD6">
      <w:start w:val="1"/>
      <w:numFmt w:val="lowerRoman"/>
      <w:lvlText w:val="%6."/>
      <w:lvlJc w:val="right"/>
      <w:pPr>
        <w:ind w:left="4320" w:hanging="180"/>
      </w:pPr>
    </w:lvl>
    <w:lvl w:ilvl="6" w:tplc="183E7446">
      <w:start w:val="1"/>
      <w:numFmt w:val="decimal"/>
      <w:lvlText w:val="%7."/>
      <w:lvlJc w:val="left"/>
      <w:pPr>
        <w:ind w:left="5040" w:hanging="360"/>
      </w:pPr>
    </w:lvl>
    <w:lvl w:ilvl="7" w:tplc="44164EC4">
      <w:start w:val="1"/>
      <w:numFmt w:val="lowerLetter"/>
      <w:lvlText w:val="%8."/>
      <w:lvlJc w:val="left"/>
      <w:pPr>
        <w:ind w:left="5760" w:hanging="360"/>
      </w:pPr>
    </w:lvl>
    <w:lvl w:ilvl="8" w:tplc="198ECC8A">
      <w:start w:val="1"/>
      <w:numFmt w:val="lowerRoman"/>
      <w:lvlText w:val="%9."/>
      <w:lvlJc w:val="right"/>
      <w:pPr>
        <w:ind w:left="6480" w:hanging="180"/>
      </w:pPr>
    </w:lvl>
  </w:abstractNum>
  <w:abstractNum w:abstractNumId="94" w15:restartNumberingAfterBreak="0">
    <w:nsid w:val="4E254F22"/>
    <w:multiLevelType w:val="hybridMultilevel"/>
    <w:tmpl w:val="FFFFFFFF"/>
    <w:lvl w:ilvl="0" w:tplc="4B7A1146">
      <w:start w:val="349"/>
      <w:numFmt w:val="decimal"/>
      <w:lvlText w:val="%1."/>
      <w:lvlJc w:val="left"/>
      <w:pPr>
        <w:ind w:left="720" w:hanging="360"/>
      </w:pPr>
    </w:lvl>
    <w:lvl w:ilvl="1" w:tplc="F4DE9F10">
      <w:start w:val="1"/>
      <w:numFmt w:val="lowerLetter"/>
      <w:lvlText w:val="%2."/>
      <w:lvlJc w:val="left"/>
      <w:pPr>
        <w:ind w:left="1440" w:hanging="360"/>
      </w:pPr>
    </w:lvl>
    <w:lvl w:ilvl="2" w:tplc="956CD42A">
      <w:start w:val="1"/>
      <w:numFmt w:val="lowerRoman"/>
      <w:lvlText w:val="%3."/>
      <w:lvlJc w:val="right"/>
      <w:pPr>
        <w:ind w:left="2160" w:hanging="180"/>
      </w:pPr>
    </w:lvl>
    <w:lvl w:ilvl="3" w:tplc="D92E61E0">
      <w:start w:val="1"/>
      <w:numFmt w:val="decimal"/>
      <w:lvlText w:val="%4."/>
      <w:lvlJc w:val="left"/>
      <w:pPr>
        <w:ind w:left="2880" w:hanging="360"/>
      </w:pPr>
    </w:lvl>
    <w:lvl w:ilvl="4" w:tplc="58566368">
      <w:start w:val="1"/>
      <w:numFmt w:val="lowerLetter"/>
      <w:lvlText w:val="%5."/>
      <w:lvlJc w:val="left"/>
      <w:pPr>
        <w:ind w:left="3600" w:hanging="360"/>
      </w:pPr>
    </w:lvl>
    <w:lvl w:ilvl="5" w:tplc="0A76C240">
      <w:start w:val="1"/>
      <w:numFmt w:val="lowerRoman"/>
      <w:lvlText w:val="%6."/>
      <w:lvlJc w:val="right"/>
      <w:pPr>
        <w:ind w:left="4320" w:hanging="180"/>
      </w:pPr>
    </w:lvl>
    <w:lvl w:ilvl="6" w:tplc="B75CF676">
      <w:start w:val="1"/>
      <w:numFmt w:val="decimal"/>
      <w:lvlText w:val="%7."/>
      <w:lvlJc w:val="left"/>
      <w:pPr>
        <w:ind w:left="5040" w:hanging="360"/>
      </w:pPr>
    </w:lvl>
    <w:lvl w:ilvl="7" w:tplc="C7ACBF7A">
      <w:start w:val="1"/>
      <w:numFmt w:val="lowerLetter"/>
      <w:lvlText w:val="%8."/>
      <w:lvlJc w:val="left"/>
      <w:pPr>
        <w:ind w:left="5760" w:hanging="360"/>
      </w:pPr>
    </w:lvl>
    <w:lvl w:ilvl="8" w:tplc="4D900140">
      <w:start w:val="1"/>
      <w:numFmt w:val="lowerRoman"/>
      <w:lvlText w:val="%9."/>
      <w:lvlJc w:val="right"/>
      <w:pPr>
        <w:ind w:left="6480" w:hanging="180"/>
      </w:pPr>
    </w:lvl>
  </w:abstractNum>
  <w:abstractNum w:abstractNumId="95" w15:restartNumberingAfterBreak="0">
    <w:nsid w:val="4E386EE5"/>
    <w:multiLevelType w:val="hybridMultilevel"/>
    <w:tmpl w:val="46E65F4A"/>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4EFC9CDD"/>
    <w:multiLevelType w:val="hybridMultilevel"/>
    <w:tmpl w:val="FFFFFFFF"/>
    <w:lvl w:ilvl="0" w:tplc="E8500B8A">
      <w:start w:val="349"/>
      <w:numFmt w:val="decimal"/>
      <w:lvlText w:val="%1."/>
      <w:lvlJc w:val="left"/>
      <w:pPr>
        <w:ind w:left="720" w:hanging="360"/>
      </w:pPr>
    </w:lvl>
    <w:lvl w:ilvl="1" w:tplc="20FE12E6">
      <w:start w:val="1"/>
      <w:numFmt w:val="lowerLetter"/>
      <w:lvlText w:val="%2."/>
      <w:lvlJc w:val="left"/>
      <w:pPr>
        <w:ind w:left="1440" w:hanging="360"/>
      </w:pPr>
    </w:lvl>
    <w:lvl w:ilvl="2" w:tplc="7A44E262">
      <w:start w:val="1"/>
      <w:numFmt w:val="lowerRoman"/>
      <w:lvlText w:val="%3."/>
      <w:lvlJc w:val="right"/>
      <w:pPr>
        <w:ind w:left="2160" w:hanging="180"/>
      </w:pPr>
    </w:lvl>
    <w:lvl w:ilvl="3" w:tplc="8CF65434">
      <w:start w:val="1"/>
      <w:numFmt w:val="decimal"/>
      <w:lvlText w:val="%4."/>
      <w:lvlJc w:val="left"/>
      <w:pPr>
        <w:ind w:left="2880" w:hanging="360"/>
      </w:pPr>
    </w:lvl>
    <w:lvl w:ilvl="4" w:tplc="A1D03D16">
      <w:start w:val="1"/>
      <w:numFmt w:val="lowerLetter"/>
      <w:lvlText w:val="%5."/>
      <w:lvlJc w:val="left"/>
      <w:pPr>
        <w:ind w:left="3600" w:hanging="360"/>
      </w:pPr>
    </w:lvl>
    <w:lvl w:ilvl="5" w:tplc="04A0B50E">
      <w:start w:val="1"/>
      <w:numFmt w:val="lowerRoman"/>
      <w:lvlText w:val="%6."/>
      <w:lvlJc w:val="right"/>
      <w:pPr>
        <w:ind w:left="4320" w:hanging="180"/>
      </w:pPr>
    </w:lvl>
    <w:lvl w:ilvl="6" w:tplc="594AE8E6">
      <w:start w:val="1"/>
      <w:numFmt w:val="decimal"/>
      <w:lvlText w:val="%7."/>
      <w:lvlJc w:val="left"/>
      <w:pPr>
        <w:ind w:left="5040" w:hanging="360"/>
      </w:pPr>
    </w:lvl>
    <w:lvl w:ilvl="7" w:tplc="5CC8C598">
      <w:start w:val="1"/>
      <w:numFmt w:val="lowerLetter"/>
      <w:lvlText w:val="%8."/>
      <w:lvlJc w:val="left"/>
      <w:pPr>
        <w:ind w:left="5760" w:hanging="360"/>
      </w:pPr>
    </w:lvl>
    <w:lvl w:ilvl="8" w:tplc="1570D4CA">
      <w:start w:val="1"/>
      <w:numFmt w:val="lowerRoman"/>
      <w:lvlText w:val="%9."/>
      <w:lvlJc w:val="right"/>
      <w:pPr>
        <w:ind w:left="6480" w:hanging="180"/>
      </w:pPr>
    </w:lvl>
  </w:abstractNum>
  <w:abstractNum w:abstractNumId="97" w15:restartNumberingAfterBreak="0">
    <w:nsid w:val="501031D2"/>
    <w:multiLevelType w:val="hybridMultilevel"/>
    <w:tmpl w:val="FF8AE54E"/>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50A8169A"/>
    <w:multiLevelType w:val="multilevel"/>
    <w:tmpl w:val="BFB89464"/>
    <w:lvl w:ilvl="0">
      <w:start w:val="1"/>
      <w:numFmt w:val="bullet"/>
      <w:lvlText w:val=""/>
      <w:lvlJc w:val="left"/>
      <w:pPr>
        <w:ind w:left="1702" w:hanging="851"/>
      </w:pPr>
      <w:rPr>
        <w:rFonts w:ascii="Symbol" w:hAnsi="Symbol" w:hint="default"/>
        <w:b w:val="0"/>
        <w:bCs w:val="0"/>
        <w:strike w:val="0"/>
        <w:color w:val="auto"/>
        <w:sz w:val="22"/>
        <w:szCs w:val="22"/>
        <w:vertAlign w:val="baseline"/>
      </w:rPr>
    </w:lvl>
    <w:lvl w:ilvl="1">
      <w:start w:val="1"/>
      <w:numFmt w:val="bullet"/>
      <w:lvlText w:val=""/>
      <w:lvlJc w:val="left"/>
      <w:pPr>
        <w:ind w:left="2552" w:hanging="850"/>
      </w:pPr>
      <w:rPr>
        <w:rFonts w:ascii="Symbol" w:hAnsi="Symbol" w:hint="default"/>
      </w:rPr>
    </w:lvl>
    <w:lvl w:ilvl="2">
      <w:start w:val="1"/>
      <w:numFmt w:val="lowerRoman"/>
      <w:lvlText w:val="%3."/>
      <w:lvlJc w:val="left"/>
      <w:pPr>
        <w:ind w:left="3403" w:hanging="851"/>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99" w15:restartNumberingAfterBreak="0">
    <w:nsid w:val="50CDBA5E"/>
    <w:multiLevelType w:val="hybridMultilevel"/>
    <w:tmpl w:val="FFFFFFFF"/>
    <w:lvl w:ilvl="0" w:tplc="40EABBB4">
      <w:start w:val="1"/>
      <w:numFmt w:val="bullet"/>
      <w:lvlText w:val="·"/>
      <w:lvlJc w:val="left"/>
      <w:pPr>
        <w:ind w:left="720" w:hanging="360"/>
      </w:pPr>
      <w:rPr>
        <w:rFonts w:ascii="Symbol" w:hAnsi="Symbol" w:hint="default"/>
      </w:rPr>
    </w:lvl>
    <w:lvl w:ilvl="1" w:tplc="86480E5A">
      <w:start w:val="1"/>
      <w:numFmt w:val="bullet"/>
      <w:lvlText w:val="o"/>
      <w:lvlJc w:val="left"/>
      <w:pPr>
        <w:ind w:left="1440" w:hanging="360"/>
      </w:pPr>
      <w:rPr>
        <w:rFonts w:ascii="Courier New" w:hAnsi="Courier New" w:hint="default"/>
      </w:rPr>
    </w:lvl>
    <w:lvl w:ilvl="2" w:tplc="D0BAE458">
      <w:start w:val="1"/>
      <w:numFmt w:val="bullet"/>
      <w:lvlText w:val=""/>
      <w:lvlJc w:val="left"/>
      <w:pPr>
        <w:ind w:left="2160" w:hanging="360"/>
      </w:pPr>
      <w:rPr>
        <w:rFonts w:ascii="Wingdings" w:hAnsi="Wingdings" w:hint="default"/>
      </w:rPr>
    </w:lvl>
    <w:lvl w:ilvl="3" w:tplc="B2560466">
      <w:start w:val="1"/>
      <w:numFmt w:val="bullet"/>
      <w:lvlText w:val=""/>
      <w:lvlJc w:val="left"/>
      <w:pPr>
        <w:ind w:left="2880" w:hanging="360"/>
      </w:pPr>
      <w:rPr>
        <w:rFonts w:ascii="Symbol" w:hAnsi="Symbol" w:hint="default"/>
      </w:rPr>
    </w:lvl>
    <w:lvl w:ilvl="4" w:tplc="00CCEA30">
      <w:start w:val="1"/>
      <w:numFmt w:val="bullet"/>
      <w:lvlText w:val="o"/>
      <w:lvlJc w:val="left"/>
      <w:pPr>
        <w:ind w:left="3600" w:hanging="360"/>
      </w:pPr>
      <w:rPr>
        <w:rFonts w:ascii="Courier New" w:hAnsi="Courier New" w:hint="default"/>
      </w:rPr>
    </w:lvl>
    <w:lvl w:ilvl="5" w:tplc="D3D64B80">
      <w:start w:val="1"/>
      <w:numFmt w:val="bullet"/>
      <w:lvlText w:val=""/>
      <w:lvlJc w:val="left"/>
      <w:pPr>
        <w:ind w:left="4320" w:hanging="360"/>
      </w:pPr>
      <w:rPr>
        <w:rFonts w:ascii="Wingdings" w:hAnsi="Wingdings" w:hint="default"/>
      </w:rPr>
    </w:lvl>
    <w:lvl w:ilvl="6" w:tplc="EA6E37A2">
      <w:start w:val="1"/>
      <w:numFmt w:val="bullet"/>
      <w:lvlText w:val=""/>
      <w:lvlJc w:val="left"/>
      <w:pPr>
        <w:ind w:left="5040" w:hanging="360"/>
      </w:pPr>
      <w:rPr>
        <w:rFonts w:ascii="Symbol" w:hAnsi="Symbol" w:hint="default"/>
      </w:rPr>
    </w:lvl>
    <w:lvl w:ilvl="7" w:tplc="96FCD202">
      <w:start w:val="1"/>
      <w:numFmt w:val="bullet"/>
      <w:lvlText w:val="o"/>
      <w:lvlJc w:val="left"/>
      <w:pPr>
        <w:ind w:left="5760" w:hanging="360"/>
      </w:pPr>
      <w:rPr>
        <w:rFonts w:ascii="Courier New" w:hAnsi="Courier New" w:hint="default"/>
      </w:rPr>
    </w:lvl>
    <w:lvl w:ilvl="8" w:tplc="271A7436">
      <w:start w:val="1"/>
      <w:numFmt w:val="bullet"/>
      <w:lvlText w:val=""/>
      <w:lvlJc w:val="left"/>
      <w:pPr>
        <w:ind w:left="6480" w:hanging="360"/>
      </w:pPr>
      <w:rPr>
        <w:rFonts w:ascii="Wingdings" w:hAnsi="Wingdings" w:hint="default"/>
      </w:rPr>
    </w:lvl>
  </w:abstractNum>
  <w:abstractNum w:abstractNumId="100" w15:restartNumberingAfterBreak="0">
    <w:nsid w:val="513A5496"/>
    <w:multiLevelType w:val="hybridMultilevel"/>
    <w:tmpl w:val="B75243C2"/>
    <w:lvl w:ilvl="0" w:tplc="CE669E20">
      <w:start w:val="1"/>
      <w:numFmt w:val="bullet"/>
      <w:pStyle w:val="Bullets"/>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1" w15:restartNumberingAfterBreak="0">
    <w:nsid w:val="5477288C"/>
    <w:multiLevelType w:val="hybridMultilevel"/>
    <w:tmpl w:val="93325158"/>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2" w15:restartNumberingAfterBreak="0">
    <w:nsid w:val="5667E108"/>
    <w:multiLevelType w:val="hybridMultilevel"/>
    <w:tmpl w:val="FFFFFFFF"/>
    <w:lvl w:ilvl="0" w:tplc="1C20399C">
      <w:start w:val="1"/>
      <w:numFmt w:val="bullet"/>
      <w:lvlText w:val="·"/>
      <w:lvlJc w:val="left"/>
      <w:pPr>
        <w:ind w:left="720" w:hanging="360"/>
      </w:pPr>
      <w:rPr>
        <w:rFonts w:ascii="Symbol" w:hAnsi="Symbol" w:hint="default"/>
      </w:rPr>
    </w:lvl>
    <w:lvl w:ilvl="1" w:tplc="61D49838">
      <w:start w:val="1"/>
      <w:numFmt w:val="bullet"/>
      <w:lvlText w:val="o"/>
      <w:lvlJc w:val="left"/>
      <w:pPr>
        <w:ind w:left="1440" w:hanging="360"/>
      </w:pPr>
      <w:rPr>
        <w:rFonts w:ascii="Courier New" w:hAnsi="Courier New" w:hint="default"/>
      </w:rPr>
    </w:lvl>
    <w:lvl w:ilvl="2" w:tplc="42ECC68A">
      <w:start w:val="1"/>
      <w:numFmt w:val="bullet"/>
      <w:lvlText w:val=""/>
      <w:lvlJc w:val="left"/>
      <w:pPr>
        <w:ind w:left="2160" w:hanging="360"/>
      </w:pPr>
      <w:rPr>
        <w:rFonts w:ascii="Wingdings" w:hAnsi="Wingdings" w:hint="default"/>
      </w:rPr>
    </w:lvl>
    <w:lvl w:ilvl="3" w:tplc="4024140E">
      <w:start w:val="1"/>
      <w:numFmt w:val="bullet"/>
      <w:lvlText w:val=""/>
      <w:lvlJc w:val="left"/>
      <w:pPr>
        <w:ind w:left="2880" w:hanging="360"/>
      </w:pPr>
      <w:rPr>
        <w:rFonts w:ascii="Symbol" w:hAnsi="Symbol" w:hint="default"/>
      </w:rPr>
    </w:lvl>
    <w:lvl w:ilvl="4" w:tplc="E24C10B6">
      <w:start w:val="1"/>
      <w:numFmt w:val="bullet"/>
      <w:lvlText w:val="o"/>
      <w:lvlJc w:val="left"/>
      <w:pPr>
        <w:ind w:left="3600" w:hanging="360"/>
      </w:pPr>
      <w:rPr>
        <w:rFonts w:ascii="Courier New" w:hAnsi="Courier New" w:hint="default"/>
      </w:rPr>
    </w:lvl>
    <w:lvl w:ilvl="5" w:tplc="8CD2ED10">
      <w:start w:val="1"/>
      <w:numFmt w:val="bullet"/>
      <w:lvlText w:val=""/>
      <w:lvlJc w:val="left"/>
      <w:pPr>
        <w:ind w:left="4320" w:hanging="360"/>
      </w:pPr>
      <w:rPr>
        <w:rFonts w:ascii="Wingdings" w:hAnsi="Wingdings" w:hint="default"/>
      </w:rPr>
    </w:lvl>
    <w:lvl w:ilvl="6" w:tplc="329021B6">
      <w:start w:val="1"/>
      <w:numFmt w:val="bullet"/>
      <w:lvlText w:val=""/>
      <w:lvlJc w:val="left"/>
      <w:pPr>
        <w:ind w:left="5040" w:hanging="360"/>
      </w:pPr>
      <w:rPr>
        <w:rFonts w:ascii="Symbol" w:hAnsi="Symbol" w:hint="default"/>
      </w:rPr>
    </w:lvl>
    <w:lvl w:ilvl="7" w:tplc="ABF6778C">
      <w:start w:val="1"/>
      <w:numFmt w:val="bullet"/>
      <w:lvlText w:val="o"/>
      <w:lvlJc w:val="left"/>
      <w:pPr>
        <w:ind w:left="5760" w:hanging="360"/>
      </w:pPr>
      <w:rPr>
        <w:rFonts w:ascii="Courier New" w:hAnsi="Courier New" w:hint="default"/>
      </w:rPr>
    </w:lvl>
    <w:lvl w:ilvl="8" w:tplc="BFE8A816">
      <w:start w:val="1"/>
      <w:numFmt w:val="bullet"/>
      <w:lvlText w:val=""/>
      <w:lvlJc w:val="left"/>
      <w:pPr>
        <w:ind w:left="6480" w:hanging="360"/>
      </w:pPr>
      <w:rPr>
        <w:rFonts w:ascii="Wingdings" w:hAnsi="Wingdings" w:hint="default"/>
      </w:rPr>
    </w:lvl>
  </w:abstractNum>
  <w:abstractNum w:abstractNumId="103" w15:restartNumberingAfterBreak="0">
    <w:nsid w:val="5712163F"/>
    <w:multiLevelType w:val="hybridMultilevel"/>
    <w:tmpl w:val="FFFFFFFF"/>
    <w:lvl w:ilvl="0" w:tplc="140C920E">
      <w:start w:val="351"/>
      <w:numFmt w:val="decimal"/>
      <w:lvlText w:val="%1."/>
      <w:lvlJc w:val="left"/>
      <w:pPr>
        <w:ind w:left="720" w:hanging="360"/>
      </w:pPr>
    </w:lvl>
    <w:lvl w:ilvl="1" w:tplc="B8309576">
      <w:start w:val="1"/>
      <w:numFmt w:val="lowerLetter"/>
      <w:lvlText w:val="%2."/>
      <w:lvlJc w:val="left"/>
      <w:pPr>
        <w:ind w:left="1440" w:hanging="360"/>
      </w:pPr>
    </w:lvl>
    <w:lvl w:ilvl="2" w:tplc="5896C5F6">
      <w:start w:val="1"/>
      <w:numFmt w:val="lowerRoman"/>
      <w:lvlText w:val="%3."/>
      <w:lvlJc w:val="right"/>
      <w:pPr>
        <w:ind w:left="2160" w:hanging="180"/>
      </w:pPr>
    </w:lvl>
    <w:lvl w:ilvl="3" w:tplc="E1F870A8">
      <w:start w:val="1"/>
      <w:numFmt w:val="decimal"/>
      <w:lvlText w:val="%4."/>
      <w:lvlJc w:val="left"/>
      <w:pPr>
        <w:ind w:left="2880" w:hanging="360"/>
      </w:pPr>
    </w:lvl>
    <w:lvl w:ilvl="4" w:tplc="48D81A54">
      <w:start w:val="1"/>
      <w:numFmt w:val="lowerLetter"/>
      <w:lvlText w:val="%5."/>
      <w:lvlJc w:val="left"/>
      <w:pPr>
        <w:ind w:left="3600" w:hanging="360"/>
      </w:pPr>
    </w:lvl>
    <w:lvl w:ilvl="5" w:tplc="7AE882FC">
      <w:start w:val="1"/>
      <w:numFmt w:val="lowerRoman"/>
      <w:lvlText w:val="%6."/>
      <w:lvlJc w:val="right"/>
      <w:pPr>
        <w:ind w:left="4320" w:hanging="180"/>
      </w:pPr>
    </w:lvl>
    <w:lvl w:ilvl="6" w:tplc="8A3C80C2">
      <w:start w:val="1"/>
      <w:numFmt w:val="decimal"/>
      <w:lvlText w:val="%7."/>
      <w:lvlJc w:val="left"/>
      <w:pPr>
        <w:ind w:left="5040" w:hanging="360"/>
      </w:pPr>
    </w:lvl>
    <w:lvl w:ilvl="7" w:tplc="373EC396">
      <w:start w:val="1"/>
      <w:numFmt w:val="lowerLetter"/>
      <w:lvlText w:val="%8."/>
      <w:lvlJc w:val="left"/>
      <w:pPr>
        <w:ind w:left="5760" w:hanging="360"/>
      </w:pPr>
    </w:lvl>
    <w:lvl w:ilvl="8" w:tplc="D5DE2EEC">
      <w:start w:val="1"/>
      <w:numFmt w:val="lowerRoman"/>
      <w:lvlText w:val="%9."/>
      <w:lvlJc w:val="right"/>
      <w:pPr>
        <w:ind w:left="6480" w:hanging="180"/>
      </w:pPr>
    </w:lvl>
  </w:abstractNum>
  <w:abstractNum w:abstractNumId="104" w15:restartNumberingAfterBreak="0">
    <w:nsid w:val="586B9EE3"/>
    <w:multiLevelType w:val="hybridMultilevel"/>
    <w:tmpl w:val="FFFFFFFF"/>
    <w:lvl w:ilvl="0" w:tplc="BAE207DA">
      <w:start w:val="348"/>
      <w:numFmt w:val="decimal"/>
      <w:lvlText w:val="%1."/>
      <w:lvlJc w:val="left"/>
      <w:pPr>
        <w:ind w:left="720" w:hanging="360"/>
      </w:pPr>
    </w:lvl>
    <w:lvl w:ilvl="1" w:tplc="A0AEB3A4">
      <w:start w:val="1"/>
      <w:numFmt w:val="lowerLetter"/>
      <w:lvlText w:val="%2."/>
      <w:lvlJc w:val="left"/>
      <w:pPr>
        <w:ind w:left="1440" w:hanging="360"/>
      </w:pPr>
    </w:lvl>
    <w:lvl w:ilvl="2" w:tplc="4512166C">
      <w:start w:val="1"/>
      <w:numFmt w:val="lowerRoman"/>
      <w:lvlText w:val="%3."/>
      <w:lvlJc w:val="right"/>
      <w:pPr>
        <w:ind w:left="2160" w:hanging="180"/>
      </w:pPr>
    </w:lvl>
    <w:lvl w:ilvl="3" w:tplc="739CA51C">
      <w:start w:val="1"/>
      <w:numFmt w:val="decimal"/>
      <w:lvlText w:val="%4."/>
      <w:lvlJc w:val="left"/>
      <w:pPr>
        <w:ind w:left="2880" w:hanging="360"/>
      </w:pPr>
    </w:lvl>
    <w:lvl w:ilvl="4" w:tplc="D6AE8BEA">
      <w:start w:val="1"/>
      <w:numFmt w:val="lowerLetter"/>
      <w:lvlText w:val="%5."/>
      <w:lvlJc w:val="left"/>
      <w:pPr>
        <w:ind w:left="3600" w:hanging="360"/>
      </w:pPr>
    </w:lvl>
    <w:lvl w:ilvl="5" w:tplc="F274D290">
      <w:start w:val="1"/>
      <w:numFmt w:val="lowerRoman"/>
      <w:lvlText w:val="%6."/>
      <w:lvlJc w:val="right"/>
      <w:pPr>
        <w:ind w:left="4320" w:hanging="180"/>
      </w:pPr>
    </w:lvl>
    <w:lvl w:ilvl="6" w:tplc="78A4C382">
      <w:start w:val="1"/>
      <w:numFmt w:val="decimal"/>
      <w:lvlText w:val="%7."/>
      <w:lvlJc w:val="left"/>
      <w:pPr>
        <w:ind w:left="5040" w:hanging="360"/>
      </w:pPr>
    </w:lvl>
    <w:lvl w:ilvl="7" w:tplc="0478CE7E">
      <w:start w:val="1"/>
      <w:numFmt w:val="lowerLetter"/>
      <w:lvlText w:val="%8."/>
      <w:lvlJc w:val="left"/>
      <w:pPr>
        <w:ind w:left="5760" w:hanging="360"/>
      </w:pPr>
    </w:lvl>
    <w:lvl w:ilvl="8" w:tplc="57B4EDC0">
      <w:start w:val="1"/>
      <w:numFmt w:val="lowerRoman"/>
      <w:lvlText w:val="%9."/>
      <w:lvlJc w:val="right"/>
      <w:pPr>
        <w:ind w:left="6480" w:hanging="180"/>
      </w:pPr>
    </w:lvl>
  </w:abstractNum>
  <w:abstractNum w:abstractNumId="10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6" w15:restartNumberingAfterBreak="0">
    <w:nsid w:val="5985CA5B"/>
    <w:multiLevelType w:val="hybridMultilevel"/>
    <w:tmpl w:val="FFFFFFFF"/>
    <w:lvl w:ilvl="0" w:tplc="17883B64">
      <w:start w:val="349"/>
      <w:numFmt w:val="decimal"/>
      <w:lvlText w:val="%1."/>
      <w:lvlJc w:val="left"/>
      <w:pPr>
        <w:ind w:left="720" w:hanging="360"/>
      </w:pPr>
    </w:lvl>
    <w:lvl w:ilvl="1" w:tplc="C8AC24AE">
      <w:start w:val="1"/>
      <w:numFmt w:val="lowerLetter"/>
      <w:lvlText w:val="%2."/>
      <w:lvlJc w:val="left"/>
      <w:pPr>
        <w:ind w:left="1440" w:hanging="360"/>
      </w:pPr>
    </w:lvl>
    <w:lvl w:ilvl="2" w:tplc="7E700D8C">
      <w:start w:val="1"/>
      <w:numFmt w:val="lowerRoman"/>
      <w:lvlText w:val="%3."/>
      <w:lvlJc w:val="right"/>
      <w:pPr>
        <w:ind w:left="2160" w:hanging="180"/>
      </w:pPr>
    </w:lvl>
    <w:lvl w:ilvl="3" w:tplc="2D8A9552">
      <w:start w:val="1"/>
      <w:numFmt w:val="decimal"/>
      <w:lvlText w:val="%4."/>
      <w:lvlJc w:val="left"/>
      <w:pPr>
        <w:ind w:left="2880" w:hanging="360"/>
      </w:pPr>
    </w:lvl>
    <w:lvl w:ilvl="4" w:tplc="D2824054">
      <w:start w:val="1"/>
      <w:numFmt w:val="lowerLetter"/>
      <w:lvlText w:val="%5."/>
      <w:lvlJc w:val="left"/>
      <w:pPr>
        <w:ind w:left="3600" w:hanging="360"/>
      </w:pPr>
    </w:lvl>
    <w:lvl w:ilvl="5" w:tplc="50D8E4CE">
      <w:start w:val="1"/>
      <w:numFmt w:val="lowerRoman"/>
      <w:lvlText w:val="%6."/>
      <w:lvlJc w:val="right"/>
      <w:pPr>
        <w:ind w:left="4320" w:hanging="180"/>
      </w:pPr>
    </w:lvl>
    <w:lvl w:ilvl="6" w:tplc="565098F8">
      <w:start w:val="1"/>
      <w:numFmt w:val="decimal"/>
      <w:lvlText w:val="%7."/>
      <w:lvlJc w:val="left"/>
      <w:pPr>
        <w:ind w:left="5040" w:hanging="360"/>
      </w:pPr>
    </w:lvl>
    <w:lvl w:ilvl="7" w:tplc="DDE4FE38">
      <w:start w:val="1"/>
      <w:numFmt w:val="lowerLetter"/>
      <w:lvlText w:val="%8."/>
      <w:lvlJc w:val="left"/>
      <w:pPr>
        <w:ind w:left="5760" w:hanging="360"/>
      </w:pPr>
    </w:lvl>
    <w:lvl w:ilvl="8" w:tplc="65BC4186">
      <w:start w:val="1"/>
      <w:numFmt w:val="lowerRoman"/>
      <w:lvlText w:val="%9."/>
      <w:lvlJc w:val="right"/>
      <w:pPr>
        <w:ind w:left="6480" w:hanging="180"/>
      </w:pPr>
    </w:lvl>
  </w:abstractNum>
  <w:abstractNum w:abstractNumId="107" w15:restartNumberingAfterBreak="0">
    <w:nsid w:val="5AA36175"/>
    <w:multiLevelType w:val="hybridMultilevel"/>
    <w:tmpl w:val="12AEE5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5AAB1CEE"/>
    <w:multiLevelType w:val="hybridMultilevel"/>
    <w:tmpl w:val="FEB2ACD4"/>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5BCC8655"/>
    <w:multiLevelType w:val="hybridMultilevel"/>
    <w:tmpl w:val="FFFFFFFF"/>
    <w:lvl w:ilvl="0" w:tplc="565C616A">
      <w:start w:val="354"/>
      <w:numFmt w:val="decimal"/>
      <w:lvlText w:val="%1."/>
      <w:lvlJc w:val="left"/>
      <w:pPr>
        <w:ind w:left="720" w:hanging="360"/>
      </w:pPr>
    </w:lvl>
    <w:lvl w:ilvl="1" w:tplc="7FDC8F88">
      <w:start w:val="1"/>
      <w:numFmt w:val="lowerLetter"/>
      <w:lvlText w:val="%2."/>
      <w:lvlJc w:val="left"/>
      <w:pPr>
        <w:ind w:left="1440" w:hanging="360"/>
      </w:pPr>
    </w:lvl>
    <w:lvl w:ilvl="2" w:tplc="FF6A2880">
      <w:start w:val="1"/>
      <w:numFmt w:val="lowerRoman"/>
      <w:lvlText w:val="%3."/>
      <w:lvlJc w:val="right"/>
      <w:pPr>
        <w:ind w:left="2160" w:hanging="180"/>
      </w:pPr>
    </w:lvl>
    <w:lvl w:ilvl="3" w:tplc="1C1E0712">
      <w:start w:val="1"/>
      <w:numFmt w:val="decimal"/>
      <w:lvlText w:val="%4."/>
      <w:lvlJc w:val="left"/>
      <w:pPr>
        <w:ind w:left="2880" w:hanging="360"/>
      </w:pPr>
    </w:lvl>
    <w:lvl w:ilvl="4" w:tplc="870A0F76">
      <w:start w:val="1"/>
      <w:numFmt w:val="lowerLetter"/>
      <w:lvlText w:val="%5."/>
      <w:lvlJc w:val="left"/>
      <w:pPr>
        <w:ind w:left="3600" w:hanging="360"/>
      </w:pPr>
    </w:lvl>
    <w:lvl w:ilvl="5" w:tplc="A07EAB10">
      <w:start w:val="1"/>
      <w:numFmt w:val="lowerRoman"/>
      <w:lvlText w:val="%6."/>
      <w:lvlJc w:val="right"/>
      <w:pPr>
        <w:ind w:left="4320" w:hanging="180"/>
      </w:pPr>
    </w:lvl>
    <w:lvl w:ilvl="6" w:tplc="0FD8414A">
      <w:start w:val="1"/>
      <w:numFmt w:val="decimal"/>
      <w:lvlText w:val="%7."/>
      <w:lvlJc w:val="left"/>
      <w:pPr>
        <w:ind w:left="5040" w:hanging="360"/>
      </w:pPr>
    </w:lvl>
    <w:lvl w:ilvl="7" w:tplc="FEA478C2">
      <w:start w:val="1"/>
      <w:numFmt w:val="lowerLetter"/>
      <w:lvlText w:val="%8."/>
      <w:lvlJc w:val="left"/>
      <w:pPr>
        <w:ind w:left="5760" w:hanging="360"/>
      </w:pPr>
    </w:lvl>
    <w:lvl w:ilvl="8" w:tplc="179E5A5E">
      <w:start w:val="1"/>
      <w:numFmt w:val="lowerRoman"/>
      <w:lvlText w:val="%9."/>
      <w:lvlJc w:val="right"/>
      <w:pPr>
        <w:ind w:left="6480" w:hanging="180"/>
      </w:pPr>
    </w:lvl>
  </w:abstractNum>
  <w:abstractNum w:abstractNumId="110" w15:restartNumberingAfterBreak="0">
    <w:nsid w:val="5CC9582F"/>
    <w:multiLevelType w:val="hybridMultilevel"/>
    <w:tmpl w:val="79F42814"/>
    <w:lvl w:ilvl="0" w:tplc="3E162C9C">
      <w:start w:val="61"/>
      <w:numFmt w:val="decimal"/>
      <w:pStyle w:val="Numbered"/>
      <w:lvlText w:val="%1."/>
      <w:lvlJc w:val="left"/>
      <w:pPr>
        <w:ind w:left="57" w:hanging="57"/>
      </w:pPr>
      <w:rPr>
        <w:rFonts w:hint="default"/>
        <w:i w:val="0"/>
        <w:color w:val="auto"/>
        <w:vertAlign w:val="baseline"/>
      </w:rPr>
    </w:lvl>
    <w:lvl w:ilvl="1" w:tplc="14090019">
      <w:start w:val="1"/>
      <w:numFmt w:val="lowerLetter"/>
      <w:lvlText w:val="%2."/>
      <w:lvlJc w:val="left"/>
      <w:pPr>
        <w:ind w:left="1582" w:hanging="360"/>
      </w:pPr>
    </w:lvl>
    <w:lvl w:ilvl="2" w:tplc="1409001B">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11" w15:restartNumberingAfterBreak="0">
    <w:nsid w:val="5D863527"/>
    <w:multiLevelType w:val="hybridMultilevel"/>
    <w:tmpl w:val="8B967C6E"/>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2" w15:restartNumberingAfterBreak="0">
    <w:nsid w:val="5E286D66"/>
    <w:multiLevelType w:val="hybridMultilevel"/>
    <w:tmpl w:val="FFFFFFFF"/>
    <w:lvl w:ilvl="0" w:tplc="E8127B88">
      <w:start w:val="356"/>
      <w:numFmt w:val="decimal"/>
      <w:lvlText w:val="%1."/>
      <w:lvlJc w:val="left"/>
      <w:pPr>
        <w:ind w:left="720" w:hanging="360"/>
      </w:pPr>
    </w:lvl>
    <w:lvl w:ilvl="1" w:tplc="B82CEC48">
      <w:start w:val="1"/>
      <w:numFmt w:val="lowerLetter"/>
      <w:lvlText w:val="%2."/>
      <w:lvlJc w:val="left"/>
      <w:pPr>
        <w:ind w:left="1440" w:hanging="360"/>
      </w:pPr>
    </w:lvl>
    <w:lvl w:ilvl="2" w:tplc="1E4A69CE">
      <w:start w:val="1"/>
      <w:numFmt w:val="lowerRoman"/>
      <w:lvlText w:val="%3."/>
      <w:lvlJc w:val="right"/>
      <w:pPr>
        <w:ind w:left="2160" w:hanging="180"/>
      </w:pPr>
    </w:lvl>
    <w:lvl w:ilvl="3" w:tplc="8D9AF01A">
      <w:start w:val="1"/>
      <w:numFmt w:val="decimal"/>
      <w:lvlText w:val="%4."/>
      <w:lvlJc w:val="left"/>
      <w:pPr>
        <w:ind w:left="2880" w:hanging="360"/>
      </w:pPr>
    </w:lvl>
    <w:lvl w:ilvl="4" w:tplc="9FFC1FFA">
      <w:start w:val="1"/>
      <w:numFmt w:val="lowerLetter"/>
      <w:lvlText w:val="%5."/>
      <w:lvlJc w:val="left"/>
      <w:pPr>
        <w:ind w:left="3600" w:hanging="360"/>
      </w:pPr>
    </w:lvl>
    <w:lvl w:ilvl="5" w:tplc="FEF47D86">
      <w:start w:val="1"/>
      <w:numFmt w:val="lowerRoman"/>
      <w:lvlText w:val="%6."/>
      <w:lvlJc w:val="right"/>
      <w:pPr>
        <w:ind w:left="4320" w:hanging="180"/>
      </w:pPr>
    </w:lvl>
    <w:lvl w:ilvl="6" w:tplc="1E16B510">
      <w:start w:val="1"/>
      <w:numFmt w:val="decimal"/>
      <w:lvlText w:val="%7."/>
      <w:lvlJc w:val="left"/>
      <w:pPr>
        <w:ind w:left="5040" w:hanging="360"/>
      </w:pPr>
    </w:lvl>
    <w:lvl w:ilvl="7" w:tplc="AAA2773C">
      <w:start w:val="1"/>
      <w:numFmt w:val="lowerLetter"/>
      <w:lvlText w:val="%8."/>
      <w:lvlJc w:val="left"/>
      <w:pPr>
        <w:ind w:left="5760" w:hanging="360"/>
      </w:pPr>
    </w:lvl>
    <w:lvl w:ilvl="8" w:tplc="A0661660">
      <w:start w:val="1"/>
      <w:numFmt w:val="lowerRoman"/>
      <w:lvlText w:val="%9."/>
      <w:lvlJc w:val="right"/>
      <w:pPr>
        <w:ind w:left="6480" w:hanging="180"/>
      </w:pPr>
    </w:lvl>
  </w:abstractNum>
  <w:abstractNum w:abstractNumId="113"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4" w15:restartNumberingAfterBreak="0">
    <w:nsid w:val="5F733A49"/>
    <w:multiLevelType w:val="hybridMultilevel"/>
    <w:tmpl w:val="FFFFFFFF"/>
    <w:lvl w:ilvl="0" w:tplc="95148636">
      <w:start w:val="348"/>
      <w:numFmt w:val="decimal"/>
      <w:lvlText w:val="%1."/>
      <w:lvlJc w:val="left"/>
      <w:pPr>
        <w:ind w:left="720" w:hanging="360"/>
      </w:pPr>
    </w:lvl>
    <w:lvl w:ilvl="1" w:tplc="6360DF6C">
      <w:start w:val="1"/>
      <w:numFmt w:val="lowerLetter"/>
      <w:lvlText w:val="%2."/>
      <w:lvlJc w:val="left"/>
      <w:pPr>
        <w:ind w:left="1440" w:hanging="360"/>
      </w:pPr>
    </w:lvl>
    <w:lvl w:ilvl="2" w:tplc="EA58DE58">
      <w:start w:val="1"/>
      <w:numFmt w:val="lowerRoman"/>
      <w:lvlText w:val="%3."/>
      <w:lvlJc w:val="right"/>
      <w:pPr>
        <w:ind w:left="2160" w:hanging="180"/>
      </w:pPr>
    </w:lvl>
    <w:lvl w:ilvl="3" w:tplc="955EA186">
      <w:start w:val="1"/>
      <w:numFmt w:val="decimal"/>
      <w:lvlText w:val="%4."/>
      <w:lvlJc w:val="left"/>
      <w:pPr>
        <w:ind w:left="2880" w:hanging="360"/>
      </w:pPr>
    </w:lvl>
    <w:lvl w:ilvl="4" w:tplc="2B2A5952">
      <w:start w:val="1"/>
      <w:numFmt w:val="lowerLetter"/>
      <w:lvlText w:val="%5."/>
      <w:lvlJc w:val="left"/>
      <w:pPr>
        <w:ind w:left="3600" w:hanging="360"/>
      </w:pPr>
    </w:lvl>
    <w:lvl w:ilvl="5" w:tplc="00A03B84">
      <w:start w:val="1"/>
      <w:numFmt w:val="lowerRoman"/>
      <w:lvlText w:val="%6."/>
      <w:lvlJc w:val="right"/>
      <w:pPr>
        <w:ind w:left="4320" w:hanging="180"/>
      </w:pPr>
    </w:lvl>
    <w:lvl w:ilvl="6" w:tplc="9C027B08">
      <w:start w:val="1"/>
      <w:numFmt w:val="decimal"/>
      <w:lvlText w:val="%7."/>
      <w:lvlJc w:val="left"/>
      <w:pPr>
        <w:ind w:left="5040" w:hanging="360"/>
      </w:pPr>
    </w:lvl>
    <w:lvl w:ilvl="7" w:tplc="590EF410">
      <w:start w:val="1"/>
      <w:numFmt w:val="lowerLetter"/>
      <w:lvlText w:val="%8."/>
      <w:lvlJc w:val="left"/>
      <w:pPr>
        <w:ind w:left="5760" w:hanging="360"/>
      </w:pPr>
    </w:lvl>
    <w:lvl w:ilvl="8" w:tplc="90C442BC">
      <w:start w:val="1"/>
      <w:numFmt w:val="lowerRoman"/>
      <w:lvlText w:val="%9."/>
      <w:lvlJc w:val="right"/>
      <w:pPr>
        <w:ind w:left="6480" w:hanging="180"/>
      </w:pPr>
    </w:lvl>
  </w:abstractNum>
  <w:abstractNum w:abstractNumId="115"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6" w15:restartNumberingAfterBreak="0">
    <w:nsid w:val="60B3AB24"/>
    <w:multiLevelType w:val="hybridMultilevel"/>
    <w:tmpl w:val="FFFFFFFF"/>
    <w:lvl w:ilvl="0" w:tplc="493607F0">
      <w:start w:val="1"/>
      <w:numFmt w:val="bullet"/>
      <w:lvlText w:val="·"/>
      <w:lvlJc w:val="left"/>
      <w:pPr>
        <w:ind w:left="720" w:hanging="360"/>
      </w:pPr>
      <w:rPr>
        <w:rFonts w:ascii="Symbol" w:hAnsi="Symbol" w:hint="default"/>
      </w:rPr>
    </w:lvl>
    <w:lvl w:ilvl="1" w:tplc="D0E473AC">
      <w:start w:val="1"/>
      <w:numFmt w:val="bullet"/>
      <w:lvlText w:val="o"/>
      <w:lvlJc w:val="left"/>
      <w:pPr>
        <w:ind w:left="1440" w:hanging="360"/>
      </w:pPr>
      <w:rPr>
        <w:rFonts w:ascii="Courier New" w:hAnsi="Courier New" w:hint="default"/>
      </w:rPr>
    </w:lvl>
    <w:lvl w:ilvl="2" w:tplc="FE12AC7E">
      <w:start w:val="1"/>
      <w:numFmt w:val="bullet"/>
      <w:lvlText w:val=""/>
      <w:lvlJc w:val="left"/>
      <w:pPr>
        <w:ind w:left="2160" w:hanging="360"/>
      </w:pPr>
      <w:rPr>
        <w:rFonts w:ascii="Wingdings" w:hAnsi="Wingdings" w:hint="default"/>
      </w:rPr>
    </w:lvl>
    <w:lvl w:ilvl="3" w:tplc="DF1CDD60">
      <w:start w:val="1"/>
      <w:numFmt w:val="bullet"/>
      <w:lvlText w:val=""/>
      <w:lvlJc w:val="left"/>
      <w:pPr>
        <w:ind w:left="2880" w:hanging="360"/>
      </w:pPr>
      <w:rPr>
        <w:rFonts w:ascii="Symbol" w:hAnsi="Symbol" w:hint="default"/>
      </w:rPr>
    </w:lvl>
    <w:lvl w:ilvl="4" w:tplc="3EE40C44">
      <w:start w:val="1"/>
      <w:numFmt w:val="bullet"/>
      <w:lvlText w:val="o"/>
      <w:lvlJc w:val="left"/>
      <w:pPr>
        <w:ind w:left="3600" w:hanging="360"/>
      </w:pPr>
      <w:rPr>
        <w:rFonts w:ascii="Courier New" w:hAnsi="Courier New" w:hint="default"/>
      </w:rPr>
    </w:lvl>
    <w:lvl w:ilvl="5" w:tplc="E9FE6DC2">
      <w:start w:val="1"/>
      <w:numFmt w:val="bullet"/>
      <w:lvlText w:val=""/>
      <w:lvlJc w:val="left"/>
      <w:pPr>
        <w:ind w:left="4320" w:hanging="360"/>
      </w:pPr>
      <w:rPr>
        <w:rFonts w:ascii="Wingdings" w:hAnsi="Wingdings" w:hint="default"/>
      </w:rPr>
    </w:lvl>
    <w:lvl w:ilvl="6" w:tplc="3E941A98">
      <w:start w:val="1"/>
      <w:numFmt w:val="bullet"/>
      <w:lvlText w:val=""/>
      <w:lvlJc w:val="left"/>
      <w:pPr>
        <w:ind w:left="5040" w:hanging="360"/>
      </w:pPr>
      <w:rPr>
        <w:rFonts w:ascii="Symbol" w:hAnsi="Symbol" w:hint="default"/>
      </w:rPr>
    </w:lvl>
    <w:lvl w:ilvl="7" w:tplc="BD725062">
      <w:start w:val="1"/>
      <w:numFmt w:val="bullet"/>
      <w:lvlText w:val="o"/>
      <w:lvlJc w:val="left"/>
      <w:pPr>
        <w:ind w:left="5760" w:hanging="360"/>
      </w:pPr>
      <w:rPr>
        <w:rFonts w:ascii="Courier New" w:hAnsi="Courier New" w:hint="default"/>
      </w:rPr>
    </w:lvl>
    <w:lvl w:ilvl="8" w:tplc="498E45A0">
      <w:start w:val="1"/>
      <w:numFmt w:val="bullet"/>
      <w:lvlText w:val=""/>
      <w:lvlJc w:val="left"/>
      <w:pPr>
        <w:ind w:left="6480" w:hanging="360"/>
      </w:pPr>
      <w:rPr>
        <w:rFonts w:ascii="Wingdings" w:hAnsi="Wingdings" w:hint="default"/>
      </w:rPr>
    </w:lvl>
  </w:abstractNum>
  <w:abstractNum w:abstractNumId="117" w15:restartNumberingAfterBreak="0">
    <w:nsid w:val="61694DA6"/>
    <w:multiLevelType w:val="hybridMultilevel"/>
    <w:tmpl w:val="085E7D3E"/>
    <w:lvl w:ilvl="0" w:tplc="2BDCFEC6">
      <w:start w:val="1"/>
      <w:numFmt w:val="decimal"/>
      <w:pStyle w:val="Paranumbers"/>
      <w:lvlText w:val="%1."/>
      <w:lvlJc w:val="left"/>
      <w:pPr>
        <w:ind w:left="1777" w:hanging="360"/>
      </w:pPr>
      <w:rPr>
        <w:b/>
        <w:bCs/>
        <w:color w:val="BF4B0D" w:themeColor="accent6" w:themeShade="BF"/>
        <w:sz w:val="22"/>
        <w:szCs w:val="22"/>
        <w:vertAlign w:val="baseline"/>
      </w:rPr>
    </w:lvl>
    <w:lvl w:ilvl="1" w:tplc="14090001">
      <w:start w:val="1"/>
      <w:numFmt w:val="bullet"/>
      <w:lvlText w:val=""/>
      <w:lvlJc w:val="left"/>
      <w:pPr>
        <w:ind w:left="-3126" w:hanging="360"/>
      </w:pPr>
      <w:rPr>
        <w:rFonts w:ascii="Symbol" w:hAnsi="Symbol" w:hint="default"/>
      </w:rPr>
    </w:lvl>
    <w:lvl w:ilvl="2" w:tplc="1409001B">
      <w:start w:val="1"/>
      <w:numFmt w:val="lowerRoman"/>
      <w:lvlText w:val="%3."/>
      <w:lvlJc w:val="right"/>
      <w:pPr>
        <w:ind w:left="-2406" w:hanging="180"/>
      </w:pPr>
    </w:lvl>
    <w:lvl w:ilvl="3" w:tplc="1409000F" w:tentative="1">
      <w:start w:val="1"/>
      <w:numFmt w:val="decimal"/>
      <w:lvlText w:val="%4."/>
      <w:lvlJc w:val="left"/>
      <w:pPr>
        <w:ind w:left="-1686" w:hanging="360"/>
      </w:pPr>
    </w:lvl>
    <w:lvl w:ilvl="4" w:tplc="14090019" w:tentative="1">
      <w:start w:val="1"/>
      <w:numFmt w:val="lowerLetter"/>
      <w:lvlText w:val="%5."/>
      <w:lvlJc w:val="left"/>
      <w:pPr>
        <w:ind w:left="-966" w:hanging="360"/>
      </w:pPr>
    </w:lvl>
    <w:lvl w:ilvl="5" w:tplc="1409001B" w:tentative="1">
      <w:start w:val="1"/>
      <w:numFmt w:val="lowerRoman"/>
      <w:lvlText w:val="%6."/>
      <w:lvlJc w:val="right"/>
      <w:pPr>
        <w:ind w:left="-246" w:hanging="180"/>
      </w:pPr>
    </w:lvl>
    <w:lvl w:ilvl="6" w:tplc="1409000F" w:tentative="1">
      <w:start w:val="1"/>
      <w:numFmt w:val="decimal"/>
      <w:lvlText w:val="%7."/>
      <w:lvlJc w:val="left"/>
      <w:pPr>
        <w:ind w:left="474" w:hanging="360"/>
      </w:pPr>
    </w:lvl>
    <w:lvl w:ilvl="7" w:tplc="14090019">
      <w:start w:val="1"/>
      <w:numFmt w:val="lowerLetter"/>
      <w:lvlText w:val="%8."/>
      <w:lvlJc w:val="left"/>
      <w:pPr>
        <w:ind w:left="1194" w:hanging="360"/>
      </w:pPr>
    </w:lvl>
    <w:lvl w:ilvl="8" w:tplc="1409001B">
      <w:start w:val="1"/>
      <w:numFmt w:val="lowerRoman"/>
      <w:lvlText w:val="%9."/>
      <w:lvlJc w:val="right"/>
      <w:pPr>
        <w:ind w:left="1914" w:hanging="180"/>
      </w:pPr>
    </w:lvl>
  </w:abstractNum>
  <w:abstractNum w:abstractNumId="118" w15:restartNumberingAfterBreak="0">
    <w:nsid w:val="6180062B"/>
    <w:multiLevelType w:val="hybridMultilevel"/>
    <w:tmpl w:val="FFFFFFFF"/>
    <w:lvl w:ilvl="0" w:tplc="D0C6C14A">
      <w:start w:val="356"/>
      <w:numFmt w:val="decimal"/>
      <w:lvlText w:val="%1."/>
      <w:lvlJc w:val="left"/>
      <w:pPr>
        <w:ind w:left="720" w:hanging="360"/>
      </w:pPr>
    </w:lvl>
    <w:lvl w:ilvl="1" w:tplc="BFC44200">
      <w:start w:val="1"/>
      <w:numFmt w:val="lowerLetter"/>
      <w:lvlText w:val="%2."/>
      <w:lvlJc w:val="left"/>
      <w:pPr>
        <w:ind w:left="1440" w:hanging="360"/>
      </w:pPr>
    </w:lvl>
    <w:lvl w:ilvl="2" w:tplc="6214EFF2">
      <w:start w:val="1"/>
      <w:numFmt w:val="lowerRoman"/>
      <w:lvlText w:val="%3."/>
      <w:lvlJc w:val="right"/>
      <w:pPr>
        <w:ind w:left="2160" w:hanging="180"/>
      </w:pPr>
    </w:lvl>
    <w:lvl w:ilvl="3" w:tplc="C4E8A2A0">
      <w:start w:val="1"/>
      <w:numFmt w:val="decimal"/>
      <w:lvlText w:val="%4."/>
      <w:lvlJc w:val="left"/>
      <w:pPr>
        <w:ind w:left="2880" w:hanging="360"/>
      </w:pPr>
    </w:lvl>
    <w:lvl w:ilvl="4" w:tplc="7D3E582E">
      <w:start w:val="1"/>
      <w:numFmt w:val="lowerLetter"/>
      <w:lvlText w:val="%5."/>
      <w:lvlJc w:val="left"/>
      <w:pPr>
        <w:ind w:left="3600" w:hanging="360"/>
      </w:pPr>
    </w:lvl>
    <w:lvl w:ilvl="5" w:tplc="6ADC157A">
      <w:start w:val="1"/>
      <w:numFmt w:val="lowerRoman"/>
      <w:lvlText w:val="%6."/>
      <w:lvlJc w:val="right"/>
      <w:pPr>
        <w:ind w:left="4320" w:hanging="180"/>
      </w:pPr>
    </w:lvl>
    <w:lvl w:ilvl="6" w:tplc="31B669EA">
      <w:start w:val="1"/>
      <w:numFmt w:val="decimal"/>
      <w:lvlText w:val="%7."/>
      <w:lvlJc w:val="left"/>
      <w:pPr>
        <w:ind w:left="5040" w:hanging="360"/>
      </w:pPr>
    </w:lvl>
    <w:lvl w:ilvl="7" w:tplc="B4C6B454">
      <w:start w:val="1"/>
      <w:numFmt w:val="lowerLetter"/>
      <w:lvlText w:val="%8."/>
      <w:lvlJc w:val="left"/>
      <w:pPr>
        <w:ind w:left="5760" w:hanging="360"/>
      </w:pPr>
    </w:lvl>
    <w:lvl w:ilvl="8" w:tplc="7F30C392">
      <w:start w:val="1"/>
      <w:numFmt w:val="lowerRoman"/>
      <w:lvlText w:val="%9."/>
      <w:lvlJc w:val="right"/>
      <w:pPr>
        <w:ind w:left="6480" w:hanging="180"/>
      </w:pPr>
    </w:lvl>
  </w:abstractNum>
  <w:abstractNum w:abstractNumId="119" w15:restartNumberingAfterBreak="0">
    <w:nsid w:val="651B7832"/>
    <w:multiLevelType w:val="hybridMultilevel"/>
    <w:tmpl w:val="AE0EE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656AC55F"/>
    <w:multiLevelType w:val="hybridMultilevel"/>
    <w:tmpl w:val="FFFFFFFF"/>
    <w:lvl w:ilvl="0" w:tplc="9E26B5A4">
      <w:start w:val="1"/>
      <w:numFmt w:val="decimal"/>
      <w:lvlText w:val="%1."/>
      <w:lvlJc w:val="left"/>
      <w:pPr>
        <w:ind w:left="720" w:hanging="360"/>
      </w:pPr>
    </w:lvl>
    <w:lvl w:ilvl="1" w:tplc="CA12B7A6">
      <w:start w:val="1"/>
      <w:numFmt w:val="lowerLetter"/>
      <w:lvlText w:val="%2."/>
      <w:lvlJc w:val="left"/>
      <w:pPr>
        <w:ind w:left="1440" w:hanging="360"/>
      </w:pPr>
    </w:lvl>
    <w:lvl w:ilvl="2" w:tplc="E2B0341E">
      <w:start w:val="1"/>
      <w:numFmt w:val="lowerRoman"/>
      <w:lvlText w:val="%3."/>
      <w:lvlJc w:val="right"/>
      <w:pPr>
        <w:ind w:left="2160" w:hanging="180"/>
      </w:pPr>
    </w:lvl>
    <w:lvl w:ilvl="3" w:tplc="D368C8FC">
      <w:start w:val="1"/>
      <w:numFmt w:val="decimal"/>
      <w:lvlText w:val="%4."/>
      <w:lvlJc w:val="left"/>
      <w:pPr>
        <w:ind w:left="2880" w:hanging="360"/>
      </w:pPr>
    </w:lvl>
    <w:lvl w:ilvl="4" w:tplc="F8B6E772">
      <w:start w:val="1"/>
      <w:numFmt w:val="lowerLetter"/>
      <w:lvlText w:val="%5."/>
      <w:lvlJc w:val="left"/>
      <w:pPr>
        <w:ind w:left="3600" w:hanging="360"/>
      </w:pPr>
    </w:lvl>
    <w:lvl w:ilvl="5" w:tplc="83224448">
      <w:start w:val="1"/>
      <w:numFmt w:val="lowerRoman"/>
      <w:lvlText w:val="%6."/>
      <w:lvlJc w:val="right"/>
      <w:pPr>
        <w:ind w:left="4320" w:hanging="180"/>
      </w:pPr>
    </w:lvl>
    <w:lvl w:ilvl="6" w:tplc="0C0205C6">
      <w:start w:val="1"/>
      <w:numFmt w:val="decimal"/>
      <w:lvlText w:val="%7."/>
      <w:lvlJc w:val="left"/>
      <w:pPr>
        <w:ind w:left="5040" w:hanging="360"/>
      </w:pPr>
    </w:lvl>
    <w:lvl w:ilvl="7" w:tplc="FE62A4FE">
      <w:start w:val="1"/>
      <w:numFmt w:val="lowerLetter"/>
      <w:lvlText w:val="%8."/>
      <w:lvlJc w:val="left"/>
      <w:pPr>
        <w:ind w:left="5760" w:hanging="360"/>
      </w:pPr>
    </w:lvl>
    <w:lvl w:ilvl="8" w:tplc="29BEAE34">
      <w:start w:val="1"/>
      <w:numFmt w:val="lowerRoman"/>
      <w:lvlText w:val="%9."/>
      <w:lvlJc w:val="right"/>
      <w:pPr>
        <w:ind w:left="6480" w:hanging="180"/>
      </w:pPr>
    </w:lvl>
  </w:abstractNum>
  <w:abstractNum w:abstractNumId="121" w15:restartNumberingAfterBreak="0">
    <w:nsid w:val="65A228CA"/>
    <w:multiLevelType w:val="hybridMultilevel"/>
    <w:tmpl w:val="FFFFFFFF"/>
    <w:lvl w:ilvl="0" w:tplc="C680BAB2">
      <w:start w:val="349"/>
      <w:numFmt w:val="decimal"/>
      <w:lvlText w:val="%1."/>
      <w:lvlJc w:val="left"/>
      <w:pPr>
        <w:ind w:left="720" w:hanging="360"/>
      </w:pPr>
    </w:lvl>
    <w:lvl w:ilvl="1" w:tplc="DF6AA5DA">
      <w:start w:val="1"/>
      <w:numFmt w:val="lowerLetter"/>
      <w:lvlText w:val="%2."/>
      <w:lvlJc w:val="left"/>
      <w:pPr>
        <w:ind w:left="1440" w:hanging="360"/>
      </w:pPr>
    </w:lvl>
    <w:lvl w:ilvl="2" w:tplc="3740E394">
      <w:start w:val="1"/>
      <w:numFmt w:val="lowerRoman"/>
      <w:lvlText w:val="%3."/>
      <w:lvlJc w:val="right"/>
      <w:pPr>
        <w:ind w:left="2160" w:hanging="180"/>
      </w:pPr>
    </w:lvl>
    <w:lvl w:ilvl="3" w:tplc="5C6C2FAC">
      <w:start w:val="1"/>
      <w:numFmt w:val="decimal"/>
      <w:lvlText w:val="%4."/>
      <w:lvlJc w:val="left"/>
      <w:pPr>
        <w:ind w:left="2880" w:hanging="360"/>
      </w:pPr>
    </w:lvl>
    <w:lvl w:ilvl="4" w:tplc="60F4D7C2">
      <w:start w:val="1"/>
      <w:numFmt w:val="lowerLetter"/>
      <w:lvlText w:val="%5."/>
      <w:lvlJc w:val="left"/>
      <w:pPr>
        <w:ind w:left="3600" w:hanging="360"/>
      </w:pPr>
    </w:lvl>
    <w:lvl w:ilvl="5" w:tplc="BB56416C">
      <w:start w:val="1"/>
      <w:numFmt w:val="lowerRoman"/>
      <w:lvlText w:val="%6."/>
      <w:lvlJc w:val="right"/>
      <w:pPr>
        <w:ind w:left="4320" w:hanging="180"/>
      </w:pPr>
    </w:lvl>
    <w:lvl w:ilvl="6" w:tplc="4378B108">
      <w:start w:val="1"/>
      <w:numFmt w:val="decimal"/>
      <w:lvlText w:val="%7."/>
      <w:lvlJc w:val="left"/>
      <w:pPr>
        <w:ind w:left="5040" w:hanging="360"/>
      </w:pPr>
    </w:lvl>
    <w:lvl w:ilvl="7" w:tplc="12A4775E">
      <w:start w:val="1"/>
      <w:numFmt w:val="lowerLetter"/>
      <w:lvlText w:val="%8."/>
      <w:lvlJc w:val="left"/>
      <w:pPr>
        <w:ind w:left="5760" w:hanging="360"/>
      </w:pPr>
    </w:lvl>
    <w:lvl w:ilvl="8" w:tplc="B218DCBA">
      <w:start w:val="1"/>
      <w:numFmt w:val="lowerRoman"/>
      <w:lvlText w:val="%9."/>
      <w:lvlJc w:val="right"/>
      <w:pPr>
        <w:ind w:left="6480" w:hanging="180"/>
      </w:pPr>
    </w:lvl>
  </w:abstractNum>
  <w:abstractNum w:abstractNumId="122" w15:restartNumberingAfterBreak="0">
    <w:nsid w:val="65C92D62"/>
    <w:multiLevelType w:val="hybridMultilevel"/>
    <w:tmpl w:val="A8D4703E"/>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3"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124" w15:restartNumberingAfterBreak="0">
    <w:nsid w:val="67CF3E49"/>
    <w:multiLevelType w:val="multilevel"/>
    <w:tmpl w:val="A1CECEA0"/>
    <w:lvl w:ilvl="0">
      <w:start w:val="1"/>
      <w:numFmt w:val="decimal"/>
      <w:pStyle w:val="SNHeading1"/>
      <w:lvlText w:val="%1"/>
      <w:lvlJc w:val="left"/>
      <w:pPr>
        <w:tabs>
          <w:tab w:val="num" w:pos="851"/>
        </w:tabs>
        <w:ind w:left="851" w:hanging="851"/>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26" w15:restartNumberingAfterBreak="0">
    <w:nsid w:val="6BE62398"/>
    <w:multiLevelType w:val="hybridMultilevel"/>
    <w:tmpl w:val="10BC6794"/>
    <w:lvl w:ilvl="0" w:tplc="B13E04D2">
      <w:start w:val="345"/>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6CD3A5B8"/>
    <w:multiLevelType w:val="hybridMultilevel"/>
    <w:tmpl w:val="FFFFFFFF"/>
    <w:lvl w:ilvl="0" w:tplc="13E6CB30">
      <w:start w:val="348"/>
      <w:numFmt w:val="decimal"/>
      <w:lvlText w:val="%1."/>
      <w:lvlJc w:val="left"/>
      <w:pPr>
        <w:ind w:left="720" w:hanging="360"/>
      </w:pPr>
    </w:lvl>
    <w:lvl w:ilvl="1" w:tplc="6D025B86">
      <w:start w:val="1"/>
      <w:numFmt w:val="lowerLetter"/>
      <w:lvlText w:val="%2."/>
      <w:lvlJc w:val="left"/>
      <w:pPr>
        <w:ind w:left="1440" w:hanging="360"/>
      </w:pPr>
    </w:lvl>
    <w:lvl w:ilvl="2" w:tplc="8610762A">
      <w:start w:val="1"/>
      <w:numFmt w:val="lowerRoman"/>
      <w:lvlText w:val="%3."/>
      <w:lvlJc w:val="right"/>
      <w:pPr>
        <w:ind w:left="2160" w:hanging="180"/>
      </w:pPr>
    </w:lvl>
    <w:lvl w:ilvl="3" w:tplc="C3285E82">
      <w:start w:val="1"/>
      <w:numFmt w:val="decimal"/>
      <w:lvlText w:val="%4."/>
      <w:lvlJc w:val="left"/>
      <w:pPr>
        <w:ind w:left="2880" w:hanging="360"/>
      </w:pPr>
    </w:lvl>
    <w:lvl w:ilvl="4" w:tplc="37F054E0">
      <w:start w:val="1"/>
      <w:numFmt w:val="lowerLetter"/>
      <w:lvlText w:val="%5."/>
      <w:lvlJc w:val="left"/>
      <w:pPr>
        <w:ind w:left="3600" w:hanging="360"/>
      </w:pPr>
    </w:lvl>
    <w:lvl w:ilvl="5" w:tplc="9E14D4DA">
      <w:start w:val="1"/>
      <w:numFmt w:val="lowerRoman"/>
      <w:lvlText w:val="%6."/>
      <w:lvlJc w:val="right"/>
      <w:pPr>
        <w:ind w:left="4320" w:hanging="180"/>
      </w:pPr>
    </w:lvl>
    <w:lvl w:ilvl="6" w:tplc="44E68ED0">
      <w:start w:val="1"/>
      <w:numFmt w:val="decimal"/>
      <w:lvlText w:val="%7."/>
      <w:lvlJc w:val="left"/>
      <w:pPr>
        <w:ind w:left="5040" w:hanging="360"/>
      </w:pPr>
    </w:lvl>
    <w:lvl w:ilvl="7" w:tplc="550C30E2">
      <w:start w:val="1"/>
      <w:numFmt w:val="lowerLetter"/>
      <w:lvlText w:val="%8."/>
      <w:lvlJc w:val="left"/>
      <w:pPr>
        <w:ind w:left="5760" w:hanging="360"/>
      </w:pPr>
    </w:lvl>
    <w:lvl w:ilvl="8" w:tplc="A4BE7DFC">
      <w:start w:val="1"/>
      <w:numFmt w:val="lowerRoman"/>
      <w:lvlText w:val="%9."/>
      <w:lvlJc w:val="right"/>
      <w:pPr>
        <w:ind w:left="6480" w:hanging="180"/>
      </w:pPr>
    </w:lvl>
  </w:abstractNum>
  <w:abstractNum w:abstractNumId="128" w15:restartNumberingAfterBreak="0">
    <w:nsid w:val="6D73935A"/>
    <w:multiLevelType w:val="hybridMultilevel"/>
    <w:tmpl w:val="FFFFFFFF"/>
    <w:lvl w:ilvl="0" w:tplc="7C20745E">
      <w:start w:val="354"/>
      <w:numFmt w:val="decimal"/>
      <w:lvlText w:val="%1."/>
      <w:lvlJc w:val="left"/>
      <w:pPr>
        <w:ind w:left="720" w:hanging="360"/>
      </w:pPr>
    </w:lvl>
    <w:lvl w:ilvl="1" w:tplc="D428AADA">
      <w:start w:val="1"/>
      <w:numFmt w:val="lowerLetter"/>
      <w:lvlText w:val="%2."/>
      <w:lvlJc w:val="left"/>
      <w:pPr>
        <w:ind w:left="1440" w:hanging="360"/>
      </w:pPr>
    </w:lvl>
    <w:lvl w:ilvl="2" w:tplc="E79836F2">
      <w:start w:val="1"/>
      <w:numFmt w:val="lowerRoman"/>
      <w:lvlText w:val="%3."/>
      <w:lvlJc w:val="right"/>
      <w:pPr>
        <w:ind w:left="2160" w:hanging="180"/>
      </w:pPr>
    </w:lvl>
    <w:lvl w:ilvl="3" w:tplc="56C64908">
      <w:start w:val="1"/>
      <w:numFmt w:val="decimal"/>
      <w:lvlText w:val="%4."/>
      <w:lvlJc w:val="left"/>
      <w:pPr>
        <w:ind w:left="2880" w:hanging="360"/>
      </w:pPr>
    </w:lvl>
    <w:lvl w:ilvl="4" w:tplc="3C4468CE">
      <w:start w:val="1"/>
      <w:numFmt w:val="lowerLetter"/>
      <w:lvlText w:val="%5."/>
      <w:lvlJc w:val="left"/>
      <w:pPr>
        <w:ind w:left="3600" w:hanging="360"/>
      </w:pPr>
    </w:lvl>
    <w:lvl w:ilvl="5" w:tplc="318E5E3A">
      <w:start w:val="1"/>
      <w:numFmt w:val="lowerRoman"/>
      <w:lvlText w:val="%6."/>
      <w:lvlJc w:val="right"/>
      <w:pPr>
        <w:ind w:left="4320" w:hanging="180"/>
      </w:pPr>
    </w:lvl>
    <w:lvl w:ilvl="6" w:tplc="406AAE96">
      <w:start w:val="1"/>
      <w:numFmt w:val="decimal"/>
      <w:lvlText w:val="%7."/>
      <w:lvlJc w:val="left"/>
      <w:pPr>
        <w:ind w:left="5040" w:hanging="360"/>
      </w:pPr>
    </w:lvl>
    <w:lvl w:ilvl="7" w:tplc="501CB48C">
      <w:start w:val="1"/>
      <w:numFmt w:val="lowerLetter"/>
      <w:lvlText w:val="%8."/>
      <w:lvlJc w:val="left"/>
      <w:pPr>
        <w:ind w:left="5760" w:hanging="360"/>
      </w:pPr>
    </w:lvl>
    <w:lvl w:ilvl="8" w:tplc="F21A6C3E">
      <w:start w:val="1"/>
      <w:numFmt w:val="lowerRoman"/>
      <w:lvlText w:val="%9."/>
      <w:lvlJc w:val="right"/>
      <w:pPr>
        <w:ind w:left="6480" w:hanging="180"/>
      </w:pPr>
    </w:lvl>
  </w:abstractNum>
  <w:abstractNum w:abstractNumId="129"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30" w15:restartNumberingAfterBreak="0">
    <w:nsid w:val="6DFC2906"/>
    <w:multiLevelType w:val="hybridMultilevel"/>
    <w:tmpl w:val="E682C638"/>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131" w15:restartNumberingAfterBreak="0">
    <w:nsid w:val="6F568FE9"/>
    <w:multiLevelType w:val="hybridMultilevel"/>
    <w:tmpl w:val="FFFFFFFF"/>
    <w:lvl w:ilvl="0" w:tplc="811EF202">
      <w:start w:val="349"/>
      <w:numFmt w:val="decimal"/>
      <w:lvlText w:val="%1."/>
      <w:lvlJc w:val="left"/>
      <w:pPr>
        <w:ind w:left="720" w:hanging="360"/>
      </w:pPr>
    </w:lvl>
    <w:lvl w:ilvl="1" w:tplc="C30E7618">
      <w:start w:val="1"/>
      <w:numFmt w:val="lowerLetter"/>
      <w:lvlText w:val="%2."/>
      <w:lvlJc w:val="left"/>
      <w:pPr>
        <w:ind w:left="1440" w:hanging="360"/>
      </w:pPr>
    </w:lvl>
    <w:lvl w:ilvl="2" w:tplc="0D1EA4F6">
      <w:start w:val="1"/>
      <w:numFmt w:val="lowerRoman"/>
      <w:lvlText w:val="%3."/>
      <w:lvlJc w:val="right"/>
      <w:pPr>
        <w:ind w:left="2160" w:hanging="180"/>
      </w:pPr>
    </w:lvl>
    <w:lvl w:ilvl="3" w:tplc="FE640104">
      <w:start w:val="1"/>
      <w:numFmt w:val="decimal"/>
      <w:lvlText w:val="%4."/>
      <w:lvlJc w:val="left"/>
      <w:pPr>
        <w:ind w:left="2880" w:hanging="360"/>
      </w:pPr>
    </w:lvl>
    <w:lvl w:ilvl="4" w:tplc="3F120E6C">
      <w:start w:val="1"/>
      <w:numFmt w:val="lowerLetter"/>
      <w:lvlText w:val="%5."/>
      <w:lvlJc w:val="left"/>
      <w:pPr>
        <w:ind w:left="3600" w:hanging="360"/>
      </w:pPr>
    </w:lvl>
    <w:lvl w:ilvl="5" w:tplc="8EA49C52">
      <w:start w:val="1"/>
      <w:numFmt w:val="lowerRoman"/>
      <w:lvlText w:val="%6."/>
      <w:lvlJc w:val="right"/>
      <w:pPr>
        <w:ind w:left="4320" w:hanging="180"/>
      </w:pPr>
    </w:lvl>
    <w:lvl w:ilvl="6" w:tplc="82543ACA">
      <w:start w:val="1"/>
      <w:numFmt w:val="decimal"/>
      <w:lvlText w:val="%7."/>
      <w:lvlJc w:val="left"/>
      <w:pPr>
        <w:ind w:left="5040" w:hanging="360"/>
      </w:pPr>
    </w:lvl>
    <w:lvl w:ilvl="7" w:tplc="BF801776">
      <w:start w:val="1"/>
      <w:numFmt w:val="lowerLetter"/>
      <w:lvlText w:val="%8."/>
      <w:lvlJc w:val="left"/>
      <w:pPr>
        <w:ind w:left="5760" w:hanging="360"/>
      </w:pPr>
    </w:lvl>
    <w:lvl w:ilvl="8" w:tplc="5C4C6D62">
      <w:start w:val="1"/>
      <w:numFmt w:val="lowerRoman"/>
      <w:lvlText w:val="%9."/>
      <w:lvlJc w:val="right"/>
      <w:pPr>
        <w:ind w:left="6480" w:hanging="180"/>
      </w:pPr>
    </w:lvl>
  </w:abstractNum>
  <w:abstractNum w:abstractNumId="132" w15:restartNumberingAfterBreak="0">
    <w:nsid w:val="6F6E3071"/>
    <w:multiLevelType w:val="hybridMultilevel"/>
    <w:tmpl w:val="47E20842"/>
    <w:lvl w:ilvl="0" w:tplc="B13E04D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15:restartNumberingAfterBreak="0">
    <w:nsid w:val="70291A74"/>
    <w:multiLevelType w:val="hybridMultilevel"/>
    <w:tmpl w:val="FFFFFFFF"/>
    <w:lvl w:ilvl="0" w:tplc="D8C21C64">
      <w:start w:val="348"/>
      <w:numFmt w:val="decimal"/>
      <w:lvlText w:val="%1."/>
      <w:lvlJc w:val="left"/>
      <w:pPr>
        <w:ind w:left="720" w:hanging="360"/>
      </w:pPr>
    </w:lvl>
    <w:lvl w:ilvl="1" w:tplc="A720EC76">
      <w:start w:val="1"/>
      <w:numFmt w:val="lowerLetter"/>
      <w:lvlText w:val="%2."/>
      <w:lvlJc w:val="left"/>
      <w:pPr>
        <w:ind w:left="1440" w:hanging="360"/>
      </w:pPr>
    </w:lvl>
    <w:lvl w:ilvl="2" w:tplc="F0F444E4">
      <w:start w:val="1"/>
      <w:numFmt w:val="lowerRoman"/>
      <w:lvlText w:val="%3."/>
      <w:lvlJc w:val="right"/>
      <w:pPr>
        <w:ind w:left="2160" w:hanging="180"/>
      </w:pPr>
    </w:lvl>
    <w:lvl w:ilvl="3" w:tplc="6A7804D6">
      <w:start w:val="1"/>
      <w:numFmt w:val="decimal"/>
      <w:lvlText w:val="%4."/>
      <w:lvlJc w:val="left"/>
      <w:pPr>
        <w:ind w:left="2880" w:hanging="360"/>
      </w:pPr>
    </w:lvl>
    <w:lvl w:ilvl="4" w:tplc="FE2ED858">
      <w:start w:val="1"/>
      <w:numFmt w:val="lowerLetter"/>
      <w:lvlText w:val="%5."/>
      <w:lvlJc w:val="left"/>
      <w:pPr>
        <w:ind w:left="3600" w:hanging="360"/>
      </w:pPr>
    </w:lvl>
    <w:lvl w:ilvl="5" w:tplc="3DC8B38C">
      <w:start w:val="1"/>
      <w:numFmt w:val="lowerRoman"/>
      <w:lvlText w:val="%6."/>
      <w:lvlJc w:val="right"/>
      <w:pPr>
        <w:ind w:left="4320" w:hanging="180"/>
      </w:pPr>
    </w:lvl>
    <w:lvl w:ilvl="6" w:tplc="A1CC92EC">
      <w:start w:val="1"/>
      <w:numFmt w:val="decimal"/>
      <w:lvlText w:val="%7."/>
      <w:lvlJc w:val="left"/>
      <w:pPr>
        <w:ind w:left="5040" w:hanging="360"/>
      </w:pPr>
    </w:lvl>
    <w:lvl w:ilvl="7" w:tplc="E542D3AE">
      <w:start w:val="1"/>
      <w:numFmt w:val="lowerLetter"/>
      <w:lvlText w:val="%8."/>
      <w:lvlJc w:val="left"/>
      <w:pPr>
        <w:ind w:left="5760" w:hanging="360"/>
      </w:pPr>
    </w:lvl>
    <w:lvl w:ilvl="8" w:tplc="5914E896">
      <w:start w:val="1"/>
      <w:numFmt w:val="lowerRoman"/>
      <w:lvlText w:val="%9."/>
      <w:lvlJc w:val="right"/>
      <w:pPr>
        <w:ind w:left="6480" w:hanging="180"/>
      </w:pPr>
    </w:lvl>
  </w:abstractNum>
  <w:abstractNum w:abstractNumId="134" w15:restartNumberingAfterBreak="0">
    <w:nsid w:val="7287C452"/>
    <w:multiLevelType w:val="multilevel"/>
    <w:tmpl w:val="7A2A180C"/>
    <w:lvl w:ilvl="0">
      <w:start w:val="1"/>
      <w:numFmt w:val="decimal"/>
      <w:lvlText w:val="%1."/>
      <w:lvlJc w:val="left"/>
      <w:pPr>
        <w:ind w:left="851" w:hanging="85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4B9C1A6"/>
    <w:multiLevelType w:val="hybridMultilevel"/>
    <w:tmpl w:val="FFFFFFFF"/>
    <w:lvl w:ilvl="0" w:tplc="855EFA1C">
      <w:start w:val="354"/>
      <w:numFmt w:val="decimal"/>
      <w:lvlText w:val="%1."/>
      <w:lvlJc w:val="left"/>
      <w:pPr>
        <w:ind w:left="720" w:hanging="360"/>
      </w:pPr>
    </w:lvl>
    <w:lvl w:ilvl="1" w:tplc="AFDE83AC">
      <w:start w:val="1"/>
      <w:numFmt w:val="lowerLetter"/>
      <w:lvlText w:val="%2."/>
      <w:lvlJc w:val="left"/>
      <w:pPr>
        <w:ind w:left="1440" w:hanging="360"/>
      </w:pPr>
    </w:lvl>
    <w:lvl w:ilvl="2" w:tplc="C5BAE4EE">
      <w:start w:val="1"/>
      <w:numFmt w:val="lowerRoman"/>
      <w:lvlText w:val="%3."/>
      <w:lvlJc w:val="right"/>
      <w:pPr>
        <w:ind w:left="2160" w:hanging="180"/>
      </w:pPr>
    </w:lvl>
    <w:lvl w:ilvl="3" w:tplc="F98C3436">
      <w:start w:val="1"/>
      <w:numFmt w:val="decimal"/>
      <w:lvlText w:val="%4."/>
      <w:lvlJc w:val="left"/>
      <w:pPr>
        <w:ind w:left="2880" w:hanging="360"/>
      </w:pPr>
    </w:lvl>
    <w:lvl w:ilvl="4" w:tplc="6B30B1C0">
      <w:start w:val="1"/>
      <w:numFmt w:val="lowerLetter"/>
      <w:lvlText w:val="%5."/>
      <w:lvlJc w:val="left"/>
      <w:pPr>
        <w:ind w:left="3600" w:hanging="360"/>
      </w:pPr>
    </w:lvl>
    <w:lvl w:ilvl="5" w:tplc="AB02D738">
      <w:start w:val="1"/>
      <w:numFmt w:val="lowerRoman"/>
      <w:lvlText w:val="%6."/>
      <w:lvlJc w:val="right"/>
      <w:pPr>
        <w:ind w:left="4320" w:hanging="180"/>
      </w:pPr>
    </w:lvl>
    <w:lvl w:ilvl="6" w:tplc="15D8781A">
      <w:start w:val="1"/>
      <w:numFmt w:val="decimal"/>
      <w:lvlText w:val="%7."/>
      <w:lvlJc w:val="left"/>
      <w:pPr>
        <w:ind w:left="5040" w:hanging="360"/>
      </w:pPr>
    </w:lvl>
    <w:lvl w:ilvl="7" w:tplc="04E2BE70">
      <w:start w:val="1"/>
      <w:numFmt w:val="lowerLetter"/>
      <w:lvlText w:val="%8."/>
      <w:lvlJc w:val="left"/>
      <w:pPr>
        <w:ind w:left="5760" w:hanging="360"/>
      </w:pPr>
    </w:lvl>
    <w:lvl w:ilvl="8" w:tplc="5F5A7FE8">
      <w:start w:val="1"/>
      <w:numFmt w:val="lowerRoman"/>
      <w:lvlText w:val="%9."/>
      <w:lvlJc w:val="right"/>
      <w:pPr>
        <w:ind w:left="6480" w:hanging="180"/>
      </w:pPr>
    </w:lvl>
  </w:abstractNum>
  <w:abstractNum w:abstractNumId="136" w15:restartNumberingAfterBreak="0">
    <w:nsid w:val="750A624B"/>
    <w:multiLevelType w:val="hybridMultilevel"/>
    <w:tmpl w:val="070CB992"/>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15:restartNumberingAfterBreak="0">
    <w:nsid w:val="75D710FA"/>
    <w:multiLevelType w:val="hybridMultilevel"/>
    <w:tmpl w:val="08145CF2"/>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8" w15:restartNumberingAfterBreak="0">
    <w:nsid w:val="765440DC"/>
    <w:multiLevelType w:val="hybridMultilevel"/>
    <w:tmpl w:val="A4249152"/>
    <w:lvl w:ilvl="0" w:tplc="FFFFFFFF">
      <w:start w:val="469"/>
      <w:numFmt w:val="decimal"/>
      <w:pStyle w:val="Vol4Numberedparas"/>
      <w:suff w:val="space"/>
      <w:lvlText w:val="%1."/>
      <w:lvlJc w:val="left"/>
      <w:pPr>
        <w:ind w:left="6173" w:hanging="360"/>
      </w:pPr>
      <w:rPr>
        <w:i w:val="0"/>
        <w:iCs/>
        <w:color w:val="auto"/>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9"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140" w15:restartNumberingAfterBreak="0">
    <w:nsid w:val="76AC7140"/>
    <w:multiLevelType w:val="hybridMultilevel"/>
    <w:tmpl w:val="2BE4574A"/>
    <w:lvl w:ilvl="0" w:tplc="FFFFFFFF">
      <w:start w:val="1"/>
      <w:numFmt w:val="lowerLetter"/>
      <w:pStyle w:val="Heading4"/>
      <w:lvlText w:val="%1)"/>
      <w:lvlJc w:val="left"/>
      <w:pPr>
        <w:ind w:left="360" w:hanging="360"/>
      </w:pPr>
    </w:lvl>
    <w:lvl w:ilvl="1" w:tplc="506CC550">
      <w:start w:val="1"/>
      <w:numFmt w:val="bullet"/>
      <w:lvlText w:val="-"/>
      <w:lvlJc w:val="left"/>
      <w:pPr>
        <w:ind w:left="1080" w:hanging="360"/>
      </w:pPr>
      <w:rPr>
        <w:rFonts w:ascii="Arial" w:hAnsi="Aria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1" w15:restartNumberingAfterBreak="0">
    <w:nsid w:val="76D1E568"/>
    <w:multiLevelType w:val="hybridMultilevel"/>
    <w:tmpl w:val="FFFFFFFF"/>
    <w:lvl w:ilvl="0" w:tplc="FC8E96AE">
      <w:start w:val="351"/>
      <w:numFmt w:val="decimal"/>
      <w:lvlText w:val="%1."/>
      <w:lvlJc w:val="left"/>
      <w:pPr>
        <w:ind w:left="720" w:hanging="360"/>
      </w:pPr>
    </w:lvl>
    <w:lvl w:ilvl="1" w:tplc="2A08EC96">
      <w:start w:val="1"/>
      <w:numFmt w:val="lowerLetter"/>
      <w:lvlText w:val="%2."/>
      <w:lvlJc w:val="left"/>
      <w:pPr>
        <w:ind w:left="1440" w:hanging="360"/>
      </w:pPr>
    </w:lvl>
    <w:lvl w:ilvl="2" w:tplc="DCA685C4">
      <w:start w:val="1"/>
      <w:numFmt w:val="lowerRoman"/>
      <w:lvlText w:val="%3."/>
      <w:lvlJc w:val="right"/>
      <w:pPr>
        <w:ind w:left="2160" w:hanging="180"/>
      </w:pPr>
    </w:lvl>
    <w:lvl w:ilvl="3" w:tplc="561A7D10">
      <w:start w:val="1"/>
      <w:numFmt w:val="decimal"/>
      <w:lvlText w:val="%4."/>
      <w:lvlJc w:val="left"/>
      <w:pPr>
        <w:ind w:left="2880" w:hanging="360"/>
      </w:pPr>
    </w:lvl>
    <w:lvl w:ilvl="4" w:tplc="30B61C62">
      <w:start w:val="1"/>
      <w:numFmt w:val="lowerLetter"/>
      <w:lvlText w:val="%5."/>
      <w:lvlJc w:val="left"/>
      <w:pPr>
        <w:ind w:left="3600" w:hanging="360"/>
      </w:pPr>
    </w:lvl>
    <w:lvl w:ilvl="5" w:tplc="660EAFF8">
      <w:start w:val="1"/>
      <w:numFmt w:val="lowerRoman"/>
      <w:lvlText w:val="%6."/>
      <w:lvlJc w:val="right"/>
      <w:pPr>
        <w:ind w:left="4320" w:hanging="180"/>
      </w:pPr>
    </w:lvl>
    <w:lvl w:ilvl="6" w:tplc="60D4449E">
      <w:start w:val="1"/>
      <w:numFmt w:val="decimal"/>
      <w:lvlText w:val="%7."/>
      <w:lvlJc w:val="left"/>
      <w:pPr>
        <w:ind w:left="5040" w:hanging="360"/>
      </w:pPr>
    </w:lvl>
    <w:lvl w:ilvl="7" w:tplc="B2248260">
      <w:start w:val="1"/>
      <w:numFmt w:val="lowerLetter"/>
      <w:lvlText w:val="%8."/>
      <w:lvlJc w:val="left"/>
      <w:pPr>
        <w:ind w:left="5760" w:hanging="360"/>
      </w:pPr>
    </w:lvl>
    <w:lvl w:ilvl="8" w:tplc="39F02B32">
      <w:start w:val="1"/>
      <w:numFmt w:val="lowerRoman"/>
      <w:lvlText w:val="%9."/>
      <w:lvlJc w:val="right"/>
      <w:pPr>
        <w:ind w:left="6480" w:hanging="180"/>
      </w:pPr>
    </w:lvl>
  </w:abstractNum>
  <w:abstractNum w:abstractNumId="142" w15:restartNumberingAfterBreak="0">
    <w:nsid w:val="77140EE3"/>
    <w:multiLevelType w:val="multilevel"/>
    <w:tmpl w:val="BFC2FD70"/>
    <w:lvl w:ilvl="0">
      <w:start w:val="1"/>
      <w:numFmt w:val="decimal"/>
      <w:pStyle w:val="Numbparas"/>
      <w:lvlText w:val="%1."/>
      <w:lvlJc w:val="left"/>
      <w:pPr>
        <w:ind w:left="851" w:hanging="851"/>
      </w:pPr>
      <w:rPr>
        <w:rFonts w:ascii="Arial" w:hAnsi="Arial" w:cs="Arial" w:hint="default"/>
        <w:b w:val="0"/>
        <w:bCs w:val="0"/>
        <w:strike w:val="0"/>
        <w:color w:val="auto"/>
        <w:sz w:val="22"/>
        <w:szCs w:val="22"/>
        <w:vertAlign w:val="baseline"/>
      </w:rPr>
    </w:lvl>
    <w:lvl w:ilvl="1">
      <w:start w:val="1"/>
      <w:numFmt w:val="bullet"/>
      <w:lvlText w:val=""/>
      <w:lvlJc w:val="left"/>
      <w:pPr>
        <w:ind w:left="2551" w:hanging="850"/>
      </w:pPr>
      <w:rPr>
        <w:rFonts w:ascii="Symbol" w:hAnsi="Symbol" w:hint="default"/>
      </w:rPr>
    </w:lvl>
    <w:lvl w:ilvl="2">
      <w:start w:val="1"/>
      <w:numFmt w:val="lowerRoman"/>
      <w:lvlText w:val="%3."/>
      <w:lvlJc w:val="left"/>
      <w:pPr>
        <w:ind w:left="2552"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3" w15:restartNumberingAfterBreak="0">
    <w:nsid w:val="794FE70D"/>
    <w:multiLevelType w:val="hybridMultilevel"/>
    <w:tmpl w:val="FFFFFFFF"/>
    <w:lvl w:ilvl="0" w:tplc="53A44408">
      <w:start w:val="355"/>
      <w:numFmt w:val="decimal"/>
      <w:lvlText w:val="%1."/>
      <w:lvlJc w:val="left"/>
      <w:pPr>
        <w:ind w:left="720" w:hanging="360"/>
      </w:pPr>
    </w:lvl>
    <w:lvl w:ilvl="1" w:tplc="7C646A64">
      <w:start w:val="1"/>
      <w:numFmt w:val="lowerLetter"/>
      <w:lvlText w:val="%2."/>
      <w:lvlJc w:val="left"/>
      <w:pPr>
        <w:ind w:left="1440" w:hanging="360"/>
      </w:pPr>
    </w:lvl>
    <w:lvl w:ilvl="2" w:tplc="19DA2898">
      <w:start w:val="1"/>
      <w:numFmt w:val="lowerRoman"/>
      <w:lvlText w:val="%3."/>
      <w:lvlJc w:val="right"/>
      <w:pPr>
        <w:ind w:left="2160" w:hanging="180"/>
      </w:pPr>
    </w:lvl>
    <w:lvl w:ilvl="3" w:tplc="BDB6A2C0">
      <w:start w:val="1"/>
      <w:numFmt w:val="decimal"/>
      <w:lvlText w:val="%4."/>
      <w:lvlJc w:val="left"/>
      <w:pPr>
        <w:ind w:left="2880" w:hanging="360"/>
      </w:pPr>
    </w:lvl>
    <w:lvl w:ilvl="4" w:tplc="43882FEE">
      <w:start w:val="1"/>
      <w:numFmt w:val="lowerLetter"/>
      <w:lvlText w:val="%5."/>
      <w:lvlJc w:val="left"/>
      <w:pPr>
        <w:ind w:left="3600" w:hanging="360"/>
      </w:pPr>
    </w:lvl>
    <w:lvl w:ilvl="5" w:tplc="1B4A6780">
      <w:start w:val="1"/>
      <w:numFmt w:val="lowerRoman"/>
      <w:lvlText w:val="%6."/>
      <w:lvlJc w:val="right"/>
      <w:pPr>
        <w:ind w:left="4320" w:hanging="180"/>
      </w:pPr>
    </w:lvl>
    <w:lvl w:ilvl="6" w:tplc="FDD8F872">
      <w:start w:val="1"/>
      <w:numFmt w:val="decimal"/>
      <w:lvlText w:val="%7."/>
      <w:lvlJc w:val="left"/>
      <w:pPr>
        <w:ind w:left="5040" w:hanging="360"/>
      </w:pPr>
    </w:lvl>
    <w:lvl w:ilvl="7" w:tplc="EE2A5A4E">
      <w:start w:val="1"/>
      <w:numFmt w:val="lowerLetter"/>
      <w:lvlText w:val="%8."/>
      <w:lvlJc w:val="left"/>
      <w:pPr>
        <w:ind w:left="5760" w:hanging="360"/>
      </w:pPr>
    </w:lvl>
    <w:lvl w:ilvl="8" w:tplc="DD5A752C">
      <w:start w:val="1"/>
      <w:numFmt w:val="lowerRoman"/>
      <w:lvlText w:val="%9."/>
      <w:lvlJc w:val="right"/>
      <w:pPr>
        <w:ind w:left="6480" w:hanging="180"/>
      </w:pPr>
    </w:lvl>
  </w:abstractNum>
  <w:abstractNum w:abstractNumId="144" w15:restartNumberingAfterBreak="0">
    <w:nsid w:val="7A238733"/>
    <w:multiLevelType w:val="hybridMultilevel"/>
    <w:tmpl w:val="FFFFFFFF"/>
    <w:lvl w:ilvl="0" w:tplc="5B3EF6C8">
      <w:start w:val="348"/>
      <w:numFmt w:val="decimal"/>
      <w:lvlText w:val="%1."/>
      <w:lvlJc w:val="left"/>
      <w:pPr>
        <w:ind w:left="720" w:hanging="360"/>
      </w:pPr>
    </w:lvl>
    <w:lvl w:ilvl="1" w:tplc="03AE7EA6">
      <w:start w:val="1"/>
      <w:numFmt w:val="lowerLetter"/>
      <w:lvlText w:val="%2."/>
      <w:lvlJc w:val="left"/>
      <w:pPr>
        <w:ind w:left="1440" w:hanging="360"/>
      </w:pPr>
    </w:lvl>
    <w:lvl w:ilvl="2" w:tplc="25B04DF6">
      <w:start w:val="1"/>
      <w:numFmt w:val="lowerRoman"/>
      <w:lvlText w:val="%3."/>
      <w:lvlJc w:val="right"/>
      <w:pPr>
        <w:ind w:left="2160" w:hanging="180"/>
      </w:pPr>
    </w:lvl>
    <w:lvl w:ilvl="3" w:tplc="51384918">
      <w:start w:val="1"/>
      <w:numFmt w:val="decimal"/>
      <w:lvlText w:val="%4."/>
      <w:lvlJc w:val="left"/>
      <w:pPr>
        <w:ind w:left="2880" w:hanging="360"/>
      </w:pPr>
    </w:lvl>
    <w:lvl w:ilvl="4" w:tplc="971EC492">
      <w:start w:val="1"/>
      <w:numFmt w:val="lowerLetter"/>
      <w:lvlText w:val="%5."/>
      <w:lvlJc w:val="left"/>
      <w:pPr>
        <w:ind w:left="3600" w:hanging="360"/>
      </w:pPr>
    </w:lvl>
    <w:lvl w:ilvl="5" w:tplc="94863DEE">
      <w:start w:val="1"/>
      <w:numFmt w:val="lowerRoman"/>
      <w:lvlText w:val="%6."/>
      <w:lvlJc w:val="right"/>
      <w:pPr>
        <w:ind w:left="4320" w:hanging="180"/>
      </w:pPr>
    </w:lvl>
    <w:lvl w:ilvl="6" w:tplc="1EE8FD38">
      <w:start w:val="1"/>
      <w:numFmt w:val="decimal"/>
      <w:lvlText w:val="%7."/>
      <w:lvlJc w:val="left"/>
      <w:pPr>
        <w:ind w:left="5040" w:hanging="360"/>
      </w:pPr>
    </w:lvl>
    <w:lvl w:ilvl="7" w:tplc="E6C8117E">
      <w:start w:val="1"/>
      <w:numFmt w:val="lowerLetter"/>
      <w:lvlText w:val="%8."/>
      <w:lvlJc w:val="left"/>
      <w:pPr>
        <w:ind w:left="5760" w:hanging="360"/>
      </w:pPr>
    </w:lvl>
    <w:lvl w:ilvl="8" w:tplc="526A3BDA">
      <w:start w:val="1"/>
      <w:numFmt w:val="lowerRoman"/>
      <w:lvlText w:val="%9."/>
      <w:lvlJc w:val="right"/>
      <w:pPr>
        <w:ind w:left="6480" w:hanging="180"/>
      </w:pPr>
    </w:lvl>
  </w:abstractNum>
  <w:abstractNum w:abstractNumId="145" w15:restartNumberingAfterBreak="0">
    <w:nsid w:val="7B0064AB"/>
    <w:multiLevelType w:val="hybridMultilevel"/>
    <w:tmpl w:val="FFFFFFFF"/>
    <w:lvl w:ilvl="0" w:tplc="8F30B57E">
      <w:start w:val="349"/>
      <w:numFmt w:val="decimal"/>
      <w:lvlText w:val="%1."/>
      <w:lvlJc w:val="left"/>
      <w:pPr>
        <w:ind w:left="720" w:hanging="360"/>
      </w:pPr>
    </w:lvl>
    <w:lvl w:ilvl="1" w:tplc="1788425C">
      <w:start w:val="1"/>
      <w:numFmt w:val="lowerLetter"/>
      <w:lvlText w:val="%2."/>
      <w:lvlJc w:val="left"/>
      <w:pPr>
        <w:ind w:left="1440" w:hanging="360"/>
      </w:pPr>
    </w:lvl>
    <w:lvl w:ilvl="2" w:tplc="13282FD0">
      <w:start w:val="1"/>
      <w:numFmt w:val="lowerRoman"/>
      <w:lvlText w:val="%3."/>
      <w:lvlJc w:val="right"/>
      <w:pPr>
        <w:ind w:left="2160" w:hanging="180"/>
      </w:pPr>
    </w:lvl>
    <w:lvl w:ilvl="3" w:tplc="BB1A6356">
      <w:start w:val="1"/>
      <w:numFmt w:val="decimal"/>
      <w:lvlText w:val="%4."/>
      <w:lvlJc w:val="left"/>
      <w:pPr>
        <w:ind w:left="2880" w:hanging="360"/>
      </w:pPr>
    </w:lvl>
    <w:lvl w:ilvl="4" w:tplc="39E6A51C">
      <w:start w:val="1"/>
      <w:numFmt w:val="lowerLetter"/>
      <w:lvlText w:val="%5."/>
      <w:lvlJc w:val="left"/>
      <w:pPr>
        <w:ind w:left="3600" w:hanging="360"/>
      </w:pPr>
    </w:lvl>
    <w:lvl w:ilvl="5" w:tplc="968E3888">
      <w:start w:val="1"/>
      <w:numFmt w:val="lowerRoman"/>
      <w:lvlText w:val="%6."/>
      <w:lvlJc w:val="right"/>
      <w:pPr>
        <w:ind w:left="4320" w:hanging="180"/>
      </w:pPr>
    </w:lvl>
    <w:lvl w:ilvl="6" w:tplc="18B2AEB0">
      <w:start w:val="1"/>
      <w:numFmt w:val="decimal"/>
      <w:lvlText w:val="%7."/>
      <w:lvlJc w:val="left"/>
      <w:pPr>
        <w:ind w:left="5040" w:hanging="360"/>
      </w:pPr>
    </w:lvl>
    <w:lvl w:ilvl="7" w:tplc="3C9A6F9E">
      <w:start w:val="1"/>
      <w:numFmt w:val="lowerLetter"/>
      <w:lvlText w:val="%8."/>
      <w:lvlJc w:val="left"/>
      <w:pPr>
        <w:ind w:left="5760" w:hanging="360"/>
      </w:pPr>
    </w:lvl>
    <w:lvl w:ilvl="8" w:tplc="7FF2C728">
      <w:start w:val="1"/>
      <w:numFmt w:val="lowerRoman"/>
      <w:lvlText w:val="%9."/>
      <w:lvlJc w:val="right"/>
      <w:pPr>
        <w:ind w:left="6480" w:hanging="180"/>
      </w:pPr>
    </w:lvl>
  </w:abstractNum>
  <w:abstractNum w:abstractNumId="146" w15:restartNumberingAfterBreak="0">
    <w:nsid w:val="7B6890FE"/>
    <w:multiLevelType w:val="hybridMultilevel"/>
    <w:tmpl w:val="FFFFFFFF"/>
    <w:lvl w:ilvl="0" w:tplc="68E0D4F2">
      <w:start w:val="352"/>
      <w:numFmt w:val="decimal"/>
      <w:lvlText w:val="%1."/>
      <w:lvlJc w:val="left"/>
      <w:pPr>
        <w:ind w:left="720" w:hanging="360"/>
      </w:pPr>
    </w:lvl>
    <w:lvl w:ilvl="1" w:tplc="FD18441C">
      <w:start w:val="1"/>
      <w:numFmt w:val="lowerLetter"/>
      <w:lvlText w:val="%2."/>
      <w:lvlJc w:val="left"/>
      <w:pPr>
        <w:ind w:left="1440" w:hanging="360"/>
      </w:pPr>
    </w:lvl>
    <w:lvl w:ilvl="2" w:tplc="75CEF7D0">
      <w:start w:val="1"/>
      <w:numFmt w:val="lowerRoman"/>
      <w:lvlText w:val="%3."/>
      <w:lvlJc w:val="right"/>
      <w:pPr>
        <w:ind w:left="2160" w:hanging="180"/>
      </w:pPr>
    </w:lvl>
    <w:lvl w:ilvl="3" w:tplc="69BE0C7A">
      <w:start w:val="1"/>
      <w:numFmt w:val="decimal"/>
      <w:lvlText w:val="%4."/>
      <w:lvlJc w:val="left"/>
      <w:pPr>
        <w:ind w:left="2880" w:hanging="360"/>
      </w:pPr>
    </w:lvl>
    <w:lvl w:ilvl="4" w:tplc="21700826">
      <w:start w:val="1"/>
      <w:numFmt w:val="lowerLetter"/>
      <w:lvlText w:val="%5."/>
      <w:lvlJc w:val="left"/>
      <w:pPr>
        <w:ind w:left="3600" w:hanging="360"/>
      </w:pPr>
    </w:lvl>
    <w:lvl w:ilvl="5" w:tplc="EF88FA7A">
      <w:start w:val="1"/>
      <w:numFmt w:val="lowerRoman"/>
      <w:lvlText w:val="%6."/>
      <w:lvlJc w:val="right"/>
      <w:pPr>
        <w:ind w:left="4320" w:hanging="180"/>
      </w:pPr>
    </w:lvl>
    <w:lvl w:ilvl="6" w:tplc="D08ADAFA">
      <w:start w:val="1"/>
      <w:numFmt w:val="decimal"/>
      <w:lvlText w:val="%7."/>
      <w:lvlJc w:val="left"/>
      <w:pPr>
        <w:ind w:left="5040" w:hanging="360"/>
      </w:pPr>
    </w:lvl>
    <w:lvl w:ilvl="7" w:tplc="4E849082">
      <w:start w:val="1"/>
      <w:numFmt w:val="lowerLetter"/>
      <w:lvlText w:val="%8."/>
      <w:lvlJc w:val="left"/>
      <w:pPr>
        <w:ind w:left="5760" w:hanging="360"/>
      </w:pPr>
    </w:lvl>
    <w:lvl w:ilvl="8" w:tplc="4EDE266C">
      <w:start w:val="1"/>
      <w:numFmt w:val="lowerRoman"/>
      <w:lvlText w:val="%9."/>
      <w:lvlJc w:val="right"/>
      <w:pPr>
        <w:ind w:left="6480" w:hanging="180"/>
      </w:pPr>
    </w:lvl>
  </w:abstractNum>
  <w:abstractNum w:abstractNumId="147" w15:restartNumberingAfterBreak="0">
    <w:nsid w:val="7FFA59A5"/>
    <w:multiLevelType w:val="hybridMultilevel"/>
    <w:tmpl w:val="FFFFFFFF"/>
    <w:lvl w:ilvl="0" w:tplc="68120AD0">
      <w:start w:val="348"/>
      <w:numFmt w:val="decimal"/>
      <w:lvlText w:val="%1."/>
      <w:lvlJc w:val="left"/>
      <w:pPr>
        <w:ind w:left="720" w:hanging="360"/>
      </w:pPr>
    </w:lvl>
    <w:lvl w:ilvl="1" w:tplc="470ABCE4">
      <w:start w:val="1"/>
      <w:numFmt w:val="lowerLetter"/>
      <w:lvlText w:val="%2."/>
      <w:lvlJc w:val="left"/>
      <w:pPr>
        <w:ind w:left="1440" w:hanging="360"/>
      </w:pPr>
    </w:lvl>
    <w:lvl w:ilvl="2" w:tplc="21FE7858">
      <w:start w:val="1"/>
      <w:numFmt w:val="lowerRoman"/>
      <w:lvlText w:val="%3."/>
      <w:lvlJc w:val="right"/>
      <w:pPr>
        <w:ind w:left="2160" w:hanging="180"/>
      </w:pPr>
    </w:lvl>
    <w:lvl w:ilvl="3" w:tplc="53069604">
      <w:start w:val="1"/>
      <w:numFmt w:val="decimal"/>
      <w:lvlText w:val="%4."/>
      <w:lvlJc w:val="left"/>
      <w:pPr>
        <w:ind w:left="2880" w:hanging="360"/>
      </w:pPr>
    </w:lvl>
    <w:lvl w:ilvl="4" w:tplc="9C76D7BA">
      <w:start w:val="1"/>
      <w:numFmt w:val="lowerLetter"/>
      <w:lvlText w:val="%5."/>
      <w:lvlJc w:val="left"/>
      <w:pPr>
        <w:ind w:left="3600" w:hanging="360"/>
      </w:pPr>
    </w:lvl>
    <w:lvl w:ilvl="5" w:tplc="7AF69D3E">
      <w:start w:val="1"/>
      <w:numFmt w:val="lowerRoman"/>
      <w:lvlText w:val="%6."/>
      <w:lvlJc w:val="right"/>
      <w:pPr>
        <w:ind w:left="4320" w:hanging="180"/>
      </w:pPr>
    </w:lvl>
    <w:lvl w:ilvl="6" w:tplc="DF765EFA">
      <w:start w:val="1"/>
      <w:numFmt w:val="decimal"/>
      <w:lvlText w:val="%7."/>
      <w:lvlJc w:val="left"/>
      <w:pPr>
        <w:ind w:left="5040" w:hanging="360"/>
      </w:pPr>
    </w:lvl>
    <w:lvl w:ilvl="7" w:tplc="104EE7F6">
      <w:start w:val="1"/>
      <w:numFmt w:val="lowerLetter"/>
      <w:lvlText w:val="%8."/>
      <w:lvlJc w:val="left"/>
      <w:pPr>
        <w:ind w:left="5760" w:hanging="360"/>
      </w:pPr>
    </w:lvl>
    <w:lvl w:ilvl="8" w:tplc="664E332A">
      <w:start w:val="1"/>
      <w:numFmt w:val="lowerRoman"/>
      <w:lvlText w:val="%9."/>
      <w:lvlJc w:val="right"/>
      <w:pPr>
        <w:ind w:left="6480" w:hanging="180"/>
      </w:pPr>
    </w:lvl>
  </w:abstractNum>
  <w:num w:numId="1" w16cid:durableId="453210661">
    <w:abstractNumId w:val="5"/>
  </w:num>
  <w:num w:numId="2" w16cid:durableId="1301962078">
    <w:abstractNumId w:val="4"/>
  </w:num>
  <w:num w:numId="3" w16cid:durableId="1502619845">
    <w:abstractNumId w:val="3"/>
  </w:num>
  <w:num w:numId="4" w16cid:durableId="1563906691">
    <w:abstractNumId w:val="2"/>
  </w:num>
  <w:num w:numId="5" w16cid:durableId="57946395">
    <w:abstractNumId w:val="1"/>
  </w:num>
  <w:num w:numId="6" w16cid:durableId="1550921641">
    <w:abstractNumId w:val="0"/>
  </w:num>
  <w:num w:numId="7" w16cid:durableId="1907033392">
    <w:abstractNumId w:val="105"/>
  </w:num>
  <w:num w:numId="8" w16cid:durableId="68429880">
    <w:abstractNumId w:val="113"/>
  </w:num>
  <w:num w:numId="9" w16cid:durableId="1517308890">
    <w:abstractNumId w:val="73"/>
  </w:num>
  <w:num w:numId="10" w16cid:durableId="26180584">
    <w:abstractNumId w:val="31"/>
  </w:num>
  <w:num w:numId="11" w16cid:durableId="87308960">
    <w:abstractNumId w:val="115"/>
  </w:num>
  <w:num w:numId="12" w16cid:durableId="465976119">
    <w:abstractNumId w:val="123"/>
  </w:num>
  <w:num w:numId="13" w16cid:durableId="1051465469">
    <w:abstractNumId w:val="129"/>
  </w:num>
  <w:num w:numId="14" w16cid:durableId="1430657188">
    <w:abstractNumId w:val="11"/>
  </w:num>
  <w:num w:numId="15" w16cid:durableId="1335644457">
    <w:abstractNumId w:val="65"/>
  </w:num>
  <w:num w:numId="16" w16cid:durableId="807674963">
    <w:abstractNumId w:val="139"/>
  </w:num>
  <w:num w:numId="17" w16cid:durableId="1622305425">
    <w:abstractNumId w:val="125"/>
  </w:num>
  <w:num w:numId="18" w16cid:durableId="1124691349">
    <w:abstractNumId w:val="87"/>
  </w:num>
  <w:num w:numId="19" w16cid:durableId="784156622">
    <w:abstractNumId w:val="66"/>
  </w:num>
  <w:num w:numId="20" w16cid:durableId="2097703976">
    <w:abstractNumId w:val="18"/>
  </w:num>
  <w:num w:numId="21" w16cid:durableId="1929342127">
    <w:abstractNumId w:val="9"/>
  </w:num>
  <w:num w:numId="22" w16cid:durableId="88162916">
    <w:abstractNumId w:val="140"/>
  </w:num>
  <w:num w:numId="23" w16cid:durableId="1392118372">
    <w:abstractNumId w:val="117"/>
  </w:num>
  <w:num w:numId="24" w16cid:durableId="1312950975">
    <w:abstractNumId w:val="100"/>
  </w:num>
  <w:num w:numId="25" w16cid:durableId="1366372811">
    <w:abstractNumId w:val="8"/>
  </w:num>
  <w:num w:numId="26" w16cid:durableId="1570310435">
    <w:abstractNumId w:val="110"/>
  </w:num>
  <w:num w:numId="27" w16cid:durableId="1565875385">
    <w:abstractNumId w:val="39"/>
  </w:num>
  <w:num w:numId="28" w16cid:durableId="821627693">
    <w:abstractNumId w:val="138"/>
    <w:lvlOverride w:ilvl="0">
      <w:startOverride w:val="488"/>
    </w:lvlOverride>
  </w:num>
  <w:num w:numId="29" w16cid:durableId="1037853782">
    <w:abstractNumId w:val="142"/>
  </w:num>
  <w:num w:numId="30" w16cid:durableId="1610119394">
    <w:abstractNumId w:val="124"/>
  </w:num>
  <w:num w:numId="31" w16cid:durableId="860124657">
    <w:abstractNumId w:val="98"/>
  </w:num>
  <w:num w:numId="32" w16cid:durableId="228270002">
    <w:abstractNumId w:val="142"/>
    <w:lvlOverride w:ilvl="0">
      <w:startOverride w:val="5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95987008">
    <w:abstractNumId w:val="107"/>
  </w:num>
  <w:num w:numId="34" w16cid:durableId="1043137241">
    <w:abstractNumId w:val="69"/>
  </w:num>
  <w:num w:numId="35" w16cid:durableId="463085600">
    <w:abstractNumId w:val="23"/>
  </w:num>
  <w:num w:numId="36" w16cid:durableId="1637224709">
    <w:abstractNumId w:val="130"/>
  </w:num>
  <w:num w:numId="37" w16cid:durableId="1125276895">
    <w:abstractNumId w:val="40"/>
  </w:num>
  <w:num w:numId="38" w16cid:durableId="1118600906">
    <w:abstractNumId w:val="47"/>
  </w:num>
  <w:num w:numId="39" w16cid:durableId="1727336778">
    <w:abstractNumId w:val="79"/>
  </w:num>
  <w:num w:numId="40" w16cid:durableId="1648583890">
    <w:abstractNumId w:val="132"/>
  </w:num>
  <w:num w:numId="41" w16cid:durableId="1513643258">
    <w:abstractNumId w:val="70"/>
  </w:num>
  <w:num w:numId="42" w16cid:durableId="83232113">
    <w:abstractNumId w:val="136"/>
  </w:num>
  <w:num w:numId="43" w16cid:durableId="273751977">
    <w:abstractNumId w:val="119"/>
  </w:num>
  <w:num w:numId="44" w16cid:durableId="102386772">
    <w:abstractNumId w:val="14"/>
  </w:num>
  <w:num w:numId="45" w16cid:durableId="1899587370">
    <w:abstractNumId w:val="126"/>
  </w:num>
  <w:num w:numId="46" w16cid:durableId="212743041">
    <w:abstractNumId w:val="7"/>
  </w:num>
  <w:num w:numId="47" w16cid:durableId="601761023">
    <w:abstractNumId w:val="83"/>
  </w:num>
  <w:num w:numId="48" w16cid:durableId="1504971749">
    <w:abstractNumId w:val="53"/>
  </w:num>
  <w:num w:numId="49" w16cid:durableId="978194739">
    <w:abstractNumId w:val="95"/>
  </w:num>
  <w:num w:numId="50" w16cid:durableId="1461417430">
    <w:abstractNumId w:val="34"/>
  </w:num>
  <w:num w:numId="51" w16cid:durableId="1786190063">
    <w:abstractNumId w:val="84"/>
  </w:num>
  <w:num w:numId="52" w16cid:durableId="1804228125">
    <w:abstractNumId w:val="92"/>
  </w:num>
  <w:num w:numId="53" w16cid:durableId="1627005849">
    <w:abstractNumId w:val="101"/>
  </w:num>
  <w:num w:numId="54" w16cid:durableId="2120221832">
    <w:abstractNumId w:val="111"/>
  </w:num>
  <w:num w:numId="55" w16cid:durableId="716126026">
    <w:abstractNumId w:val="97"/>
  </w:num>
  <w:num w:numId="56" w16cid:durableId="1106584835">
    <w:abstractNumId w:val="108"/>
  </w:num>
  <w:num w:numId="57" w16cid:durableId="238905689">
    <w:abstractNumId w:val="122"/>
  </w:num>
  <w:num w:numId="58" w16cid:durableId="1136946828">
    <w:abstractNumId w:val="19"/>
  </w:num>
  <w:num w:numId="59" w16cid:durableId="1745950191">
    <w:abstractNumId w:val="6"/>
  </w:num>
  <w:num w:numId="60" w16cid:durableId="1189416827">
    <w:abstractNumId w:val="77"/>
  </w:num>
  <w:num w:numId="61" w16cid:durableId="1397631965">
    <w:abstractNumId w:val="137"/>
  </w:num>
  <w:num w:numId="62" w16cid:durableId="518397420">
    <w:abstractNumId w:val="30"/>
  </w:num>
  <w:num w:numId="63" w16cid:durableId="897281376">
    <w:abstractNumId w:val="71"/>
  </w:num>
  <w:num w:numId="64" w16cid:durableId="1859394197">
    <w:abstractNumId w:val="142"/>
  </w:num>
  <w:num w:numId="65" w16cid:durableId="1283422460">
    <w:abstractNumId w:val="28"/>
  </w:num>
  <w:num w:numId="66" w16cid:durableId="1464691173">
    <w:abstractNumId w:val="13"/>
  </w:num>
  <w:num w:numId="67" w16cid:durableId="241909657">
    <w:abstractNumId w:val="89"/>
    <w:lvlOverride w:ilvl="0">
      <w:startOverride w:val="1"/>
    </w:lvlOverride>
    <w:lvlOverride w:ilvl="1"/>
    <w:lvlOverride w:ilvl="2"/>
    <w:lvlOverride w:ilvl="3"/>
    <w:lvlOverride w:ilvl="4"/>
    <w:lvlOverride w:ilvl="5"/>
    <w:lvlOverride w:ilvl="6"/>
    <w:lvlOverride w:ilvl="7"/>
    <w:lvlOverride w:ilvl="8"/>
  </w:num>
  <w:num w:numId="68" w16cid:durableId="712120911">
    <w:abstractNumId w:val="49"/>
  </w:num>
  <w:num w:numId="69" w16cid:durableId="815728048">
    <w:abstractNumId w:val="68"/>
  </w:num>
  <w:num w:numId="70" w16cid:durableId="107435801">
    <w:abstractNumId w:val="67"/>
  </w:num>
  <w:num w:numId="71" w16cid:durableId="41684106">
    <w:abstractNumId w:val="15"/>
  </w:num>
  <w:num w:numId="72" w16cid:durableId="183640498">
    <w:abstractNumId w:val="85"/>
  </w:num>
  <w:num w:numId="73" w16cid:durableId="986663118">
    <w:abstractNumId w:val="141"/>
  </w:num>
  <w:num w:numId="74" w16cid:durableId="1987930773">
    <w:abstractNumId w:val="75"/>
  </w:num>
  <w:num w:numId="75" w16cid:durableId="1673099331">
    <w:abstractNumId w:val="145"/>
  </w:num>
  <w:num w:numId="76" w16cid:durableId="2137094720">
    <w:abstractNumId w:val="72"/>
  </w:num>
  <w:num w:numId="77" w16cid:durableId="1142235358">
    <w:abstractNumId w:val="128"/>
  </w:num>
  <w:num w:numId="78" w16cid:durableId="656032261">
    <w:abstractNumId w:val="25"/>
  </w:num>
  <w:num w:numId="79" w16cid:durableId="576136147">
    <w:abstractNumId w:val="46"/>
  </w:num>
  <w:num w:numId="80" w16cid:durableId="1617786053">
    <w:abstractNumId w:val="57"/>
  </w:num>
  <w:num w:numId="81" w16cid:durableId="552539804">
    <w:abstractNumId w:val="48"/>
  </w:num>
  <w:num w:numId="82" w16cid:durableId="983581868">
    <w:abstractNumId w:val="131"/>
  </w:num>
  <w:num w:numId="83" w16cid:durableId="796140908">
    <w:abstractNumId w:val="104"/>
  </w:num>
  <w:num w:numId="84" w16cid:durableId="124323098">
    <w:abstractNumId w:val="88"/>
  </w:num>
  <w:num w:numId="85" w16cid:durableId="821047542">
    <w:abstractNumId w:val="45"/>
  </w:num>
  <w:num w:numId="86" w16cid:durableId="1901398965">
    <w:abstractNumId w:val="86"/>
  </w:num>
  <w:num w:numId="87" w16cid:durableId="1509099801">
    <w:abstractNumId w:val="27"/>
  </w:num>
  <w:num w:numId="88" w16cid:durableId="1914580734">
    <w:abstractNumId w:val="118"/>
  </w:num>
  <w:num w:numId="89" w16cid:durableId="311716955">
    <w:abstractNumId w:val="143"/>
  </w:num>
  <w:num w:numId="90" w16cid:durableId="1693872668">
    <w:abstractNumId w:val="135"/>
  </w:num>
  <w:num w:numId="91" w16cid:durableId="34543402">
    <w:abstractNumId w:val="76"/>
  </w:num>
  <w:num w:numId="92" w16cid:durableId="1942453436">
    <w:abstractNumId w:val="146"/>
  </w:num>
  <w:num w:numId="93" w16cid:durableId="268590677">
    <w:abstractNumId w:val="26"/>
  </w:num>
  <w:num w:numId="94" w16cid:durableId="516584348">
    <w:abstractNumId w:val="36"/>
  </w:num>
  <w:num w:numId="95" w16cid:durableId="194776305">
    <w:abstractNumId w:val="32"/>
  </w:num>
  <w:num w:numId="96" w16cid:durableId="1306350332">
    <w:abstractNumId w:val="21"/>
  </w:num>
  <w:num w:numId="97" w16cid:durableId="639775306">
    <w:abstractNumId w:val="56"/>
  </w:num>
  <w:num w:numId="98" w16cid:durableId="1932884862">
    <w:abstractNumId w:val="54"/>
  </w:num>
  <w:num w:numId="99" w16cid:durableId="623273423">
    <w:abstractNumId w:val="147"/>
  </w:num>
  <w:num w:numId="100" w16cid:durableId="1522931986">
    <w:abstractNumId w:val="121"/>
  </w:num>
  <w:num w:numId="101" w16cid:durableId="1688673689">
    <w:abstractNumId w:val="59"/>
  </w:num>
  <w:num w:numId="102" w16cid:durableId="1878616656">
    <w:abstractNumId w:val="91"/>
  </w:num>
  <w:num w:numId="103" w16cid:durableId="1612516198">
    <w:abstractNumId w:val="35"/>
  </w:num>
  <w:num w:numId="104" w16cid:durableId="440533719">
    <w:abstractNumId w:val="144"/>
  </w:num>
  <w:num w:numId="105" w16cid:durableId="635065101">
    <w:abstractNumId w:val="33"/>
  </w:num>
  <w:num w:numId="106" w16cid:durableId="1610696129">
    <w:abstractNumId w:val="12"/>
  </w:num>
  <w:num w:numId="107" w16cid:durableId="896402174">
    <w:abstractNumId w:val="63"/>
  </w:num>
  <w:num w:numId="108" w16cid:durableId="2114351897">
    <w:abstractNumId w:val="96"/>
  </w:num>
  <w:num w:numId="109" w16cid:durableId="924800137">
    <w:abstractNumId w:val="64"/>
  </w:num>
  <w:num w:numId="110" w16cid:durableId="1770929077">
    <w:abstractNumId w:val="51"/>
  </w:num>
  <w:num w:numId="111" w16cid:durableId="1499690326">
    <w:abstractNumId w:val="133"/>
  </w:num>
  <w:num w:numId="112" w16cid:durableId="86077866">
    <w:abstractNumId w:val="20"/>
  </w:num>
  <w:num w:numId="113" w16cid:durableId="1264923255">
    <w:abstractNumId w:val="78"/>
  </w:num>
  <w:num w:numId="114" w16cid:durableId="132605677">
    <w:abstractNumId w:val="112"/>
  </w:num>
  <w:num w:numId="115" w16cid:durableId="2128769332">
    <w:abstractNumId w:val="55"/>
  </w:num>
  <w:num w:numId="116" w16cid:durableId="1447847394">
    <w:abstractNumId w:val="109"/>
  </w:num>
  <w:num w:numId="117" w16cid:durableId="1925408396">
    <w:abstractNumId w:val="41"/>
  </w:num>
  <w:num w:numId="118" w16cid:durableId="1184325895">
    <w:abstractNumId w:val="17"/>
  </w:num>
  <w:num w:numId="119" w16cid:durableId="280889106">
    <w:abstractNumId w:val="103"/>
  </w:num>
  <w:num w:numId="120" w16cid:durableId="2036231775">
    <w:abstractNumId w:val="50"/>
  </w:num>
  <w:num w:numId="121" w16cid:durableId="338970076">
    <w:abstractNumId w:val="102"/>
  </w:num>
  <w:num w:numId="122" w16cid:durableId="1013608482">
    <w:abstractNumId w:val="116"/>
  </w:num>
  <w:num w:numId="123" w16cid:durableId="1268385836">
    <w:abstractNumId w:val="16"/>
  </w:num>
  <w:num w:numId="124" w16cid:durableId="384573884">
    <w:abstractNumId w:val="82"/>
  </w:num>
  <w:num w:numId="125" w16cid:durableId="1136217318">
    <w:abstractNumId w:val="99"/>
  </w:num>
  <w:num w:numId="126" w16cid:durableId="245043902">
    <w:abstractNumId w:val="90"/>
  </w:num>
  <w:num w:numId="127" w16cid:durableId="2131052430">
    <w:abstractNumId w:val="61"/>
  </w:num>
  <w:num w:numId="128" w16cid:durableId="1295019198">
    <w:abstractNumId w:val="114"/>
  </w:num>
  <w:num w:numId="129" w16cid:durableId="1747798734">
    <w:abstractNumId w:val="81"/>
  </w:num>
  <w:num w:numId="130" w16cid:durableId="1061715887">
    <w:abstractNumId w:val="58"/>
  </w:num>
  <w:num w:numId="131" w16cid:durableId="1239246243">
    <w:abstractNumId w:val="94"/>
  </w:num>
  <w:num w:numId="132" w16cid:durableId="1742826756">
    <w:abstractNumId w:val="29"/>
  </w:num>
  <w:num w:numId="133" w16cid:durableId="1690596829">
    <w:abstractNumId w:val="44"/>
  </w:num>
  <w:num w:numId="134" w16cid:durableId="243881440">
    <w:abstractNumId w:val="42"/>
  </w:num>
  <w:num w:numId="135" w16cid:durableId="838928647">
    <w:abstractNumId w:val="62"/>
  </w:num>
  <w:num w:numId="136" w16cid:durableId="202598876">
    <w:abstractNumId w:val="24"/>
  </w:num>
  <w:num w:numId="137" w16cid:durableId="704140571">
    <w:abstractNumId w:val="93"/>
  </w:num>
  <w:num w:numId="138" w16cid:durableId="456484134">
    <w:abstractNumId w:val="74"/>
  </w:num>
  <w:num w:numId="139" w16cid:durableId="598026978">
    <w:abstractNumId w:val="120"/>
  </w:num>
  <w:num w:numId="140" w16cid:durableId="967855294">
    <w:abstractNumId w:val="37"/>
  </w:num>
  <w:num w:numId="141" w16cid:durableId="741368252">
    <w:abstractNumId w:val="38"/>
  </w:num>
  <w:num w:numId="142" w16cid:durableId="1835029868">
    <w:abstractNumId w:val="106"/>
  </w:num>
  <w:num w:numId="143" w16cid:durableId="1217352591">
    <w:abstractNumId w:val="127"/>
  </w:num>
  <w:num w:numId="144" w16cid:durableId="1478761600">
    <w:abstractNumId w:val="52"/>
  </w:num>
  <w:num w:numId="145" w16cid:durableId="1224869593">
    <w:abstractNumId w:val="43"/>
  </w:num>
  <w:num w:numId="146" w16cid:durableId="1283072297">
    <w:abstractNumId w:val="134"/>
  </w:num>
  <w:num w:numId="147" w16cid:durableId="2129928807">
    <w:abstractNumId w:val="80"/>
  </w:num>
  <w:num w:numId="148" w16cid:durableId="2062628022">
    <w:abstractNumId w:val="22"/>
  </w:num>
  <w:num w:numId="149" w16cid:durableId="659846400">
    <w:abstractNumId w:val="10"/>
  </w:num>
  <w:num w:numId="150" w16cid:durableId="2065130091">
    <w:abstractNumId w:val="60"/>
  </w:num>
  <w:num w:numId="151" w16cid:durableId="164134570">
    <w:abstractNumId w:val="142"/>
  </w:num>
  <w:num w:numId="152" w16cid:durableId="1329479907">
    <w:abstractNumId w:val="142"/>
  </w:num>
  <w:num w:numId="153" w16cid:durableId="90394750">
    <w:abstractNumId w:val="142"/>
  </w:num>
  <w:num w:numId="154" w16cid:durableId="1756049911">
    <w:abstractNumId w:val="142"/>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cumentProtection w:edit="trackedChanges" w:enforcement="0"/>
  <w:defaultTabStop w:val="567"/>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2BA"/>
    <w:rsid w:val="00000049"/>
    <w:rsid w:val="0000009C"/>
    <w:rsid w:val="0000013C"/>
    <w:rsid w:val="00000316"/>
    <w:rsid w:val="00000464"/>
    <w:rsid w:val="0000049C"/>
    <w:rsid w:val="0000063B"/>
    <w:rsid w:val="000006A0"/>
    <w:rsid w:val="000006D8"/>
    <w:rsid w:val="0000077B"/>
    <w:rsid w:val="00000935"/>
    <w:rsid w:val="00000976"/>
    <w:rsid w:val="00000AE4"/>
    <w:rsid w:val="00000B07"/>
    <w:rsid w:val="00000B30"/>
    <w:rsid w:val="00000B78"/>
    <w:rsid w:val="00000B7B"/>
    <w:rsid w:val="00000BA6"/>
    <w:rsid w:val="00000C83"/>
    <w:rsid w:val="00000DC7"/>
    <w:rsid w:val="00000ED4"/>
    <w:rsid w:val="00001156"/>
    <w:rsid w:val="000013EF"/>
    <w:rsid w:val="00001410"/>
    <w:rsid w:val="00001563"/>
    <w:rsid w:val="0000161D"/>
    <w:rsid w:val="00001696"/>
    <w:rsid w:val="000016C2"/>
    <w:rsid w:val="000016F7"/>
    <w:rsid w:val="0000187B"/>
    <w:rsid w:val="00001966"/>
    <w:rsid w:val="000019E5"/>
    <w:rsid w:val="00001AC1"/>
    <w:rsid w:val="00001B61"/>
    <w:rsid w:val="00001C5C"/>
    <w:rsid w:val="00001CC8"/>
    <w:rsid w:val="00001CE8"/>
    <w:rsid w:val="00001D1A"/>
    <w:rsid w:val="00001D46"/>
    <w:rsid w:val="000020F0"/>
    <w:rsid w:val="000020F4"/>
    <w:rsid w:val="00002287"/>
    <w:rsid w:val="00002341"/>
    <w:rsid w:val="0000234A"/>
    <w:rsid w:val="00002382"/>
    <w:rsid w:val="000024B9"/>
    <w:rsid w:val="0000263C"/>
    <w:rsid w:val="000026F3"/>
    <w:rsid w:val="0000274B"/>
    <w:rsid w:val="00002773"/>
    <w:rsid w:val="00002A18"/>
    <w:rsid w:val="00002B1A"/>
    <w:rsid w:val="00002B29"/>
    <w:rsid w:val="00002BC1"/>
    <w:rsid w:val="00002C7D"/>
    <w:rsid w:val="00002C7F"/>
    <w:rsid w:val="00002C80"/>
    <w:rsid w:val="00002C9A"/>
    <w:rsid w:val="0000311E"/>
    <w:rsid w:val="000031E1"/>
    <w:rsid w:val="000032A4"/>
    <w:rsid w:val="000032B3"/>
    <w:rsid w:val="00003360"/>
    <w:rsid w:val="00003477"/>
    <w:rsid w:val="000034A5"/>
    <w:rsid w:val="00003599"/>
    <w:rsid w:val="0000359C"/>
    <w:rsid w:val="000036BF"/>
    <w:rsid w:val="00003763"/>
    <w:rsid w:val="000037BB"/>
    <w:rsid w:val="0000388E"/>
    <w:rsid w:val="0000389E"/>
    <w:rsid w:val="000038C5"/>
    <w:rsid w:val="00003A82"/>
    <w:rsid w:val="00003B78"/>
    <w:rsid w:val="00003B9B"/>
    <w:rsid w:val="00003BE3"/>
    <w:rsid w:val="00003C4C"/>
    <w:rsid w:val="00003DD7"/>
    <w:rsid w:val="00003F7C"/>
    <w:rsid w:val="00003FC7"/>
    <w:rsid w:val="0000441C"/>
    <w:rsid w:val="0000467E"/>
    <w:rsid w:val="000048A6"/>
    <w:rsid w:val="000048EF"/>
    <w:rsid w:val="00004A3C"/>
    <w:rsid w:val="00004A90"/>
    <w:rsid w:val="00004A97"/>
    <w:rsid w:val="00004B7E"/>
    <w:rsid w:val="00004BC6"/>
    <w:rsid w:val="00004CB3"/>
    <w:rsid w:val="00004D13"/>
    <w:rsid w:val="00004E8C"/>
    <w:rsid w:val="00004F32"/>
    <w:rsid w:val="00004F44"/>
    <w:rsid w:val="00004FF7"/>
    <w:rsid w:val="000050D3"/>
    <w:rsid w:val="00005209"/>
    <w:rsid w:val="00005235"/>
    <w:rsid w:val="000052B5"/>
    <w:rsid w:val="000052CC"/>
    <w:rsid w:val="00005385"/>
    <w:rsid w:val="00005433"/>
    <w:rsid w:val="000055D6"/>
    <w:rsid w:val="00005682"/>
    <w:rsid w:val="00005712"/>
    <w:rsid w:val="00005716"/>
    <w:rsid w:val="00005739"/>
    <w:rsid w:val="00005815"/>
    <w:rsid w:val="000058A6"/>
    <w:rsid w:val="00005918"/>
    <w:rsid w:val="00005919"/>
    <w:rsid w:val="0000599A"/>
    <w:rsid w:val="000059D4"/>
    <w:rsid w:val="00005A2B"/>
    <w:rsid w:val="00005ADD"/>
    <w:rsid w:val="00005BE7"/>
    <w:rsid w:val="00005BEC"/>
    <w:rsid w:val="00005E1D"/>
    <w:rsid w:val="00005FB0"/>
    <w:rsid w:val="0000623B"/>
    <w:rsid w:val="00006348"/>
    <w:rsid w:val="00006353"/>
    <w:rsid w:val="000063F4"/>
    <w:rsid w:val="00006498"/>
    <w:rsid w:val="00006523"/>
    <w:rsid w:val="0000681A"/>
    <w:rsid w:val="0000695B"/>
    <w:rsid w:val="00006991"/>
    <w:rsid w:val="00006ABD"/>
    <w:rsid w:val="00006B0B"/>
    <w:rsid w:val="00006C26"/>
    <w:rsid w:val="00006CAF"/>
    <w:rsid w:val="00006CBB"/>
    <w:rsid w:val="00006D0E"/>
    <w:rsid w:val="00006D6B"/>
    <w:rsid w:val="000070D4"/>
    <w:rsid w:val="000071E0"/>
    <w:rsid w:val="00007368"/>
    <w:rsid w:val="000073B7"/>
    <w:rsid w:val="0000749B"/>
    <w:rsid w:val="00007551"/>
    <w:rsid w:val="00007678"/>
    <w:rsid w:val="000076F9"/>
    <w:rsid w:val="00007757"/>
    <w:rsid w:val="00007802"/>
    <w:rsid w:val="00007809"/>
    <w:rsid w:val="00007829"/>
    <w:rsid w:val="0000782F"/>
    <w:rsid w:val="00007848"/>
    <w:rsid w:val="00007BC3"/>
    <w:rsid w:val="00007C42"/>
    <w:rsid w:val="00007CCF"/>
    <w:rsid w:val="00007EAE"/>
    <w:rsid w:val="00007F40"/>
    <w:rsid w:val="000100E1"/>
    <w:rsid w:val="00010149"/>
    <w:rsid w:val="000103AD"/>
    <w:rsid w:val="0001042D"/>
    <w:rsid w:val="00010486"/>
    <w:rsid w:val="00010642"/>
    <w:rsid w:val="00010651"/>
    <w:rsid w:val="00010825"/>
    <w:rsid w:val="00010A12"/>
    <w:rsid w:val="00010A3F"/>
    <w:rsid w:val="00010A44"/>
    <w:rsid w:val="00010A57"/>
    <w:rsid w:val="00010AF2"/>
    <w:rsid w:val="00010C45"/>
    <w:rsid w:val="00010D2B"/>
    <w:rsid w:val="00010D35"/>
    <w:rsid w:val="00010E42"/>
    <w:rsid w:val="00010E86"/>
    <w:rsid w:val="00011094"/>
    <w:rsid w:val="000112F2"/>
    <w:rsid w:val="0001131A"/>
    <w:rsid w:val="0001132E"/>
    <w:rsid w:val="00011352"/>
    <w:rsid w:val="00011485"/>
    <w:rsid w:val="000114A5"/>
    <w:rsid w:val="0001154B"/>
    <w:rsid w:val="0001158A"/>
    <w:rsid w:val="00011628"/>
    <w:rsid w:val="00011709"/>
    <w:rsid w:val="0001175F"/>
    <w:rsid w:val="000118B0"/>
    <w:rsid w:val="00011937"/>
    <w:rsid w:val="00011AE2"/>
    <w:rsid w:val="00011BB4"/>
    <w:rsid w:val="00011D5E"/>
    <w:rsid w:val="00011D6A"/>
    <w:rsid w:val="00011D8B"/>
    <w:rsid w:val="00011DEB"/>
    <w:rsid w:val="00011E7C"/>
    <w:rsid w:val="00011F15"/>
    <w:rsid w:val="00012039"/>
    <w:rsid w:val="00012173"/>
    <w:rsid w:val="000121AD"/>
    <w:rsid w:val="0001242D"/>
    <w:rsid w:val="0001277F"/>
    <w:rsid w:val="000127B5"/>
    <w:rsid w:val="000127E8"/>
    <w:rsid w:val="000128E4"/>
    <w:rsid w:val="000129BF"/>
    <w:rsid w:val="000129C2"/>
    <w:rsid w:val="00012A61"/>
    <w:rsid w:val="00012A77"/>
    <w:rsid w:val="00012A94"/>
    <w:rsid w:val="00012A9D"/>
    <w:rsid w:val="00012D37"/>
    <w:rsid w:val="00012DB3"/>
    <w:rsid w:val="00012DFC"/>
    <w:rsid w:val="00012E2A"/>
    <w:rsid w:val="00012FC7"/>
    <w:rsid w:val="00013072"/>
    <w:rsid w:val="00013144"/>
    <w:rsid w:val="000131A2"/>
    <w:rsid w:val="00013260"/>
    <w:rsid w:val="000132B7"/>
    <w:rsid w:val="00013507"/>
    <w:rsid w:val="00013538"/>
    <w:rsid w:val="0001357A"/>
    <w:rsid w:val="000135CB"/>
    <w:rsid w:val="00013872"/>
    <w:rsid w:val="00013888"/>
    <w:rsid w:val="000138E1"/>
    <w:rsid w:val="00013B3D"/>
    <w:rsid w:val="00013BDD"/>
    <w:rsid w:val="00013C0A"/>
    <w:rsid w:val="00013CCF"/>
    <w:rsid w:val="00013CFD"/>
    <w:rsid w:val="00013D7A"/>
    <w:rsid w:val="00013DE6"/>
    <w:rsid w:val="00013F1D"/>
    <w:rsid w:val="0001409C"/>
    <w:rsid w:val="00014216"/>
    <w:rsid w:val="00014221"/>
    <w:rsid w:val="000142D5"/>
    <w:rsid w:val="000142FB"/>
    <w:rsid w:val="00014485"/>
    <w:rsid w:val="000144BD"/>
    <w:rsid w:val="00014A20"/>
    <w:rsid w:val="00014B81"/>
    <w:rsid w:val="00014D1B"/>
    <w:rsid w:val="00014E37"/>
    <w:rsid w:val="00015020"/>
    <w:rsid w:val="000150F4"/>
    <w:rsid w:val="00015301"/>
    <w:rsid w:val="0001555C"/>
    <w:rsid w:val="00015830"/>
    <w:rsid w:val="000159B7"/>
    <w:rsid w:val="00015A54"/>
    <w:rsid w:val="00015A58"/>
    <w:rsid w:val="00015C29"/>
    <w:rsid w:val="00015C3F"/>
    <w:rsid w:val="00015E47"/>
    <w:rsid w:val="00015E6F"/>
    <w:rsid w:val="00016059"/>
    <w:rsid w:val="00016061"/>
    <w:rsid w:val="000160F7"/>
    <w:rsid w:val="0001610E"/>
    <w:rsid w:val="00016122"/>
    <w:rsid w:val="000161B7"/>
    <w:rsid w:val="000161FC"/>
    <w:rsid w:val="000163F7"/>
    <w:rsid w:val="0001642A"/>
    <w:rsid w:val="0001647B"/>
    <w:rsid w:val="000164DD"/>
    <w:rsid w:val="00016558"/>
    <w:rsid w:val="00016588"/>
    <w:rsid w:val="00016626"/>
    <w:rsid w:val="00016645"/>
    <w:rsid w:val="0001675C"/>
    <w:rsid w:val="000167BC"/>
    <w:rsid w:val="0001685D"/>
    <w:rsid w:val="000168FA"/>
    <w:rsid w:val="000169E5"/>
    <w:rsid w:val="00016A8E"/>
    <w:rsid w:val="00016B66"/>
    <w:rsid w:val="00016CD4"/>
    <w:rsid w:val="00016D3F"/>
    <w:rsid w:val="00016E90"/>
    <w:rsid w:val="00017375"/>
    <w:rsid w:val="00017402"/>
    <w:rsid w:val="0001753E"/>
    <w:rsid w:val="00017545"/>
    <w:rsid w:val="00017556"/>
    <w:rsid w:val="000176B8"/>
    <w:rsid w:val="000177AD"/>
    <w:rsid w:val="000177CF"/>
    <w:rsid w:val="000178C4"/>
    <w:rsid w:val="000179A0"/>
    <w:rsid w:val="000179C6"/>
    <w:rsid w:val="00017BC6"/>
    <w:rsid w:val="00017C29"/>
    <w:rsid w:val="00017C65"/>
    <w:rsid w:val="00017DE9"/>
    <w:rsid w:val="00017E32"/>
    <w:rsid w:val="00017EBB"/>
    <w:rsid w:val="00017F65"/>
    <w:rsid w:val="00017F69"/>
    <w:rsid w:val="00017F81"/>
    <w:rsid w:val="00020010"/>
    <w:rsid w:val="00020025"/>
    <w:rsid w:val="000202D8"/>
    <w:rsid w:val="0002045C"/>
    <w:rsid w:val="000205E3"/>
    <w:rsid w:val="000206BD"/>
    <w:rsid w:val="00020708"/>
    <w:rsid w:val="00020744"/>
    <w:rsid w:val="00020759"/>
    <w:rsid w:val="0002078A"/>
    <w:rsid w:val="000208BB"/>
    <w:rsid w:val="000208D8"/>
    <w:rsid w:val="0002094C"/>
    <w:rsid w:val="00020A8F"/>
    <w:rsid w:val="00020ABD"/>
    <w:rsid w:val="00020AD5"/>
    <w:rsid w:val="00020BA9"/>
    <w:rsid w:val="00020BB4"/>
    <w:rsid w:val="00020BB8"/>
    <w:rsid w:val="00020C14"/>
    <w:rsid w:val="00020CA5"/>
    <w:rsid w:val="00020D2E"/>
    <w:rsid w:val="00020D2F"/>
    <w:rsid w:val="00020DA2"/>
    <w:rsid w:val="00020E0A"/>
    <w:rsid w:val="00020E3C"/>
    <w:rsid w:val="00020EE7"/>
    <w:rsid w:val="00020F34"/>
    <w:rsid w:val="00020F87"/>
    <w:rsid w:val="00021145"/>
    <w:rsid w:val="00021149"/>
    <w:rsid w:val="0002114C"/>
    <w:rsid w:val="000211B4"/>
    <w:rsid w:val="00021274"/>
    <w:rsid w:val="000212CC"/>
    <w:rsid w:val="0002153C"/>
    <w:rsid w:val="000216CD"/>
    <w:rsid w:val="00021706"/>
    <w:rsid w:val="000218B2"/>
    <w:rsid w:val="00021915"/>
    <w:rsid w:val="00021A25"/>
    <w:rsid w:val="00021BBB"/>
    <w:rsid w:val="00021C43"/>
    <w:rsid w:val="00021E96"/>
    <w:rsid w:val="00021F6E"/>
    <w:rsid w:val="00021F99"/>
    <w:rsid w:val="0002208C"/>
    <w:rsid w:val="000220B6"/>
    <w:rsid w:val="000221D4"/>
    <w:rsid w:val="00022282"/>
    <w:rsid w:val="00022323"/>
    <w:rsid w:val="000226C5"/>
    <w:rsid w:val="00022796"/>
    <w:rsid w:val="00022A65"/>
    <w:rsid w:val="00022B6C"/>
    <w:rsid w:val="00022C1D"/>
    <w:rsid w:val="00022E36"/>
    <w:rsid w:val="00022E93"/>
    <w:rsid w:val="00022EA3"/>
    <w:rsid w:val="00022EFA"/>
    <w:rsid w:val="0002308B"/>
    <w:rsid w:val="00023095"/>
    <w:rsid w:val="000231FA"/>
    <w:rsid w:val="000233E2"/>
    <w:rsid w:val="000233EC"/>
    <w:rsid w:val="000234B2"/>
    <w:rsid w:val="000234C5"/>
    <w:rsid w:val="00023510"/>
    <w:rsid w:val="0002355F"/>
    <w:rsid w:val="000235B1"/>
    <w:rsid w:val="000235E4"/>
    <w:rsid w:val="00023634"/>
    <w:rsid w:val="0002375B"/>
    <w:rsid w:val="0002379D"/>
    <w:rsid w:val="0002382B"/>
    <w:rsid w:val="0002386B"/>
    <w:rsid w:val="00023901"/>
    <w:rsid w:val="00023AE5"/>
    <w:rsid w:val="00023B45"/>
    <w:rsid w:val="00023BA1"/>
    <w:rsid w:val="00023D82"/>
    <w:rsid w:val="00023DBF"/>
    <w:rsid w:val="00023E0C"/>
    <w:rsid w:val="00023E4C"/>
    <w:rsid w:val="00023F6A"/>
    <w:rsid w:val="00023FE8"/>
    <w:rsid w:val="00024270"/>
    <w:rsid w:val="00024309"/>
    <w:rsid w:val="0002445E"/>
    <w:rsid w:val="00024525"/>
    <w:rsid w:val="0002466F"/>
    <w:rsid w:val="00024733"/>
    <w:rsid w:val="0002475A"/>
    <w:rsid w:val="000247D6"/>
    <w:rsid w:val="0002493A"/>
    <w:rsid w:val="00024BA2"/>
    <w:rsid w:val="00024D17"/>
    <w:rsid w:val="0002503E"/>
    <w:rsid w:val="000250AA"/>
    <w:rsid w:val="000251F0"/>
    <w:rsid w:val="000252F6"/>
    <w:rsid w:val="0002542A"/>
    <w:rsid w:val="0002545C"/>
    <w:rsid w:val="00025529"/>
    <w:rsid w:val="00025562"/>
    <w:rsid w:val="00025593"/>
    <w:rsid w:val="00025696"/>
    <w:rsid w:val="000256CB"/>
    <w:rsid w:val="00025765"/>
    <w:rsid w:val="00025837"/>
    <w:rsid w:val="00025896"/>
    <w:rsid w:val="00025979"/>
    <w:rsid w:val="00025E60"/>
    <w:rsid w:val="00025F35"/>
    <w:rsid w:val="00025F62"/>
    <w:rsid w:val="00025FC7"/>
    <w:rsid w:val="0002614A"/>
    <w:rsid w:val="000261BB"/>
    <w:rsid w:val="000261C7"/>
    <w:rsid w:val="00026321"/>
    <w:rsid w:val="00026322"/>
    <w:rsid w:val="00026346"/>
    <w:rsid w:val="00026360"/>
    <w:rsid w:val="000263F6"/>
    <w:rsid w:val="00026580"/>
    <w:rsid w:val="00026630"/>
    <w:rsid w:val="00026634"/>
    <w:rsid w:val="000266B3"/>
    <w:rsid w:val="0002697B"/>
    <w:rsid w:val="0002697D"/>
    <w:rsid w:val="000269EB"/>
    <w:rsid w:val="00026A55"/>
    <w:rsid w:val="00026CEE"/>
    <w:rsid w:val="00026D6E"/>
    <w:rsid w:val="00026EC2"/>
    <w:rsid w:val="00027041"/>
    <w:rsid w:val="00027079"/>
    <w:rsid w:val="0002711D"/>
    <w:rsid w:val="00027152"/>
    <w:rsid w:val="0002715A"/>
    <w:rsid w:val="0002719F"/>
    <w:rsid w:val="00027231"/>
    <w:rsid w:val="00027438"/>
    <w:rsid w:val="0002750A"/>
    <w:rsid w:val="00027539"/>
    <w:rsid w:val="00027554"/>
    <w:rsid w:val="00027692"/>
    <w:rsid w:val="000277E4"/>
    <w:rsid w:val="0002789E"/>
    <w:rsid w:val="00027ACB"/>
    <w:rsid w:val="00027B23"/>
    <w:rsid w:val="00027BBA"/>
    <w:rsid w:val="00027C43"/>
    <w:rsid w:val="000300A5"/>
    <w:rsid w:val="0003020D"/>
    <w:rsid w:val="00030302"/>
    <w:rsid w:val="00030313"/>
    <w:rsid w:val="00030461"/>
    <w:rsid w:val="0003046D"/>
    <w:rsid w:val="000304C0"/>
    <w:rsid w:val="000305A2"/>
    <w:rsid w:val="000306CB"/>
    <w:rsid w:val="0003072D"/>
    <w:rsid w:val="000307AC"/>
    <w:rsid w:val="000308C3"/>
    <w:rsid w:val="00030914"/>
    <w:rsid w:val="00030923"/>
    <w:rsid w:val="00030941"/>
    <w:rsid w:val="00030972"/>
    <w:rsid w:val="00030A18"/>
    <w:rsid w:val="00030C1C"/>
    <w:rsid w:val="00030C34"/>
    <w:rsid w:val="00030CCB"/>
    <w:rsid w:val="00030D69"/>
    <w:rsid w:val="00030E66"/>
    <w:rsid w:val="00030EDB"/>
    <w:rsid w:val="00030F03"/>
    <w:rsid w:val="00030FEA"/>
    <w:rsid w:val="0003138B"/>
    <w:rsid w:val="00031472"/>
    <w:rsid w:val="000314CB"/>
    <w:rsid w:val="000315A0"/>
    <w:rsid w:val="0003174A"/>
    <w:rsid w:val="00031781"/>
    <w:rsid w:val="0003182B"/>
    <w:rsid w:val="00031A19"/>
    <w:rsid w:val="00031B16"/>
    <w:rsid w:val="00031BA2"/>
    <w:rsid w:val="00031D0F"/>
    <w:rsid w:val="00031F42"/>
    <w:rsid w:val="00031F97"/>
    <w:rsid w:val="00031FF7"/>
    <w:rsid w:val="00032027"/>
    <w:rsid w:val="0003214E"/>
    <w:rsid w:val="00032230"/>
    <w:rsid w:val="00032303"/>
    <w:rsid w:val="000323D1"/>
    <w:rsid w:val="0003251F"/>
    <w:rsid w:val="0003264D"/>
    <w:rsid w:val="0003277C"/>
    <w:rsid w:val="000327B4"/>
    <w:rsid w:val="000327CB"/>
    <w:rsid w:val="000327FD"/>
    <w:rsid w:val="00032895"/>
    <w:rsid w:val="0003291B"/>
    <w:rsid w:val="00032965"/>
    <w:rsid w:val="00032BA9"/>
    <w:rsid w:val="00032C90"/>
    <w:rsid w:val="00032D5C"/>
    <w:rsid w:val="00032DCD"/>
    <w:rsid w:val="00032E36"/>
    <w:rsid w:val="00032E8E"/>
    <w:rsid w:val="000333FF"/>
    <w:rsid w:val="00033428"/>
    <w:rsid w:val="00033510"/>
    <w:rsid w:val="00033528"/>
    <w:rsid w:val="00033620"/>
    <w:rsid w:val="00033708"/>
    <w:rsid w:val="00033750"/>
    <w:rsid w:val="00033793"/>
    <w:rsid w:val="000337B5"/>
    <w:rsid w:val="000337F1"/>
    <w:rsid w:val="000339D2"/>
    <w:rsid w:val="00033AEA"/>
    <w:rsid w:val="00033BD2"/>
    <w:rsid w:val="00033C6D"/>
    <w:rsid w:val="00033D37"/>
    <w:rsid w:val="00033DD0"/>
    <w:rsid w:val="00033DE1"/>
    <w:rsid w:val="00033ED1"/>
    <w:rsid w:val="00033F8A"/>
    <w:rsid w:val="00033FD8"/>
    <w:rsid w:val="000341C2"/>
    <w:rsid w:val="00034240"/>
    <w:rsid w:val="00034262"/>
    <w:rsid w:val="0003426B"/>
    <w:rsid w:val="0003431F"/>
    <w:rsid w:val="00034454"/>
    <w:rsid w:val="0003452F"/>
    <w:rsid w:val="000345E0"/>
    <w:rsid w:val="00034673"/>
    <w:rsid w:val="00034675"/>
    <w:rsid w:val="00034895"/>
    <w:rsid w:val="00034953"/>
    <w:rsid w:val="00034AC9"/>
    <w:rsid w:val="00034D12"/>
    <w:rsid w:val="00034DAD"/>
    <w:rsid w:val="00034DCE"/>
    <w:rsid w:val="00034E4D"/>
    <w:rsid w:val="00034FB2"/>
    <w:rsid w:val="00034FEB"/>
    <w:rsid w:val="000350AF"/>
    <w:rsid w:val="00035108"/>
    <w:rsid w:val="00035313"/>
    <w:rsid w:val="000354BE"/>
    <w:rsid w:val="0003556E"/>
    <w:rsid w:val="0003577E"/>
    <w:rsid w:val="000358C4"/>
    <w:rsid w:val="00035A6D"/>
    <w:rsid w:val="00035AF3"/>
    <w:rsid w:val="00035FF1"/>
    <w:rsid w:val="00036204"/>
    <w:rsid w:val="000363D5"/>
    <w:rsid w:val="000363ED"/>
    <w:rsid w:val="000364E3"/>
    <w:rsid w:val="00036541"/>
    <w:rsid w:val="00036671"/>
    <w:rsid w:val="00036674"/>
    <w:rsid w:val="0003668F"/>
    <w:rsid w:val="0003696F"/>
    <w:rsid w:val="00036B1D"/>
    <w:rsid w:val="00036BCF"/>
    <w:rsid w:val="00036BF2"/>
    <w:rsid w:val="00036C1E"/>
    <w:rsid w:val="00036C1F"/>
    <w:rsid w:val="00036C30"/>
    <w:rsid w:val="00036C99"/>
    <w:rsid w:val="00036D36"/>
    <w:rsid w:val="00036DE7"/>
    <w:rsid w:val="00037073"/>
    <w:rsid w:val="000370E9"/>
    <w:rsid w:val="000370FC"/>
    <w:rsid w:val="0003720E"/>
    <w:rsid w:val="00037226"/>
    <w:rsid w:val="000372FA"/>
    <w:rsid w:val="000373FF"/>
    <w:rsid w:val="00037499"/>
    <w:rsid w:val="000375EF"/>
    <w:rsid w:val="00037615"/>
    <w:rsid w:val="00037675"/>
    <w:rsid w:val="00037793"/>
    <w:rsid w:val="00037886"/>
    <w:rsid w:val="000378A0"/>
    <w:rsid w:val="00037985"/>
    <w:rsid w:val="00037A7D"/>
    <w:rsid w:val="00037AA2"/>
    <w:rsid w:val="00037AF8"/>
    <w:rsid w:val="00037BE1"/>
    <w:rsid w:val="00037C28"/>
    <w:rsid w:val="00037CAE"/>
    <w:rsid w:val="00037CE2"/>
    <w:rsid w:val="00037F39"/>
    <w:rsid w:val="0004024C"/>
    <w:rsid w:val="00040398"/>
    <w:rsid w:val="000405FD"/>
    <w:rsid w:val="00040635"/>
    <w:rsid w:val="0004079B"/>
    <w:rsid w:val="000407AB"/>
    <w:rsid w:val="000409E2"/>
    <w:rsid w:val="00040A3D"/>
    <w:rsid w:val="00040DE2"/>
    <w:rsid w:val="00040DF1"/>
    <w:rsid w:val="00040E65"/>
    <w:rsid w:val="00040EC6"/>
    <w:rsid w:val="000411FB"/>
    <w:rsid w:val="000412B1"/>
    <w:rsid w:val="00041315"/>
    <w:rsid w:val="0004145F"/>
    <w:rsid w:val="0004149C"/>
    <w:rsid w:val="0004150D"/>
    <w:rsid w:val="00041577"/>
    <w:rsid w:val="000415CE"/>
    <w:rsid w:val="0004165B"/>
    <w:rsid w:val="00041783"/>
    <w:rsid w:val="0004195B"/>
    <w:rsid w:val="00041986"/>
    <w:rsid w:val="00041AC8"/>
    <w:rsid w:val="00041C99"/>
    <w:rsid w:val="00041DC9"/>
    <w:rsid w:val="00041DDD"/>
    <w:rsid w:val="00041ED9"/>
    <w:rsid w:val="00041EEB"/>
    <w:rsid w:val="00041F5F"/>
    <w:rsid w:val="00042043"/>
    <w:rsid w:val="00042052"/>
    <w:rsid w:val="00042134"/>
    <w:rsid w:val="000421A8"/>
    <w:rsid w:val="0004220B"/>
    <w:rsid w:val="00042241"/>
    <w:rsid w:val="0004255A"/>
    <w:rsid w:val="00042643"/>
    <w:rsid w:val="000426DF"/>
    <w:rsid w:val="00042756"/>
    <w:rsid w:val="00042840"/>
    <w:rsid w:val="000428B3"/>
    <w:rsid w:val="00042926"/>
    <w:rsid w:val="00042A82"/>
    <w:rsid w:val="00042C82"/>
    <w:rsid w:val="00042CEE"/>
    <w:rsid w:val="00042E67"/>
    <w:rsid w:val="00042EA0"/>
    <w:rsid w:val="00042F4B"/>
    <w:rsid w:val="00043020"/>
    <w:rsid w:val="0004305B"/>
    <w:rsid w:val="0004326B"/>
    <w:rsid w:val="00043369"/>
    <w:rsid w:val="0004345F"/>
    <w:rsid w:val="000435C1"/>
    <w:rsid w:val="000435F0"/>
    <w:rsid w:val="00043655"/>
    <w:rsid w:val="00043A03"/>
    <w:rsid w:val="00043B46"/>
    <w:rsid w:val="00043BE9"/>
    <w:rsid w:val="00043C9E"/>
    <w:rsid w:val="00043EA4"/>
    <w:rsid w:val="00043EF9"/>
    <w:rsid w:val="0004425E"/>
    <w:rsid w:val="0004435D"/>
    <w:rsid w:val="00044512"/>
    <w:rsid w:val="000445A3"/>
    <w:rsid w:val="000446DA"/>
    <w:rsid w:val="000446E8"/>
    <w:rsid w:val="0004475F"/>
    <w:rsid w:val="000447C8"/>
    <w:rsid w:val="000447D3"/>
    <w:rsid w:val="00044AC2"/>
    <w:rsid w:val="00044B63"/>
    <w:rsid w:val="00044CC4"/>
    <w:rsid w:val="00044D18"/>
    <w:rsid w:val="00044DCD"/>
    <w:rsid w:val="00044E79"/>
    <w:rsid w:val="00044EA1"/>
    <w:rsid w:val="00044EFA"/>
    <w:rsid w:val="00044F39"/>
    <w:rsid w:val="00044FC2"/>
    <w:rsid w:val="00044FD6"/>
    <w:rsid w:val="0004503C"/>
    <w:rsid w:val="00045066"/>
    <w:rsid w:val="000450B0"/>
    <w:rsid w:val="00045246"/>
    <w:rsid w:val="000454DB"/>
    <w:rsid w:val="00045643"/>
    <w:rsid w:val="0004568B"/>
    <w:rsid w:val="000458F7"/>
    <w:rsid w:val="00045991"/>
    <w:rsid w:val="00045A43"/>
    <w:rsid w:val="00045A78"/>
    <w:rsid w:val="00045CB7"/>
    <w:rsid w:val="00045CFB"/>
    <w:rsid w:val="00045E04"/>
    <w:rsid w:val="00045EE2"/>
    <w:rsid w:val="00045F0D"/>
    <w:rsid w:val="00045F0F"/>
    <w:rsid w:val="00045FC7"/>
    <w:rsid w:val="00046083"/>
    <w:rsid w:val="00046121"/>
    <w:rsid w:val="00046173"/>
    <w:rsid w:val="00046187"/>
    <w:rsid w:val="00046256"/>
    <w:rsid w:val="0004627E"/>
    <w:rsid w:val="000462BC"/>
    <w:rsid w:val="0004631F"/>
    <w:rsid w:val="0004648A"/>
    <w:rsid w:val="000466BB"/>
    <w:rsid w:val="00046703"/>
    <w:rsid w:val="0004679C"/>
    <w:rsid w:val="00046927"/>
    <w:rsid w:val="00046950"/>
    <w:rsid w:val="00046AB8"/>
    <w:rsid w:val="00046ADD"/>
    <w:rsid w:val="00046B32"/>
    <w:rsid w:val="00046BBC"/>
    <w:rsid w:val="00046CC8"/>
    <w:rsid w:val="00046D4D"/>
    <w:rsid w:val="00046D83"/>
    <w:rsid w:val="00046DEC"/>
    <w:rsid w:val="00046E77"/>
    <w:rsid w:val="00046EBE"/>
    <w:rsid w:val="0004714B"/>
    <w:rsid w:val="00047315"/>
    <w:rsid w:val="00047317"/>
    <w:rsid w:val="00047381"/>
    <w:rsid w:val="000473D1"/>
    <w:rsid w:val="0004746B"/>
    <w:rsid w:val="00047488"/>
    <w:rsid w:val="0004748D"/>
    <w:rsid w:val="00047612"/>
    <w:rsid w:val="000476B8"/>
    <w:rsid w:val="0004779B"/>
    <w:rsid w:val="000477C2"/>
    <w:rsid w:val="0004786C"/>
    <w:rsid w:val="00047CBC"/>
    <w:rsid w:val="00047D57"/>
    <w:rsid w:val="00047FD3"/>
    <w:rsid w:val="00047FF7"/>
    <w:rsid w:val="0005001A"/>
    <w:rsid w:val="0005008A"/>
    <w:rsid w:val="000500A5"/>
    <w:rsid w:val="000501D5"/>
    <w:rsid w:val="00050452"/>
    <w:rsid w:val="00050621"/>
    <w:rsid w:val="000507CB"/>
    <w:rsid w:val="000507FB"/>
    <w:rsid w:val="0005080E"/>
    <w:rsid w:val="00050835"/>
    <w:rsid w:val="0005083C"/>
    <w:rsid w:val="00050A04"/>
    <w:rsid w:val="00050A38"/>
    <w:rsid w:val="00050A56"/>
    <w:rsid w:val="00050B48"/>
    <w:rsid w:val="00050BA2"/>
    <w:rsid w:val="00050CC7"/>
    <w:rsid w:val="00050D18"/>
    <w:rsid w:val="00050D24"/>
    <w:rsid w:val="00050D3E"/>
    <w:rsid w:val="00050E90"/>
    <w:rsid w:val="00050E97"/>
    <w:rsid w:val="0005127C"/>
    <w:rsid w:val="000512E2"/>
    <w:rsid w:val="00051346"/>
    <w:rsid w:val="00051357"/>
    <w:rsid w:val="00051431"/>
    <w:rsid w:val="00051479"/>
    <w:rsid w:val="000514F0"/>
    <w:rsid w:val="00051584"/>
    <w:rsid w:val="000515EF"/>
    <w:rsid w:val="0005178D"/>
    <w:rsid w:val="000517DA"/>
    <w:rsid w:val="00051876"/>
    <w:rsid w:val="00051977"/>
    <w:rsid w:val="00051AAD"/>
    <w:rsid w:val="00051B6B"/>
    <w:rsid w:val="00051BEE"/>
    <w:rsid w:val="00051C9F"/>
    <w:rsid w:val="00051E0C"/>
    <w:rsid w:val="00051F3C"/>
    <w:rsid w:val="00051FEF"/>
    <w:rsid w:val="00052074"/>
    <w:rsid w:val="000520B3"/>
    <w:rsid w:val="000520B6"/>
    <w:rsid w:val="000521C0"/>
    <w:rsid w:val="00052206"/>
    <w:rsid w:val="00052555"/>
    <w:rsid w:val="000525A7"/>
    <w:rsid w:val="0005262B"/>
    <w:rsid w:val="0005265B"/>
    <w:rsid w:val="000526FE"/>
    <w:rsid w:val="00052761"/>
    <w:rsid w:val="00052772"/>
    <w:rsid w:val="00052840"/>
    <w:rsid w:val="000528C8"/>
    <w:rsid w:val="000528C9"/>
    <w:rsid w:val="00052947"/>
    <w:rsid w:val="00052B0F"/>
    <w:rsid w:val="00052B12"/>
    <w:rsid w:val="00052C45"/>
    <w:rsid w:val="00052C81"/>
    <w:rsid w:val="00052CE9"/>
    <w:rsid w:val="00052DBC"/>
    <w:rsid w:val="00052DD4"/>
    <w:rsid w:val="00052EFB"/>
    <w:rsid w:val="00052F14"/>
    <w:rsid w:val="00052F55"/>
    <w:rsid w:val="00052FBE"/>
    <w:rsid w:val="00053001"/>
    <w:rsid w:val="0005317C"/>
    <w:rsid w:val="0005348A"/>
    <w:rsid w:val="0005349C"/>
    <w:rsid w:val="00053647"/>
    <w:rsid w:val="000536F7"/>
    <w:rsid w:val="00053729"/>
    <w:rsid w:val="000538FB"/>
    <w:rsid w:val="0005392A"/>
    <w:rsid w:val="00053964"/>
    <w:rsid w:val="000539DF"/>
    <w:rsid w:val="00053B5B"/>
    <w:rsid w:val="00053B60"/>
    <w:rsid w:val="00053B78"/>
    <w:rsid w:val="00053CF3"/>
    <w:rsid w:val="00053DF8"/>
    <w:rsid w:val="00053FEB"/>
    <w:rsid w:val="0005402A"/>
    <w:rsid w:val="000541A7"/>
    <w:rsid w:val="000541C7"/>
    <w:rsid w:val="00054265"/>
    <w:rsid w:val="000544E0"/>
    <w:rsid w:val="00054574"/>
    <w:rsid w:val="00054671"/>
    <w:rsid w:val="000546DF"/>
    <w:rsid w:val="0005479E"/>
    <w:rsid w:val="0005483F"/>
    <w:rsid w:val="000549EC"/>
    <w:rsid w:val="00054AB1"/>
    <w:rsid w:val="00054C9D"/>
    <w:rsid w:val="00054CAF"/>
    <w:rsid w:val="00054D68"/>
    <w:rsid w:val="00054DCF"/>
    <w:rsid w:val="00054E2F"/>
    <w:rsid w:val="00054FAE"/>
    <w:rsid w:val="00054FC6"/>
    <w:rsid w:val="000552D1"/>
    <w:rsid w:val="000557A3"/>
    <w:rsid w:val="000557BF"/>
    <w:rsid w:val="00055871"/>
    <w:rsid w:val="000558C9"/>
    <w:rsid w:val="00055A9A"/>
    <w:rsid w:val="00055B56"/>
    <w:rsid w:val="00055C9D"/>
    <w:rsid w:val="00055CEA"/>
    <w:rsid w:val="00055DFB"/>
    <w:rsid w:val="00055F5E"/>
    <w:rsid w:val="00056002"/>
    <w:rsid w:val="00056045"/>
    <w:rsid w:val="000561B6"/>
    <w:rsid w:val="000562C0"/>
    <w:rsid w:val="0005642B"/>
    <w:rsid w:val="0005649A"/>
    <w:rsid w:val="00056666"/>
    <w:rsid w:val="00056742"/>
    <w:rsid w:val="000568FC"/>
    <w:rsid w:val="000569AC"/>
    <w:rsid w:val="000569F7"/>
    <w:rsid w:val="00056C42"/>
    <w:rsid w:val="00056C8B"/>
    <w:rsid w:val="00056CF5"/>
    <w:rsid w:val="00056F81"/>
    <w:rsid w:val="00056FB2"/>
    <w:rsid w:val="00056FBC"/>
    <w:rsid w:val="00057050"/>
    <w:rsid w:val="000570D5"/>
    <w:rsid w:val="000570F5"/>
    <w:rsid w:val="0005718B"/>
    <w:rsid w:val="00057275"/>
    <w:rsid w:val="00057490"/>
    <w:rsid w:val="00057568"/>
    <w:rsid w:val="0005773F"/>
    <w:rsid w:val="0005789F"/>
    <w:rsid w:val="000578B7"/>
    <w:rsid w:val="000578E8"/>
    <w:rsid w:val="00057900"/>
    <w:rsid w:val="00057904"/>
    <w:rsid w:val="00057A03"/>
    <w:rsid w:val="00057BAA"/>
    <w:rsid w:val="00057C59"/>
    <w:rsid w:val="00057DF9"/>
    <w:rsid w:val="00057F80"/>
    <w:rsid w:val="00057F9F"/>
    <w:rsid w:val="000601DE"/>
    <w:rsid w:val="000601FE"/>
    <w:rsid w:val="00060516"/>
    <w:rsid w:val="0006057E"/>
    <w:rsid w:val="00060605"/>
    <w:rsid w:val="0006066D"/>
    <w:rsid w:val="000607A8"/>
    <w:rsid w:val="000607DF"/>
    <w:rsid w:val="000608C4"/>
    <w:rsid w:val="0006094E"/>
    <w:rsid w:val="0006098B"/>
    <w:rsid w:val="00060A65"/>
    <w:rsid w:val="00060B38"/>
    <w:rsid w:val="00060B9A"/>
    <w:rsid w:val="00060C0A"/>
    <w:rsid w:val="00060C90"/>
    <w:rsid w:val="00060CA9"/>
    <w:rsid w:val="00060CDC"/>
    <w:rsid w:val="00060D0C"/>
    <w:rsid w:val="00060D8F"/>
    <w:rsid w:val="00060E00"/>
    <w:rsid w:val="00060ECF"/>
    <w:rsid w:val="00060FE2"/>
    <w:rsid w:val="0006101C"/>
    <w:rsid w:val="00061044"/>
    <w:rsid w:val="00061072"/>
    <w:rsid w:val="0006107F"/>
    <w:rsid w:val="00061274"/>
    <w:rsid w:val="000612FD"/>
    <w:rsid w:val="00061370"/>
    <w:rsid w:val="0006137F"/>
    <w:rsid w:val="00061473"/>
    <w:rsid w:val="000614B6"/>
    <w:rsid w:val="0006152A"/>
    <w:rsid w:val="000618B7"/>
    <w:rsid w:val="00061A22"/>
    <w:rsid w:val="00061B8A"/>
    <w:rsid w:val="00061BD6"/>
    <w:rsid w:val="00061C27"/>
    <w:rsid w:val="00061CD2"/>
    <w:rsid w:val="00061DBD"/>
    <w:rsid w:val="00061F43"/>
    <w:rsid w:val="0006203F"/>
    <w:rsid w:val="000622DB"/>
    <w:rsid w:val="000624A0"/>
    <w:rsid w:val="0006263C"/>
    <w:rsid w:val="000626F8"/>
    <w:rsid w:val="00062706"/>
    <w:rsid w:val="000627DC"/>
    <w:rsid w:val="0006281A"/>
    <w:rsid w:val="00062977"/>
    <w:rsid w:val="00062E51"/>
    <w:rsid w:val="00062E7C"/>
    <w:rsid w:val="00062EA3"/>
    <w:rsid w:val="00063111"/>
    <w:rsid w:val="00063254"/>
    <w:rsid w:val="000632AF"/>
    <w:rsid w:val="00063376"/>
    <w:rsid w:val="0006340E"/>
    <w:rsid w:val="000634D9"/>
    <w:rsid w:val="000635B0"/>
    <w:rsid w:val="000635CE"/>
    <w:rsid w:val="000635EE"/>
    <w:rsid w:val="000635F8"/>
    <w:rsid w:val="0006374B"/>
    <w:rsid w:val="0006379C"/>
    <w:rsid w:val="000638AE"/>
    <w:rsid w:val="00063910"/>
    <w:rsid w:val="0006394D"/>
    <w:rsid w:val="00063A7B"/>
    <w:rsid w:val="00063BB2"/>
    <w:rsid w:val="00063BD1"/>
    <w:rsid w:val="00063D68"/>
    <w:rsid w:val="00063DC5"/>
    <w:rsid w:val="00063E20"/>
    <w:rsid w:val="00063EB6"/>
    <w:rsid w:val="00063EBD"/>
    <w:rsid w:val="00063F57"/>
    <w:rsid w:val="00063FA6"/>
    <w:rsid w:val="00064004"/>
    <w:rsid w:val="000640D9"/>
    <w:rsid w:val="00064170"/>
    <w:rsid w:val="0006447A"/>
    <w:rsid w:val="0006451F"/>
    <w:rsid w:val="0006463A"/>
    <w:rsid w:val="00064795"/>
    <w:rsid w:val="000647CB"/>
    <w:rsid w:val="00064829"/>
    <w:rsid w:val="00064867"/>
    <w:rsid w:val="00064891"/>
    <w:rsid w:val="0006493E"/>
    <w:rsid w:val="000649C8"/>
    <w:rsid w:val="000649CC"/>
    <w:rsid w:val="00064B3A"/>
    <w:rsid w:val="00064C08"/>
    <w:rsid w:val="00064D21"/>
    <w:rsid w:val="00064D72"/>
    <w:rsid w:val="00064E76"/>
    <w:rsid w:val="00065238"/>
    <w:rsid w:val="00065246"/>
    <w:rsid w:val="000652D9"/>
    <w:rsid w:val="00065364"/>
    <w:rsid w:val="000653BD"/>
    <w:rsid w:val="000653CE"/>
    <w:rsid w:val="000653D3"/>
    <w:rsid w:val="00065467"/>
    <w:rsid w:val="000654E4"/>
    <w:rsid w:val="000654FF"/>
    <w:rsid w:val="0006558F"/>
    <w:rsid w:val="0006566F"/>
    <w:rsid w:val="0006589F"/>
    <w:rsid w:val="00065940"/>
    <w:rsid w:val="00065A09"/>
    <w:rsid w:val="00065A10"/>
    <w:rsid w:val="00065AA0"/>
    <w:rsid w:val="00065C36"/>
    <w:rsid w:val="00065E07"/>
    <w:rsid w:val="00065E44"/>
    <w:rsid w:val="00065EE5"/>
    <w:rsid w:val="00065F18"/>
    <w:rsid w:val="00065FAB"/>
    <w:rsid w:val="00065FD1"/>
    <w:rsid w:val="000660B9"/>
    <w:rsid w:val="000663D3"/>
    <w:rsid w:val="00066492"/>
    <w:rsid w:val="00066499"/>
    <w:rsid w:val="000664E0"/>
    <w:rsid w:val="000666D7"/>
    <w:rsid w:val="00066744"/>
    <w:rsid w:val="00066855"/>
    <w:rsid w:val="000668E5"/>
    <w:rsid w:val="00066940"/>
    <w:rsid w:val="00066A2F"/>
    <w:rsid w:val="00066A84"/>
    <w:rsid w:val="00066A97"/>
    <w:rsid w:val="00066B5B"/>
    <w:rsid w:val="00066C90"/>
    <w:rsid w:val="00066CDE"/>
    <w:rsid w:val="00066DCC"/>
    <w:rsid w:val="00066EB0"/>
    <w:rsid w:val="00066F3C"/>
    <w:rsid w:val="00066F61"/>
    <w:rsid w:val="00067005"/>
    <w:rsid w:val="00067189"/>
    <w:rsid w:val="00067199"/>
    <w:rsid w:val="0006734F"/>
    <w:rsid w:val="00067570"/>
    <w:rsid w:val="000675B9"/>
    <w:rsid w:val="000676C4"/>
    <w:rsid w:val="000678FC"/>
    <w:rsid w:val="0006799D"/>
    <w:rsid w:val="000679C0"/>
    <w:rsid w:val="00067B3B"/>
    <w:rsid w:val="00067BA0"/>
    <w:rsid w:val="00067CDC"/>
    <w:rsid w:val="00067E33"/>
    <w:rsid w:val="00067ECA"/>
    <w:rsid w:val="00067FCC"/>
    <w:rsid w:val="00070017"/>
    <w:rsid w:val="00070062"/>
    <w:rsid w:val="000700CD"/>
    <w:rsid w:val="00070295"/>
    <w:rsid w:val="00070299"/>
    <w:rsid w:val="0007036B"/>
    <w:rsid w:val="000704EA"/>
    <w:rsid w:val="0007056F"/>
    <w:rsid w:val="000706FE"/>
    <w:rsid w:val="00070769"/>
    <w:rsid w:val="000708E8"/>
    <w:rsid w:val="000708EA"/>
    <w:rsid w:val="00070934"/>
    <w:rsid w:val="000709F5"/>
    <w:rsid w:val="00070AA1"/>
    <w:rsid w:val="00070AFB"/>
    <w:rsid w:val="00070B9F"/>
    <w:rsid w:val="00070C4F"/>
    <w:rsid w:val="00070E33"/>
    <w:rsid w:val="00070F34"/>
    <w:rsid w:val="00070F71"/>
    <w:rsid w:val="00071008"/>
    <w:rsid w:val="000710F2"/>
    <w:rsid w:val="00071109"/>
    <w:rsid w:val="00071129"/>
    <w:rsid w:val="0007112D"/>
    <w:rsid w:val="00071380"/>
    <w:rsid w:val="00071394"/>
    <w:rsid w:val="000713C2"/>
    <w:rsid w:val="00071471"/>
    <w:rsid w:val="000714C7"/>
    <w:rsid w:val="00071500"/>
    <w:rsid w:val="000715E6"/>
    <w:rsid w:val="000715F6"/>
    <w:rsid w:val="00071748"/>
    <w:rsid w:val="00071927"/>
    <w:rsid w:val="0007192E"/>
    <w:rsid w:val="000719AB"/>
    <w:rsid w:val="00071A75"/>
    <w:rsid w:val="00071E03"/>
    <w:rsid w:val="00071E4F"/>
    <w:rsid w:val="00071ECD"/>
    <w:rsid w:val="00071F32"/>
    <w:rsid w:val="00071F41"/>
    <w:rsid w:val="00071FE5"/>
    <w:rsid w:val="00071FFE"/>
    <w:rsid w:val="000720F2"/>
    <w:rsid w:val="00072183"/>
    <w:rsid w:val="000721B9"/>
    <w:rsid w:val="000722D4"/>
    <w:rsid w:val="00072300"/>
    <w:rsid w:val="00072481"/>
    <w:rsid w:val="00072658"/>
    <w:rsid w:val="000726E6"/>
    <w:rsid w:val="0007273E"/>
    <w:rsid w:val="000728AC"/>
    <w:rsid w:val="00072950"/>
    <w:rsid w:val="00072989"/>
    <w:rsid w:val="000729DA"/>
    <w:rsid w:val="00072AF0"/>
    <w:rsid w:val="00072B30"/>
    <w:rsid w:val="00072C6B"/>
    <w:rsid w:val="00072CDE"/>
    <w:rsid w:val="00072D69"/>
    <w:rsid w:val="00072DF5"/>
    <w:rsid w:val="00072EC1"/>
    <w:rsid w:val="00072F1F"/>
    <w:rsid w:val="0007305B"/>
    <w:rsid w:val="0007306F"/>
    <w:rsid w:val="00073387"/>
    <w:rsid w:val="0007347A"/>
    <w:rsid w:val="000734DA"/>
    <w:rsid w:val="0007360F"/>
    <w:rsid w:val="000736B5"/>
    <w:rsid w:val="000737F2"/>
    <w:rsid w:val="0007383D"/>
    <w:rsid w:val="0007389D"/>
    <w:rsid w:val="000738BE"/>
    <w:rsid w:val="00073929"/>
    <w:rsid w:val="00073977"/>
    <w:rsid w:val="00073A55"/>
    <w:rsid w:val="00073AD1"/>
    <w:rsid w:val="00073D24"/>
    <w:rsid w:val="00073D2D"/>
    <w:rsid w:val="00073F6E"/>
    <w:rsid w:val="000742B6"/>
    <w:rsid w:val="00074305"/>
    <w:rsid w:val="00074497"/>
    <w:rsid w:val="000745DB"/>
    <w:rsid w:val="00074616"/>
    <w:rsid w:val="0007464C"/>
    <w:rsid w:val="000746F2"/>
    <w:rsid w:val="000747E9"/>
    <w:rsid w:val="000748B4"/>
    <w:rsid w:val="00074943"/>
    <w:rsid w:val="0007494B"/>
    <w:rsid w:val="00074954"/>
    <w:rsid w:val="00074A21"/>
    <w:rsid w:val="00074D35"/>
    <w:rsid w:val="00074E07"/>
    <w:rsid w:val="00074E28"/>
    <w:rsid w:val="00074F0E"/>
    <w:rsid w:val="00074F6D"/>
    <w:rsid w:val="00075047"/>
    <w:rsid w:val="000753BE"/>
    <w:rsid w:val="00075554"/>
    <w:rsid w:val="0007566B"/>
    <w:rsid w:val="00075676"/>
    <w:rsid w:val="00075811"/>
    <w:rsid w:val="0007593A"/>
    <w:rsid w:val="00075940"/>
    <w:rsid w:val="00075AAD"/>
    <w:rsid w:val="00075BB9"/>
    <w:rsid w:val="00075BDF"/>
    <w:rsid w:val="00075C7B"/>
    <w:rsid w:val="00075D27"/>
    <w:rsid w:val="00075EE1"/>
    <w:rsid w:val="00075FE8"/>
    <w:rsid w:val="00076035"/>
    <w:rsid w:val="00076086"/>
    <w:rsid w:val="000762A8"/>
    <w:rsid w:val="00076355"/>
    <w:rsid w:val="0007636F"/>
    <w:rsid w:val="00076370"/>
    <w:rsid w:val="0007638A"/>
    <w:rsid w:val="000764C4"/>
    <w:rsid w:val="00076515"/>
    <w:rsid w:val="000765F7"/>
    <w:rsid w:val="0007661B"/>
    <w:rsid w:val="0007664B"/>
    <w:rsid w:val="00076784"/>
    <w:rsid w:val="00076792"/>
    <w:rsid w:val="000768EA"/>
    <w:rsid w:val="00076910"/>
    <w:rsid w:val="000769FA"/>
    <w:rsid w:val="00076A05"/>
    <w:rsid w:val="00076A98"/>
    <w:rsid w:val="00076B47"/>
    <w:rsid w:val="00076B49"/>
    <w:rsid w:val="00076C2B"/>
    <w:rsid w:val="00076DBC"/>
    <w:rsid w:val="00076EE3"/>
    <w:rsid w:val="00076FA7"/>
    <w:rsid w:val="00076FFC"/>
    <w:rsid w:val="00077013"/>
    <w:rsid w:val="00077024"/>
    <w:rsid w:val="00077027"/>
    <w:rsid w:val="0007702E"/>
    <w:rsid w:val="000770B7"/>
    <w:rsid w:val="000770BE"/>
    <w:rsid w:val="000770D2"/>
    <w:rsid w:val="00077176"/>
    <w:rsid w:val="0007729E"/>
    <w:rsid w:val="000772D0"/>
    <w:rsid w:val="0007743D"/>
    <w:rsid w:val="000775B1"/>
    <w:rsid w:val="00077637"/>
    <w:rsid w:val="0007774E"/>
    <w:rsid w:val="0007775F"/>
    <w:rsid w:val="000777A1"/>
    <w:rsid w:val="00077928"/>
    <w:rsid w:val="00077B31"/>
    <w:rsid w:val="00077D6D"/>
    <w:rsid w:val="00077DD1"/>
    <w:rsid w:val="00077DF9"/>
    <w:rsid w:val="00077E44"/>
    <w:rsid w:val="0008000A"/>
    <w:rsid w:val="0008017D"/>
    <w:rsid w:val="0008026C"/>
    <w:rsid w:val="0008035E"/>
    <w:rsid w:val="000803D7"/>
    <w:rsid w:val="000803E7"/>
    <w:rsid w:val="00080425"/>
    <w:rsid w:val="00080633"/>
    <w:rsid w:val="0008073D"/>
    <w:rsid w:val="00080782"/>
    <w:rsid w:val="0008079B"/>
    <w:rsid w:val="000808B3"/>
    <w:rsid w:val="000808D6"/>
    <w:rsid w:val="000808E6"/>
    <w:rsid w:val="000809E5"/>
    <w:rsid w:val="00080AD2"/>
    <w:rsid w:val="00080B7F"/>
    <w:rsid w:val="00080CE7"/>
    <w:rsid w:val="00080D17"/>
    <w:rsid w:val="00080D68"/>
    <w:rsid w:val="00080F93"/>
    <w:rsid w:val="0008115A"/>
    <w:rsid w:val="000811B5"/>
    <w:rsid w:val="00081201"/>
    <w:rsid w:val="00081252"/>
    <w:rsid w:val="00081552"/>
    <w:rsid w:val="00081580"/>
    <w:rsid w:val="000815DC"/>
    <w:rsid w:val="000815F4"/>
    <w:rsid w:val="00081729"/>
    <w:rsid w:val="00081766"/>
    <w:rsid w:val="000818B9"/>
    <w:rsid w:val="000818CA"/>
    <w:rsid w:val="0008196D"/>
    <w:rsid w:val="00081A38"/>
    <w:rsid w:val="00081ABF"/>
    <w:rsid w:val="00081ACA"/>
    <w:rsid w:val="00081B23"/>
    <w:rsid w:val="00081C6D"/>
    <w:rsid w:val="00081CFC"/>
    <w:rsid w:val="00081EF6"/>
    <w:rsid w:val="00081F25"/>
    <w:rsid w:val="00081F7D"/>
    <w:rsid w:val="0008231F"/>
    <w:rsid w:val="000823B4"/>
    <w:rsid w:val="00082415"/>
    <w:rsid w:val="0008248A"/>
    <w:rsid w:val="000824AE"/>
    <w:rsid w:val="00082675"/>
    <w:rsid w:val="00082710"/>
    <w:rsid w:val="000827BB"/>
    <w:rsid w:val="000827EB"/>
    <w:rsid w:val="0008285D"/>
    <w:rsid w:val="00082A9C"/>
    <w:rsid w:val="00082AB0"/>
    <w:rsid w:val="00082D1A"/>
    <w:rsid w:val="00082EA0"/>
    <w:rsid w:val="00082ED6"/>
    <w:rsid w:val="00082F46"/>
    <w:rsid w:val="0008347C"/>
    <w:rsid w:val="00083514"/>
    <w:rsid w:val="00083543"/>
    <w:rsid w:val="00083568"/>
    <w:rsid w:val="000836D4"/>
    <w:rsid w:val="00083726"/>
    <w:rsid w:val="000838D6"/>
    <w:rsid w:val="000839BB"/>
    <w:rsid w:val="00083BF4"/>
    <w:rsid w:val="00083C75"/>
    <w:rsid w:val="00083D31"/>
    <w:rsid w:val="00083DBA"/>
    <w:rsid w:val="00083ECE"/>
    <w:rsid w:val="00083EF1"/>
    <w:rsid w:val="00083F5D"/>
    <w:rsid w:val="00083F5F"/>
    <w:rsid w:val="00083FAB"/>
    <w:rsid w:val="000840A7"/>
    <w:rsid w:val="00084264"/>
    <w:rsid w:val="00084265"/>
    <w:rsid w:val="000843A4"/>
    <w:rsid w:val="0008446A"/>
    <w:rsid w:val="000844BB"/>
    <w:rsid w:val="0008450F"/>
    <w:rsid w:val="0008457F"/>
    <w:rsid w:val="0008465F"/>
    <w:rsid w:val="0008470E"/>
    <w:rsid w:val="00084779"/>
    <w:rsid w:val="000847B1"/>
    <w:rsid w:val="000847E6"/>
    <w:rsid w:val="00084815"/>
    <w:rsid w:val="00084875"/>
    <w:rsid w:val="00084999"/>
    <w:rsid w:val="000849B7"/>
    <w:rsid w:val="000849C3"/>
    <w:rsid w:val="00084AC3"/>
    <w:rsid w:val="00084CAF"/>
    <w:rsid w:val="00084CFB"/>
    <w:rsid w:val="00084D8B"/>
    <w:rsid w:val="00084E08"/>
    <w:rsid w:val="00084E1F"/>
    <w:rsid w:val="00084F91"/>
    <w:rsid w:val="00084F9D"/>
    <w:rsid w:val="000850EF"/>
    <w:rsid w:val="0008518D"/>
    <w:rsid w:val="000851D1"/>
    <w:rsid w:val="00085254"/>
    <w:rsid w:val="000852C5"/>
    <w:rsid w:val="000852CD"/>
    <w:rsid w:val="000853C8"/>
    <w:rsid w:val="00085581"/>
    <w:rsid w:val="00085796"/>
    <w:rsid w:val="000857D1"/>
    <w:rsid w:val="00085808"/>
    <w:rsid w:val="000858B9"/>
    <w:rsid w:val="00085981"/>
    <w:rsid w:val="00085991"/>
    <w:rsid w:val="000859E2"/>
    <w:rsid w:val="00085A40"/>
    <w:rsid w:val="00085AED"/>
    <w:rsid w:val="00085B6D"/>
    <w:rsid w:val="00085C1A"/>
    <w:rsid w:val="00085D15"/>
    <w:rsid w:val="00085DB3"/>
    <w:rsid w:val="00085E12"/>
    <w:rsid w:val="00085ED7"/>
    <w:rsid w:val="00085F7F"/>
    <w:rsid w:val="00086098"/>
    <w:rsid w:val="0008611D"/>
    <w:rsid w:val="00086122"/>
    <w:rsid w:val="0008628B"/>
    <w:rsid w:val="000862D1"/>
    <w:rsid w:val="000862E1"/>
    <w:rsid w:val="0008632F"/>
    <w:rsid w:val="00086729"/>
    <w:rsid w:val="000868E9"/>
    <w:rsid w:val="00086B57"/>
    <w:rsid w:val="00086B64"/>
    <w:rsid w:val="00086BEC"/>
    <w:rsid w:val="00086D60"/>
    <w:rsid w:val="00086F2A"/>
    <w:rsid w:val="00086F7E"/>
    <w:rsid w:val="00086FA3"/>
    <w:rsid w:val="00086FD2"/>
    <w:rsid w:val="000870B3"/>
    <w:rsid w:val="00087108"/>
    <w:rsid w:val="0008712A"/>
    <w:rsid w:val="0008715D"/>
    <w:rsid w:val="000871B4"/>
    <w:rsid w:val="000871B9"/>
    <w:rsid w:val="00087356"/>
    <w:rsid w:val="0008763B"/>
    <w:rsid w:val="000876CB"/>
    <w:rsid w:val="0008777F"/>
    <w:rsid w:val="0008781C"/>
    <w:rsid w:val="000878A6"/>
    <w:rsid w:val="000878AD"/>
    <w:rsid w:val="000878BF"/>
    <w:rsid w:val="00087958"/>
    <w:rsid w:val="00087AC8"/>
    <w:rsid w:val="00087E38"/>
    <w:rsid w:val="00087E9C"/>
    <w:rsid w:val="00087F60"/>
    <w:rsid w:val="00090026"/>
    <w:rsid w:val="00090305"/>
    <w:rsid w:val="00090307"/>
    <w:rsid w:val="000903AC"/>
    <w:rsid w:val="000903BF"/>
    <w:rsid w:val="00090440"/>
    <w:rsid w:val="00090499"/>
    <w:rsid w:val="000904E0"/>
    <w:rsid w:val="000905FE"/>
    <w:rsid w:val="000906CE"/>
    <w:rsid w:val="000906F8"/>
    <w:rsid w:val="00090AB3"/>
    <w:rsid w:val="00090BE9"/>
    <w:rsid w:val="00090DB2"/>
    <w:rsid w:val="00090E3D"/>
    <w:rsid w:val="00090E46"/>
    <w:rsid w:val="00090E4F"/>
    <w:rsid w:val="00090EE4"/>
    <w:rsid w:val="00091295"/>
    <w:rsid w:val="00091496"/>
    <w:rsid w:val="000915D5"/>
    <w:rsid w:val="00091664"/>
    <w:rsid w:val="000916E1"/>
    <w:rsid w:val="00091707"/>
    <w:rsid w:val="0009175A"/>
    <w:rsid w:val="0009186C"/>
    <w:rsid w:val="0009195C"/>
    <w:rsid w:val="00091B1A"/>
    <w:rsid w:val="00091C3A"/>
    <w:rsid w:val="00091F24"/>
    <w:rsid w:val="00091FF9"/>
    <w:rsid w:val="000920AF"/>
    <w:rsid w:val="00092191"/>
    <w:rsid w:val="000921CE"/>
    <w:rsid w:val="000922E1"/>
    <w:rsid w:val="00092317"/>
    <w:rsid w:val="00092561"/>
    <w:rsid w:val="0009257A"/>
    <w:rsid w:val="000929C2"/>
    <w:rsid w:val="00092A53"/>
    <w:rsid w:val="00092ACB"/>
    <w:rsid w:val="00092B33"/>
    <w:rsid w:val="00092CE5"/>
    <w:rsid w:val="00092E20"/>
    <w:rsid w:val="000930AB"/>
    <w:rsid w:val="00093152"/>
    <w:rsid w:val="000931C2"/>
    <w:rsid w:val="00093255"/>
    <w:rsid w:val="00093403"/>
    <w:rsid w:val="0009348D"/>
    <w:rsid w:val="000935BA"/>
    <w:rsid w:val="00093749"/>
    <w:rsid w:val="000937D3"/>
    <w:rsid w:val="000938B7"/>
    <w:rsid w:val="000938D1"/>
    <w:rsid w:val="000939DC"/>
    <w:rsid w:val="00093C24"/>
    <w:rsid w:val="00093C9C"/>
    <w:rsid w:val="00093E32"/>
    <w:rsid w:val="00093F26"/>
    <w:rsid w:val="00093F7D"/>
    <w:rsid w:val="0009410F"/>
    <w:rsid w:val="00094133"/>
    <w:rsid w:val="00094189"/>
    <w:rsid w:val="000941C2"/>
    <w:rsid w:val="0009426A"/>
    <w:rsid w:val="00094284"/>
    <w:rsid w:val="00094391"/>
    <w:rsid w:val="00094462"/>
    <w:rsid w:val="00094493"/>
    <w:rsid w:val="000944C3"/>
    <w:rsid w:val="00094562"/>
    <w:rsid w:val="000946DA"/>
    <w:rsid w:val="00094929"/>
    <w:rsid w:val="00094970"/>
    <w:rsid w:val="00094A20"/>
    <w:rsid w:val="00094B53"/>
    <w:rsid w:val="00094B92"/>
    <w:rsid w:val="00094B9F"/>
    <w:rsid w:val="00094E3F"/>
    <w:rsid w:val="00094E99"/>
    <w:rsid w:val="00094F10"/>
    <w:rsid w:val="00094F6F"/>
    <w:rsid w:val="00094F76"/>
    <w:rsid w:val="00094FB3"/>
    <w:rsid w:val="00094FD0"/>
    <w:rsid w:val="000951A6"/>
    <w:rsid w:val="000951D8"/>
    <w:rsid w:val="0009523F"/>
    <w:rsid w:val="000953E6"/>
    <w:rsid w:val="00095417"/>
    <w:rsid w:val="0009549D"/>
    <w:rsid w:val="000954BA"/>
    <w:rsid w:val="000954E9"/>
    <w:rsid w:val="0009553F"/>
    <w:rsid w:val="000955EA"/>
    <w:rsid w:val="000955EE"/>
    <w:rsid w:val="000959DE"/>
    <w:rsid w:val="00095A8B"/>
    <w:rsid w:val="00095B73"/>
    <w:rsid w:val="00095CB4"/>
    <w:rsid w:val="00095CC0"/>
    <w:rsid w:val="00095E64"/>
    <w:rsid w:val="00096028"/>
    <w:rsid w:val="000960E6"/>
    <w:rsid w:val="0009614C"/>
    <w:rsid w:val="00096390"/>
    <w:rsid w:val="00096399"/>
    <w:rsid w:val="000964AB"/>
    <w:rsid w:val="000964C7"/>
    <w:rsid w:val="000964CA"/>
    <w:rsid w:val="00096553"/>
    <w:rsid w:val="000965D4"/>
    <w:rsid w:val="00096731"/>
    <w:rsid w:val="00096963"/>
    <w:rsid w:val="00096A21"/>
    <w:rsid w:val="00096A78"/>
    <w:rsid w:val="00096D1F"/>
    <w:rsid w:val="00096F7A"/>
    <w:rsid w:val="0009715F"/>
    <w:rsid w:val="00097185"/>
    <w:rsid w:val="00097258"/>
    <w:rsid w:val="0009751A"/>
    <w:rsid w:val="0009754B"/>
    <w:rsid w:val="00097564"/>
    <w:rsid w:val="000975B1"/>
    <w:rsid w:val="00097803"/>
    <w:rsid w:val="000978E0"/>
    <w:rsid w:val="00097AE3"/>
    <w:rsid w:val="00097C26"/>
    <w:rsid w:val="00097C28"/>
    <w:rsid w:val="00097C2C"/>
    <w:rsid w:val="00097E06"/>
    <w:rsid w:val="00097EC6"/>
    <w:rsid w:val="00097F48"/>
    <w:rsid w:val="000A00B9"/>
    <w:rsid w:val="000A0171"/>
    <w:rsid w:val="000A0194"/>
    <w:rsid w:val="000A0204"/>
    <w:rsid w:val="000A0223"/>
    <w:rsid w:val="000A0287"/>
    <w:rsid w:val="000A032C"/>
    <w:rsid w:val="000A0371"/>
    <w:rsid w:val="000A0387"/>
    <w:rsid w:val="000A0431"/>
    <w:rsid w:val="000A04B0"/>
    <w:rsid w:val="000A053C"/>
    <w:rsid w:val="000A0627"/>
    <w:rsid w:val="000A072A"/>
    <w:rsid w:val="000A08F4"/>
    <w:rsid w:val="000A0B0D"/>
    <w:rsid w:val="000A0BF2"/>
    <w:rsid w:val="000A0C1E"/>
    <w:rsid w:val="000A0C2B"/>
    <w:rsid w:val="000A0C35"/>
    <w:rsid w:val="000A0D16"/>
    <w:rsid w:val="000A0D6F"/>
    <w:rsid w:val="000A0F5D"/>
    <w:rsid w:val="000A106F"/>
    <w:rsid w:val="000A10F8"/>
    <w:rsid w:val="000A1221"/>
    <w:rsid w:val="000A12A7"/>
    <w:rsid w:val="000A13FD"/>
    <w:rsid w:val="000A140D"/>
    <w:rsid w:val="000A1464"/>
    <w:rsid w:val="000A15E5"/>
    <w:rsid w:val="000A17A8"/>
    <w:rsid w:val="000A1872"/>
    <w:rsid w:val="000A1A80"/>
    <w:rsid w:val="000A1A93"/>
    <w:rsid w:val="000A1B6B"/>
    <w:rsid w:val="000A1D70"/>
    <w:rsid w:val="000A1DAB"/>
    <w:rsid w:val="000A1DC8"/>
    <w:rsid w:val="000A1F54"/>
    <w:rsid w:val="000A1F77"/>
    <w:rsid w:val="000A1FD7"/>
    <w:rsid w:val="000A200F"/>
    <w:rsid w:val="000A2060"/>
    <w:rsid w:val="000A2178"/>
    <w:rsid w:val="000A2198"/>
    <w:rsid w:val="000A2240"/>
    <w:rsid w:val="000A23AD"/>
    <w:rsid w:val="000A23AF"/>
    <w:rsid w:val="000A23BF"/>
    <w:rsid w:val="000A2552"/>
    <w:rsid w:val="000A25E8"/>
    <w:rsid w:val="000A2629"/>
    <w:rsid w:val="000A26BD"/>
    <w:rsid w:val="000A283F"/>
    <w:rsid w:val="000A28C7"/>
    <w:rsid w:val="000A2ACA"/>
    <w:rsid w:val="000A2B36"/>
    <w:rsid w:val="000A2B59"/>
    <w:rsid w:val="000A2B9B"/>
    <w:rsid w:val="000A2C7E"/>
    <w:rsid w:val="000A2CE3"/>
    <w:rsid w:val="000A2D44"/>
    <w:rsid w:val="000A2D53"/>
    <w:rsid w:val="000A2DA5"/>
    <w:rsid w:val="000A2F65"/>
    <w:rsid w:val="000A3057"/>
    <w:rsid w:val="000A3460"/>
    <w:rsid w:val="000A34E7"/>
    <w:rsid w:val="000A3515"/>
    <w:rsid w:val="000A3527"/>
    <w:rsid w:val="000A35D9"/>
    <w:rsid w:val="000A387F"/>
    <w:rsid w:val="000A38A0"/>
    <w:rsid w:val="000A39E9"/>
    <w:rsid w:val="000A39ED"/>
    <w:rsid w:val="000A39F2"/>
    <w:rsid w:val="000A3AEA"/>
    <w:rsid w:val="000A3AFD"/>
    <w:rsid w:val="000A3CA2"/>
    <w:rsid w:val="000A3D6A"/>
    <w:rsid w:val="000A3F92"/>
    <w:rsid w:val="000A3FB2"/>
    <w:rsid w:val="000A424B"/>
    <w:rsid w:val="000A4388"/>
    <w:rsid w:val="000A4495"/>
    <w:rsid w:val="000A471B"/>
    <w:rsid w:val="000A4859"/>
    <w:rsid w:val="000A4862"/>
    <w:rsid w:val="000A486D"/>
    <w:rsid w:val="000A4964"/>
    <w:rsid w:val="000A49BD"/>
    <w:rsid w:val="000A4A51"/>
    <w:rsid w:val="000A4B01"/>
    <w:rsid w:val="000A4BAE"/>
    <w:rsid w:val="000A4CAF"/>
    <w:rsid w:val="000A4CB4"/>
    <w:rsid w:val="000A4D01"/>
    <w:rsid w:val="000A4D6C"/>
    <w:rsid w:val="000A4F10"/>
    <w:rsid w:val="000A4FA1"/>
    <w:rsid w:val="000A4FFC"/>
    <w:rsid w:val="000A507B"/>
    <w:rsid w:val="000A5153"/>
    <w:rsid w:val="000A52D6"/>
    <w:rsid w:val="000A52E0"/>
    <w:rsid w:val="000A5309"/>
    <w:rsid w:val="000A539E"/>
    <w:rsid w:val="000A5442"/>
    <w:rsid w:val="000A54F0"/>
    <w:rsid w:val="000A5778"/>
    <w:rsid w:val="000A57C1"/>
    <w:rsid w:val="000A597E"/>
    <w:rsid w:val="000A59FB"/>
    <w:rsid w:val="000A5A7B"/>
    <w:rsid w:val="000A5B14"/>
    <w:rsid w:val="000A5B6A"/>
    <w:rsid w:val="000A5B74"/>
    <w:rsid w:val="000A5C93"/>
    <w:rsid w:val="000A5D25"/>
    <w:rsid w:val="000A5DB5"/>
    <w:rsid w:val="000A5E00"/>
    <w:rsid w:val="000A5E9D"/>
    <w:rsid w:val="000A5EF0"/>
    <w:rsid w:val="000A6127"/>
    <w:rsid w:val="000A62D6"/>
    <w:rsid w:val="000A6303"/>
    <w:rsid w:val="000A6394"/>
    <w:rsid w:val="000A63C4"/>
    <w:rsid w:val="000A6505"/>
    <w:rsid w:val="000A65C5"/>
    <w:rsid w:val="000A661F"/>
    <w:rsid w:val="000A6642"/>
    <w:rsid w:val="000A6649"/>
    <w:rsid w:val="000A666A"/>
    <w:rsid w:val="000A66A8"/>
    <w:rsid w:val="000A66CB"/>
    <w:rsid w:val="000A6723"/>
    <w:rsid w:val="000A6820"/>
    <w:rsid w:val="000A68AF"/>
    <w:rsid w:val="000A68BE"/>
    <w:rsid w:val="000A6A34"/>
    <w:rsid w:val="000A6A66"/>
    <w:rsid w:val="000A6AAA"/>
    <w:rsid w:val="000A6AFC"/>
    <w:rsid w:val="000A6B37"/>
    <w:rsid w:val="000A6BCD"/>
    <w:rsid w:val="000A6C98"/>
    <w:rsid w:val="000A6DBD"/>
    <w:rsid w:val="000A6E22"/>
    <w:rsid w:val="000A7022"/>
    <w:rsid w:val="000A70DA"/>
    <w:rsid w:val="000A7104"/>
    <w:rsid w:val="000A73E7"/>
    <w:rsid w:val="000A745B"/>
    <w:rsid w:val="000A7488"/>
    <w:rsid w:val="000A754B"/>
    <w:rsid w:val="000A762B"/>
    <w:rsid w:val="000A797C"/>
    <w:rsid w:val="000A7C17"/>
    <w:rsid w:val="000A7C39"/>
    <w:rsid w:val="000A7C74"/>
    <w:rsid w:val="000A7C78"/>
    <w:rsid w:val="000A7D78"/>
    <w:rsid w:val="000AEE7E"/>
    <w:rsid w:val="000B00C8"/>
    <w:rsid w:val="000B00E2"/>
    <w:rsid w:val="000B0350"/>
    <w:rsid w:val="000B06C9"/>
    <w:rsid w:val="000B087E"/>
    <w:rsid w:val="000B0931"/>
    <w:rsid w:val="000B0997"/>
    <w:rsid w:val="000B09D5"/>
    <w:rsid w:val="000B0B5F"/>
    <w:rsid w:val="000B0B6F"/>
    <w:rsid w:val="000B0C1E"/>
    <w:rsid w:val="000B0C48"/>
    <w:rsid w:val="000B0E33"/>
    <w:rsid w:val="000B0EAF"/>
    <w:rsid w:val="000B1039"/>
    <w:rsid w:val="000B11DF"/>
    <w:rsid w:val="000B124D"/>
    <w:rsid w:val="000B133F"/>
    <w:rsid w:val="000B1342"/>
    <w:rsid w:val="000B13D0"/>
    <w:rsid w:val="000B1414"/>
    <w:rsid w:val="000B1574"/>
    <w:rsid w:val="000B1913"/>
    <w:rsid w:val="000B1953"/>
    <w:rsid w:val="000B19E2"/>
    <w:rsid w:val="000B1A20"/>
    <w:rsid w:val="000B1A43"/>
    <w:rsid w:val="000B1B71"/>
    <w:rsid w:val="000B1CB3"/>
    <w:rsid w:val="000B1DC0"/>
    <w:rsid w:val="000B1FB9"/>
    <w:rsid w:val="000B1FCD"/>
    <w:rsid w:val="000B200E"/>
    <w:rsid w:val="000B2085"/>
    <w:rsid w:val="000B226E"/>
    <w:rsid w:val="000B22FA"/>
    <w:rsid w:val="000B24F3"/>
    <w:rsid w:val="000B257F"/>
    <w:rsid w:val="000B263D"/>
    <w:rsid w:val="000B2650"/>
    <w:rsid w:val="000B2660"/>
    <w:rsid w:val="000B268F"/>
    <w:rsid w:val="000B27FE"/>
    <w:rsid w:val="000B2853"/>
    <w:rsid w:val="000B28B9"/>
    <w:rsid w:val="000B291C"/>
    <w:rsid w:val="000B2A0B"/>
    <w:rsid w:val="000B2A29"/>
    <w:rsid w:val="000B2B67"/>
    <w:rsid w:val="000B2E8E"/>
    <w:rsid w:val="000B2FD3"/>
    <w:rsid w:val="000B30A7"/>
    <w:rsid w:val="000B326A"/>
    <w:rsid w:val="000B32DD"/>
    <w:rsid w:val="000B3425"/>
    <w:rsid w:val="000B3455"/>
    <w:rsid w:val="000B3478"/>
    <w:rsid w:val="000B34D2"/>
    <w:rsid w:val="000B35E0"/>
    <w:rsid w:val="000B3700"/>
    <w:rsid w:val="000B3956"/>
    <w:rsid w:val="000B3986"/>
    <w:rsid w:val="000B3A65"/>
    <w:rsid w:val="000B3AC8"/>
    <w:rsid w:val="000B3AFA"/>
    <w:rsid w:val="000B3CF9"/>
    <w:rsid w:val="000B3CFF"/>
    <w:rsid w:val="000B3DF1"/>
    <w:rsid w:val="000B3E2D"/>
    <w:rsid w:val="000B4024"/>
    <w:rsid w:val="000B4084"/>
    <w:rsid w:val="000B415A"/>
    <w:rsid w:val="000B424D"/>
    <w:rsid w:val="000B4372"/>
    <w:rsid w:val="000B43D1"/>
    <w:rsid w:val="000B4431"/>
    <w:rsid w:val="000B45BE"/>
    <w:rsid w:val="000B45F1"/>
    <w:rsid w:val="000B46FA"/>
    <w:rsid w:val="000B47B3"/>
    <w:rsid w:val="000B4863"/>
    <w:rsid w:val="000B487A"/>
    <w:rsid w:val="000B48F0"/>
    <w:rsid w:val="000B4B91"/>
    <w:rsid w:val="000B4C82"/>
    <w:rsid w:val="000B4DC4"/>
    <w:rsid w:val="000B4E84"/>
    <w:rsid w:val="000B4EB2"/>
    <w:rsid w:val="000B5010"/>
    <w:rsid w:val="000B5055"/>
    <w:rsid w:val="000B5086"/>
    <w:rsid w:val="000B50D1"/>
    <w:rsid w:val="000B515B"/>
    <w:rsid w:val="000B523C"/>
    <w:rsid w:val="000B524F"/>
    <w:rsid w:val="000B5296"/>
    <w:rsid w:val="000B52D1"/>
    <w:rsid w:val="000B53B9"/>
    <w:rsid w:val="000B53E8"/>
    <w:rsid w:val="000B5493"/>
    <w:rsid w:val="000B55DF"/>
    <w:rsid w:val="000B560E"/>
    <w:rsid w:val="000B56C4"/>
    <w:rsid w:val="000B574B"/>
    <w:rsid w:val="000B5764"/>
    <w:rsid w:val="000B5808"/>
    <w:rsid w:val="000B5841"/>
    <w:rsid w:val="000B591B"/>
    <w:rsid w:val="000B593C"/>
    <w:rsid w:val="000B5ABC"/>
    <w:rsid w:val="000B5B20"/>
    <w:rsid w:val="000B5B6B"/>
    <w:rsid w:val="000B5C22"/>
    <w:rsid w:val="000B5C78"/>
    <w:rsid w:val="000B5C99"/>
    <w:rsid w:val="000B5D32"/>
    <w:rsid w:val="000B5E77"/>
    <w:rsid w:val="000B5F43"/>
    <w:rsid w:val="000B6072"/>
    <w:rsid w:val="000B6111"/>
    <w:rsid w:val="000B61AF"/>
    <w:rsid w:val="000B61EE"/>
    <w:rsid w:val="000B6220"/>
    <w:rsid w:val="000B625D"/>
    <w:rsid w:val="000B63DB"/>
    <w:rsid w:val="000B64AE"/>
    <w:rsid w:val="000B65D6"/>
    <w:rsid w:val="000B66E7"/>
    <w:rsid w:val="000B671A"/>
    <w:rsid w:val="000B6741"/>
    <w:rsid w:val="000B69B2"/>
    <w:rsid w:val="000B6A6B"/>
    <w:rsid w:val="000B6A76"/>
    <w:rsid w:val="000B6C03"/>
    <w:rsid w:val="000B6CAD"/>
    <w:rsid w:val="000B6E34"/>
    <w:rsid w:val="000B6E41"/>
    <w:rsid w:val="000B70F5"/>
    <w:rsid w:val="000B7175"/>
    <w:rsid w:val="000B71A5"/>
    <w:rsid w:val="000B7229"/>
    <w:rsid w:val="000B7238"/>
    <w:rsid w:val="000B72B6"/>
    <w:rsid w:val="000B740A"/>
    <w:rsid w:val="000B74EC"/>
    <w:rsid w:val="000B7597"/>
    <w:rsid w:val="000B764C"/>
    <w:rsid w:val="000B76CD"/>
    <w:rsid w:val="000B7766"/>
    <w:rsid w:val="000B777F"/>
    <w:rsid w:val="000B77D7"/>
    <w:rsid w:val="000B7883"/>
    <w:rsid w:val="000B7A7E"/>
    <w:rsid w:val="000B7AC2"/>
    <w:rsid w:val="000B7AE3"/>
    <w:rsid w:val="000B7B20"/>
    <w:rsid w:val="000B7D45"/>
    <w:rsid w:val="000B7D57"/>
    <w:rsid w:val="000B7D78"/>
    <w:rsid w:val="000C0058"/>
    <w:rsid w:val="000C008F"/>
    <w:rsid w:val="000C00C9"/>
    <w:rsid w:val="000C00DA"/>
    <w:rsid w:val="000C01C9"/>
    <w:rsid w:val="000C0326"/>
    <w:rsid w:val="000C0389"/>
    <w:rsid w:val="000C04D0"/>
    <w:rsid w:val="000C050F"/>
    <w:rsid w:val="000C0531"/>
    <w:rsid w:val="000C0692"/>
    <w:rsid w:val="000C0861"/>
    <w:rsid w:val="000C09D7"/>
    <w:rsid w:val="000C0ACE"/>
    <w:rsid w:val="000C0C70"/>
    <w:rsid w:val="000C0E89"/>
    <w:rsid w:val="000C0ED3"/>
    <w:rsid w:val="000C1092"/>
    <w:rsid w:val="000C1113"/>
    <w:rsid w:val="000C122A"/>
    <w:rsid w:val="000C124F"/>
    <w:rsid w:val="000C12F4"/>
    <w:rsid w:val="000C1309"/>
    <w:rsid w:val="000C1379"/>
    <w:rsid w:val="000C1736"/>
    <w:rsid w:val="000C1922"/>
    <w:rsid w:val="000C1A85"/>
    <w:rsid w:val="000C1C95"/>
    <w:rsid w:val="000C2034"/>
    <w:rsid w:val="000C203E"/>
    <w:rsid w:val="000C21D0"/>
    <w:rsid w:val="000C2719"/>
    <w:rsid w:val="000C289D"/>
    <w:rsid w:val="000C2996"/>
    <w:rsid w:val="000C2B72"/>
    <w:rsid w:val="000C2B98"/>
    <w:rsid w:val="000C2C62"/>
    <w:rsid w:val="000C2F9C"/>
    <w:rsid w:val="000C30AE"/>
    <w:rsid w:val="000C32A3"/>
    <w:rsid w:val="000C3622"/>
    <w:rsid w:val="000C36D6"/>
    <w:rsid w:val="000C378F"/>
    <w:rsid w:val="000C38F2"/>
    <w:rsid w:val="000C3945"/>
    <w:rsid w:val="000C39BE"/>
    <w:rsid w:val="000C3A49"/>
    <w:rsid w:val="000C3BE8"/>
    <w:rsid w:val="000C3D8E"/>
    <w:rsid w:val="000C3DB5"/>
    <w:rsid w:val="000C3E06"/>
    <w:rsid w:val="000C3E3E"/>
    <w:rsid w:val="000C3EC9"/>
    <w:rsid w:val="000C3F29"/>
    <w:rsid w:val="000C3F44"/>
    <w:rsid w:val="000C3FB1"/>
    <w:rsid w:val="000C3FC4"/>
    <w:rsid w:val="000C43DA"/>
    <w:rsid w:val="000C4502"/>
    <w:rsid w:val="000C4673"/>
    <w:rsid w:val="000C4873"/>
    <w:rsid w:val="000C49E5"/>
    <w:rsid w:val="000C49F7"/>
    <w:rsid w:val="000C4AF5"/>
    <w:rsid w:val="000C4EAD"/>
    <w:rsid w:val="000C4EE2"/>
    <w:rsid w:val="000C4F52"/>
    <w:rsid w:val="000C50F7"/>
    <w:rsid w:val="000C5133"/>
    <w:rsid w:val="000C534A"/>
    <w:rsid w:val="000C5371"/>
    <w:rsid w:val="000C53C0"/>
    <w:rsid w:val="000C545B"/>
    <w:rsid w:val="000C569A"/>
    <w:rsid w:val="000C56F9"/>
    <w:rsid w:val="000C5762"/>
    <w:rsid w:val="000C5838"/>
    <w:rsid w:val="000C5AB0"/>
    <w:rsid w:val="000C5C28"/>
    <w:rsid w:val="000C5C56"/>
    <w:rsid w:val="000C5D87"/>
    <w:rsid w:val="000C5DA3"/>
    <w:rsid w:val="000C5DB6"/>
    <w:rsid w:val="000C5E0C"/>
    <w:rsid w:val="000C5E3D"/>
    <w:rsid w:val="000C5F90"/>
    <w:rsid w:val="000C6090"/>
    <w:rsid w:val="000C609B"/>
    <w:rsid w:val="000C60FB"/>
    <w:rsid w:val="000C622A"/>
    <w:rsid w:val="000C624C"/>
    <w:rsid w:val="000C6330"/>
    <w:rsid w:val="000C6334"/>
    <w:rsid w:val="000C63B9"/>
    <w:rsid w:val="000C6505"/>
    <w:rsid w:val="000C65C4"/>
    <w:rsid w:val="000C6835"/>
    <w:rsid w:val="000C6887"/>
    <w:rsid w:val="000C6888"/>
    <w:rsid w:val="000C68D8"/>
    <w:rsid w:val="000C6967"/>
    <w:rsid w:val="000C696F"/>
    <w:rsid w:val="000C69E3"/>
    <w:rsid w:val="000C6A18"/>
    <w:rsid w:val="000C6A48"/>
    <w:rsid w:val="000C6B62"/>
    <w:rsid w:val="000C6C0E"/>
    <w:rsid w:val="000C6D19"/>
    <w:rsid w:val="000C6D59"/>
    <w:rsid w:val="000C6E14"/>
    <w:rsid w:val="000C6E5F"/>
    <w:rsid w:val="000C6F77"/>
    <w:rsid w:val="000C6F97"/>
    <w:rsid w:val="000C70D4"/>
    <w:rsid w:val="000C70EC"/>
    <w:rsid w:val="000C7182"/>
    <w:rsid w:val="000C7484"/>
    <w:rsid w:val="000C74C1"/>
    <w:rsid w:val="000C756F"/>
    <w:rsid w:val="000C76F1"/>
    <w:rsid w:val="000C7749"/>
    <w:rsid w:val="000C78CD"/>
    <w:rsid w:val="000C7948"/>
    <w:rsid w:val="000C7A80"/>
    <w:rsid w:val="000C7AC1"/>
    <w:rsid w:val="000C7B0E"/>
    <w:rsid w:val="000C7CDC"/>
    <w:rsid w:val="000C7DF0"/>
    <w:rsid w:val="000C7E96"/>
    <w:rsid w:val="000C7F69"/>
    <w:rsid w:val="000C7F88"/>
    <w:rsid w:val="000C7FC9"/>
    <w:rsid w:val="000D0046"/>
    <w:rsid w:val="000D0123"/>
    <w:rsid w:val="000D020D"/>
    <w:rsid w:val="000D0241"/>
    <w:rsid w:val="000D0369"/>
    <w:rsid w:val="000D03A4"/>
    <w:rsid w:val="000D0549"/>
    <w:rsid w:val="000D065B"/>
    <w:rsid w:val="000D0669"/>
    <w:rsid w:val="000D07DE"/>
    <w:rsid w:val="000D0862"/>
    <w:rsid w:val="000D08E4"/>
    <w:rsid w:val="000D0986"/>
    <w:rsid w:val="000D0A6D"/>
    <w:rsid w:val="000D0B29"/>
    <w:rsid w:val="000D0B49"/>
    <w:rsid w:val="000D0BAF"/>
    <w:rsid w:val="000D0C17"/>
    <w:rsid w:val="000D0D2E"/>
    <w:rsid w:val="000D0D90"/>
    <w:rsid w:val="000D0DA8"/>
    <w:rsid w:val="000D0F27"/>
    <w:rsid w:val="000D1024"/>
    <w:rsid w:val="000D10EE"/>
    <w:rsid w:val="000D1345"/>
    <w:rsid w:val="000D1502"/>
    <w:rsid w:val="000D152E"/>
    <w:rsid w:val="000D160D"/>
    <w:rsid w:val="000D1AEC"/>
    <w:rsid w:val="000D1D0B"/>
    <w:rsid w:val="000D1D3C"/>
    <w:rsid w:val="000D1E35"/>
    <w:rsid w:val="000D1F1F"/>
    <w:rsid w:val="000D1FE9"/>
    <w:rsid w:val="000D21EC"/>
    <w:rsid w:val="000D2295"/>
    <w:rsid w:val="000D2331"/>
    <w:rsid w:val="000D2392"/>
    <w:rsid w:val="000D24E0"/>
    <w:rsid w:val="000D2581"/>
    <w:rsid w:val="000D265D"/>
    <w:rsid w:val="000D2697"/>
    <w:rsid w:val="000D2957"/>
    <w:rsid w:val="000D29A0"/>
    <w:rsid w:val="000D2AE9"/>
    <w:rsid w:val="000D2BAC"/>
    <w:rsid w:val="000D2BB1"/>
    <w:rsid w:val="000D2BB8"/>
    <w:rsid w:val="000D2C70"/>
    <w:rsid w:val="000D2E6A"/>
    <w:rsid w:val="000D2EBD"/>
    <w:rsid w:val="000D2EC2"/>
    <w:rsid w:val="000D2F1B"/>
    <w:rsid w:val="000D315C"/>
    <w:rsid w:val="000D3163"/>
    <w:rsid w:val="000D320A"/>
    <w:rsid w:val="000D32B6"/>
    <w:rsid w:val="000D339D"/>
    <w:rsid w:val="000D33DC"/>
    <w:rsid w:val="000D347E"/>
    <w:rsid w:val="000D3501"/>
    <w:rsid w:val="000D3556"/>
    <w:rsid w:val="000D3658"/>
    <w:rsid w:val="000D3771"/>
    <w:rsid w:val="000D3781"/>
    <w:rsid w:val="000D37DA"/>
    <w:rsid w:val="000D3845"/>
    <w:rsid w:val="000D38F1"/>
    <w:rsid w:val="000D395D"/>
    <w:rsid w:val="000D3AEB"/>
    <w:rsid w:val="000D3B1E"/>
    <w:rsid w:val="000D3B58"/>
    <w:rsid w:val="000D3BC8"/>
    <w:rsid w:val="000D3CA2"/>
    <w:rsid w:val="000D3D6D"/>
    <w:rsid w:val="000D3DD9"/>
    <w:rsid w:val="000D3E33"/>
    <w:rsid w:val="000D3E7C"/>
    <w:rsid w:val="000D3E8E"/>
    <w:rsid w:val="000D3FF1"/>
    <w:rsid w:val="000D4150"/>
    <w:rsid w:val="000D43CF"/>
    <w:rsid w:val="000D43D6"/>
    <w:rsid w:val="000D446D"/>
    <w:rsid w:val="000D447A"/>
    <w:rsid w:val="000D4512"/>
    <w:rsid w:val="000D4593"/>
    <w:rsid w:val="000D46C0"/>
    <w:rsid w:val="000D4720"/>
    <w:rsid w:val="000D4785"/>
    <w:rsid w:val="000D49A3"/>
    <w:rsid w:val="000D4A5C"/>
    <w:rsid w:val="000D4BE2"/>
    <w:rsid w:val="000D4C0D"/>
    <w:rsid w:val="000D4D50"/>
    <w:rsid w:val="000D4D5D"/>
    <w:rsid w:val="000D4E1B"/>
    <w:rsid w:val="000D4EC0"/>
    <w:rsid w:val="000D4F29"/>
    <w:rsid w:val="000D4F2E"/>
    <w:rsid w:val="000D5127"/>
    <w:rsid w:val="000D51ED"/>
    <w:rsid w:val="000D5291"/>
    <w:rsid w:val="000D52D1"/>
    <w:rsid w:val="000D534D"/>
    <w:rsid w:val="000D53D2"/>
    <w:rsid w:val="000D5519"/>
    <w:rsid w:val="000D5581"/>
    <w:rsid w:val="000D57E2"/>
    <w:rsid w:val="000D5946"/>
    <w:rsid w:val="000D5B91"/>
    <w:rsid w:val="000D5C07"/>
    <w:rsid w:val="000D5CBF"/>
    <w:rsid w:val="000D5DDB"/>
    <w:rsid w:val="000D5EC5"/>
    <w:rsid w:val="000D5F21"/>
    <w:rsid w:val="000D600F"/>
    <w:rsid w:val="000D61F6"/>
    <w:rsid w:val="000D64D1"/>
    <w:rsid w:val="000D64E5"/>
    <w:rsid w:val="000D6505"/>
    <w:rsid w:val="000D6578"/>
    <w:rsid w:val="000D6583"/>
    <w:rsid w:val="000D659B"/>
    <w:rsid w:val="000D6624"/>
    <w:rsid w:val="000D6728"/>
    <w:rsid w:val="000D674C"/>
    <w:rsid w:val="000D6805"/>
    <w:rsid w:val="000D6847"/>
    <w:rsid w:val="000D6873"/>
    <w:rsid w:val="000D6924"/>
    <w:rsid w:val="000D6C7F"/>
    <w:rsid w:val="000D6CCF"/>
    <w:rsid w:val="000D6DAC"/>
    <w:rsid w:val="000D6E43"/>
    <w:rsid w:val="000D6E9B"/>
    <w:rsid w:val="000D6F4E"/>
    <w:rsid w:val="000D6F73"/>
    <w:rsid w:val="000D6FBC"/>
    <w:rsid w:val="000D7004"/>
    <w:rsid w:val="000D7085"/>
    <w:rsid w:val="000D70BA"/>
    <w:rsid w:val="000D70C4"/>
    <w:rsid w:val="000D7266"/>
    <w:rsid w:val="000D7426"/>
    <w:rsid w:val="000D7439"/>
    <w:rsid w:val="000D74D5"/>
    <w:rsid w:val="000D7512"/>
    <w:rsid w:val="000D770D"/>
    <w:rsid w:val="000D7859"/>
    <w:rsid w:val="000D78BF"/>
    <w:rsid w:val="000D7AF4"/>
    <w:rsid w:val="000D7B02"/>
    <w:rsid w:val="000D7E70"/>
    <w:rsid w:val="000D7E75"/>
    <w:rsid w:val="000D7E7F"/>
    <w:rsid w:val="000D7E85"/>
    <w:rsid w:val="000D7F27"/>
    <w:rsid w:val="000D7F7B"/>
    <w:rsid w:val="000DEDD7"/>
    <w:rsid w:val="000E001C"/>
    <w:rsid w:val="000E0229"/>
    <w:rsid w:val="000E04E3"/>
    <w:rsid w:val="000E05C7"/>
    <w:rsid w:val="000E08DE"/>
    <w:rsid w:val="000E0ACC"/>
    <w:rsid w:val="000E0C03"/>
    <w:rsid w:val="000E0D6C"/>
    <w:rsid w:val="000E0E76"/>
    <w:rsid w:val="000E1079"/>
    <w:rsid w:val="000E10C3"/>
    <w:rsid w:val="000E1189"/>
    <w:rsid w:val="000E11C2"/>
    <w:rsid w:val="000E126B"/>
    <w:rsid w:val="000E1273"/>
    <w:rsid w:val="000E1326"/>
    <w:rsid w:val="000E1460"/>
    <w:rsid w:val="000E1534"/>
    <w:rsid w:val="000E1601"/>
    <w:rsid w:val="000E1719"/>
    <w:rsid w:val="000E1746"/>
    <w:rsid w:val="000E19AE"/>
    <w:rsid w:val="000E19DB"/>
    <w:rsid w:val="000E1CA8"/>
    <w:rsid w:val="000E1E49"/>
    <w:rsid w:val="000E207B"/>
    <w:rsid w:val="000E20E3"/>
    <w:rsid w:val="000E2185"/>
    <w:rsid w:val="000E22F0"/>
    <w:rsid w:val="000E2300"/>
    <w:rsid w:val="000E2396"/>
    <w:rsid w:val="000E2482"/>
    <w:rsid w:val="000E24D4"/>
    <w:rsid w:val="000E2504"/>
    <w:rsid w:val="000E2579"/>
    <w:rsid w:val="000E2626"/>
    <w:rsid w:val="000E2738"/>
    <w:rsid w:val="000E280C"/>
    <w:rsid w:val="000E2BBC"/>
    <w:rsid w:val="000E2C8B"/>
    <w:rsid w:val="000E2D6F"/>
    <w:rsid w:val="000E2EFC"/>
    <w:rsid w:val="000E2FCB"/>
    <w:rsid w:val="000E3240"/>
    <w:rsid w:val="000E3268"/>
    <w:rsid w:val="000E3309"/>
    <w:rsid w:val="000E3369"/>
    <w:rsid w:val="000E33D1"/>
    <w:rsid w:val="000E3408"/>
    <w:rsid w:val="000E3411"/>
    <w:rsid w:val="000E3445"/>
    <w:rsid w:val="000E39C1"/>
    <w:rsid w:val="000E3A1E"/>
    <w:rsid w:val="000E3ABE"/>
    <w:rsid w:val="000E3B75"/>
    <w:rsid w:val="000E3C64"/>
    <w:rsid w:val="000E3D2F"/>
    <w:rsid w:val="000E3E4E"/>
    <w:rsid w:val="000E3F2F"/>
    <w:rsid w:val="000E4186"/>
    <w:rsid w:val="000E4216"/>
    <w:rsid w:val="000E428E"/>
    <w:rsid w:val="000E429D"/>
    <w:rsid w:val="000E42A4"/>
    <w:rsid w:val="000E434C"/>
    <w:rsid w:val="000E43D6"/>
    <w:rsid w:val="000E445B"/>
    <w:rsid w:val="000E450B"/>
    <w:rsid w:val="000E454E"/>
    <w:rsid w:val="000E454F"/>
    <w:rsid w:val="000E4573"/>
    <w:rsid w:val="000E4592"/>
    <w:rsid w:val="000E45C8"/>
    <w:rsid w:val="000E476B"/>
    <w:rsid w:val="000E495D"/>
    <w:rsid w:val="000E4B0C"/>
    <w:rsid w:val="000E4C5B"/>
    <w:rsid w:val="000E4C5D"/>
    <w:rsid w:val="000E4E7E"/>
    <w:rsid w:val="000E4FD1"/>
    <w:rsid w:val="000E5234"/>
    <w:rsid w:val="000E5491"/>
    <w:rsid w:val="000E55FB"/>
    <w:rsid w:val="000E5621"/>
    <w:rsid w:val="000E578D"/>
    <w:rsid w:val="000E57F5"/>
    <w:rsid w:val="000E5872"/>
    <w:rsid w:val="000E58FA"/>
    <w:rsid w:val="000E5A20"/>
    <w:rsid w:val="000E5AFA"/>
    <w:rsid w:val="000E5B19"/>
    <w:rsid w:val="000E5B7B"/>
    <w:rsid w:val="000E5C6B"/>
    <w:rsid w:val="000E5C77"/>
    <w:rsid w:val="000E5CCA"/>
    <w:rsid w:val="000E5CD4"/>
    <w:rsid w:val="000E5E94"/>
    <w:rsid w:val="000E5EEF"/>
    <w:rsid w:val="000E5F9E"/>
    <w:rsid w:val="000E600A"/>
    <w:rsid w:val="000E64AA"/>
    <w:rsid w:val="000E6551"/>
    <w:rsid w:val="000E677B"/>
    <w:rsid w:val="000E682A"/>
    <w:rsid w:val="000E6912"/>
    <w:rsid w:val="000E694B"/>
    <w:rsid w:val="000E6962"/>
    <w:rsid w:val="000E6A43"/>
    <w:rsid w:val="000E6DFE"/>
    <w:rsid w:val="000E6E36"/>
    <w:rsid w:val="000E6F45"/>
    <w:rsid w:val="000E6F69"/>
    <w:rsid w:val="000E7017"/>
    <w:rsid w:val="000E7137"/>
    <w:rsid w:val="000E715A"/>
    <w:rsid w:val="000E7200"/>
    <w:rsid w:val="000E720E"/>
    <w:rsid w:val="000E72B7"/>
    <w:rsid w:val="000E72C6"/>
    <w:rsid w:val="000E73A4"/>
    <w:rsid w:val="000E73D6"/>
    <w:rsid w:val="000E74DD"/>
    <w:rsid w:val="000E7639"/>
    <w:rsid w:val="000E7648"/>
    <w:rsid w:val="000E7869"/>
    <w:rsid w:val="000E793B"/>
    <w:rsid w:val="000E799B"/>
    <w:rsid w:val="000E7A06"/>
    <w:rsid w:val="000E7A5B"/>
    <w:rsid w:val="000E7A99"/>
    <w:rsid w:val="000E7B46"/>
    <w:rsid w:val="000E7B4B"/>
    <w:rsid w:val="000E7CF1"/>
    <w:rsid w:val="000E7DE7"/>
    <w:rsid w:val="000E7E59"/>
    <w:rsid w:val="000E7F2C"/>
    <w:rsid w:val="000E7F87"/>
    <w:rsid w:val="000F004A"/>
    <w:rsid w:val="000F009B"/>
    <w:rsid w:val="000F00EC"/>
    <w:rsid w:val="000F0109"/>
    <w:rsid w:val="000F0179"/>
    <w:rsid w:val="000F021E"/>
    <w:rsid w:val="000F027F"/>
    <w:rsid w:val="000F0569"/>
    <w:rsid w:val="000F057A"/>
    <w:rsid w:val="000F058D"/>
    <w:rsid w:val="000F0672"/>
    <w:rsid w:val="000F0675"/>
    <w:rsid w:val="000F06AC"/>
    <w:rsid w:val="000F0731"/>
    <w:rsid w:val="000F07D9"/>
    <w:rsid w:val="000F08BE"/>
    <w:rsid w:val="000F08E0"/>
    <w:rsid w:val="000F0B90"/>
    <w:rsid w:val="000F0D82"/>
    <w:rsid w:val="000F110C"/>
    <w:rsid w:val="000F112F"/>
    <w:rsid w:val="000F1319"/>
    <w:rsid w:val="000F1408"/>
    <w:rsid w:val="000F1543"/>
    <w:rsid w:val="000F15E6"/>
    <w:rsid w:val="000F1720"/>
    <w:rsid w:val="000F17AD"/>
    <w:rsid w:val="000F1831"/>
    <w:rsid w:val="000F185B"/>
    <w:rsid w:val="000F1995"/>
    <w:rsid w:val="000F19CE"/>
    <w:rsid w:val="000F1AEA"/>
    <w:rsid w:val="000F1B7B"/>
    <w:rsid w:val="000F1C1F"/>
    <w:rsid w:val="000F1C4B"/>
    <w:rsid w:val="000F1C8D"/>
    <w:rsid w:val="000F1E3F"/>
    <w:rsid w:val="000F1E82"/>
    <w:rsid w:val="000F1F4C"/>
    <w:rsid w:val="000F1FC1"/>
    <w:rsid w:val="000F21C1"/>
    <w:rsid w:val="000F21DE"/>
    <w:rsid w:val="000F21F7"/>
    <w:rsid w:val="000F238D"/>
    <w:rsid w:val="000F23CB"/>
    <w:rsid w:val="000F260B"/>
    <w:rsid w:val="000F2779"/>
    <w:rsid w:val="000F277C"/>
    <w:rsid w:val="000F287F"/>
    <w:rsid w:val="000F289D"/>
    <w:rsid w:val="000F28F9"/>
    <w:rsid w:val="000F2B17"/>
    <w:rsid w:val="000F2B95"/>
    <w:rsid w:val="000F2BAC"/>
    <w:rsid w:val="000F2BF6"/>
    <w:rsid w:val="000F2C13"/>
    <w:rsid w:val="000F2D92"/>
    <w:rsid w:val="000F2E36"/>
    <w:rsid w:val="000F2FC2"/>
    <w:rsid w:val="000F3041"/>
    <w:rsid w:val="000F3047"/>
    <w:rsid w:val="000F305C"/>
    <w:rsid w:val="000F30AE"/>
    <w:rsid w:val="000F3101"/>
    <w:rsid w:val="000F310D"/>
    <w:rsid w:val="000F31BE"/>
    <w:rsid w:val="000F326A"/>
    <w:rsid w:val="000F3426"/>
    <w:rsid w:val="000F3518"/>
    <w:rsid w:val="000F354A"/>
    <w:rsid w:val="000F35E8"/>
    <w:rsid w:val="000F379A"/>
    <w:rsid w:val="000F37F7"/>
    <w:rsid w:val="000F38F5"/>
    <w:rsid w:val="000F38F8"/>
    <w:rsid w:val="000F3981"/>
    <w:rsid w:val="000F3ACC"/>
    <w:rsid w:val="000F3B1E"/>
    <w:rsid w:val="000F3D82"/>
    <w:rsid w:val="000F3E2D"/>
    <w:rsid w:val="000F3E8E"/>
    <w:rsid w:val="000F3F82"/>
    <w:rsid w:val="000F4055"/>
    <w:rsid w:val="000F40F7"/>
    <w:rsid w:val="000F41A4"/>
    <w:rsid w:val="000F41BB"/>
    <w:rsid w:val="000F4241"/>
    <w:rsid w:val="000F4244"/>
    <w:rsid w:val="000F43D4"/>
    <w:rsid w:val="000F4406"/>
    <w:rsid w:val="000F4487"/>
    <w:rsid w:val="000F4683"/>
    <w:rsid w:val="000F4712"/>
    <w:rsid w:val="000F473C"/>
    <w:rsid w:val="000F4AA7"/>
    <w:rsid w:val="000F4ADF"/>
    <w:rsid w:val="000F4AEA"/>
    <w:rsid w:val="000F4B1D"/>
    <w:rsid w:val="000F4C74"/>
    <w:rsid w:val="000F4D2A"/>
    <w:rsid w:val="000F4E6E"/>
    <w:rsid w:val="000F4EC9"/>
    <w:rsid w:val="000F518D"/>
    <w:rsid w:val="000F51D0"/>
    <w:rsid w:val="000F531B"/>
    <w:rsid w:val="000F53B0"/>
    <w:rsid w:val="000F5408"/>
    <w:rsid w:val="000F543F"/>
    <w:rsid w:val="000F54D4"/>
    <w:rsid w:val="000F5598"/>
    <w:rsid w:val="000F5641"/>
    <w:rsid w:val="000F57FC"/>
    <w:rsid w:val="000F58B4"/>
    <w:rsid w:val="000F5A00"/>
    <w:rsid w:val="000F5C25"/>
    <w:rsid w:val="000F5CA7"/>
    <w:rsid w:val="000F5D54"/>
    <w:rsid w:val="000F5DDC"/>
    <w:rsid w:val="000F5E60"/>
    <w:rsid w:val="000F60FD"/>
    <w:rsid w:val="000F61AF"/>
    <w:rsid w:val="000F6244"/>
    <w:rsid w:val="000F628A"/>
    <w:rsid w:val="000F6465"/>
    <w:rsid w:val="000F6481"/>
    <w:rsid w:val="000F6498"/>
    <w:rsid w:val="000F6743"/>
    <w:rsid w:val="000F6931"/>
    <w:rsid w:val="000F6AE8"/>
    <w:rsid w:val="000F6B23"/>
    <w:rsid w:val="000F6B3D"/>
    <w:rsid w:val="000F6BD0"/>
    <w:rsid w:val="000F6BF4"/>
    <w:rsid w:val="000F6C2F"/>
    <w:rsid w:val="000F6C38"/>
    <w:rsid w:val="000F6C92"/>
    <w:rsid w:val="000F6C9E"/>
    <w:rsid w:val="000F6E12"/>
    <w:rsid w:val="000F6F18"/>
    <w:rsid w:val="000F6F1B"/>
    <w:rsid w:val="000F7063"/>
    <w:rsid w:val="000F70FB"/>
    <w:rsid w:val="000F7392"/>
    <w:rsid w:val="000F741F"/>
    <w:rsid w:val="000F7421"/>
    <w:rsid w:val="000F74BC"/>
    <w:rsid w:val="000F7531"/>
    <w:rsid w:val="000F771C"/>
    <w:rsid w:val="000F7865"/>
    <w:rsid w:val="000F78DA"/>
    <w:rsid w:val="000F7A3C"/>
    <w:rsid w:val="000F7B26"/>
    <w:rsid w:val="000F7BDB"/>
    <w:rsid w:val="000F7BEF"/>
    <w:rsid w:val="000F7C5E"/>
    <w:rsid w:val="000F7DE4"/>
    <w:rsid w:val="000F7E81"/>
    <w:rsid w:val="000F7E9B"/>
    <w:rsid w:val="000F7EFE"/>
    <w:rsid w:val="00100065"/>
    <w:rsid w:val="00100174"/>
    <w:rsid w:val="00100176"/>
    <w:rsid w:val="0010019F"/>
    <w:rsid w:val="001001D3"/>
    <w:rsid w:val="0010029A"/>
    <w:rsid w:val="001002CF"/>
    <w:rsid w:val="0010036D"/>
    <w:rsid w:val="00100395"/>
    <w:rsid w:val="00100446"/>
    <w:rsid w:val="001004BC"/>
    <w:rsid w:val="001004FC"/>
    <w:rsid w:val="00100659"/>
    <w:rsid w:val="00100819"/>
    <w:rsid w:val="00100951"/>
    <w:rsid w:val="00100C52"/>
    <w:rsid w:val="00100E8E"/>
    <w:rsid w:val="00100E90"/>
    <w:rsid w:val="00100EC5"/>
    <w:rsid w:val="00100EDF"/>
    <w:rsid w:val="00100FE8"/>
    <w:rsid w:val="0010100B"/>
    <w:rsid w:val="0010119C"/>
    <w:rsid w:val="0010125E"/>
    <w:rsid w:val="001013EB"/>
    <w:rsid w:val="0010171C"/>
    <w:rsid w:val="00101725"/>
    <w:rsid w:val="0010183E"/>
    <w:rsid w:val="00101CB7"/>
    <w:rsid w:val="00101DB8"/>
    <w:rsid w:val="00101E46"/>
    <w:rsid w:val="00101E6E"/>
    <w:rsid w:val="00101E8D"/>
    <w:rsid w:val="00101F76"/>
    <w:rsid w:val="001021A8"/>
    <w:rsid w:val="001021F8"/>
    <w:rsid w:val="00102217"/>
    <w:rsid w:val="00102290"/>
    <w:rsid w:val="00102345"/>
    <w:rsid w:val="00102347"/>
    <w:rsid w:val="0010244B"/>
    <w:rsid w:val="001024C7"/>
    <w:rsid w:val="001025B7"/>
    <w:rsid w:val="00102866"/>
    <w:rsid w:val="00102EC9"/>
    <w:rsid w:val="00102F7F"/>
    <w:rsid w:val="00102FAD"/>
    <w:rsid w:val="00102FF8"/>
    <w:rsid w:val="0010305A"/>
    <w:rsid w:val="001030BC"/>
    <w:rsid w:val="0010313D"/>
    <w:rsid w:val="0010317C"/>
    <w:rsid w:val="001031BB"/>
    <w:rsid w:val="0010332F"/>
    <w:rsid w:val="00103356"/>
    <w:rsid w:val="00103627"/>
    <w:rsid w:val="00103657"/>
    <w:rsid w:val="001036CE"/>
    <w:rsid w:val="0010376D"/>
    <w:rsid w:val="001039E3"/>
    <w:rsid w:val="00103C37"/>
    <w:rsid w:val="00103C93"/>
    <w:rsid w:val="00103D14"/>
    <w:rsid w:val="00103DA0"/>
    <w:rsid w:val="00104045"/>
    <w:rsid w:val="001040C7"/>
    <w:rsid w:val="00104737"/>
    <w:rsid w:val="0010485D"/>
    <w:rsid w:val="00104866"/>
    <w:rsid w:val="0010487B"/>
    <w:rsid w:val="00104888"/>
    <w:rsid w:val="00104890"/>
    <w:rsid w:val="00104961"/>
    <w:rsid w:val="0010497A"/>
    <w:rsid w:val="00104BE4"/>
    <w:rsid w:val="00104D16"/>
    <w:rsid w:val="00104DC1"/>
    <w:rsid w:val="00104E20"/>
    <w:rsid w:val="00104ED9"/>
    <w:rsid w:val="00104FC2"/>
    <w:rsid w:val="00105011"/>
    <w:rsid w:val="0010507C"/>
    <w:rsid w:val="00105147"/>
    <w:rsid w:val="001052B4"/>
    <w:rsid w:val="001052ED"/>
    <w:rsid w:val="001054C6"/>
    <w:rsid w:val="00105721"/>
    <w:rsid w:val="00105766"/>
    <w:rsid w:val="0010581E"/>
    <w:rsid w:val="0010586E"/>
    <w:rsid w:val="00105B8B"/>
    <w:rsid w:val="00105BD3"/>
    <w:rsid w:val="00105CD9"/>
    <w:rsid w:val="00105D05"/>
    <w:rsid w:val="00105D0A"/>
    <w:rsid w:val="00105DEF"/>
    <w:rsid w:val="00105EBB"/>
    <w:rsid w:val="00105EFE"/>
    <w:rsid w:val="00105FA0"/>
    <w:rsid w:val="00106069"/>
    <w:rsid w:val="001060E8"/>
    <w:rsid w:val="001061EE"/>
    <w:rsid w:val="0010623B"/>
    <w:rsid w:val="00106272"/>
    <w:rsid w:val="0010644E"/>
    <w:rsid w:val="001067BE"/>
    <w:rsid w:val="0010684E"/>
    <w:rsid w:val="00106B25"/>
    <w:rsid w:val="00106B55"/>
    <w:rsid w:val="00106BBA"/>
    <w:rsid w:val="00106BE1"/>
    <w:rsid w:val="00106D09"/>
    <w:rsid w:val="00106D30"/>
    <w:rsid w:val="00106D73"/>
    <w:rsid w:val="00106E35"/>
    <w:rsid w:val="00106EA5"/>
    <w:rsid w:val="00106F38"/>
    <w:rsid w:val="0010702C"/>
    <w:rsid w:val="0010722C"/>
    <w:rsid w:val="00107274"/>
    <w:rsid w:val="001073B7"/>
    <w:rsid w:val="001074AD"/>
    <w:rsid w:val="001074FB"/>
    <w:rsid w:val="00107519"/>
    <w:rsid w:val="0010751E"/>
    <w:rsid w:val="00107559"/>
    <w:rsid w:val="001075CE"/>
    <w:rsid w:val="001076A6"/>
    <w:rsid w:val="00107844"/>
    <w:rsid w:val="0010795D"/>
    <w:rsid w:val="00107A8F"/>
    <w:rsid w:val="00107B2B"/>
    <w:rsid w:val="00107BA8"/>
    <w:rsid w:val="00107CE1"/>
    <w:rsid w:val="00107CED"/>
    <w:rsid w:val="00107F64"/>
    <w:rsid w:val="00110057"/>
    <w:rsid w:val="00110197"/>
    <w:rsid w:val="00110349"/>
    <w:rsid w:val="001103BC"/>
    <w:rsid w:val="001103C3"/>
    <w:rsid w:val="001103F1"/>
    <w:rsid w:val="001104BF"/>
    <w:rsid w:val="001105AA"/>
    <w:rsid w:val="00110622"/>
    <w:rsid w:val="001106A4"/>
    <w:rsid w:val="00110733"/>
    <w:rsid w:val="001107D4"/>
    <w:rsid w:val="001107F0"/>
    <w:rsid w:val="00110866"/>
    <w:rsid w:val="0011088C"/>
    <w:rsid w:val="001108C1"/>
    <w:rsid w:val="0011091E"/>
    <w:rsid w:val="001109F5"/>
    <w:rsid w:val="00110AC3"/>
    <w:rsid w:val="00110B37"/>
    <w:rsid w:val="00110B50"/>
    <w:rsid w:val="00110D00"/>
    <w:rsid w:val="00110D1D"/>
    <w:rsid w:val="00110F27"/>
    <w:rsid w:val="00110F8E"/>
    <w:rsid w:val="0011109A"/>
    <w:rsid w:val="0011128D"/>
    <w:rsid w:val="001112EE"/>
    <w:rsid w:val="001113B3"/>
    <w:rsid w:val="00111466"/>
    <w:rsid w:val="0011147F"/>
    <w:rsid w:val="0011154C"/>
    <w:rsid w:val="00111553"/>
    <w:rsid w:val="00111781"/>
    <w:rsid w:val="00111795"/>
    <w:rsid w:val="001118EF"/>
    <w:rsid w:val="001118F3"/>
    <w:rsid w:val="001119A7"/>
    <w:rsid w:val="00111B8C"/>
    <w:rsid w:val="00111C3E"/>
    <w:rsid w:val="00111D0B"/>
    <w:rsid w:val="00111E7F"/>
    <w:rsid w:val="00112294"/>
    <w:rsid w:val="001122A6"/>
    <w:rsid w:val="00112368"/>
    <w:rsid w:val="001123EE"/>
    <w:rsid w:val="001125E3"/>
    <w:rsid w:val="00112667"/>
    <w:rsid w:val="001126C7"/>
    <w:rsid w:val="001129A9"/>
    <w:rsid w:val="00112A75"/>
    <w:rsid w:val="00112A8B"/>
    <w:rsid w:val="00112C06"/>
    <w:rsid w:val="00112E87"/>
    <w:rsid w:val="00112F9B"/>
    <w:rsid w:val="0011308D"/>
    <w:rsid w:val="001130B3"/>
    <w:rsid w:val="00113182"/>
    <w:rsid w:val="00113186"/>
    <w:rsid w:val="00113287"/>
    <w:rsid w:val="00113376"/>
    <w:rsid w:val="0011358A"/>
    <w:rsid w:val="001135E1"/>
    <w:rsid w:val="00113759"/>
    <w:rsid w:val="00113837"/>
    <w:rsid w:val="00113897"/>
    <w:rsid w:val="00113A8E"/>
    <w:rsid w:val="00113C66"/>
    <w:rsid w:val="00113CA9"/>
    <w:rsid w:val="00113CC6"/>
    <w:rsid w:val="00113D6C"/>
    <w:rsid w:val="00113D98"/>
    <w:rsid w:val="00113E11"/>
    <w:rsid w:val="001140F6"/>
    <w:rsid w:val="0011416D"/>
    <w:rsid w:val="001141D1"/>
    <w:rsid w:val="001141FE"/>
    <w:rsid w:val="00114244"/>
    <w:rsid w:val="001142DD"/>
    <w:rsid w:val="00114418"/>
    <w:rsid w:val="00114429"/>
    <w:rsid w:val="001147AE"/>
    <w:rsid w:val="0011492A"/>
    <w:rsid w:val="00114CF9"/>
    <w:rsid w:val="00114E36"/>
    <w:rsid w:val="00114FA6"/>
    <w:rsid w:val="00115072"/>
    <w:rsid w:val="0011514B"/>
    <w:rsid w:val="0011517A"/>
    <w:rsid w:val="0011551D"/>
    <w:rsid w:val="001156BD"/>
    <w:rsid w:val="001157F8"/>
    <w:rsid w:val="0011587F"/>
    <w:rsid w:val="001158D7"/>
    <w:rsid w:val="00115AD2"/>
    <w:rsid w:val="00115B05"/>
    <w:rsid w:val="00115B47"/>
    <w:rsid w:val="00115C06"/>
    <w:rsid w:val="00115D19"/>
    <w:rsid w:val="00115D63"/>
    <w:rsid w:val="00115DB9"/>
    <w:rsid w:val="00115EE5"/>
    <w:rsid w:val="00115FE8"/>
    <w:rsid w:val="00116187"/>
    <w:rsid w:val="0011629F"/>
    <w:rsid w:val="001162C1"/>
    <w:rsid w:val="001162CB"/>
    <w:rsid w:val="001163A0"/>
    <w:rsid w:val="001163AB"/>
    <w:rsid w:val="001164BF"/>
    <w:rsid w:val="001164D8"/>
    <w:rsid w:val="0011657A"/>
    <w:rsid w:val="00116703"/>
    <w:rsid w:val="00116858"/>
    <w:rsid w:val="00116B62"/>
    <w:rsid w:val="00116BC7"/>
    <w:rsid w:val="00116C51"/>
    <w:rsid w:val="00116C80"/>
    <w:rsid w:val="00116D30"/>
    <w:rsid w:val="00116E4D"/>
    <w:rsid w:val="00116F12"/>
    <w:rsid w:val="00116FF2"/>
    <w:rsid w:val="00117046"/>
    <w:rsid w:val="00117119"/>
    <w:rsid w:val="00117147"/>
    <w:rsid w:val="0011717C"/>
    <w:rsid w:val="00117205"/>
    <w:rsid w:val="00117299"/>
    <w:rsid w:val="001173EB"/>
    <w:rsid w:val="0011751C"/>
    <w:rsid w:val="0011753E"/>
    <w:rsid w:val="00117706"/>
    <w:rsid w:val="001177A6"/>
    <w:rsid w:val="001177E2"/>
    <w:rsid w:val="0011783B"/>
    <w:rsid w:val="001178DE"/>
    <w:rsid w:val="00117996"/>
    <w:rsid w:val="001179A7"/>
    <w:rsid w:val="001179E5"/>
    <w:rsid w:val="00117AD4"/>
    <w:rsid w:val="00117B22"/>
    <w:rsid w:val="00117CEF"/>
    <w:rsid w:val="00117D22"/>
    <w:rsid w:val="00117EDD"/>
    <w:rsid w:val="00117F5E"/>
    <w:rsid w:val="00117F84"/>
    <w:rsid w:val="0012021D"/>
    <w:rsid w:val="00120338"/>
    <w:rsid w:val="00120442"/>
    <w:rsid w:val="001204D2"/>
    <w:rsid w:val="0012069B"/>
    <w:rsid w:val="0012071B"/>
    <w:rsid w:val="00120766"/>
    <w:rsid w:val="001207C0"/>
    <w:rsid w:val="00120917"/>
    <w:rsid w:val="0012096F"/>
    <w:rsid w:val="0012097B"/>
    <w:rsid w:val="00120A4B"/>
    <w:rsid w:val="00120A68"/>
    <w:rsid w:val="00120B51"/>
    <w:rsid w:val="00120B5F"/>
    <w:rsid w:val="00120DA3"/>
    <w:rsid w:val="00120E85"/>
    <w:rsid w:val="00120F73"/>
    <w:rsid w:val="00120F9E"/>
    <w:rsid w:val="00121033"/>
    <w:rsid w:val="001210B9"/>
    <w:rsid w:val="00121339"/>
    <w:rsid w:val="00121430"/>
    <w:rsid w:val="00121487"/>
    <w:rsid w:val="001214A3"/>
    <w:rsid w:val="001214D3"/>
    <w:rsid w:val="0012164D"/>
    <w:rsid w:val="00121762"/>
    <w:rsid w:val="001217B5"/>
    <w:rsid w:val="00121870"/>
    <w:rsid w:val="00121885"/>
    <w:rsid w:val="00121ACD"/>
    <w:rsid w:val="00121BA0"/>
    <w:rsid w:val="00121BE7"/>
    <w:rsid w:val="00121CDD"/>
    <w:rsid w:val="00121E1C"/>
    <w:rsid w:val="00122101"/>
    <w:rsid w:val="001221A0"/>
    <w:rsid w:val="0012222B"/>
    <w:rsid w:val="0012239D"/>
    <w:rsid w:val="0012246C"/>
    <w:rsid w:val="00122503"/>
    <w:rsid w:val="001225C1"/>
    <w:rsid w:val="0012261E"/>
    <w:rsid w:val="00122627"/>
    <w:rsid w:val="00122633"/>
    <w:rsid w:val="001226A7"/>
    <w:rsid w:val="0012275A"/>
    <w:rsid w:val="001227C8"/>
    <w:rsid w:val="00122894"/>
    <w:rsid w:val="001229BE"/>
    <w:rsid w:val="00122A46"/>
    <w:rsid w:val="00122B3F"/>
    <w:rsid w:val="00122CB5"/>
    <w:rsid w:val="00122D2F"/>
    <w:rsid w:val="00122DDD"/>
    <w:rsid w:val="00122E1B"/>
    <w:rsid w:val="00122E62"/>
    <w:rsid w:val="00122F01"/>
    <w:rsid w:val="00122F3A"/>
    <w:rsid w:val="00122F5A"/>
    <w:rsid w:val="0012310A"/>
    <w:rsid w:val="001232B7"/>
    <w:rsid w:val="001232CF"/>
    <w:rsid w:val="0012352A"/>
    <w:rsid w:val="001235B1"/>
    <w:rsid w:val="00123621"/>
    <w:rsid w:val="00123649"/>
    <w:rsid w:val="0012365C"/>
    <w:rsid w:val="001237A9"/>
    <w:rsid w:val="00123915"/>
    <w:rsid w:val="00123955"/>
    <w:rsid w:val="00123991"/>
    <w:rsid w:val="00123A27"/>
    <w:rsid w:val="00123B5D"/>
    <w:rsid w:val="00123B8F"/>
    <w:rsid w:val="0012428F"/>
    <w:rsid w:val="001242B6"/>
    <w:rsid w:val="0012437B"/>
    <w:rsid w:val="00124419"/>
    <w:rsid w:val="00124441"/>
    <w:rsid w:val="001244AA"/>
    <w:rsid w:val="0012454A"/>
    <w:rsid w:val="001245A6"/>
    <w:rsid w:val="001245F6"/>
    <w:rsid w:val="001246CA"/>
    <w:rsid w:val="00124759"/>
    <w:rsid w:val="001247E0"/>
    <w:rsid w:val="001247ED"/>
    <w:rsid w:val="001247FB"/>
    <w:rsid w:val="0012481A"/>
    <w:rsid w:val="001249A9"/>
    <w:rsid w:val="00124AC3"/>
    <w:rsid w:val="00124B1D"/>
    <w:rsid w:val="00124BA2"/>
    <w:rsid w:val="00124BBD"/>
    <w:rsid w:val="00124BBE"/>
    <w:rsid w:val="00124E1C"/>
    <w:rsid w:val="00124E42"/>
    <w:rsid w:val="00124EAC"/>
    <w:rsid w:val="001251F7"/>
    <w:rsid w:val="00125245"/>
    <w:rsid w:val="00125368"/>
    <w:rsid w:val="0012538B"/>
    <w:rsid w:val="0012538F"/>
    <w:rsid w:val="00125459"/>
    <w:rsid w:val="001254B1"/>
    <w:rsid w:val="001254BF"/>
    <w:rsid w:val="00125504"/>
    <w:rsid w:val="00125704"/>
    <w:rsid w:val="00125763"/>
    <w:rsid w:val="0012583A"/>
    <w:rsid w:val="0012584E"/>
    <w:rsid w:val="00125886"/>
    <w:rsid w:val="00125A00"/>
    <w:rsid w:val="00125A6D"/>
    <w:rsid w:val="00125B42"/>
    <w:rsid w:val="00125B72"/>
    <w:rsid w:val="00125D81"/>
    <w:rsid w:val="00125F04"/>
    <w:rsid w:val="0012600F"/>
    <w:rsid w:val="00126280"/>
    <w:rsid w:val="0012640A"/>
    <w:rsid w:val="00126587"/>
    <w:rsid w:val="0012666A"/>
    <w:rsid w:val="00126727"/>
    <w:rsid w:val="0012678F"/>
    <w:rsid w:val="0012693D"/>
    <w:rsid w:val="00126957"/>
    <w:rsid w:val="00126BF3"/>
    <w:rsid w:val="00126C35"/>
    <w:rsid w:val="00126D96"/>
    <w:rsid w:val="00126F62"/>
    <w:rsid w:val="00126FDE"/>
    <w:rsid w:val="00127017"/>
    <w:rsid w:val="001270EC"/>
    <w:rsid w:val="001271D9"/>
    <w:rsid w:val="001272BA"/>
    <w:rsid w:val="00127494"/>
    <w:rsid w:val="0012766B"/>
    <w:rsid w:val="00127857"/>
    <w:rsid w:val="0012792F"/>
    <w:rsid w:val="0012794B"/>
    <w:rsid w:val="00127A5F"/>
    <w:rsid w:val="00127C7F"/>
    <w:rsid w:val="00127E3A"/>
    <w:rsid w:val="00127F3A"/>
    <w:rsid w:val="00127F91"/>
    <w:rsid w:val="00127FF8"/>
    <w:rsid w:val="0012EFDA"/>
    <w:rsid w:val="0013005B"/>
    <w:rsid w:val="001301FC"/>
    <w:rsid w:val="00130271"/>
    <w:rsid w:val="00130364"/>
    <w:rsid w:val="0013037B"/>
    <w:rsid w:val="0013067F"/>
    <w:rsid w:val="001306FF"/>
    <w:rsid w:val="0013088A"/>
    <w:rsid w:val="00130AB4"/>
    <w:rsid w:val="00130BE2"/>
    <w:rsid w:val="00130C9F"/>
    <w:rsid w:val="00130CA0"/>
    <w:rsid w:val="00130DC4"/>
    <w:rsid w:val="00130FC6"/>
    <w:rsid w:val="00131089"/>
    <w:rsid w:val="001310EC"/>
    <w:rsid w:val="00131163"/>
    <w:rsid w:val="001311E6"/>
    <w:rsid w:val="0013126B"/>
    <w:rsid w:val="00131380"/>
    <w:rsid w:val="001313DB"/>
    <w:rsid w:val="001313EF"/>
    <w:rsid w:val="00131413"/>
    <w:rsid w:val="00131656"/>
    <w:rsid w:val="00131685"/>
    <w:rsid w:val="0013184B"/>
    <w:rsid w:val="001318FE"/>
    <w:rsid w:val="00131994"/>
    <w:rsid w:val="00131C2D"/>
    <w:rsid w:val="00131D9B"/>
    <w:rsid w:val="00131E41"/>
    <w:rsid w:val="00131F97"/>
    <w:rsid w:val="00132064"/>
    <w:rsid w:val="00132065"/>
    <w:rsid w:val="001320AE"/>
    <w:rsid w:val="001321BE"/>
    <w:rsid w:val="0013230E"/>
    <w:rsid w:val="001323A4"/>
    <w:rsid w:val="001323AA"/>
    <w:rsid w:val="00132418"/>
    <w:rsid w:val="0013249C"/>
    <w:rsid w:val="0013249E"/>
    <w:rsid w:val="001326A4"/>
    <w:rsid w:val="001326D9"/>
    <w:rsid w:val="00132760"/>
    <w:rsid w:val="00132772"/>
    <w:rsid w:val="0013277D"/>
    <w:rsid w:val="0013282C"/>
    <w:rsid w:val="0013292B"/>
    <w:rsid w:val="001329DC"/>
    <w:rsid w:val="001329F7"/>
    <w:rsid w:val="00132BE6"/>
    <w:rsid w:val="00132C0C"/>
    <w:rsid w:val="00132D1D"/>
    <w:rsid w:val="00132D5A"/>
    <w:rsid w:val="00132E4E"/>
    <w:rsid w:val="00132E89"/>
    <w:rsid w:val="00132EDB"/>
    <w:rsid w:val="00132F41"/>
    <w:rsid w:val="00132F79"/>
    <w:rsid w:val="001330A7"/>
    <w:rsid w:val="001330E5"/>
    <w:rsid w:val="00133116"/>
    <w:rsid w:val="00133347"/>
    <w:rsid w:val="001335E7"/>
    <w:rsid w:val="00133685"/>
    <w:rsid w:val="001337A5"/>
    <w:rsid w:val="001337C1"/>
    <w:rsid w:val="00133821"/>
    <w:rsid w:val="00133998"/>
    <w:rsid w:val="001339D3"/>
    <w:rsid w:val="00133A8E"/>
    <w:rsid w:val="00133AEE"/>
    <w:rsid w:val="00133BAF"/>
    <w:rsid w:val="00133BF4"/>
    <w:rsid w:val="00133C9D"/>
    <w:rsid w:val="00133F86"/>
    <w:rsid w:val="00133FB1"/>
    <w:rsid w:val="00134013"/>
    <w:rsid w:val="0013402C"/>
    <w:rsid w:val="00134177"/>
    <w:rsid w:val="00134689"/>
    <w:rsid w:val="00134840"/>
    <w:rsid w:val="00134954"/>
    <w:rsid w:val="00134AEF"/>
    <w:rsid w:val="00134C8F"/>
    <w:rsid w:val="00134CC7"/>
    <w:rsid w:val="00134CE6"/>
    <w:rsid w:val="00134D0F"/>
    <w:rsid w:val="00134EC3"/>
    <w:rsid w:val="0013518C"/>
    <w:rsid w:val="00135205"/>
    <w:rsid w:val="0013528A"/>
    <w:rsid w:val="001352A6"/>
    <w:rsid w:val="00135444"/>
    <w:rsid w:val="001354BE"/>
    <w:rsid w:val="00135660"/>
    <w:rsid w:val="0013566E"/>
    <w:rsid w:val="001356B0"/>
    <w:rsid w:val="001356BC"/>
    <w:rsid w:val="001357CD"/>
    <w:rsid w:val="00135818"/>
    <w:rsid w:val="001358F1"/>
    <w:rsid w:val="00135B30"/>
    <w:rsid w:val="00135B38"/>
    <w:rsid w:val="00135CD6"/>
    <w:rsid w:val="00135E86"/>
    <w:rsid w:val="00135F66"/>
    <w:rsid w:val="0013604A"/>
    <w:rsid w:val="00136099"/>
    <w:rsid w:val="00136189"/>
    <w:rsid w:val="001361CC"/>
    <w:rsid w:val="001363A0"/>
    <w:rsid w:val="001363CF"/>
    <w:rsid w:val="0013655F"/>
    <w:rsid w:val="00136602"/>
    <w:rsid w:val="0013661D"/>
    <w:rsid w:val="00136632"/>
    <w:rsid w:val="00136660"/>
    <w:rsid w:val="00136692"/>
    <w:rsid w:val="001366D3"/>
    <w:rsid w:val="001367FF"/>
    <w:rsid w:val="001368D4"/>
    <w:rsid w:val="001369F2"/>
    <w:rsid w:val="00136B13"/>
    <w:rsid w:val="00136BD4"/>
    <w:rsid w:val="00136D3E"/>
    <w:rsid w:val="00136D68"/>
    <w:rsid w:val="00136D75"/>
    <w:rsid w:val="00136DC0"/>
    <w:rsid w:val="00136DD1"/>
    <w:rsid w:val="00136E36"/>
    <w:rsid w:val="00136E5A"/>
    <w:rsid w:val="00136FEF"/>
    <w:rsid w:val="0013703F"/>
    <w:rsid w:val="001371D4"/>
    <w:rsid w:val="00137279"/>
    <w:rsid w:val="00137476"/>
    <w:rsid w:val="001374B8"/>
    <w:rsid w:val="00137991"/>
    <w:rsid w:val="00137C1B"/>
    <w:rsid w:val="00137CB2"/>
    <w:rsid w:val="00137D02"/>
    <w:rsid w:val="00137DF0"/>
    <w:rsid w:val="00137E48"/>
    <w:rsid w:val="00137E57"/>
    <w:rsid w:val="00137E66"/>
    <w:rsid w:val="0014005B"/>
    <w:rsid w:val="0014015F"/>
    <w:rsid w:val="001403E3"/>
    <w:rsid w:val="001404EE"/>
    <w:rsid w:val="00140503"/>
    <w:rsid w:val="0014052A"/>
    <w:rsid w:val="00140601"/>
    <w:rsid w:val="00140635"/>
    <w:rsid w:val="001406D3"/>
    <w:rsid w:val="00140711"/>
    <w:rsid w:val="001407B2"/>
    <w:rsid w:val="001407BA"/>
    <w:rsid w:val="00140A60"/>
    <w:rsid w:val="00140A65"/>
    <w:rsid w:val="00140AA1"/>
    <w:rsid w:val="00140ABF"/>
    <w:rsid w:val="00140B1B"/>
    <w:rsid w:val="00140E0E"/>
    <w:rsid w:val="00140E69"/>
    <w:rsid w:val="00140ED2"/>
    <w:rsid w:val="00140FDB"/>
    <w:rsid w:val="00141008"/>
    <w:rsid w:val="00141084"/>
    <w:rsid w:val="00141086"/>
    <w:rsid w:val="0014109D"/>
    <w:rsid w:val="001410C7"/>
    <w:rsid w:val="00141123"/>
    <w:rsid w:val="0014119E"/>
    <w:rsid w:val="0014133A"/>
    <w:rsid w:val="00141378"/>
    <w:rsid w:val="0014138A"/>
    <w:rsid w:val="0014141E"/>
    <w:rsid w:val="0014148B"/>
    <w:rsid w:val="00141601"/>
    <w:rsid w:val="0014160D"/>
    <w:rsid w:val="0014171B"/>
    <w:rsid w:val="0014197D"/>
    <w:rsid w:val="00141B81"/>
    <w:rsid w:val="00141B82"/>
    <w:rsid w:val="00141BA7"/>
    <w:rsid w:val="00141EFF"/>
    <w:rsid w:val="001420E4"/>
    <w:rsid w:val="00142157"/>
    <w:rsid w:val="0014222B"/>
    <w:rsid w:val="001422B1"/>
    <w:rsid w:val="001422B8"/>
    <w:rsid w:val="001423F0"/>
    <w:rsid w:val="00142514"/>
    <w:rsid w:val="00142531"/>
    <w:rsid w:val="00142782"/>
    <w:rsid w:val="0014282A"/>
    <w:rsid w:val="001429A3"/>
    <w:rsid w:val="00142B02"/>
    <w:rsid w:val="00142DDC"/>
    <w:rsid w:val="00142E79"/>
    <w:rsid w:val="00142EAF"/>
    <w:rsid w:val="00142EF8"/>
    <w:rsid w:val="0014305E"/>
    <w:rsid w:val="00143080"/>
    <w:rsid w:val="001430A6"/>
    <w:rsid w:val="001430C4"/>
    <w:rsid w:val="0014318C"/>
    <w:rsid w:val="0014327C"/>
    <w:rsid w:val="001432B8"/>
    <w:rsid w:val="001433DA"/>
    <w:rsid w:val="0014398F"/>
    <w:rsid w:val="001439BB"/>
    <w:rsid w:val="00143A35"/>
    <w:rsid w:val="00143A85"/>
    <w:rsid w:val="00143AA2"/>
    <w:rsid w:val="00143AC9"/>
    <w:rsid w:val="00143B44"/>
    <w:rsid w:val="00143B85"/>
    <w:rsid w:val="00143CC0"/>
    <w:rsid w:val="00143E7C"/>
    <w:rsid w:val="00144010"/>
    <w:rsid w:val="0014406F"/>
    <w:rsid w:val="00144088"/>
    <w:rsid w:val="0014411C"/>
    <w:rsid w:val="0014415C"/>
    <w:rsid w:val="00144238"/>
    <w:rsid w:val="001443A6"/>
    <w:rsid w:val="001444F3"/>
    <w:rsid w:val="00144551"/>
    <w:rsid w:val="00144567"/>
    <w:rsid w:val="0014463F"/>
    <w:rsid w:val="00144754"/>
    <w:rsid w:val="0014480B"/>
    <w:rsid w:val="0014489C"/>
    <w:rsid w:val="00144940"/>
    <w:rsid w:val="00144992"/>
    <w:rsid w:val="00144AD3"/>
    <w:rsid w:val="00144BDD"/>
    <w:rsid w:val="00144E6D"/>
    <w:rsid w:val="00144E9D"/>
    <w:rsid w:val="00144F1E"/>
    <w:rsid w:val="00144FAD"/>
    <w:rsid w:val="00145004"/>
    <w:rsid w:val="001450B7"/>
    <w:rsid w:val="00145105"/>
    <w:rsid w:val="00145276"/>
    <w:rsid w:val="001452F5"/>
    <w:rsid w:val="00145485"/>
    <w:rsid w:val="001454B3"/>
    <w:rsid w:val="0014565E"/>
    <w:rsid w:val="00145796"/>
    <w:rsid w:val="00145889"/>
    <w:rsid w:val="0014588E"/>
    <w:rsid w:val="001459B4"/>
    <w:rsid w:val="00145A02"/>
    <w:rsid w:val="00145AA4"/>
    <w:rsid w:val="00145C1E"/>
    <w:rsid w:val="00145D27"/>
    <w:rsid w:val="00145EFB"/>
    <w:rsid w:val="0014653E"/>
    <w:rsid w:val="001465F2"/>
    <w:rsid w:val="00146615"/>
    <w:rsid w:val="00146650"/>
    <w:rsid w:val="001466C2"/>
    <w:rsid w:val="001467A7"/>
    <w:rsid w:val="00146970"/>
    <w:rsid w:val="001469CC"/>
    <w:rsid w:val="00146B21"/>
    <w:rsid w:val="00146BDD"/>
    <w:rsid w:val="00146C2B"/>
    <w:rsid w:val="00146CDC"/>
    <w:rsid w:val="00146CEE"/>
    <w:rsid w:val="00146D61"/>
    <w:rsid w:val="00147033"/>
    <w:rsid w:val="001470A6"/>
    <w:rsid w:val="001471BB"/>
    <w:rsid w:val="001471DB"/>
    <w:rsid w:val="00147233"/>
    <w:rsid w:val="00147345"/>
    <w:rsid w:val="001473A6"/>
    <w:rsid w:val="00147416"/>
    <w:rsid w:val="00147520"/>
    <w:rsid w:val="00147542"/>
    <w:rsid w:val="00147551"/>
    <w:rsid w:val="001476B2"/>
    <w:rsid w:val="001476F5"/>
    <w:rsid w:val="0014777E"/>
    <w:rsid w:val="001477D1"/>
    <w:rsid w:val="0014787E"/>
    <w:rsid w:val="00147C23"/>
    <w:rsid w:val="00147C42"/>
    <w:rsid w:val="00147C84"/>
    <w:rsid w:val="00150093"/>
    <w:rsid w:val="00150281"/>
    <w:rsid w:val="001502CB"/>
    <w:rsid w:val="001503A7"/>
    <w:rsid w:val="001503FA"/>
    <w:rsid w:val="0015042D"/>
    <w:rsid w:val="0015048D"/>
    <w:rsid w:val="00150580"/>
    <w:rsid w:val="00150614"/>
    <w:rsid w:val="001506BF"/>
    <w:rsid w:val="001507ED"/>
    <w:rsid w:val="001507EE"/>
    <w:rsid w:val="00150858"/>
    <w:rsid w:val="00150979"/>
    <w:rsid w:val="00150AE5"/>
    <w:rsid w:val="00150B03"/>
    <w:rsid w:val="00150B38"/>
    <w:rsid w:val="00150BB4"/>
    <w:rsid w:val="00150BBF"/>
    <w:rsid w:val="00150C5D"/>
    <w:rsid w:val="00150CF3"/>
    <w:rsid w:val="00150D4A"/>
    <w:rsid w:val="00150EB9"/>
    <w:rsid w:val="001510C5"/>
    <w:rsid w:val="001510D4"/>
    <w:rsid w:val="0015113E"/>
    <w:rsid w:val="001512C6"/>
    <w:rsid w:val="00151348"/>
    <w:rsid w:val="001513A3"/>
    <w:rsid w:val="0015142F"/>
    <w:rsid w:val="0015160A"/>
    <w:rsid w:val="00151674"/>
    <w:rsid w:val="00151781"/>
    <w:rsid w:val="0015178A"/>
    <w:rsid w:val="0015183D"/>
    <w:rsid w:val="00151A8B"/>
    <w:rsid w:val="00151AE7"/>
    <w:rsid w:val="00151FB5"/>
    <w:rsid w:val="00152141"/>
    <w:rsid w:val="001521A8"/>
    <w:rsid w:val="0015220A"/>
    <w:rsid w:val="00152326"/>
    <w:rsid w:val="0015244C"/>
    <w:rsid w:val="0015270A"/>
    <w:rsid w:val="00152825"/>
    <w:rsid w:val="00152872"/>
    <w:rsid w:val="00152ADB"/>
    <w:rsid w:val="00152C50"/>
    <w:rsid w:val="00152C89"/>
    <w:rsid w:val="00152DC2"/>
    <w:rsid w:val="00152F08"/>
    <w:rsid w:val="00153145"/>
    <w:rsid w:val="00153149"/>
    <w:rsid w:val="00153157"/>
    <w:rsid w:val="00153329"/>
    <w:rsid w:val="0015339F"/>
    <w:rsid w:val="00153421"/>
    <w:rsid w:val="00153434"/>
    <w:rsid w:val="0015350E"/>
    <w:rsid w:val="0015357A"/>
    <w:rsid w:val="00153667"/>
    <w:rsid w:val="001536C9"/>
    <w:rsid w:val="00153729"/>
    <w:rsid w:val="00153762"/>
    <w:rsid w:val="00153966"/>
    <w:rsid w:val="00153A36"/>
    <w:rsid w:val="00153AFB"/>
    <w:rsid w:val="00153D07"/>
    <w:rsid w:val="00153DD8"/>
    <w:rsid w:val="00153DDD"/>
    <w:rsid w:val="00153E44"/>
    <w:rsid w:val="001540FC"/>
    <w:rsid w:val="001541CD"/>
    <w:rsid w:val="001541DB"/>
    <w:rsid w:val="0015429B"/>
    <w:rsid w:val="001544D7"/>
    <w:rsid w:val="001546A6"/>
    <w:rsid w:val="00154777"/>
    <w:rsid w:val="001547A0"/>
    <w:rsid w:val="001547BC"/>
    <w:rsid w:val="001547D7"/>
    <w:rsid w:val="001548A6"/>
    <w:rsid w:val="001548BB"/>
    <w:rsid w:val="001549D3"/>
    <w:rsid w:val="00154A11"/>
    <w:rsid w:val="00154A75"/>
    <w:rsid w:val="00154AB3"/>
    <w:rsid w:val="00154B71"/>
    <w:rsid w:val="00154B74"/>
    <w:rsid w:val="00154D10"/>
    <w:rsid w:val="00154D53"/>
    <w:rsid w:val="00154DF5"/>
    <w:rsid w:val="00154E7D"/>
    <w:rsid w:val="00154F25"/>
    <w:rsid w:val="00154F3A"/>
    <w:rsid w:val="00154F77"/>
    <w:rsid w:val="001550B8"/>
    <w:rsid w:val="00155128"/>
    <w:rsid w:val="001551E5"/>
    <w:rsid w:val="001553B0"/>
    <w:rsid w:val="001553EC"/>
    <w:rsid w:val="0015543F"/>
    <w:rsid w:val="00155588"/>
    <w:rsid w:val="00155635"/>
    <w:rsid w:val="00155651"/>
    <w:rsid w:val="00155686"/>
    <w:rsid w:val="001556EF"/>
    <w:rsid w:val="001557E5"/>
    <w:rsid w:val="001557FA"/>
    <w:rsid w:val="00155A23"/>
    <w:rsid w:val="00155A91"/>
    <w:rsid w:val="00155AB2"/>
    <w:rsid w:val="00155CF5"/>
    <w:rsid w:val="00155E0B"/>
    <w:rsid w:val="00155EF2"/>
    <w:rsid w:val="00155FC1"/>
    <w:rsid w:val="00156040"/>
    <w:rsid w:val="001560BC"/>
    <w:rsid w:val="00156196"/>
    <w:rsid w:val="00156360"/>
    <w:rsid w:val="00156408"/>
    <w:rsid w:val="00156590"/>
    <w:rsid w:val="00156591"/>
    <w:rsid w:val="001565D5"/>
    <w:rsid w:val="001566B6"/>
    <w:rsid w:val="00156700"/>
    <w:rsid w:val="0015699E"/>
    <w:rsid w:val="00156A42"/>
    <w:rsid w:val="00156A79"/>
    <w:rsid w:val="00156B10"/>
    <w:rsid w:val="00156D9B"/>
    <w:rsid w:val="00156E45"/>
    <w:rsid w:val="00156EFC"/>
    <w:rsid w:val="00156FB7"/>
    <w:rsid w:val="001572F4"/>
    <w:rsid w:val="00157401"/>
    <w:rsid w:val="001574A6"/>
    <w:rsid w:val="0015751C"/>
    <w:rsid w:val="00157557"/>
    <w:rsid w:val="0015780F"/>
    <w:rsid w:val="00157836"/>
    <w:rsid w:val="00157873"/>
    <w:rsid w:val="001578D0"/>
    <w:rsid w:val="00157BC0"/>
    <w:rsid w:val="00157D28"/>
    <w:rsid w:val="00157DCD"/>
    <w:rsid w:val="00157DD1"/>
    <w:rsid w:val="00157DE7"/>
    <w:rsid w:val="00157F47"/>
    <w:rsid w:val="00157F94"/>
    <w:rsid w:val="00160032"/>
    <w:rsid w:val="00160103"/>
    <w:rsid w:val="00160198"/>
    <w:rsid w:val="00160199"/>
    <w:rsid w:val="0016029E"/>
    <w:rsid w:val="001602A6"/>
    <w:rsid w:val="0016035D"/>
    <w:rsid w:val="0016047B"/>
    <w:rsid w:val="0016060C"/>
    <w:rsid w:val="00160894"/>
    <w:rsid w:val="0016092C"/>
    <w:rsid w:val="00160986"/>
    <w:rsid w:val="00160AB7"/>
    <w:rsid w:val="00160AC3"/>
    <w:rsid w:val="00160B89"/>
    <w:rsid w:val="00160CC0"/>
    <w:rsid w:val="00160D58"/>
    <w:rsid w:val="00160D70"/>
    <w:rsid w:val="00160DA0"/>
    <w:rsid w:val="00160E83"/>
    <w:rsid w:val="0016101C"/>
    <w:rsid w:val="00161183"/>
    <w:rsid w:val="0016128A"/>
    <w:rsid w:val="0016129F"/>
    <w:rsid w:val="001612CE"/>
    <w:rsid w:val="0016143C"/>
    <w:rsid w:val="0016143E"/>
    <w:rsid w:val="00161450"/>
    <w:rsid w:val="00161510"/>
    <w:rsid w:val="00161788"/>
    <w:rsid w:val="001618E3"/>
    <w:rsid w:val="00161906"/>
    <w:rsid w:val="00161915"/>
    <w:rsid w:val="00161972"/>
    <w:rsid w:val="00161ACD"/>
    <w:rsid w:val="00161C04"/>
    <w:rsid w:val="00161C64"/>
    <w:rsid w:val="00161CAD"/>
    <w:rsid w:val="00161D8B"/>
    <w:rsid w:val="00161DB4"/>
    <w:rsid w:val="001621BA"/>
    <w:rsid w:val="001622C8"/>
    <w:rsid w:val="001624C1"/>
    <w:rsid w:val="00162537"/>
    <w:rsid w:val="0016275E"/>
    <w:rsid w:val="001628C0"/>
    <w:rsid w:val="001628E5"/>
    <w:rsid w:val="001629D1"/>
    <w:rsid w:val="00162AAB"/>
    <w:rsid w:val="00162B1D"/>
    <w:rsid w:val="00162D4D"/>
    <w:rsid w:val="00162DDB"/>
    <w:rsid w:val="00162EF4"/>
    <w:rsid w:val="00162F95"/>
    <w:rsid w:val="00162FF5"/>
    <w:rsid w:val="00163031"/>
    <w:rsid w:val="00163032"/>
    <w:rsid w:val="00163173"/>
    <w:rsid w:val="001631B6"/>
    <w:rsid w:val="001632D8"/>
    <w:rsid w:val="001633CB"/>
    <w:rsid w:val="0016352B"/>
    <w:rsid w:val="00163616"/>
    <w:rsid w:val="0016362A"/>
    <w:rsid w:val="00163684"/>
    <w:rsid w:val="00163712"/>
    <w:rsid w:val="00163804"/>
    <w:rsid w:val="00163880"/>
    <w:rsid w:val="0016392A"/>
    <w:rsid w:val="001639C5"/>
    <w:rsid w:val="00163A98"/>
    <w:rsid w:val="00163B05"/>
    <w:rsid w:val="00163B73"/>
    <w:rsid w:val="00163CAE"/>
    <w:rsid w:val="00163D59"/>
    <w:rsid w:val="00163EDA"/>
    <w:rsid w:val="00163FE4"/>
    <w:rsid w:val="0016400C"/>
    <w:rsid w:val="00164035"/>
    <w:rsid w:val="0016407F"/>
    <w:rsid w:val="00164086"/>
    <w:rsid w:val="001640CF"/>
    <w:rsid w:val="001641C3"/>
    <w:rsid w:val="00164268"/>
    <w:rsid w:val="0016433D"/>
    <w:rsid w:val="00164556"/>
    <w:rsid w:val="00164586"/>
    <w:rsid w:val="00164753"/>
    <w:rsid w:val="00164755"/>
    <w:rsid w:val="00164796"/>
    <w:rsid w:val="0016490E"/>
    <w:rsid w:val="001649B2"/>
    <w:rsid w:val="00164A29"/>
    <w:rsid w:val="00164F53"/>
    <w:rsid w:val="00164FA5"/>
    <w:rsid w:val="00164FC1"/>
    <w:rsid w:val="001650A9"/>
    <w:rsid w:val="00165133"/>
    <w:rsid w:val="00165265"/>
    <w:rsid w:val="00165270"/>
    <w:rsid w:val="001652F6"/>
    <w:rsid w:val="0016531B"/>
    <w:rsid w:val="0016533A"/>
    <w:rsid w:val="001653D5"/>
    <w:rsid w:val="0016540A"/>
    <w:rsid w:val="00165460"/>
    <w:rsid w:val="0016547C"/>
    <w:rsid w:val="001654B1"/>
    <w:rsid w:val="001654CB"/>
    <w:rsid w:val="001659AE"/>
    <w:rsid w:val="00165A75"/>
    <w:rsid w:val="00165AE7"/>
    <w:rsid w:val="00165DA9"/>
    <w:rsid w:val="00165DD3"/>
    <w:rsid w:val="00165DFB"/>
    <w:rsid w:val="00165E09"/>
    <w:rsid w:val="00165ED0"/>
    <w:rsid w:val="0016604A"/>
    <w:rsid w:val="001660D3"/>
    <w:rsid w:val="0016642F"/>
    <w:rsid w:val="0016645F"/>
    <w:rsid w:val="00166519"/>
    <w:rsid w:val="0016653F"/>
    <w:rsid w:val="00166651"/>
    <w:rsid w:val="0016672E"/>
    <w:rsid w:val="0016674D"/>
    <w:rsid w:val="00166948"/>
    <w:rsid w:val="0016695C"/>
    <w:rsid w:val="00166A0E"/>
    <w:rsid w:val="00166A32"/>
    <w:rsid w:val="00166A99"/>
    <w:rsid w:val="00166AA8"/>
    <w:rsid w:val="00166B1D"/>
    <w:rsid w:val="00166B52"/>
    <w:rsid w:val="00166B75"/>
    <w:rsid w:val="00166EBD"/>
    <w:rsid w:val="00166F4F"/>
    <w:rsid w:val="0016704B"/>
    <w:rsid w:val="0016713E"/>
    <w:rsid w:val="00167216"/>
    <w:rsid w:val="0016726D"/>
    <w:rsid w:val="00167345"/>
    <w:rsid w:val="0016751F"/>
    <w:rsid w:val="00167572"/>
    <w:rsid w:val="00167622"/>
    <w:rsid w:val="0016780A"/>
    <w:rsid w:val="00167855"/>
    <w:rsid w:val="00167941"/>
    <w:rsid w:val="00167996"/>
    <w:rsid w:val="001679F9"/>
    <w:rsid w:val="00167C91"/>
    <w:rsid w:val="00167D14"/>
    <w:rsid w:val="00167E1E"/>
    <w:rsid w:val="0016DBBA"/>
    <w:rsid w:val="001700D2"/>
    <w:rsid w:val="001701C9"/>
    <w:rsid w:val="00170277"/>
    <w:rsid w:val="00170525"/>
    <w:rsid w:val="001707A8"/>
    <w:rsid w:val="001708BA"/>
    <w:rsid w:val="001708BD"/>
    <w:rsid w:val="0017097C"/>
    <w:rsid w:val="001709A9"/>
    <w:rsid w:val="00170C62"/>
    <w:rsid w:val="00170C66"/>
    <w:rsid w:val="00170E13"/>
    <w:rsid w:val="00170E8A"/>
    <w:rsid w:val="00170F74"/>
    <w:rsid w:val="00170FAF"/>
    <w:rsid w:val="0017105A"/>
    <w:rsid w:val="0017116E"/>
    <w:rsid w:val="0017117A"/>
    <w:rsid w:val="0017124D"/>
    <w:rsid w:val="0017125F"/>
    <w:rsid w:val="00171275"/>
    <w:rsid w:val="001714BF"/>
    <w:rsid w:val="001716B3"/>
    <w:rsid w:val="00171704"/>
    <w:rsid w:val="00171845"/>
    <w:rsid w:val="00171883"/>
    <w:rsid w:val="001718DC"/>
    <w:rsid w:val="00171E56"/>
    <w:rsid w:val="00171E76"/>
    <w:rsid w:val="001721B9"/>
    <w:rsid w:val="0017229F"/>
    <w:rsid w:val="001722A8"/>
    <w:rsid w:val="0017266B"/>
    <w:rsid w:val="00172683"/>
    <w:rsid w:val="001726F3"/>
    <w:rsid w:val="00172A2D"/>
    <w:rsid w:val="00172AD5"/>
    <w:rsid w:val="00172BA5"/>
    <w:rsid w:val="00172C59"/>
    <w:rsid w:val="00172E58"/>
    <w:rsid w:val="00173164"/>
    <w:rsid w:val="001731BC"/>
    <w:rsid w:val="00173553"/>
    <w:rsid w:val="00173567"/>
    <w:rsid w:val="001735DA"/>
    <w:rsid w:val="001735DE"/>
    <w:rsid w:val="0017360E"/>
    <w:rsid w:val="00173708"/>
    <w:rsid w:val="00173884"/>
    <w:rsid w:val="00173ABA"/>
    <w:rsid w:val="00173B75"/>
    <w:rsid w:val="00173B7C"/>
    <w:rsid w:val="00173B8B"/>
    <w:rsid w:val="00173ECA"/>
    <w:rsid w:val="00174005"/>
    <w:rsid w:val="0017403C"/>
    <w:rsid w:val="00174051"/>
    <w:rsid w:val="001740DD"/>
    <w:rsid w:val="00174188"/>
    <w:rsid w:val="001741CB"/>
    <w:rsid w:val="001741D5"/>
    <w:rsid w:val="00174273"/>
    <w:rsid w:val="0017462F"/>
    <w:rsid w:val="0017482A"/>
    <w:rsid w:val="0017495B"/>
    <w:rsid w:val="001749AE"/>
    <w:rsid w:val="00174B41"/>
    <w:rsid w:val="00174B69"/>
    <w:rsid w:val="00174B6D"/>
    <w:rsid w:val="00174BB8"/>
    <w:rsid w:val="00174BEA"/>
    <w:rsid w:val="00174DAA"/>
    <w:rsid w:val="00174DF7"/>
    <w:rsid w:val="00174DFD"/>
    <w:rsid w:val="00174E80"/>
    <w:rsid w:val="00174EC8"/>
    <w:rsid w:val="00174EEE"/>
    <w:rsid w:val="00175110"/>
    <w:rsid w:val="0017522B"/>
    <w:rsid w:val="001752AB"/>
    <w:rsid w:val="00175340"/>
    <w:rsid w:val="00175562"/>
    <w:rsid w:val="001755FB"/>
    <w:rsid w:val="00175812"/>
    <w:rsid w:val="00175868"/>
    <w:rsid w:val="001759B1"/>
    <w:rsid w:val="00175B0F"/>
    <w:rsid w:val="00175C0D"/>
    <w:rsid w:val="00175C34"/>
    <w:rsid w:val="00175C44"/>
    <w:rsid w:val="001760D5"/>
    <w:rsid w:val="001760D6"/>
    <w:rsid w:val="00176196"/>
    <w:rsid w:val="001761DB"/>
    <w:rsid w:val="00176296"/>
    <w:rsid w:val="001762B5"/>
    <w:rsid w:val="0017649E"/>
    <w:rsid w:val="00176515"/>
    <w:rsid w:val="001765A4"/>
    <w:rsid w:val="00176665"/>
    <w:rsid w:val="00176687"/>
    <w:rsid w:val="0017672D"/>
    <w:rsid w:val="00176756"/>
    <w:rsid w:val="00176779"/>
    <w:rsid w:val="00176799"/>
    <w:rsid w:val="001767A2"/>
    <w:rsid w:val="001768A9"/>
    <w:rsid w:val="001769DE"/>
    <w:rsid w:val="001769F0"/>
    <w:rsid w:val="00176AAC"/>
    <w:rsid w:val="00176AE4"/>
    <w:rsid w:val="00176B61"/>
    <w:rsid w:val="00176BD8"/>
    <w:rsid w:val="00176BDF"/>
    <w:rsid w:val="00176BF5"/>
    <w:rsid w:val="00176CB3"/>
    <w:rsid w:val="00176CF2"/>
    <w:rsid w:val="00176D76"/>
    <w:rsid w:val="00176E5A"/>
    <w:rsid w:val="00176EB7"/>
    <w:rsid w:val="001770D0"/>
    <w:rsid w:val="001771CA"/>
    <w:rsid w:val="00177232"/>
    <w:rsid w:val="001772CB"/>
    <w:rsid w:val="001772FD"/>
    <w:rsid w:val="001773BD"/>
    <w:rsid w:val="001773C4"/>
    <w:rsid w:val="001773EB"/>
    <w:rsid w:val="00177571"/>
    <w:rsid w:val="00177630"/>
    <w:rsid w:val="0017764C"/>
    <w:rsid w:val="001777AE"/>
    <w:rsid w:val="00177857"/>
    <w:rsid w:val="00177931"/>
    <w:rsid w:val="00177A4A"/>
    <w:rsid w:val="00177AA9"/>
    <w:rsid w:val="00177AF7"/>
    <w:rsid w:val="00177BD7"/>
    <w:rsid w:val="00177D35"/>
    <w:rsid w:val="00177D96"/>
    <w:rsid w:val="00177DE0"/>
    <w:rsid w:val="00177E32"/>
    <w:rsid w:val="00177E7E"/>
    <w:rsid w:val="00180066"/>
    <w:rsid w:val="00180186"/>
    <w:rsid w:val="0018020E"/>
    <w:rsid w:val="0018021B"/>
    <w:rsid w:val="00180651"/>
    <w:rsid w:val="001806A9"/>
    <w:rsid w:val="001807ED"/>
    <w:rsid w:val="0018085F"/>
    <w:rsid w:val="00180A78"/>
    <w:rsid w:val="00180ABF"/>
    <w:rsid w:val="00180B7B"/>
    <w:rsid w:val="00180B95"/>
    <w:rsid w:val="00180BFF"/>
    <w:rsid w:val="00180C7A"/>
    <w:rsid w:val="00180CDB"/>
    <w:rsid w:val="00180D5F"/>
    <w:rsid w:val="00180DD8"/>
    <w:rsid w:val="00180E38"/>
    <w:rsid w:val="00180E6A"/>
    <w:rsid w:val="00180F04"/>
    <w:rsid w:val="00180F6B"/>
    <w:rsid w:val="00181107"/>
    <w:rsid w:val="00181308"/>
    <w:rsid w:val="001813ED"/>
    <w:rsid w:val="0018154F"/>
    <w:rsid w:val="00181694"/>
    <w:rsid w:val="001816F3"/>
    <w:rsid w:val="00181851"/>
    <w:rsid w:val="001818F3"/>
    <w:rsid w:val="00181A2C"/>
    <w:rsid w:val="00181A36"/>
    <w:rsid w:val="00181A8A"/>
    <w:rsid w:val="00181BEC"/>
    <w:rsid w:val="00181D56"/>
    <w:rsid w:val="00181D9A"/>
    <w:rsid w:val="00182068"/>
    <w:rsid w:val="00182457"/>
    <w:rsid w:val="00182708"/>
    <w:rsid w:val="001828A7"/>
    <w:rsid w:val="00182A8C"/>
    <w:rsid w:val="00182CC7"/>
    <w:rsid w:val="00182CF0"/>
    <w:rsid w:val="00182D2F"/>
    <w:rsid w:val="00182D69"/>
    <w:rsid w:val="00182FB0"/>
    <w:rsid w:val="0018305B"/>
    <w:rsid w:val="001830AE"/>
    <w:rsid w:val="001831C8"/>
    <w:rsid w:val="00183270"/>
    <w:rsid w:val="001833BC"/>
    <w:rsid w:val="00183422"/>
    <w:rsid w:val="001834C0"/>
    <w:rsid w:val="0018362B"/>
    <w:rsid w:val="0018375E"/>
    <w:rsid w:val="00183989"/>
    <w:rsid w:val="001839EA"/>
    <w:rsid w:val="00183B3D"/>
    <w:rsid w:val="00183B72"/>
    <w:rsid w:val="00183CE8"/>
    <w:rsid w:val="00183DB4"/>
    <w:rsid w:val="00183E50"/>
    <w:rsid w:val="00183F5E"/>
    <w:rsid w:val="001842CB"/>
    <w:rsid w:val="0018432A"/>
    <w:rsid w:val="00184418"/>
    <w:rsid w:val="0018458F"/>
    <w:rsid w:val="0018465B"/>
    <w:rsid w:val="00184664"/>
    <w:rsid w:val="001847FF"/>
    <w:rsid w:val="00184886"/>
    <w:rsid w:val="0018496F"/>
    <w:rsid w:val="00184A2A"/>
    <w:rsid w:val="00184C0F"/>
    <w:rsid w:val="00184D01"/>
    <w:rsid w:val="00184DB9"/>
    <w:rsid w:val="00184E17"/>
    <w:rsid w:val="0018501E"/>
    <w:rsid w:val="0018503C"/>
    <w:rsid w:val="00185048"/>
    <w:rsid w:val="0018521A"/>
    <w:rsid w:val="00185223"/>
    <w:rsid w:val="001852A0"/>
    <w:rsid w:val="001853B2"/>
    <w:rsid w:val="0018541A"/>
    <w:rsid w:val="00185427"/>
    <w:rsid w:val="00185503"/>
    <w:rsid w:val="0018552E"/>
    <w:rsid w:val="00185577"/>
    <w:rsid w:val="0018558E"/>
    <w:rsid w:val="00185650"/>
    <w:rsid w:val="0018569C"/>
    <w:rsid w:val="001857A3"/>
    <w:rsid w:val="00185828"/>
    <w:rsid w:val="001858DD"/>
    <w:rsid w:val="001859C7"/>
    <w:rsid w:val="00185A2C"/>
    <w:rsid w:val="00185AC5"/>
    <w:rsid w:val="00185BC9"/>
    <w:rsid w:val="00185CB0"/>
    <w:rsid w:val="00185D3A"/>
    <w:rsid w:val="00185D57"/>
    <w:rsid w:val="00185F25"/>
    <w:rsid w:val="00185F2E"/>
    <w:rsid w:val="001860A2"/>
    <w:rsid w:val="001861AD"/>
    <w:rsid w:val="00186358"/>
    <w:rsid w:val="00186758"/>
    <w:rsid w:val="00186784"/>
    <w:rsid w:val="001867F6"/>
    <w:rsid w:val="00186A37"/>
    <w:rsid w:val="00186C37"/>
    <w:rsid w:val="00186C9A"/>
    <w:rsid w:val="00186CF5"/>
    <w:rsid w:val="00186CF8"/>
    <w:rsid w:val="00186E7C"/>
    <w:rsid w:val="0018710D"/>
    <w:rsid w:val="001872DD"/>
    <w:rsid w:val="0018742D"/>
    <w:rsid w:val="00187451"/>
    <w:rsid w:val="00187463"/>
    <w:rsid w:val="001875DA"/>
    <w:rsid w:val="001876A7"/>
    <w:rsid w:val="00187766"/>
    <w:rsid w:val="00187850"/>
    <w:rsid w:val="001878DA"/>
    <w:rsid w:val="0018795C"/>
    <w:rsid w:val="00187968"/>
    <w:rsid w:val="001879A8"/>
    <w:rsid w:val="00187A1A"/>
    <w:rsid w:val="00187A6C"/>
    <w:rsid w:val="00187B36"/>
    <w:rsid w:val="00187B8D"/>
    <w:rsid w:val="00187E28"/>
    <w:rsid w:val="00187E89"/>
    <w:rsid w:val="00187E95"/>
    <w:rsid w:val="00187EE3"/>
    <w:rsid w:val="00187FE5"/>
    <w:rsid w:val="00190026"/>
    <w:rsid w:val="0019010F"/>
    <w:rsid w:val="0019017C"/>
    <w:rsid w:val="00190250"/>
    <w:rsid w:val="00190305"/>
    <w:rsid w:val="00190346"/>
    <w:rsid w:val="00190413"/>
    <w:rsid w:val="001904BD"/>
    <w:rsid w:val="00190529"/>
    <w:rsid w:val="00190533"/>
    <w:rsid w:val="00190540"/>
    <w:rsid w:val="001907C6"/>
    <w:rsid w:val="001909D6"/>
    <w:rsid w:val="001909E2"/>
    <w:rsid w:val="001909F4"/>
    <w:rsid w:val="00190A8C"/>
    <w:rsid w:val="00190C1C"/>
    <w:rsid w:val="00190F66"/>
    <w:rsid w:val="001910BE"/>
    <w:rsid w:val="001912B6"/>
    <w:rsid w:val="00191310"/>
    <w:rsid w:val="00191521"/>
    <w:rsid w:val="0019153C"/>
    <w:rsid w:val="0019160A"/>
    <w:rsid w:val="001916C3"/>
    <w:rsid w:val="00191704"/>
    <w:rsid w:val="00191705"/>
    <w:rsid w:val="001917DB"/>
    <w:rsid w:val="00191856"/>
    <w:rsid w:val="00191A81"/>
    <w:rsid w:val="00191A99"/>
    <w:rsid w:val="00191CF1"/>
    <w:rsid w:val="00191E7E"/>
    <w:rsid w:val="0019204D"/>
    <w:rsid w:val="001920BB"/>
    <w:rsid w:val="0019210C"/>
    <w:rsid w:val="00192399"/>
    <w:rsid w:val="001923A7"/>
    <w:rsid w:val="001923D7"/>
    <w:rsid w:val="001923DF"/>
    <w:rsid w:val="00192426"/>
    <w:rsid w:val="001924B7"/>
    <w:rsid w:val="00192715"/>
    <w:rsid w:val="001929EC"/>
    <w:rsid w:val="00192A1D"/>
    <w:rsid w:val="00192C57"/>
    <w:rsid w:val="00192D1C"/>
    <w:rsid w:val="00192D44"/>
    <w:rsid w:val="00192EA5"/>
    <w:rsid w:val="00192FA4"/>
    <w:rsid w:val="001930DB"/>
    <w:rsid w:val="00193219"/>
    <w:rsid w:val="00193279"/>
    <w:rsid w:val="001932B3"/>
    <w:rsid w:val="001932E1"/>
    <w:rsid w:val="00193358"/>
    <w:rsid w:val="00193396"/>
    <w:rsid w:val="001933EB"/>
    <w:rsid w:val="00193400"/>
    <w:rsid w:val="00193500"/>
    <w:rsid w:val="00193552"/>
    <w:rsid w:val="001935F5"/>
    <w:rsid w:val="001936EE"/>
    <w:rsid w:val="001937E4"/>
    <w:rsid w:val="00193838"/>
    <w:rsid w:val="00193B3C"/>
    <w:rsid w:val="00193B80"/>
    <w:rsid w:val="00193B96"/>
    <w:rsid w:val="00193C1A"/>
    <w:rsid w:val="00193C54"/>
    <w:rsid w:val="00193C74"/>
    <w:rsid w:val="00193CD6"/>
    <w:rsid w:val="00193D82"/>
    <w:rsid w:val="00193DF0"/>
    <w:rsid w:val="00193E93"/>
    <w:rsid w:val="00193EAF"/>
    <w:rsid w:val="00193ECD"/>
    <w:rsid w:val="00193F6E"/>
    <w:rsid w:val="00193FCE"/>
    <w:rsid w:val="00193FEC"/>
    <w:rsid w:val="001940AE"/>
    <w:rsid w:val="0019418A"/>
    <w:rsid w:val="0019462A"/>
    <w:rsid w:val="001946D6"/>
    <w:rsid w:val="00194761"/>
    <w:rsid w:val="001947DF"/>
    <w:rsid w:val="00194930"/>
    <w:rsid w:val="0019494C"/>
    <w:rsid w:val="001949C1"/>
    <w:rsid w:val="00194A45"/>
    <w:rsid w:val="00194C1B"/>
    <w:rsid w:val="00194D9B"/>
    <w:rsid w:val="00194DAC"/>
    <w:rsid w:val="00194EBD"/>
    <w:rsid w:val="00194F10"/>
    <w:rsid w:val="00195055"/>
    <w:rsid w:val="001950ED"/>
    <w:rsid w:val="00195114"/>
    <w:rsid w:val="001951DE"/>
    <w:rsid w:val="00195603"/>
    <w:rsid w:val="00195663"/>
    <w:rsid w:val="0019579A"/>
    <w:rsid w:val="00195CF8"/>
    <w:rsid w:val="00195D25"/>
    <w:rsid w:val="00195D82"/>
    <w:rsid w:val="00195E45"/>
    <w:rsid w:val="00195F04"/>
    <w:rsid w:val="00195FE5"/>
    <w:rsid w:val="001960A9"/>
    <w:rsid w:val="0019629E"/>
    <w:rsid w:val="001962D5"/>
    <w:rsid w:val="00196479"/>
    <w:rsid w:val="00196499"/>
    <w:rsid w:val="0019649F"/>
    <w:rsid w:val="001964CD"/>
    <w:rsid w:val="0019654C"/>
    <w:rsid w:val="001965A2"/>
    <w:rsid w:val="001967FC"/>
    <w:rsid w:val="0019688E"/>
    <w:rsid w:val="0019691D"/>
    <w:rsid w:val="00196971"/>
    <w:rsid w:val="001969C0"/>
    <w:rsid w:val="00196B52"/>
    <w:rsid w:val="00196C89"/>
    <w:rsid w:val="00196E0E"/>
    <w:rsid w:val="00197053"/>
    <w:rsid w:val="00197268"/>
    <w:rsid w:val="00197334"/>
    <w:rsid w:val="0019735E"/>
    <w:rsid w:val="0019738C"/>
    <w:rsid w:val="001975B2"/>
    <w:rsid w:val="00197617"/>
    <w:rsid w:val="0019780B"/>
    <w:rsid w:val="00197909"/>
    <w:rsid w:val="00197950"/>
    <w:rsid w:val="00197B2A"/>
    <w:rsid w:val="00197B4F"/>
    <w:rsid w:val="00197C00"/>
    <w:rsid w:val="00197C22"/>
    <w:rsid w:val="00197C38"/>
    <w:rsid w:val="00197D43"/>
    <w:rsid w:val="00197DFA"/>
    <w:rsid w:val="00197E8C"/>
    <w:rsid w:val="00197F99"/>
    <w:rsid w:val="001A0215"/>
    <w:rsid w:val="001A03F3"/>
    <w:rsid w:val="001A0449"/>
    <w:rsid w:val="001A0480"/>
    <w:rsid w:val="001A0BC4"/>
    <w:rsid w:val="001A0C67"/>
    <w:rsid w:val="001A0D7A"/>
    <w:rsid w:val="001A0DB4"/>
    <w:rsid w:val="001A0DDD"/>
    <w:rsid w:val="001A0E0F"/>
    <w:rsid w:val="001A0FBE"/>
    <w:rsid w:val="001A103F"/>
    <w:rsid w:val="001A125E"/>
    <w:rsid w:val="001A1328"/>
    <w:rsid w:val="001A13BA"/>
    <w:rsid w:val="001A144A"/>
    <w:rsid w:val="001A1581"/>
    <w:rsid w:val="001A1604"/>
    <w:rsid w:val="001A1732"/>
    <w:rsid w:val="001A179C"/>
    <w:rsid w:val="001A17D5"/>
    <w:rsid w:val="001A1820"/>
    <w:rsid w:val="001A18FF"/>
    <w:rsid w:val="001A1A9B"/>
    <w:rsid w:val="001A1A9E"/>
    <w:rsid w:val="001A1B19"/>
    <w:rsid w:val="001A1BE7"/>
    <w:rsid w:val="001A1C63"/>
    <w:rsid w:val="001A1CC9"/>
    <w:rsid w:val="001A1D37"/>
    <w:rsid w:val="001A1F60"/>
    <w:rsid w:val="001A1F76"/>
    <w:rsid w:val="001A2171"/>
    <w:rsid w:val="001A22BD"/>
    <w:rsid w:val="001A23D5"/>
    <w:rsid w:val="001A24B9"/>
    <w:rsid w:val="001A24F6"/>
    <w:rsid w:val="001A252D"/>
    <w:rsid w:val="001A2565"/>
    <w:rsid w:val="001A28A6"/>
    <w:rsid w:val="001A28B7"/>
    <w:rsid w:val="001A2A35"/>
    <w:rsid w:val="001A2C62"/>
    <w:rsid w:val="001A2C81"/>
    <w:rsid w:val="001A2D27"/>
    <w:rsid w:val="001A2D7E"/>
    <w:rsid w:val="001A2E4F"/>
    <w:rsid w:val="001A2E53"/>
    <w:rsid w:val="001A2EF7"/>
    <w:rsid w:val="001A3068"/>
    <w:rsid w:val="001A309D"/>
    <w:rsid w:val="001A3142"/>
    <w:rsid w:val="001A31B9"/>
    <w:rsid w:val="001A3202"/>
    <w:rsid w:val="001A32EE"/>
    <w:rsid w:val="001A3547"/>
    <w:rsid w:val="001A35A5"/>
    <w:rsid w:val="001A382C"/>
    <w:rsid w:val="001A3981"/>
    <w:rsid w:val="001A3A86"/>
    <w:rsid w:val="001A3B0A"/>
    <w:rsid w:val="001A3B35"/>
    <w:rsid w:val="001A3B49"/>
    <w:rsid w:val="001A3DD5"/>
    <w:rsid w:val="001A3ED8"/>
    <w:rsid w:val="001A4038"/>
    <w:rsid w:val="001A411B"/>
    <w:rsid w:val="001A41D9"/>
    <w:rsid w:val="001A4235"/>
    <w:rsid w:val="001A42CF"/>
    <w:rsid w:val="001A4322"/>
    <w:rsid w:val="001A4365"/>
    <w:rsid w:val="001A45DB"/>
    <w:rsid w:val="001A4630"/>
    <w:rsid w:val="001A4631"/>
    <w:rsid w:val="001A4885"/>
    <w:rsid w:val="001A48BD"/>
    <w:rsid w:val="001A48D0"/>
    <w:rsid w:val="001A4A78"/>
    <w:rsid w:val="001A4AEF"/>
    <w:rsid w:val="001A4B09"/>
    <w:rsid w:val="001A4BB3"/>
    <w:rsid w:val="001A4C11"/>
    <w:rsid w:val="001A4C43"/>
    <w:rsid w:val="001A4CEF"/>
    <w:rsid w:val="001A4DC3"/>
    <w:rsid w:val="001A4ED3"/>
    <w:rsid w:val="001A4F4B"/>
    <w:rsid w:val="001A51BF"/>
    <w:rsid w:val="001A52E8"/>
    <w:rsid w:val="001A5376"/>
    <w:rsid w:val="001A53A1"/>
    <w:rsid w:val="001A5478"/>
    <w:rsid w:val="001A5619"/>
    <w:rsid w:val="001A5741"/>
    <w:rsid w:val="001A57B6"/>
    <w:rsid w:val="001A5810"/>
    <w:rsid w:val="001A5877"/>
    <w:rsid w:val="001A58F3"/>
    <w:rsid w:val="001A5919"/>
    <w:rsid w:val="001A5939"/>
    <w:rsid w:val="001A5A3C"/>
    <w:rsid w:val="001A5AB3"/>
    <w:rsid w:val="001A5AE3"/>
    <w:rsid w:val="001A5B3B"/>
    <w:rsid w:val="001A5C53"/>
    <w:rsid w:val="001A5EC3"/>
    <w:rsid w:val="001A5F32"/>
    <w:rsid w:val="001A5F55"/>
    <w:rsid w:val="001A5F65"/>
    <w:rsid w:val="001A6039"/>
    <w:rsid w:val="001A60E4"/>
    <w:rsid w:val="001A61A8"/>
    <w:rsid w:val="001A629F"/>
    <w:rsid w:val="001A62F1"/>
    <w:rsid w:val="001A6430"/>
    <w:rsid w:val="001A66C3"/>
    <w:rsid w:val="001A670B"/>
    <w:rsid w:val="001A6741"/>
    <w:rsid w:val="001A674B"/>
    <w:rsid w:val="001A6788"/>
    <w:rsid w:val="001A685D"/>
    <w:rsid w:val="001A69E4"/>
    <w:rsid w:val="001A6B37"/>
    <w:rsid w:val="001A6BE8"/>
    <w:rsid w:val="001A6C59"/>
    <w:rsid w:val="001A6DFD"/>
    <w:rsid w:val="001A6E2B"/>
    <w:rsid w:val="001A6FA4"/>
    <w:rsid w:val="001A6FB5"/>
    <w:rsid w:val="001A6FF1"/>
    <w:rsid w:val="001A70E8"/>
    <w:rsid w:val="001A7109"/>
    <w:rsid w:val="001A715C"/>
    <w:rsid w:val="001A7178"/>
    <w:rsid w:val="001A71FE"/>
    <w:rsid w:val="001A724C"/>
    <w:rsid w:val="001A72E1"/>
    <w:rsid w:val="001A73DD"/>
    <w:rsid w:val="001A740B"/>
    <w:rsid w:val="001A7421"/>
    <w:rsid w:val="001A75CA"/>
    <w:rsid w:val="001A76A6"/>
    <w:rsid w:val="001A76CA"/>
    <w:rsid w:val="001A7736"/>
    <w:rsid w:val="001A7750"/>
    <w:rsid w:val="001A778B"/>
    <w:rsid w:val="001A7859"/>
    <w:rsid w:val="001A78BD"/>
    <w:rsid w:val="001A7B6E"/>
    <w:rsid w:val="001A7C5A"/>
    <w:rsid w:val="001A7DF3"/>
    <w:rsid w:val="001A7F66"/>
    <w:rsid w:val="001A7F87"/>
    <w:rsid w:val="001B0153"/>
    <w:rsid w:val="001B01C2"/>
    <w:rsid w:val="001B0255"/>
    <w:rsid w:val="001B025B"/>
    <w:rsid w:val="001B0273"/>
    <w:rsid w:val="001B02C1"/>
    <w:rsid w:val="001B0444"/>
    <w:rsid w:val="001B051E"/>
    <w:rsid w:val="001B0758"/>
    <w:rsid w:val="001B07C6"/>
    <w:rsid w:val="001B0A45"/>
    <w:rsid w:val="001B0A72"/>
    <w:rsid w:val="001B0AFC"/>
    <w:rsid w:val="001B0B70"/>
    <w:rsid w:val="001B0D73"/>
    <w:rsid w:val="001B0D93"/>
    <w:rsid w:val="001B0E15"/>
    <w:rsid w:val="001B0E2C"/>
    <w:rsid w:val="001B0EAC"/>
    <w:rsid w:val="001B0F1B"/>
    <w:rsid w:val="001B0F96"/>
    <w:rsid w:val="001B0FFE"/>
    <w:rsid w:val="001B1019"/>
    <w:rsid w:val="001B11CF"/>
    <w:rsid w:val="001B11D0"/>
    <w:rsid w:val="001B1325"/>
    <w:rsid w:val="001B144C"/>
    <w:rsid w:val="001B14A5"/>
    <w:rsid w:val="001B14B6"/>
    <w:rsid w:val="001B1561"/>
    <w:rsid w:val="001B15AD"/>
    <w:rsid w:val="001B15F3"/>
    <w:rsid w:val="001B16DD"/>
    <w:rsid w:val="001B17CA"/>
    <w:rsid w:val="001B191A"/>
    <w:rsid w:val="001B19A1"/>
    <w:rsid w:val="001B1B58"/>
    <w:rsid w:val="001B1C0B"/>
    <w:rsid w:val="001B1D9C"/>
    <w:rsid w:val="001B1DDB"/>
    <w:rsid w:val="001B1E32"/>
    <w:rsid w:val="001B1E8F"/>
    <w:rsid w:val="001B1ECA"/>
    <w:rsid w:val="001B1F55"/>
    <w:rsid w:val="001B222D"/>
    <w:rsid w:val="001B237B"/>
    <w:rsid w:val="001B2453"/>
    <w:rsid w:val="001B247A"/>
    <w:rsid w:val="001B250F"/>
    <w:rsid w:val="001B25B9"/>
    <w:rsid w:val="001B268B"/>
    <w:rsid w:val="001B2741"/>
    <w:rsid w:val="001B2756"/>
    <w:rsid w:val="001B283C"/>
    <w:rsid w:val="001B28B7"/>
    <w:rsid w:val="001B2AC8"/>
    <w:rsid w:val="001B2AFE"/>
    <w:rsid w:val="001B2CB8"/>
    <w:rsid w:val="001B2DCA"/>
    <w:rsid w:val="001B2FA5"/>
    <w:rsid w:val="001B2FC9"/>
    <w:rsid w:val="001B300F"/>
    <w:rsid w:val="001B32E7"/>
    <w:rsid w:val="001B3318"/>
    <w:rsid w:val="001B337C"/>
    <w:rsid w:val="001B342B"/>
    <w:rsid w:val="001B3448"/>
    <w:rsid w:val="001B3480"/>
    <w:rsid w:val="001B3518"/>
    <w:rsid w:val="001B35C2"/>
    <w:rsid w:val="001B377B"/>
    <w:rsid w:val="001B38F9"/>
    <w:rsid w:val="001B3A83"/>
    <w:rsid w:val="001B3AF4"/>
    <w:rsid w:val="001B3B5D"/>
    <w:rsid w:val="001B3E9C"/>
    <w:rsid w:val="001B3F05"/>
    <w:rsid w:val="001B4149"/>
    <w:rsid w:val="001B43D5"/>
    <w:rsid w:val="001B45D3"/>
    <w:rsid w:val="001B4609"/>
    <w:rsid w:val="001B4671"/>
    <w:rsid w:val="001B4679"/>
    <w:rsid w:val="001B46E7"/>
    <w:rsid w:val="001B4745"/>
    <w:rsid w:val="001B47EE"/>
    <w:rsid w:val="001B48B1"/>
    <w:rsid w:val="001B498D"/>
    <w:rsid w:val="001B4A6E"/>
    <w:rsid w:val="001B4A98"/>
    <w:rsid w:val="001B4BEF"/>
    <w:rsid w:val="001B4DC9"/>
    <w:rsid w:val="001B4F65"/>
    <w:rsid w:val="001B4F79"/>
    <w:rsid w:val="001B500D"/>
    <w:rsid w:val="001B50BF"/>
    <w:rsid w:val="001B5219"/>
    <w:rsid w:val="001B53DC"/>
    <w:rsid w:val="001B5724"/>
    <w:rsid w:val="001B577D"/>
    <w:rsid w:val="001B582B"/>
    <w:rsid w:val="001B5836"/>
    <w:rsid w:val="001B588D"/>
    <w:rsid w:val="001B5968"/>
    <w:rsid w:val="001B598F"/>
    <w:rsid w:val="001B59C3"/>
    <w:rsid w:val="001B59C4"/>
    <w:rsid w:val="001B5A40"/>
    <w:rsid w:val="001B5D0A"/>
    <w:rsid w:val="001B5D26"/>
    <w:rsid w:val="001B5D96"/>
    <w:rsid w:val="001B5E47"/>
    <w:rsid w:val="001B6006"/>
    <w:rsid w:val="001B6179"/>
    <w:rsid w:val="001B618B"/>
    <w:rsid w:val="001B619A"/>
    <w:rsid w:val="001B61F2"/>
    <w:rsid w:val="001B6206"/>
    <w:rsid w:val="001B6449"/>
    <w:rsid w:val="001B64EE"/>
    <w:rsid w:val="001B6538"/>
    <w:rsid w:val="001B6568"/>
    <w:rsid w:val="001B662F"/>
    <w:rsid w:val="001B66DD"/>
    <w:rsid w:val="001B674B"/>
    <w:rsid w:val="001B6764"/>
    <w:rsid w:val="001B67F1"/>
    <w:rsid w:val="001B692D"/>
    <w:rsid w:val="001B69A6"/>
    <w:rsid w:val="001B6A3F"/>
    <w:rsid w:val="001B6A69"/>
    <w:rsid w:val="001B6B55"/>
    <w:rsid w:val="001B6BB3"/>
    <w:rsid w:val="001B6CB8"/>
    <w:rsid w:val="001B6CD8"/>
    <w:rsid w:val="001B6DA7"/>
    <w:rsid w:val="001B6E81"/>
    <w:rsid w:val="001B6EEA"/>
    <w:rsid w:val="001B6F00"/>
    <w:rsid w:val="001B7078"/>
    <w:rsid w:val="001B7130"/>
    <w:rsid w:val="001B725D"/>
    <w:rsid w:val="001B73F4"/>
    <w:rsid w:val="001B74FD"/>
    <w:rsid w:val="001B7539"/>
    <w:rsid w:val="001B770C"/>
    <w:rsid w:val="001B7954"/>
    <w:rsid w:val="001B7AF5"/>
    <w:rsid w:val="001B7B9C"/>
    <w:rsid w:val="001B7D95"/>
    <w:rsid w:val="001B7DCD"/>
    <w:rsid w:val="001C0031"/>
    <w:rsid w:val="001C0069"/>
    <w:rsid w:val="001C01F1"/>
    <w:rsid w:val="001C0232"/>
    <w:rsid w:val="001C025E"/>
    <w:rsid w:val="001C0646"/>
    <w:rsid w:val="001C083D"/>
    <w:rsid w:val="001C0943"/>
    <w:rsid w:val="001C0971"/>
    <w:rsid w:val="001C0A6D"/>
    <w:rsid w:val="001C0B05"/>
    <w:rsid w:val="001C0BAB"/>
    <w:rsid w:val="001C0C30"/>
    <w:rsid w:val="001C0F74"/>
    <w:rsid w:val="001C0FA3"/>
    <w:rsid w:val="001C1147"/>
    <w:rsid w:val="001C1189"/>
    <w:rsid w:val="001C12A1"/>
    <w:rsid w:val="001C137C"/>
    <w:rsid w:val="001C138B"/>
    <w:rsid w:val="001C1421"/>
    <w:rsid w:val="001C142F"/>
    <w:rsid w:val="001C1518"/>
    <w:rsid w:val="001C1740"/>
    <w:rsid w:val="001C183C"/>
    <w:rsid w:val="001C18BD"/>
    <w:rsid w:val="001C1973"/>
    <w:rsid w:val="001C1B0E"/>
    <w:rsid w:val="001C1B40"/>
    <w:rsid w:val="001C1C9F"/>
    <w:rsid w:val="001C1E31"/>
    <w:rsid w:val="001C1F83"/>
    <w:rsid w:val="001C1F84"/>
    <w:rsid w:val="001C1FEB"/>
    <w:rsid w:val="001C2069"/>
    <w:rsid w:val="001C2086"/>
    <w:rsid w:val="001C22D9"/>
    <w:rsid w:val="001C239E"/>
    <w:rsid w:val="001C2682"/>
    <w:rsid w:val="001C26B2"/>
    <w:rsid w:val="001C2724"/>
    <w:rsid w:val="001C278D"/>
    <w:rsid w:val="001C2839"/>
    <w:rsid w:val="001C2AB1"/>
    <w:rsid w:val="001C2D50"/>
    <w:rsid w:val="001C2D84"/>
    <w:rsid w:val="001C2E38"/>
    <w:rsid w:val="001C2E4A"/>
    <w:rsid w:val="001C2F45"/>
    <w:rsid w:val="001C2FAF"/>
    <w:rsid w:val="001C2FB7"/>
    <w:rsid w:val="001C3006"/>
    <w:rsid w:val="001C3065"/>
    <w:rsid w:val="001C3212"/>
    <w:rsid w:val="001C334F"/>
    <w:rsid w:val="001C3375"/>
    <w:rsid w:val="001C3403"/>
    <w:rsid w:val="001C3580"/>
    <w:rsid w:val="001C3671"/>
    <w:rsid w:val="001C3678"/>
    <w:rsid w:val="001C3719"/>
    <w:rsid w:val="001C3777"/>
    <w:rsid w:val="001C3883"/>
    <w:rsid w:val="001C3888"/>
    <w:rsid w:val="001C3921"/>
    <w:rsid w:val="001C3A61"/>
    <w:rsid w:val="001C3AAC"/>
    <w:rsid w:val="001C3AF7"/>
    <w:rsid w:val="001C3B3E"/>
    <w:rsid w:val="001C3B48"/>
    <w:rsid w:val="001C3B50"/>
    <w:rsid w:val="001C3B51"/>
    <w:rsid w:val="001C3CE9"/>
    <w:rsid w:val="001C3D65"/>
    <w:rsid w:val="001C3DBB"/>
    <w:rsid w:val="001C3DDA"/>
    <w:rsid w:val="001C3DFB"/>
    <w:rsid w:val="001C3E56"/>
    <w:rsid w:val="001C3EF7"/>
    <w:rsid w:val="001C4046"/>
    <w:rsid w:val="001C4086"/>
    <w:rsid w:val="001C40F0"/>
    <w:rsid w:val="001C40F6"/>
    <w:rsid w:val="001C4110"/>
    <w:rsid w:val="001C41EE"/>
    <w:rsid w:val="001C429E"/>
    <w:rsid w:val="001C42F0"/>
    <w:rsid w:val="001C4310"/>
    <w:rsid w:val="001C433D"/>
    <w:rsid w:val="001C43A1"/>
    <w:rsid w:val="001C44AE"/>
    <w:rsid w:val="001C4503"/>
    <w:rsid w:val="001C4516"/>
    <w:rsid w:val="001C4578"/>
    <w:rsid w:val="001C466F"/>
    <w:rsid w:val="001C4707"/>
    <w:rsid w:val="001C47F3"/>
    <w:rsid w:val="001C482D"/>
    <w:rsid w:val="001C488B"/>
    <w:rsid w:val="001C4990"/>
    <w:rsid w:val="001C4AB4"/>
    <w:rsid w:val="001C4D08"/>
    <w:rsid w:val="001C4E29"/>
    <w:rsid w:val="001C50E6"/>
    <w:rsid w:val="001C50F5"/>
    <w:rsid w:val="001C52B4"/>
    <w:rsid w:val="001C52C7"/>
    <w:rsid w:val="001C53A4"/>
    <w:rsid w:val="001C55B2"/>
    <w:rsid w:val="001C5615"/>
    <w:rsid w:val="001C5678"/>
    <w:rsid w:val="001C57A5"/>
    <w:rsid w:val="001C5811"/>
    <w:rsid w:val="001C58E2"/>
    <w:rsid w:val="001C5930"/>
    <w:rsid w:val="001C5987"/>
    <w:rsid w:val="001C5B00"/>
    <w:rsid w:val="001C5DB4"/>
    <w:rsid w:val="001C5E44"/>
    <w:rsid w:val="001C5E89"/>
    <w:rsid w:val="001C5EE3"/>
    <w:rsid w:val="001C5FA3"/>
    <w:rsid w:val="001C606E"/>
    <w:rsid w:val="001C63E0"/>
    <w:rsid w:val="001C63F8"/>
    <w:rsid w:val="001C646C"/>
    <w:rsid w:val="001C65A3"/>
    <w:rsid w:val="001C6622"/>
    <w:rsid w:val="001C6733"/>
    <w:rsid w:val="001C673A"/>
    <w:rsid w:val="001C675A"/>
    <w:rsid w:val="001C67CE"/>
    <w:rsid w:val="001C6873"/>
    <w:rsid w:val="001C6912"/>
    <w:rsid w:val="001C6AD6"/>
    <w:rsid w:val="001C6C77"/>
    <w:rsid w:val="001C6EF4"/>
    <w:rsid w:val="001C6F78"/>
    <w:rsid w:val="001C6F88"/>
    <w:rsid w:val="001C7059"/>
    <w:rsid w:val="001C7292"/>
    <w:rsid w:val="001C72F2"/>
    <w:rsid w:val="001C7450"/>
    <w:rsid w:val="001C7816"/>
    <w:rsid w:val="001C79DA"/>
    <w:rsid w:val="001C7B6F"/>
    <w:rsid w:val="001C7C3D"/>
    <w:rsid w:val="001C7C47"/>
    <w:rsid w:val="001C7CDD"/>
    <w:rsid w:val="001C7D16"/>
    <w:rsid w:val="001C7EC0"/>
    <w:rsid w:val="001C7F40"/>
    <w:rsid w:val="001C7F7D"/>
    <w:rsid w:val="001C7F88"/>
    <w:rsid w:val="001C7F95"/>
    <w:rsid w:val="001D0032"/>
    <w:rsid w:val="001D0068"/>
    <w:rsid w:val="001D0111"/>
    <w:rsid w:val="001D02B0"/>
    <w:rsid w:val="001D034B"/>
    <w:rsid w:val="001D0562"/>
    <w:rsid w:val="001D06DA"/>
    <w:rsid w:val="001D075D"/>
    <w:rsid w:val="001D0761"/>
    <w:rsid w:val="001D07C7"/>
    <w:rsid w:val="001D08E0"/>
    <w:rsid w:val="001D08F1"/>
    <w:rsid w:val="001D0969"/>
    <w:rsid w:val="001D0971"/>
    <w:rsid w:val="001D09A9"/>
    <w:rsid w:val="001D09AF"/>
    <w:rsid w:val="001D0A59"/>
    <w:rsid w:val="001D0A95"/>
    <w:rsid w:val="001D0CF2"/>
    <w:rsid w:val="001D0D4C"/>
    <w:rsid w:val="001D0F82"/>
    <w:rsid w:val="001D1077"/>
    <w:rsid w:val="001D10D8"/>
    <w:rsid w:val="001D10F8"/>
    <w:rsid w:val="001D1188"/>
    <w:rsid w:val="001D12B1"/>
    <w:rsid w:val="001D1370"/>
    <w:rsid w:val="001D14AA"/>
    <w:rsid w:val="001D1560"/>
    <w:rsid w:val="001D16B9"/>
    <w:rsid w:val="001D17D5"/>
    <w:rsid w:val="001D19AA"/>
    <w:rsid w:val="001D19D4"/>
    <w:rsid w:val="001D1A05"/>
    <w:rsid w:val="001D1A17"/>
    <w:rsid w:val="001D1A87"/>
    <w:rsid w:val="001D1AE9"/>
    <w:rsid w:val="001D1BBC"/>
    <w:rsid w:val="001D1C53"/>
    <w:rsid w:val="001D1EDC"/>
    <w:rsid w:val="001D1F77"/>
    <w:rsid w:val="001D2084"/>
    <w:rsid w:val="001D2274"/>
    <w:rsid w:val="001D22D8"/>
    <w:rsid w:val="001D24BB"/>
    <w:rsid w:val="001D26C7"/>
    <w:rsid w:val="001D28EF"/>
    <w:rsid w:val="001D2A5A"/>
    <w:rsid w:val="001D2AA7"/>
    <w:rsid w:val="001D2CF5"/>
    <w:rsid w:val="001D2CF8"/>
    <w:rsid w:val="001D2F8B"/>
    <w:rsid w:val="001D2FA0"/>
    <w:rsid w:val="001D2FBD"/>
    <w:rsid w:val="001D3003"/>
    <w:rsid w:val="001D30FA"/>
    <w:rsid w:val="001D3128"/>
    <w:rsid w:val="001D3165"/>
    <w:rsid w:val="001D31C5"/>
    <w:rsid w:val="001D3281"/>
    <w:rsid w:val="001D33DB"/>
    <w:rsid w:val="001D34A1"/>
    <w:rsid w:val="001D35C6"/>
    <w:rsid w:val="001D35E9"/>
    <w:rsid w:val="001D39AC"/>
    <w:rsid w:val="001D3A89"/>
    <w:rsid w:val="001D3CCC"/>
    <w:rsid w:val="001D3CE2"/>
    <w:rsid w:val="001D3CF5"/>
    <w:rsid w:val="001D3D0B"/>
    <w:rsid w:val="001D3F00"/>
    <w:rsid w:val="001D3F5F"/>
    <w:rsid w:val="001D3F76"/>
    <w:rsid w:val="001D3FAB"/>
    <w:rsid w:val="001D40C0"/>
    <w:rsid w:val="001D4120"/>
    <w:rsid w:val="001D4193"/>
    <w:rsid w:val="001D425A"/>
    <w:rsid w:val="001D4307"/>
    <w:rsid w:val="001D4318"/>
    <w:rsid w:val="001D4424"/>
    <w:rsid w:val="001D452E"/>
    <w:rsid w:val="001D45F7"/>
    <w:rsid w:val="001D46DD"/>
    <w:rsid w:val="001D4845"/>
    <w:rsid w:val="001D493D"/>
    <w:rsid w:val="001D4984"/>
    <w:rsid w:val="001D4A10"/>
    <w:rsid w:val="001D4C11"/>
    <w:rsid w:val="001D4C57"/>
    <w:rsid w:val="001D4CCF"/>
    <w:rsid w:val="001D4DDC"/>
    <w:rsid w:val="001D4E70"/>
    <w:rsid w:val="001D4EB3"/>
    <w:rsid w:val="001D4FBD"/>
    <w:rsid w:val="001D50E7"/>
    <w:rsid w:val="001D5254"/>
    <w:rsid w:val="001D5285"/>
    <w:rsid w:val="001D541F"/>
    <w:rsid w:val="001D54B5"/>
    <w:rsid w:val="001D5540"/>
    <w:rsid w:val="001D5675"/>
    <w:rsid w:val="001D56F2"/>
    <w:rsid w:val="001D5836"/>
    <w:rsid w:val="001D5B21"/>
    <w:rsid w:val="001D5CDD"/>
    <w:rsid w:val="001D5CF5"/>
    <w:rsid w:val="001D5F25"/>
    <w:rsid w:val="001D5FC8"/>
    <w:rsid w:val="001D603A"/>
    <w:rsid w:val="001D60F0"/>
    <w:rsid w:val="001D60FB"/>
    <w:rsid w:val="001D6192"/>
    <w:rsid w:val="001D61C9"/>
    <w:rsid w:val="001D6294"/>
    <w:rsid w:val="001D62A8"/>
    <w:rsid w:val="001D64CB"/>
    <w:rsid w:val="001D657F"/>
    <w:rsid w:val="001D65DC"/>
    <w:rsid w:val="001D664C"/>
    <w:rsid w:val="001D66D8"/>
    <w:rsid w:val="001D6870"/>
    <w:rsid w:val="001D69F4"/>
    <w:rsid w:val="001D6A64"/>
    <w:rsid w:val="001D6A6E"/>
    <w:rsid w:val="001D6AC7"/>
    <w:rsid w:val="001D6ACD"/>
    <w:rsid w:val="001D6B0D"/>
    <w:rsid w:val="001D6D12"/>
    <w:rsid w:val="001D6D84"/>
    <w:rsid w:val="001D6DCA"/>
    <w:rsid w:val="001D6E84"/>
    <w:rsid w:val="001D6EF9"/>
    <w:rsid w:val="001D7090"/>
    <w:rsid w:val="001D7147"/>
    <w:rsid w:val="001D71CB"/>
    <w:rsid w:val="001D721C"/>
    <w:rsid w:val="001D734E"/>
    <w:rsid w:val="001D73E8"/>
    <w:rsid w:val="001D761D"/>
    <w:rsid w:val="001D76FF"/>
    <w:rsid w:val="001D7701"/>
    <w:rsid w:val="001D7728"/>
    <w:rsid w:val="001D7814"/>
    <w:rsid w:val="001D792D"/>
    <w:rsid w:val="001D7C1C"/>
    <w:rsid w:val="001D7D0C"/>
    <w:rsid w:val="001D7E2A"/>
    <w:rsid w:val="001D7E4D"/>
    <w:rsid w:val="001D7EAE"/>
    <w:rsid w:val="001DD3BB"/>
    <w:rsid w:val="001E0052"/>
    <w:rsid w:val="001E0151"/>
    <w:rsid w:val="001E0155"/>
    <w:rsid w:val="001E023D"/>
    <w:rsid w:val="001E025B"/>
    <w:rsid w:val="001E0293"/>
    <w:rsid w:val="001E0396"/>
    <w:rsid w:val="001E040A"/>
    <w:rsid w:val="001E047D"/>
    <w:rsid w:val="001E04F7"/>
    <w:rsid w:val="001E0599"/>
    <w:rsid w:val="001E059D"/>
    <w:rsid w:val="001E07F7"/>
    <w:rsid w:val="001E08E3"/>
    <w:rsid w:val="001E0916"/>
    <w:rsid w:val="001E092C"/>
    <w:rsid w:val="001E0B26"/>
    <w:rsid w:val="001E0B5D"/>
    <w:rsid w:val="001E0EA2"/>
    <w:rsid w:val="001E0F48"/>
    <w:rsid w:val="001E0F91"/>
    <w:rsid w:val="001E0FA3"/>
    <w:rsid w:val="001E10C4"/>
    <w:rsid w:val="001E1282"/>
    <w:rsid w:val="001E12EA"/>
    <w:rsid w:val="001E13C6"/>
    <w:rsid w:val="001E15C9"/>
    <w:rsid w:val="001E161E"/>
    <w:rsid w:val="001E16C9"/>
    <w:rsid w:val="001E16D6"/>
    <w:rsid w:val="001E1739"/>
    <w:rsid w:val="001E17F1"/>
    <w:rsid w:val="001E1860"/>
    <w:rsid w:val="001E1886"/>
    <w:rsid w:val="001E1A78"/>
    <w:rsid w:val="001E1ACC"/>
    <w:rsid w:val="001E1B02"/>
    <w:rsid w:val="001E1B86"/>
    <w:rsid w:val="001E1D95"/>
    <w:rsid w:val="001E1DB3"/>
    <w:rsid w:val="001E1F77"/>
    <w:rsid w:val="001E1FE3"/>
    <w:rsid w:val="001E2041"/>
    <w:rsid w:val="001E2073"/>
    <w:rsid w:val="001E208C"/>
    <w:rsid w:val="001E2091"/>
    <w:rsid w:val="001E21C6"/>
    <w:rsid w:val="001E246B"/>
    <w:rsid w:val="001E25DF"/>
    <w:rsid w:val="001E26A1"/>
    <w:rsid w:val="001E2710"/>
    <w:rsid w:val="001E279D"/>
    <w:rsid w:val="001E287B"/>
    <w:rsid w:val="001E2A05"/>
    <w:rsid w:val="001E2CC0"/>
    <w:rsid w:val="001E2DCC"/>
    <w:rsid w:val="001E2E3F"/>
    <w:rsid w:val="001E2F91"/>
    <w:rsid w:val="001E2FA2"/>
    <w:rsid w:val="001E300D"/>
    <w:rsid w:val="001E30C4"/>
    <w:rsid w:val="001E30E1"/>
    <w:rsid w:val="001E3114"/>
    <w:rsid w:val="001E315D"/>
    <w:rsid w:val="001E33B9"/>
    <w:rsid w:val="001E33CF"/>
    <w:rsid w:val="001E3682"/>
    <w:rsid w:val="001E36BC"/>
    <w:rsid w:val="001E373E"/>
    <w:rsid w:val="001E387A"/>
    <w:rsid w:val="001E3A40"/>
    <w:rsid w:val="001E3B31"/>
    <w:rsid w:val="001E3CDA"/>
    <w:rsid w:val="001E3D3E"/>
    <w:rsid w:val="001E3FEA"/>
    <w:rsid w:val="001E4096"/>
    <w:rsid w:val="001E41E8"/>
    <w:rsid w:val="001E452C"/>
    <w:rsid w:val="001E456A"/>
    <w:rsid w:val="001E48E1"/>
    <w:rsid w:val="001E48F0"/>
    <w:rsid w:val="001E48FF"/>
    <w:rsid w:val="001E4F08"/>
    <w:rsid w:val="001E5020"/>
    <w:rsid w:val="001E5290"/>
    <w:rsid w:val="001E53F2"/>
    <w:rsid w:val="001E5504"/>
    <w:rsid w:val="001E554E"/>
    <w:rsid w:val="001E55C2"/>
    <w:rsid w:val="001E5746"/>
    <w:rsid w:val="001E576B"/>
    <w:rsid w:val="001E5994"/>
    <w:rsid w:val="001E5A6C"/>
    <w:rsid w:val="001E5DF9"/>
    <w:rsid w:val="001E5E02"/>
    <w:rsid w:val="001E5E9C"/>
    <w:rsid w:val="001E5F79"/>
    <w:rsid w:val="001E5F9F"/>
    <w:rsid w:val="001E62FF"/>
    <w:rsid w:val="001E636D"/>
    <w:rsid w:val="001E6433"/>
    <w:rsid w:val="001E64FC"/>
    <w:rsid w:val="001E6590"/>
    <w:rsid w:val="001E685A"/>
    <w:rsid w:val="001E68CE"/>
    <w:rsid w:val="001E69E3"/>
    <w:rsid w:val="001E6D93"/>
    <w:rsid w:val="001E6F44"/>
    <w:rsid w:val="001E700C"/>
    <w:rsid w:val="001E7150"/>
    <w:rsid w:val="001E7412"/>
    <w:rsid w:val="001E742A"/>
    <w:rsid w:val="001E743F"/>
    <w:rsid w:val="001E746B"/>
    <w:rsid w:val="001E76D4"/>
    <w:rsid w:val="001E76F8"/>
    <w:rsid w:val="001E77E4"/>
    <w:rsid w:val="001E7811"/>
    <w:rsid w:val="001E78B8"/>
    <w:rsid w:val="001E78D3"/>
    <w:rsid w:val="001E78E0"/>
    <w:rsid w:val="001E7989"/>
    <w:rsid w:val="001E7B34"/>
    <w:rsid w:val="001E7BF8"/>
    <w:rsid w:val="001E7D86"/>
    <w:rsid w:val="001E7E49"/>
    <w:rsid w:val="001E7E69"/>
    <w:rsid w:val="001F019C"/>
    <w:rsid w:val="001F031B"/>
    <w:rsid w:val="001F0388"/>
    <w:rsid w:val="001F0535"/>
    <w:rsid w:val="001F05AC"/>
    <w:rsid w:val="001F0653"/>
    <w:rsid w:val="001F06C7"/>
    <w:rsid w:val="001F0724"/>
    <w:rsid w:val="001F095A"/>
    <w:rsid w:val="001F09AE"/>
    <w:rsid w:val="001F0A71"/>
    <w:rsid w:val="001F0B4C"/>
    <w:rsid w:val="001F0BD0"/>
    <w:rsid w:val="001F0BD5"/>
    <w:rsid w:val="001F0D11"/>
    <w:rsid w:val="001F0D8A"/>
    <w:rsid w:val="001F0D90"/>
    <w:rsid w:val="001F10A8"/>
    <w:rsid w:val="001F10AC"/>
    <w:rsid w:val="001F114C"/>
    <w:rsid w:val="001F1190"/>
    <w:rsid w:val="001F119E"/>
    <w:rsid w:val="001F12C7"/>
    <w:rsid w:val="001F145F"/>
    <w:rsid w:val="001F1583"/>
    <w:rsid w:val="001F192F"/>
    <w:rsid w:val="001F19ED"/>
    <w:rsid w:val="001F1AAD"/>
    <w:rsid w:val="001F1AB8"/>
    <w:rsid w:val="001F1BEA"/>
    <w:rsid w:val="001F1D26"/>
    <w:rsid w:val="001F1F12"/>
    <w:rsid w:val="001F1F8E"/>
    <w:rsid w:val="001F1FD5"/>
    <w:rsid w:val="001F2185"/>
    <w:rsid w:val="001F2202"/>
    <w:rsid w:val="001F2214"/>
    <w:rsid w:val="001F2462"/>
    <w:rsid w:val="001F24D1"/>
    <w:rsid w:val="001F2579"/>
    <w:rsid w:val="001F2599"/>
    <w:rsid w:val="001F27BF"/>
    <w:rsid w:val="001F27DD"/>
    <w:rsid w:val="001F298A"/>
    <w:rsid w:val="001F2B53"/>
    <w:rsid w:val="001F2BEA"/>
    <w:rsid w:val="001F2C2C"/>
    <w:rsid w:val="001F2DFE"/>
    <w:rsid w:val="001F2E10"/>
    <w:rsid w:val="001F2EA8"/>
    <w:rsid w:val="001F3016"/>
    <w:rsid w:val="001F30D5"/>
    <w:rsid w:val="001F32E3"/>
    <w:rsid w:val="001F35CC"/>
    <w:rsid w:val="001F37E8"/>
    <w:rsid w:val="001F398B"/>
    <w:rsid w:val="001F3A13"/>
    <w:rsid w:val="001F3D89"/>
    <w:rsid w:val="001F3E0D"/>
    <w:rsid w:val="001F3E3A"/>
    <w:rsid w:val="001F3E64"/>
    <w:rsid w:val="001F3EDB"/>
    <w:rsid w:val="001F3F47"/>
    <w:rsid w:val="001F4100"/>
    <w:rsid w:val="001F41A4"/>
    <w:rsid w:val="001F4225"/>
    <w:rsid w:val="001F4297"/>
    <w:rsid w:val="001F42B7"/>
    <w:rsid w:val="001F436C"/>
    <w:rsid w:val="001F4403"/>
    <w:rsid w:val="001F449D"/>
    <w:rsid w:val="001F4549"/>
    <w:rsid w:val="001F47F7"/>
    <w:rsid w:val="001F48B5"/>
    <w:rsid w:val="001F48D2"/>
    <w:rsid w:val="001F4942"/>
    <w:rsid w:val="001F497B"/>
    <w:rsid w:val="001F499B"/>
    <w:rsid w:val="001F49F3"/>
    <w:rsid w:val="001F4AAB"/>
    <w:rsid w:val="001F4BAA"/>
    <w:rsid w:val="001F4C0E"/>
    <w:rsid w:val="001F4C11"/>
    <w:rsid w:val="001F4D70"/>
    <w:rsid w:val="001F4E92"/>
    <w:rsid w:val="001F516E"/>
    <w:rsid w:val="001F51C7"/>
    <w:rsid w:val="001F51CD"/>
    <w:rsid w:val="001F5324"/>
    <w:rsid w:val="001F542D"/>
    <w:rsid w:val="001F545C"/>
    <w:rsid w:val="001F555F"/>
    <w:rsid w:val="001F5576"/>
    <w:rsid w:val="001F55A4"/>
    <w:rsid w:val="001F5634"/>
    <w:rsid w:val="001F56D5"/>
    <w:rsid w:val="001F5749"/>
    <w:rsid w:val="001F5889"/>
    <w:rsid w:val="001F5A5D"/>
    <w:rsid w:val="001F5B1B"/>
    <w:rsid w:val="001F5B1C"/>
    <w:rsid w:val="001F5B64"/>
    <w:rsid w:val="001F5CA5"/>
    <w:rsid w:val="001F5E04"/>
    <w:rsid w:val="001F5F26"/>
    <w:rsid w:val="001F605E"/>
    <w:rsid w:val="001F640D"/>
    <w:rsid w:val="001F6459"/>
    <w:rsid w:val="001F6548"/>
    <w:rsid w:val="001F65BC"/>
    <w:rsid w:val="001F6684"/>
    <w:rsid w:val="001F68F6"/>
    <w:rsid w:val="001F6ACD"/>
    <w:rsid w:val="001F6AE7"/>
    <w:rsid w:val="001F6D04"/>
    <w:rsid w:val="001F6D83"/>
    <w:rsid w:val="001F7001"/>
    <w:rsid w:val="001F7027"/>
    <w:rsid w:val="001F7088"/>
    <w:rsid w:val="001F7124"/>
    <w:rsid w:val="001F7130"/>
    <w:rsid w:val="001F74DE"/>
    <w:rsid w:val="001F7545"/>
    <w:rsid w:val="001F75BD"/>
    <w:rsid w:val="001F75C0"/>
    <w:rsid w:val="001F75DB"/>
    <w:rsid w:val="001F76F9"/>
    <w:rsid w:val="001F7A25"/>
    <w:rsid w:val="001F7B2F"/>
    <w:rsid w:val="001F7BF7"/>
    <w:rsid w:val="001F7C37"/>
    <w:rsid w:val="001F7CF8"/>
    <w:rsid w:val="001F7D8B"/>
    <w:rsid w:val="001F7E21"/>
    <w:rsid w:val="001F7E9D"/>
    <w:rsid w:val="00200194"/>
    <w:rsid w:val="002001B7"/>
    <w:rsid w:val="002003E1"/>
    <w:rsid w:val="00200570"/>
    <w:rsid w:val="002005AB"/>
    <w:rsid w:val="002006A2"/>
    <w:rsid w:val="002007DF"/>
    <w:rsid w:val="002009B7"/>
    <w:rsid w:val="00200A5F"/>
    <w:rsid w:val="00200CBC"/>
    <w:rsid w:val="00200D2B"/>
    <w:rsid w:val="00200E3D"/>
    <w:rsid w:val="00200F96"/>
    <w:rsid w:val="00201091"/>
    <w:rsid w:val="0020146D"/>
    <w:rsid w:val="00201537"/>
    <w:rsid w:val="00201591"/>
    <w:rsid w:val="002015A4"/>
    <w:rsid w:val="002016E5"/>
    <w:rsid w:val="002016F3"/>
    <w:rsid w:val="00201772"/>
    <w:rsid w:val="002017AE"/>
    <w:rsid w:val="0020181B"/>
    <w:rsid w:val="00201843"/>
    <w:rsid w:val="002018C0"/>
    <w:rsid w:val="00201946"/>
    <w:rsid w:val="002019BD"/>
    <w:rsid w:val="00201A8A"/>
    <w:rsid w:val="00201AD2"/>
    <w:rsid w:val="00201B83"/>
    <w:rsid w:val="00201D46"/>
    <w:rsid w:val="00201E5B"/>
    <w:rsid w:val="00201EED"/>
    <w:rsid w:val="00201F48"/>
    <w:rsid w:val="00201FC6"/>
    <w:rsid w:val="00202027"/>
    <w:rsid w:val="002020EB"/>
    <w:rsid w:val="0020229D"/>
    <w:rsid w:val="00202480"/>
    <w:rsid w:val="0020278F"/>
    <w:rsid w:val="002028C1"/>
    <w:rsid w:val="00202A4B"/>
    <w:rsid w:val="00202A8F"/>
    <w:rsid w:val="00202B00"/>
    <w:rsid w:val="00202B8B"/>
    <w:rsid w:val="00202C23"/>
    <w:rsid w:val="00202D53"/>
    <w:rsid w:val="00202F88"/>
    <w:rsid w:val="00203087"/>
    <w:rsid w:val="002031CB"/>
    <w:rsid w:val="00203220"/>
    <w:rsid w:val="00203255"/>
    <w:rsid w:val="00203262"/>
    <w:rsid w:val="002032BA"/>
    <w:rsid w:val="00203332"/>
    <w:rsid w:val="00203349"/>
    <w:rsid w:val="002033A6"/>
    <w:rsid w:val="00203634"/>
    <w:rsid w:val="00203769"/>
    <w:rsid w:val="00203825"/>
    <w:rsid w:val="00203827"/>
    <w:rsid w:val="00203C6C"/>
    <w:rsid w:val="00203C97"/>
    <w:rsid w:val="00203CB6"/>
    <w:rsid w:val="00203DE1"/>
    <w:rsid w:val="00203E9A"/>
    <w:rsid w:val="00203F2E"/>
    <w:rsid w:val="002040A7"/>
    <w:rsid w:val="00204289"/>
    <w:rsid w:val="0020436C"/>
    <w:rsid w:val="002043DE"/>
    <w:rsid w:val="00204615"/>
    <w:rsid w:val="002046C3"/>
    <w:rsid w:val="002046CE"/>
    <w:rsid w:val="002048EE"/>
    <w:rsid w:val="00204921"/>
    <w:rsid w:val="00204A26"/>
    <w:rsid w:val="00204D7C"/>
    <w:rsid w:val="00204E2E"/>
    <w:rsid w:val="00204E87"/>
    <w:rsid w:val="00204FC4"/>
    <w:rsid w:val="00204FD5"/>
    <w:rsid w:val="0020519B"/>
    <w:rsid w:val="0020522E"/>
    <w:rsid w:val="00205349"/>
    <w:rsid w:val="00205526"/>
    <w:rsid w:val="00205636"/>
    <w:rsid w:val="002056DF"/>
    <w:rsid w:val="002057E2"/>
    <w:rsid w:val="0020580B"/>
    <w:rsid w:val="00205886"/>
    <w:rsid w:val="002058C3"/>
    <w:rsid w:val="00205904"/>
    <w:rsid w:val="00205A06"/>
    <w:rsid w:val="00205AFE"/>
    <w:rsid w:val="00205C99"/>
    <w:rsid w:val="00205F1F"/>
    <w:rsid w:val="00205F3B"/>
    <w:rsid w:val="00205FE8"/>
    <w:rsid w:val="00206049"/>
    <w:rsid w:val="00206200"/>
    <w:rsid w:val="00206515"/>
    <w:rsid w:val="0020651B"/>
    <w:rsid w:val="00206601"/>
    <w:rsid w:val="002067DD"/>
    <w:rsid w:val="002067E2"/>
    <w:rsid w:val="00206829"/>
    <w:rsid w:val="00206843"/>
    <w:rsid w:val="002068A3"/>
    <w:rsid w:val="00206AC9"/>
    <w:rsid w:val="00206B6D"/>
    <w:rsid w:val="00206BA3"/>
    <w:rsid w:val="00206CDC"/>
    <w:rsid w:val="00206D0D"/>
    <w:rsid w:val="00206D28"/>
    <w:rsid w:val="00206D9D"/>
    <w:rsid w:val="00206E06"/>
    <w:rsid w:val="00206E32"/>
    <w:rsid w:val="00206E84"/>
    <w:rsid w:val="00206F27"/>
    <w:rsid w:val="00207019"/>
    <w:rsid w:val="002070B3"/>
    <w:rsid w:val="0020715D"/>
    <w:rsid w:val="00207225"/>
    <w:rsid w:val="00207347"/>
    <w:rsid w:val="002073F9"/>
    <w:rsid w:val="00207511"/>
    <w:rsid w:val="00207605"/>
    <w:rsid w:val="00207B0A"/>
    <w:rsid w:val="00207B82"/>
    <w:rsid w:val="00207B9A"/>
    <w:rsid w:val="00207BE5"/>
    <w:rsid w:val="00207C05"/>
    <w:rsid w:val="00207CD7"/>
    <w:rsid w:val="00207D43"/>
    <w:rsid w:val="00207D6B"/>
    <w:rsid w:val="00207DA4"/>
    <w:rsid w:val="00207DCD"/>
    <w:rsid w:val="0021007C"/>
    <w:rsid w:val="00210146"/>
    <w:rsid w:val="00210181"/>
    <w:rsid w:val="0021046B"/>
    <w:rsid w:val="0021063E"/>
    <w:rsid w:val="002107E4"/>
    <w:rsid w:val="00210938"/>
    <w:rsid w:val="00210A4C"/>
    <w:rsid w:val="00210A80"/>
    <w:rsid w:val="00210AA0"/>
    <w:rsid w:val="00210CAF"/>
    <w:rsid w:val="00210D63"/>
    <w:rsid w:val="00210EF9"/>
    <w:rsid w:val="00210F17"/>
    <w:rsid w:val="002111BC"/>
    <w:rsid w:val="0021169D"/>
    <w:rsid w:val="002116C5"/>
    <w:rsid w:val="00211767"/>
    <w:rsid w:val="002117A9"/>
    <w:rsid w:val="002117F7"/>
    <w:rsid w:val="00211800"/>
    <w:rsid w:val="0021189B"/>
    <w:rsid w:val="00211A02"/>
    <w:rsid w:val="00211B43"/>
    <w:rsid w:val="00211B77"/>
    <w:rsid w:val="00211BA5"/>
    <w:rsid w:val="00211BF6"/>
    <w:rsid w:val="00211C0B"/>
    <w:rsid w:val="00211C83"/>
    <w:rsid w:val="00211CCD"/>
    <w:rsid w:val="00211D68"/>
    <w:rsid w:val="00211D92"/>
    <w:rsid w:val="00211DE2"/>
    <w:rsid w:val="00211DFA"/>
    <w:rsid w:val="00211E25"/>
    <w:rsid w:val="00211E5D"/>
    <w:rsid w:val="00211EB8"/>
    <w:rsid w:val="00211EFE"/>
    <w:rsid w:val="002121AB"/>
    <w:rsid w:val="002122BA"/>
    <w:rsid w:val="002124FB"/>
    <w:rsid w:val="0021255C"/>
    <w:rsid w:val="00212566"/>
    <w:rsid w:val="0021267C"/>
    <w:rsid w:val="00212680"/>
    <w:rsid w:val="002127AF"/>
    <w:rsid w:val="002127BE"/>
    <w:rsid w:val="0021284F"/>
    <w:rsid w:val="00212944"/>
    <w:rsid w:val="00212973"/>
    <w:rsid w:val="00212A69"/>
    <w:rsid w:val="00212A7F"/>
    <w:rsid w:val="00212BA7"/>
    <w:rsid w:val="00212BBD"/>
    <w:rsid w:val="00212CAB"/>
    <w:rsid w:val="00212E90"/>
    <w:rsid w:val="00212F1C"/>
    <w:rsid w:val="00212F37"/>
    <w:rsid w:val="00213039"/>
    <w:rsid w:val="0021308D"/>
    <w:rsid w:val="00213131"/>
    <w:rsid w:val="00213158"/>
    <w:rsid w:val="002131AA"/>
    <w:rsid w:val="00213201"/>
    <w:rsid w:val="00213234"/>
    <w:rsid w:val="0021323B"/>
    <w:rsid w:val="00213281"/>
    <w:rsid w:val="00213412"/>
    <w:rsid w:val="002134F8"/>
    <w:rsid w:val="002136A3"/>
    <w:rsid w:val="002136DC"/>
    <w:rsid w:val="00213718"/>
    <w:rsid w:val="00213842"/>
    <w:rsid w:val="00213850"/>
    <w:rsid w:val="00213890"/>
    <w:rsid w:val="002138B9"/>
    <w:rsid w:val="00213A54"/>
    <w:rsid w:val="00213ABD"/>
    <w:rsid w:val="00213B3E"/>
    <w:rsid w:val="00213B9E"/>
    <w:rsid w:val="00213BCA"/>
    <w:rsid w:val="00213D0B"/>
    <w:rsid w:val="00213E93"/>
    <w:rsid w:val="00213F86"/>
    <w:rsid w:val="0021402E"/>
    <w:rsid w:val="0021419C"/>
    <w:rsid w:val="002141C0"/>
    <w:rsid w:val="002141C3"/>
    <w:rsid w:val="002141CF"/>
    <w:rsid w:val="002141D8"/>
    <w:rsid w:val="002141FF"/>
    <w:rsid w:val="002143B9"/>
    <w:rsid w:val="002143BA"/>
    <w:rsid w:val="00214490"/>
    <w:rsid w:val="0021449D"/>
    <w:rsid w:val="002146F7"/>
    <w:rsid w:val="002148A4"/>
    <w:rsid w:val="00214BBB"/>
    <w:rsid w:val="00214C17"/>
    <w:rsid w:val="00214C56"/>
    <w:rsid w:val="00214C93"/>
    <w:rsid w:val="00214CA1"/>
    <w:rsid w:val="00214D2B"/>
    <w:rsid w:val="00214D59"/>
    <w:rsid w:val="00214F2C"/>
    <w:rsid w:val="00214F47"/>
    <w:rsid w:val="00215160"/>
    <w:rsid w:val="0021517D"/>
    <w:rsid w:val="0021532D"/>
    <w:rsid w:val="0021536C"/>
    <w:rsid w:val="002155BE"/>
    <w:rsid w:val="00215678"/>
    <w:rsid w:val="00215692"/>
    <w:rsid w:val="00215874"/>
    <w:rsid w:val="00215A91"/>
    <w:rsid w:val="00215B1D"/>
    <w:rsid w:val="00215D69"/>
    <w:rsid w:val="00215D7C"/>
    <w:rsid w:val="00215EC7"/>
    <w:rsid w:val="00215F6C"/>
    <w:rsid w:val="00215F7D"/>
    <w:rsid w:val="00216157"/>
    <w:rsid w:val="00216411"/>
    <w:rsid w:val="00216456"/>
    <w:rsid w:val="002164ED"/>
    <w:rsid w:val="00216565"/>
    <w:rsid w:val="0021679D"/>
    <w:rsid w:val="002167BA"/>
    <w:rsid w:val="00216836"/>
    <w:rsid w:val="0021693E"/>
    <w:rsid w:val="00216B27"/>
    <w:rsid w:val="00216F28"/>
    <w:rsid w:val="00216FC1"/>
    <w:rsid w:val="00216FD1"/>
    <w:rsid w:val="00217129"/>
    <w:rsid w:val="002171FA"/>
    <w:rsid w:val="002172BD"/>
    <w:rsid w:val="002173C0"/>
    <w:rsid w:val="00217452"/>
    <w:rsid w:val="002176E3"/>
    <w:rsid w:val="0021770F"/>
    <w:rsid w:val="00217959"/>
    <w:rsid w:val="00217A1E"/>
    <w:rsid w:val="00217C30"/>
    <w:rsid w:val="00217C8C"/>
    <w:rsid w:val="00217DDB"/>
    <w:rsid w:val="00217E57"/>
    <w:rsid w:val="00217F10"/>
    <w:rsid w:val="0022016E"/>
    <w:rsid w:val="00220288"/>
    <w:rsid w:val="002202C2"/>
    <w:rsid w:val="002202F1"/>
    <w:rsid w:val="00220388"/>
    <w:rsid w:val="00220397"/>
    <w:rsid w:val="002203E8"/>
    <w:rsid w:val="0022054A"/>
    <w:rsid w:val="002207E3"/>
    <w:rsid w:val="0022083C"/>
    <w:rsid w:val="0022087D"/>
    <w:rsid w:val="0022088C"/>
    <w:rsid w:val="0022089B"/>
    <w:rsid w:val="002208A0"/>
    <w:rsid w:val="002208B2"/>
    <w:rsid w:val="00220A61"/>
    <w:rsid w:val="00220AA0"/>
    <w:rsid w:val="00220B7D"/>
    <w:rsid w:val="00220CEA"/>
    <w:rsid w:val="00220D45"/>
    <w:rsid w:val="00220E68"/>
    <w:rsid w:val="00221111"/>
    <w:rsid w:val="0022118C"/>
    <w:rsid w:val="0022134B"/>
    <w:rsid w:val="00221394"/>
    <w:rsid w:val="00221439"/>
    <w:rsid w:val="00221455"/>
    <w:rsid w:val="00221479"/>
    <w:rsid w:val="0022169F"/>
    <w:rsid w:val="002218E4"/>
    <w:rsid w:val="0022193B"/>
    <w:rsid w:val="002219CC"/>
    <w:rsid w:val="002219CE"/>
    <w:rsid w:val="00221C59"/>
    <w:rsid w:val="00221E4C"/>
    <w:rsid w:val="00221E60"/>
    <w:rsid w:val="00221F80"/>
    <w:rsid w:val="00221F87"/>
    <w:rsid w:val="00222399"/>
    <w:rsid w:val="0022246F"/>
    <w:rsid w:val="002224B4"/>
    <w:rsid w:val="002224F0"/>
    <w:rsid w:val="002225B0"/>
    <w:rsid w:val="002225C8"/>
    <w:rsid w:val="002227FF"/>
    <w:rsid w:val="00222851"/>
    <w:rsid w:val="0022296D"/>
    <w:rsid w:val="00222B66"/>
    <w:rsid w:val="00222BDE"/>
    <w:rsid w:val="00222C04"/>
    <w:rsid w:val="00222C07"/>
    <w:rsid w:val="00222C2C"/>
    <w:rsid w:val="00222CE1"/>
    <w:rsid w:val="00222CFE"/>
    <w:rsid w:val="00222E1C"/>
    <w:rsid w:val="0022303B"/>
    <w:rsid w:val="002231AC"/>
    <w:rsid w:val="00223368"/>
    <w:rsid w:val="0022340A"/>
    <w:rsid w:val="00223488"/>
    <w:rsid w:val="002234D7"/>
    <w:rsid w:val="00223522"/>
    <w:rsid w:val="00223587"/>
    <w:rsid w:val="002235B7"/>
    <w:rsid w:val="002235F3"/>
    <w:rsid w:val="002236F1"/>
    <w:rsid w:val="0022373F"/>
    <w:rsid w:val="00223858"/>
    <w:rsid w:val="0022386E"/>
    <w:rsid w:val="00223943"/>
    <w:rsid w:val="002239CA"/>
    <w:rsid w:val="00223A10"/>
    <w:rsid w:val="00223B44"/>
    <w:rsid w:val="00223B62"/>
    <w:rsid w:val="00223BCC"/>
    <w:rsid w:val="00223CC9"/>
    <w:rsid w:val="00223E06"/>
    <w:rsid w:val="00223FF3"/>
    <w:rsid w:val="00224264"/>
    <w:rsid w:val="00224387"/>
    <w:rsid w:val="00224712"/>
    <w:rsid w:val="0022474E"/>
    <w:rsid w:val="002247DE"/>
    <w:rsid w:val="00224825"/>
    <w:rsid w:val="0022493B"/>
    <w:rsid w:val="00224B2D"/>
    <w:rsid w:val="00224F23"/>
    <w:rsid w:val="00224FAD"/>
    <w:rsid w:val="00224FEB"/>
    <w:rsid w:val="0022510C"/>
    <w:rsid w:val="00225196"/>
    <w:rsid w:val="00225333"/>
    <w:rsid w:val="0022537C"/>
    <w:rsid w:val="002253CC"/>
    <w:rsid w:val="002253F0"/>
    <w:rsid w:val="00225423"/>
    <w:rsid w:val="0022542A"/>
    <w:rsid w:val="002255A7"/>
    <w:rsid w:val="00225751"/>
    <w:rsid w:val="00225786"/>
    <w:rsid w:val="002257A7"/>
    <w:rsid w:val="0022595F"/>
    <w:rsid w:val="00225A22"/>
    <w:rsid w:val="00225A2A"/>
    <w:rsid w:val="00225D0C"/>
    <w:rsid w:val="00225D53"/>
    <w:rsid w:val="00225D55"/>
    <w:rsid w:val="00225D8B"/>
    <w:rsid w:val="00225E37"/>
    <w:rsid w:val="0022608C"/>
    <w:rsid w:val="0022609A"/>
    <w:rsid w:val="0022610F"/>
    <w:rsid w:val="00226394"/>
    <w:rsid w:val="002263E2"/>
    <w:rsid w:val="0022671B"/>
    <w:rsid w:val="002267C6"/>
    <w:rsid w:val="002267CD"/>
    <w:rsid w:val="0022681C"/>
    <w:rsid w:val="00226965"/>
    <w:rsid w:val="00226A55"/>
    <w:rsid w:val="00226B07"/>
    <w:rsid w:val="00226B7C"/>
    <w:rsid w:val="00226C7A"/>
    <w:rsid w:val="00226D59"/>
    <w:rsid w:val="00226D5E"/>
    <w:rsid w:val="00226E09"/>
    <w:rsid w:val="00226FAB"/>
    <w:rsid w:val="00226FAC"/>
    <w:rsid w:val="00226FFB"/>
    <w:rsid w:val="002270AC"/>
    <w:rsid w:val="002270B5"/>
    <w:rsid w:val="0022716A"/>
    <w:rsid w:val="00227203"/>
    <w:rsid w:val="002272C5"/>
    <w:rsid w:val="002273C5"/>
    <w:rsid w:val="00227A2A"/>
    <w:rsid w:val="00227A7B"/>
    <w:rsid w:val="00227BAD"/>
    <w:rsid w:val="00227C31"/>
    <w:rsid w:val="00227D19"/>
    <w:rsid w:val="00227DCD"/>
    <w:rsid w:val="00227EF9"/>
    <w:rsid w:val="00227FC6"/>
    <w:rsid w:val="00230057"/>
    <w:rsid w:val="002300AA"/>
    <w:rsid w:val="002302CF"/>
    <w:rsid w:val="002302D4"/>
    <w:rsid w:val="0023030C"/>
    <w:rsid w:val="0023048F"/>
    <w:rsid w:val="0023057A"/>
    <w:rsid w:val="002306AA"/>
    <w:rsid w:val="00230736"/>
    <w:rsid w:val="002307CB"/>
    <w:rsid w:val="00230C8C"/>
    <w:rsid w:val="00230D57"/>
    <w:rsid w:val="00230D83"/>
    <w:rsid w:val="00230E7B"/>
    <w:rsid w:val="002310AD"/>
    <w:rsid w:val="002311D5"/>
    <w:rsid w:val="002312FC"/>
    <w:rsid w:val="002315B3"/>
    <w:rsid w:val="002315EC"/>
    <w:rsid w:val="002315F2"/>
    <w:rsid w:val="0023162B"/>
    <w:rsid w:val="0023169D"/>
    <w:rsid w:val="002317ED"/>
    <w:rsid w:val="00231927"/>
    <w:rsid w:val="002319A8"/>
    <w:rsid w:val="00231A62"/>
    <w:rsid w:val="00231A6A"/>
    <w:rsid w:val="00231A7E"/>
    <w:rsid w:val="00231B9A"/>
    <w:rsid w:val="00231C43"/>
    <w:rsid w:val="00231C55"/>
    <w:rsid w:val="00231D64"/>
    <w:rsid w:val="00231F0C"/>
    <w:rsid w:val="00231F1C"/>
    <w:rsid w:val="00231F53"/>
    <w:rsid w:val="00231F69"/>
    <w:rsid w:val="00231FFC"/>
    <w:rsid w:val="00232080"/>
    <w:rsid w:val="00232237"/>
    <w:rsid w:val="0023246B"/>
    <w:rsid w:val="00232481"/>
    <w:rsid w:val="002326F1"/>
    <w:rsid w:val="002328D1"/>
    <w:rsid w:val="00232A5B"/>
    <w:rsid w:val="00232A7C"/>
    <w:rsid w:val="00232C7D"/>
    <w:rsid w:val="00232D83"/>
    <w:rsid w:val="00232E0C"/>
    <w:rsid w:val="00232E16"/>
    <w:rsid w:val="00232EC6"/>
    <w:rsid w:val="002330D5"/>
    <w:rsid w:val="002331B7"/>
    <w:rsid w:val="002331EF"/>
    <w:rsid w:val="00233263"/>
    <w:rsid w:val="00233334"/>
    <w:rsid w:val="00233358"/>
    <w:rsid w:val="002333A1"/>
    <w:rsid w:val="00233583"/>
    <w:rsid w:val="002335DB"/>
    <w:rsid w:val="002335F2"/>
    <w:rsid w:val="00233666"/>
    <w:rsid w:val="00233929"/>
    <w:rsid w:val="00233A25"/>
    <w:rsid w:val="00233CE5"/>
    <w:rsid w:val="00233CF1"/>
    <w:rsid w:val="00233D4C"/>
    <w:rsid w:val="00233D4D"/>
    <w:rsid w:val="00233EB4"/>
    <w:rsid w:val="00234113"/>
    <w:rsid w:val="0023415A"/>
    <w:rsid w:val="002341CD"/>
    <w:rsid w:val="002341EE"/>
    <w:rsid w:val="002343FC"/>
    <w:rsid w:val="00234435"/>
    <w:rsid w:val="00234471"/>
    <w:rsid w:val="002344C6"/>
    <w:rsid w:val="0023485B"/>
    <w:rsid w:val="0023492E"/>
    <w:rsid w:val="00234A59"/>
    <w:rsid w:val="00234AF1"/>
    <w:rsid w:val="00234B0C"/>
    <w:rsid w:val="00234B50"/>
    <w:rsid w:val="00234D42"/>
    <w:rsid w:val="00234EC2"/>
    <w:rsid w:val="00234F55"/>
    <w:rsid w:val="0023517C"/>
    <w:rsid w:val="002352BD"/>
    <w:rsid w:val="002353A7"/>
    <w:rsid w:val="00235648"/>
    <w:rsid w:val="0023566E"/>
    <w:rsid w:val="00235706"/>
    <w:rsid w:val="00235730"/>
    <w:rsid w:val="0023574F"/>
    <w:rsid w:val="002357F9"/>
    <w:rsid w:val="0023585C"/>
    <w:rsid w:val="0023589B"/>
    <w:rsid w:val="002358D6"/>
    <w:rsid w:val="002358EA"/>
    <w:rsid w:val="0023599F"/>
    <w:rsid w:val="00235A67"/>
    <w:rsid w:val="00235AB9"/>
    <w:rsid w:val="00235B22"/>
    <w:rsid w:val="00235C98"/>
    <w:rsid w:val="00235CC7"/>
    <w:rsid w:val="00235D3E"/>
    <w:rsid w:val="00235D74"/>
    <w:rsid w:val="00235D93"/>
    <w:rsid w:val="00235F75"/>
    <w:rsid w:val="00235F90"/>
    <w:rsid w:val="00235FC5"/>
    <w:rsid w:val="0023617A"/>
    <w:rsid w:val="00236225"/>
    <w:rsid w:val="0023625A"/>
    <w:rsid w:val="00236574"/>
    <w:rsid w:val="00236594"/>
    <w:rsid w:val="002365B9"/>
    <w:rsid w:val="002365D4"/>
    <w:rsid w:val="002366B6"/>
    <w:rsid w:val="0023683E"/>
    <w:rsid w:val="0023687E"/>
    <w:rsid w:val="00236A45"/>
    <w:rsid w:val="00236B20"/>
    <w:rsid w:val="00236DCF"/>
    <w:rsid w:val="00236E31"/>
    <w:rsid w:val="00236ED5"/>
    <w:rsid w:val="0023715B"/>
    <w:rsid w:val="002372F9"/>
    <w:rsid w:val="00237318"/>
    <w:rsid w:val="0023745F"/>
    <w:rsid w:val="00237575"/>
    <w:rsid w:val="0023758F"/>
    <w:rsid w:val="0023781F"/>
    <w:rsid w:val="00237833"/>
    <w:rsid w:val="002378A1"/>
    <w:rsid w:val="002378D6"/>
    <w:rsid w:val="00237A3D"/>
    <w:rsid w:val="00237C12"/>
    <w:rsid w:val="00237C97"/>
    <w:rsid w:val="00237E03"/>
    <w:rsid w:val="00237EC5"/>
    <w:rsid w:val="00237EFC"/>
    <w:rsid w:val="00237FBB"/>
    <w:rsid w:val="00237FF4"/>
    <w:rsid w:val="0024002D"/>
    <w:rsid w:val="002400BF"/>
    <w:rsid w:val="002401F5"/>
    <w:rsid w:val="00240274"/>
    <w:rsid w:val="00240293"/>
    <w:rsid w:val="0024029C"/>
    <w:rsid w:val="002403AA"/>
    <w:rsid w:val="002403DB"/>
    <w:rsid w:val="002404B1"/>
    <w:rsid w:val="00240525"/>
    <w:rsid w:val="0024058D"/>
    <w:rsid w:val="00240640"/>
    <w:rsid w:val="00240654"/>
    <w:rsid w:val="002406FE"/>
    <w:rsid w:val="002407E7"/>
    <w:rsid w:val="00240801"/>
    <w:rsid w:val="0024089F"/>
    <w:rsid w:val="002408D8"/>
    <w:rsid w:val="00240B26"/>
    <w:rsid w:val="00240B9F"/>
    <w:rsid w:val="00240CBF"/>
    <w:rsid w:val="00240E50"/>
    <w:rsid w:val="00240E83"/>
    <w:rsid w:val="00240FCB"/>
    <w:rsid w:val="0024119C"/>
    <w:rsid w:val="002411CB"/>
    <w:rsid w:val="0024127C"/>
    <w:rsid w:val="002412BC"/>
    <w:rsid w:val="00241306"/>
    <w:rsid w:val="00241437"/>
    <w:rsid w:val="002416B6"/>
    <w:rsid w:val="002416BA"/>
    <w:rsid w:val="00241740"/>
    <w:rsid w:val="00241829"/>
    <w:rsid w:val="0024189C"/>
    <w:rsid w:val="002418A2"/>
    <w:rsid w:val="00241978"/>
    <w:rsid w:val="00241A63"/>
    <w:rsid w:val="00241A9B"/>
    <w:rsid w:val="00241B1C"/>
    <w:rsid w:val="00241BC1"/>
    <w:rsid w:val="00241C25"/>
    <w:rsid w:val="00241CA4"/>
    <w:rsid w:val="00241E64"/>
    <w:rsid w:val="00241E98"/>
    <w:rsid w:val="00241F2B"/>
    <w:rsid w:val="00242077"/>
    <w:rsid w:val="00242475"/>
    <w:rsid w:val="00242492"/>
    <w:rsid w:val="00242699"/>
    <w:rsid w:val="002426B6"/>
    <w:rsid w:val="00242780"/>
    <w:rsid w:val="0024284D"/>
    <w:rsid w:val="00242950"/>
    <w:rsid w:val="00242AF2"/>
    <w:rsid w:val="00242D36"/>
    <w:rsid w:val="00242E27"/>
    <w:rsid w:val="00242E5B"/>
    <w:rsid w:val="00242E9C"/>
    <w:rsid w:val="00242FA6"/>
    <w:rsid w:val="00243032"/>
    <w:rsid w:val="0024304A"/>
    <w:rsid w:val="0024333C"/>
    <w:rsid w:val="002433E6"/>
    <w:rsid w:val="002433FB"/>
    <w:rsid w:val="00243474"/>
    <w:rsid w:val="002434A7"/>
    <w:rsid w:val="00243696"/>
    <w:rsid w:val="002436D0"/>
    <w:rsid w:val="00243717"/>
    <w:rsid w:val="002437CE"/>
    <w:rsid w:val="002437FC"/>
    <w:rsid w:val="00243801"/>
    <w:rsid w:val="002438F4"/>
    <w:rsid w:val="00243A75"/>
    <w:rsid w:val="00243A8B"/>
    <w:rsid w:val="00243AA6"/>
    <w:rsid w:val="00243C3F"/>
    <w:rsid w:val="00243D90"/>
    <w:rsid w:val="00243ECE"/>
    <w:rsid w:val="00243F57"/>
    <w:rsid w:val="002440E6"/>
    <w:rsid w:val="002440EC"/>
    <w:rsid w:val="002440FD"/>
    <w:rsid w:val="002441AE"/>
    <w:rsid w:val="00244202"/>
    <w:rsid w:val="0024433C"/>
    <w:rsid w:val="002444C5"/>
    <w:rsid w:val="00244514"/>
    <w:rsid w:val="0024451F"/>
    <w:rsid w:val="0024470E"/>
    <w:rsid w:val="00244758"/>
    <w:rsid w:val="00244831"/>
    <w:rsid w:val="0024484F"/>
    <w:rsid w:val="00244A59"/>
    <w:rsid w:val="00244AAA"/>
    <w:rsid w:val="00244C1A"/>
    <w:rsid w:val="00244CC2"/>
    <w:rsid w:val="00244D2C"/>
    <w:rsid w:val="00244E34"/>
    <w:rsid w:val="00244FF2"/>
    <w:rsid w:val="002451FB"/>
    <w:rsid w:val="00245243"/>
    <w:rsid w:val="0024542B"/>
    <w:rsid w:val="00245600"/>
    <w:rsid w:val="00245881"/>
    <w:rsid w:val="00245882"/>
    <w:rsid w:val="00245931"/>
    <w:rsid w:val="00245B12"/>
    <w:rsid w:val="00245C07"/>
    <w:rsid w:val="00245CB0"/>
    <w:rsid w:val="00245CBD"/>
    <w:rsid w:val="00245D85"/>
    <w:rsid w:val="00245D89"/>
    <w:rsid w:val="00245DF3"/>
    <w:rsid w:val="00245E6C"/>
    <w:rsid w:val="00245EC9"/>
    <w:rsid w:val="00245F7B"/>
    <w:rsid w:val="00245F80"/>
    <w:rsid w:val="0024610F"/>
    <w:rsid w:val="00246161"/>
    <w:rsid w:val="00246261"/>
    <w:rsid w:val="002462E0"/>
    <w:rsid w:val="002465F3"/>
    <w:rsid w:val="00246606"/>
    <w:rsid w:val="002466F2"/>
    <w:rsid w:val="002469AD"/>
    <w:rsid w:val="002469C1"/>
    <w:rsid w:val="002469DA"/>
    <w:rsid w:val="00246D91"/>
    <w:rsid w:val="00246DD5"/>
    <w:rsid w:val="00246DD6"/>
    <w:rsid w:val="00246DF7"/>
    <w:rsid w:val="00246FBD"/>
    <w:rsid w:val="00247005"/>
    <w:rsid w:val="002470A1"/>
    <w:rsid w:val="002471C6"/>
    <w:rsid w:val="002473C3"/>
    <w:rsid w:val="002473C6"/>
    <w:rsid w:val="002474A2"/>
    <w:rsid w:val="00247548"/>
    <w:rsid w:val="00247583"/>
    <w:rsid w:val="00247624"/>
    <w:rsid w:val="0024767E"/>
    <w:rsid w:val="0024778A"/>
    <w:rsid w:val="00247797"/>
    <w:rsid w:val="002477A0"/>
    <w:rsid w:val="002477F3"/>
    <w:rsid w:val="00247950"/>
    <w:rsid w:val="00247A9F"/>
    <w:rsid w:val="00247BC2"/>
    <w:rsid w:val="00247BFD"/>
    <w:rsid w:val="00247E25"/>
    <w:rsid w:val="00247E4B"/>
    <w:rsid w:val="00247EC7"/>
    <w:rsid w:val="00247F95"/>
    <w:rsid w:val="00247FD1"/>
    <w:rsid w:val="00247FF1"/>
    <w:rsid w:val="002500AF"/>
    <w:rsid w:val="00250229"/>
    <w:rsid w:val="002502D1"/>
    <w:rsid w:val="00250316"/>
    <w:rsid w:val="0025032C"/>
    <w:rsid w:val="00250333"/>
    <w:rsid w:val="0025034D"/>
    <w:rsid w:val="002503AD"/>
    <w:rsid w:val="0025055C"/>
    <w:rsid w:val="0025059C"/>
    <w:rsid w:val="00250716"/>
    <w:rsid w:val="0025072F"/>
    <w:rsid w:val="00250918"/>
    <w:rsid w:val="00250B62"/>
    <w:rsid w:val="00250CC3"/>
    <w:rsid w:val="00250CD4"/>
    <w:rsid w:val="00250D08"/>
    <w:rsid w:val="00250D5F"/>
    <w:rsid w:val="00250DA7"/>
    <w:rsid w:val="00250F90"/>
    <w:rsid w:val="00251069"/>
    <w:rsid w:val="0025135A"/>
    <w:rsid w:val="00251454"/>
    <w:rsid w:val="002514CC"/>
    <w:rsid w:val="00251544"/>
    <w:rsid w:val="002515F9"/>
    <w:rsid w:val="002519CB"/>
    <w:rsid w:val="002519CD"/>
    <w:rsid w:val="00251AD3"/>
    <w:rsid w:val="00251BFF"/>
    <w:rsid w:val="00251C10"/>
    <w:rsid w:val="00251CBA"/>
    <w:rsid w:val="00251D77"/>
    <w:rsid w:val="00251F27"/>
    <w:rsid w:val="00252030"/>
    <w:rsid w:val="00252115"/>
    <w:rsid w:val="00252176"/>
    <w:rsid w:val="002522C2"/>
    <w:rsid w:val="002522D9"/>
    <w:rsid w:val="002522E5"/>
    <w:rsid w:val="0025234F"/>
    <w:rsid w:val="002523E1"/>
    <w:rsid w:val="0025252D"/>
    <w:rsid w:val="0025258B"/>
    <w:rsid w:val="002525E3"/>
    <w:rsid w:val="0025279B"/>
    <w:rsid w:val="002528B4"/>
    <w:rsid w:val="00252A36"/>
    <w:rsid w:val="00252B00"/>
    <w:rsid w:val="00252B84"/>
    <w:rsid w:val="00252C16"/>
    <w:rsid w:val="00252E5E"/>
    <w:rsid w:val="00252ED0"/>
    <w:rsid w:val="00252FF0"/>
    <w:rsid w:val="00253004"/>
    <w:rsid w:val="00253041"/>
    <w:rsid w:val="00253049"/>
    <w:rsid w:val="00253190"/>
    <w:rsid w:val="00253237"/>
    <w:rsid w:val="002532CF"/>
    <w:rsid w:val="00253344"/>
    <w:rsid w:val="002534BF"/>
    <w:rsid w:val="00253770"/>
    <w:rsid w:val="002537FA"/>
    <w:rsid w:val="0025380D"/>
    <w:rsid w:val="002539A6"/>
    <w:rsid w:val="00253A1A"/>
    <w:rsid w:val="00253AE7"/>
    <w:rsid w:val="00253B9E"/>
    <w:rsid w:val="00253BFD"/>
    <w:rsid w:val="00253C5F"/>
    <w:rsid w:val="00253DDE"/>
    <w:rsid w:val="00253EEA"/>
    <w:rsid w:val="00253FA1"/>
    <w:rsid w:val="00253FA4"/>
    <w:rsid w:val="0025409C"/>
    <w:rsid w:val="00254196"/>
    <w:rsid w:val="0025424A"/>
    <w:rsid w:val="0025432C"/>
    <w:rsid w:val="0025443A"/>
    <w:rsid w:val="002544FD"/>
    <w:rsid w:val="002545CC"/>
    <w:rsid w:val="00254628"/>
    <w:rsid w:val="00254692"/>
    <w:rsid w:val="002546C9"/>
    <w:rsid w:val="002547DE"/>
    <w:rsid w:val="00254937"/>
    <w:rsid w:val="00254AF0"/>
    <w:rsid w:val="00254CE2"/>
    <w:rsid w:val="00254D31"/>
    <w:rsid w:val="00254F08"/>
    <w:rsid w:val="00254FBA"/>
    <w:rsid w:val="0025522E"/>
    <w:rsid w:val="002552D2"/>
    <w:rsid w:val="00255330"/>
    <w:rsid w:val="002555B8"/>
    <w:rsid w:val="00255657"/>
    <w:rsid w:val="00255A3A"/>
    <w:rsid w:val="00255C39"/>
    <w:rsid w:val="00255D58"/>
    <w:rsid w:val="00255DDB"/>
    <w:rsid w:val="0025611E"/>
    <w:rsid w:val="00256278"/>
    <w:rsid w:val="002563D2"/>
    <w:rsid w:val="0025640A"/>
    <w:rsid w:val="00256463"/>
    <w:rsid w:val="002564C3"/>
    <w:rsid w:val="00256633"/>
    <w:rsid w:val="002566E1"/>
    <w:rsid w:val="0025674D"/>
    <w:rsid w:val="0025680A"/>
    <w:rsid w:val="00256841"/>
    <w:rsid w:val="00256889"/>
    <w:rsid w:val="00256E59"/>
    <w:rsid w:val="00256E73"/>
    <w:rsid w:val="00256E98"/>
    <w:rsid w:val="00256F0A"/>
    <w:rsid w:val="00256F13"/>
    <w:rsid w:val="00257025"/>
    <w:rsid w:val="00257091"/>
    <w:rsid w:val="002570E9"/>
    <w:rsid w:val="00257217"/>
    <w:rsid w:val="0025729D"/>
    <w:rsid w:val="0025730B"/>
    <w:rsid w:val="00257501"/>
    <w:rsid w:val="002575C3"/>
    <w:rsid w:val="002575DB"/>
    <w:rsid w:val="002575E6"/>
    <w:rsid w:val="0025764D"/>
    <w:rsid w:val="002577B2"/>
    <w:rsid w:val="0025783E"/>
    <w:rsid w:val="002578A4"/>
    <w:rsid w:val="002579FA"/>
    <w:rsid w:val="00257A09"/>
    <w:rsid w:val="00257A16"/>
    <w:rsid w:val="00257A7C"/>
    <w:rsid w:val="00257B38"/>
    <w:rsid w:val="00257B56"/>
    <w:rsid w:val="00257BA3"/>
    <w:rsid w:val="00257C02"/>
    <w:rsid w:val="00257C7A"/>
    <w:rsid w:val="00257CA3"/>
    <w:rsid w:val="00257CC1"/>
    <w:rsid w:val="00257EC8"/>
    <w:rsid w:val="00257F8E"/>
    <w:rsid w:val="0025FA0B"/>
    <w:rsid w:val="002600D4"/>
    <w:rsid w:val="0026029C"/>
    <w:rsid w:val="002602AB"/>
    <w:rsid w:val="00260406"/>
    <w:rsid w:val="002604D4"/>
    <w:rsid w:val="00260594"/>
    <w:rsid w:val="002605A8"/>
    <w:rsid w:val="0026067E"/>
    <w:rsid w:val="00260890"/>
    <w:rsid w:val="002608D1"/>
    <w:rsid w:val="00260A17"/>
    <w:rsid w:val="00260B92"/>
    <w:rsid w:val="00260DD7"/>
    <w:rsid w:val="00260E91"/>
    <w:rsid w:val="00260EF2"/>
    <w:rsid w:val="00260FD8"/>
    <w:rsid w:val="00261120"/>
    <w:rsid w:val="00261296"/>
    <w:rsid w:val="00261597"/>
    <w:rsid w:val="00261649"/>
    <w:rsid w:val="00261697"/>
    <w:rsid w:val="00261899"/>
    <w:rsid w:val="002618AD"/>
    <w:rsid w:val="002618E8"/>
    <w:rsid w:val="00261911"/>
    <w:rsid w:val="00261A1E"/>
    <w:rsid w:val="00261AAF"/>
    <w:rsid w:val="00261B2C"/>
    <w:rsid w:val="00261B5F"/>
    <w:rsid w:val="00261E0E"/>
    <w:rsid w:val="00261F3F"/>
    <w:rsid w:val="00261F59"/>
    <w:rsid w:val="00261FAC"/>
    <w:rsid w:val="002620E0"/>
    <w:rsid w:val="002621C6"/>
    <w:rsid w:val="00262507"/>
    <w:rsid w:val="0026259C"/>
    <w:rsid w:val="002625EC"/>
    <w:rsid w:val="00262724"/>
    <w:rsid w:val="00262881"/>
    <w:rsid w:val="00262894"/>
    <w:rsid w:val="002628FB"/>
    <w:rsid w:val="00262961"/>
    <w:rsid w:val="00262A43"/>
    <w:rsid w:val="00262BF6"/>
    <w:rsid w:val="00262C88"/>
    <w:rsid w:val="00262EC0"/>
    <w:rsid w:val="00262F56"/>
    <w:rsid w:val="00262F5D"/>
    <w:rsid w:val="00262F65"/>
    <w:rsid w:val="00262FCC"/>
    <w:rsid w:val="0026318C"/>
    <w:rsid w:val="002634FD"/>
    <w:rsid w:val="00263A48"/>
    <w:rsid w:val="00263ACA"/>
    <w:rsid w:val="00263E4B"/>
    <w:rsid w:val="00264069"/>
    <w:rsid w:val="00264185"/>
    <w:rsid w:val="002641F5"/>
    <w:rsid w:val="00264253"/>
    <w:rsid w:val="0026446C"/>
    <w:rsid w:val="00264583"/>
    <w:rsid w:val="00264647"/>
    <w:rsid w:val="0026464E"/>
    <w:rsid w:val="00264677"/>
    <w:rsid w:val="002647B3"/>
    <w:rsid w:val="0026488B"/>
    <w:rsid w:val="002649E3"/>
    <w:rsid w:val="00264A91"/>
    <w:rsid w:val="00264D83"/>
    <w:rsid w:val="00264E12"/>
    <w:rsid w:val="00264E30"/>
    <w:rsid w:val="00264F4D"/>
    <w:rsid w:val="00265066"/>
    <w:rsid w:val="00265137"/>
    <w:rsid w:val="002653DC"/>
    <w:rsid w:val="00265425"/>
    <w:rsid w:val="00265434"/>
    <w:rsid w:val="002655C1"/>
    <w:rsid w:val="00265743"/>
    <w:rsid w:val="0026581E"/>
    <w:rsid w:val="0026582D"/>
    <w:rsid w:val="002658CE"/>
    <w:rsid w:val="002659E1"/>
    <w:rsid w:val="00265A05"/>
    <w:rsid w:val="00265A0A"/>
    <w:rsid w:val="00265A7C"/>
    <w:rsid w:val="00265AE9"/>
    <w:rsid w:val="00265C2E"/>
    <w:rsid w:val="00265CBA"/>
    <w:rsid w:val="00265CFE"/>
    <w:rsid w:val="00265D15"/>
    <w:rsid w:val="00265E3D"/>
    <w:rsid w:val="00266048"/>
    <w:rsid w:val="002660A9"/>
    <w:rsid w:val="00266125"/>
    <w:rsid w:val="00266329"/>
    <w:rsid w:val="002664A0"/>
    <w:rsid w:val="002664F5"/>
    <w:rsid w:val="00266546"/>
    <w:rsid w:val="002665AC"/>
    <w:rsid w:val="002665D2"/>
    <w:rsid w:val="002666AC"/>
    <w:rsid w:val="002666CD"/>
    <w:rsid w:val="002666EB"/>
    <w:rsid w:val="00266700"/>
    <w:rsid w:val="0026671F"/>
    <w:rsid w:val="00266726"/>
    <w:rsid w:val="00266883"/>
    <w:rsid w:val="002668D6"/>
    <w:rsid w:val="00266926"/>
    <w:rsid w:val="00266B7B"/>
    <w:rsid w:val="00266C1A"/>
    <w:rsid w:val="00266C6D"/>
    <w:rsid w:val="00266CE5"/>
    <w:rsid w:val="00266EB2"/>
    <w:rsid w:val="00266EC6"/>
    <w:rsid w:val="0026705C"/>
    <w:rsid w:val="002671AB"/>
    <w:rsid w:val="00267207"/>
    <w:rsid w:val="002672A4"/>
    <w:rsid w:val="002673EE"/>
    <w:rsid w:val="0026758F"/>
    <w:rsid w:val="002675A9"/>
    <w:rsid w:val="0026783A"/>
    <w:rsid w:val="00267840"/>
    <w:rsid w:val="00267AA1"/>
    <w:rsid w:val="00267CF4"/>
    <w:rsid w:val="00267D67"/>
    <w:rsid w:val="00267F47"/>
    <w:rsid w:val="00267F56"/>
    <w:rsid w:val="0027009E"/>
    <w:rsid w:val="002700D1"/>
    <w:rsid w:val="002703DE"/>
    <w:rsid w:val="0027040A"/>
    <w:rsid w:val="002705B4"/>
    <w:rsid w:val="0027064C"/>
    <w:rsid w:val="002706CD"/>
    <w:rsid w:val="00270959"/>
    <w:rsid w:val="00270989"/>
    <w:rsid w:val="002709B1"/>
    <w:rsid w:val="002709CD"/>
    <w:rsid w:val="00270A96"/>
    <w:rsid w:val="00270B45"/>
    <w:rsid w:val="00270B7E"/>
    <w:rsid w:val="00270BA3"/>
    <w:rsid w:val="00270D1A"/>
    <w:rsid w:val="00270D5C"/>
    <w:rsid w:val="00270EEC"/>
    <w:rsid w:val="00270F0C"/>
    <w:rsid w:val="00270F6F"/>
    <w:rsid w:val="00270FA4"/>
    <w:rsid w:val="00270FFE"/>
    <w:rsid w:val="0027103B"/>
    <w:rsid w:val="002710D5"/>
    <w:rsid w:val="002712F4"/>
    <w:rsid w:val="00271344"/>
    <w:rsid w:val="002714BB"/>
    <w:rsid w:val="002717A8"/>
    <w:rsid w:val="0027198A"/>
    <w:rsid w:val="00271B7E"/>
    <w:rsid w:val="00271C1F"/>
    <w:rsid w:val="00271D93"/>
    <w:rsid w:val="00271E86"/>
    <w:rsid w:val="00271E8C"/>
    <w:rsid w:val="00271EE1"/>
    <w:rsid w:val="00271F32"/>
    <w:rsid w:val="00271FE8"/>
    <w:rsid w:val="002720BE"/>
    <w:rsid w:val="002720E2"/>
    <w:rsid w:val="0027218B"/>
    <w:rsid w:val="002721CB"/>
    <w:rsid w:val="002721F9"/>
    <w:rsid w:val="0027227E"/>
    <w:rsid w:val="00272296"/>
    <w:rsid w:val="0027234D"/>
    <w:rsid w:val="0027254E"/>
    <w:rsid w:val="002726B3"/>
    <w:rsid w:val="00272763"/>
    <w:rsid w:val="002727AF"/>
    <w:rsid w:val="002727D7"/>
    <w:rsid w:val="002728D7"/>
    <w:rsid w:val="002728E7"/>
    <w:rsid w:val="00272963"/>
    <w:rsid w:val="00272979"/>
    <w:rsid w:val="00272A3A"/>
    <w:rsid w:val="00272A69"/>
    <w:rsid w:val="00272AC8"/>
    <w:rsid w:val="00272B9D"/>
    <w:rsid w:val="00272C49"/>
    <w:rsid w:val="00272E26"/>
    <w:rsid w:val="00272E46"/>
    <w:rsid w:val="00272EE4"/>
    <w:rsid w:val="0027321A"/>
    <w:rsid w:val="0027334B"/>
    <w:rsid w:val="00273378"/>
    <w:rsid w:val="002735BA"/>
    <w:rsid w:val="002736BC"/>
    <w:rsid w:val="0027378D"/>
    <w:rsid w:val="002737E4"/>
    <w:rsid w:val="00273831"/>
    <w:rsid w:val="00273881"/>
    <w:rsid w:val="002738CA"/>
    <w:rsid w:val="0027396E"/>
    <w:rsid w:val="00273B9B"/>
    <w:rsid w:val="00273C05"/>
    <w:rsid w:val="00273C7D"/>
    <w:rsid w:val="00273C82"/>
    <w:rsid w:val="00273CED"/>
    <w:rsid w:val="00273D77"/>
    <w:rsid w:val="00273E0A"/>
    <w:rsid w:val="00274021"/>
    <w:rsid w:val="002740A4"/>
    <w:rsid w:val="002740F9"/>
    <w:rsid w:val="002741FE"/>
    <w:rsid w:val="0027421E"/>
    <w:rsid w:val="0027441E"/>
    <w:rsid w:val="0027444F"/>
    <w:rsid w:val="00274590"/>
    <w:rsid w:val="002746CD"/>
    <w:rsid w:val="002746F2"/>
    <w:rsid w:val="00274721"/>
    <w:rsid w:val="00274805"/>
    <w:rsid w:val="0027480B"/>
    <w:rsid w:val="00274948"/>
    <w:rsid w:val="00274BD7"/>
    <w:rsid w:val="00274D7C"/>
    <w:rsid w:val="00274D8B"/>
    <w:rsid w:val="00274E13"/>
    <w:rsid w:val="00274E69"/>
    <w:rsid w:val="00274F44"/>
    <w:rsid w:val="0027501F"/>
    <w:rsid w:val="00275438"/>
    <w:rsid w:val="00275460"/>
    <w:rsid w:val="00275549"/>
    <w:rsid w:val="0027562E"/>
    <w:rsid w:val="00275749"/>
    <w:rsid w:val="00275861"/>
    <w:rsid w:val="0027598A"/>
    <w:rsid w:val="002759B9"/>
    <w:rsid w:val="002759E5"/>
    <w:rsid w:val="002759FB"/>
    <w:rsid w:val="00275A24"/>
    <w:rsid w:val="00275B62"/>
    <w:rsid w:val="00275C3E"/>
    <w:rsid w:val="00275DD8"/>
    <w:rsid w:val="00275F3C"/>
    <w:rsid w:val="00275FB0"/>
    <w:rsid w:val="002760E9"/>
    <w:rsid w:val="00276102"/>
    <w:rsid w:val="002761F7"/>
    <w:rsid w:val="0027627A"/>
    <w:rsid w:val="002762B8"/>
    <w:rsid w:val="00276344"/>
    <w:rsid w:val="00276372"/>
    <w:rsid w:val="00276448"/>
    <w:rsid w:val="002767F1"/>
    <w:rsid w:val="00276977"/>
    <w:rsid w:val="002769DB"/>
    <w:rsid w:val="00276A15"/>
    <w:rsid w:val="00276E23"/>
    <w:rsid w:val="00276EE1"/>
    <w:rsid w:val="00276F68"/>
    <w:rsid w:val="00276FF1"/>
    <w:rsid w:val="00276FF4"/>
    <w:rsid w:val="00277047"/>
    <w:rsid w:val="00277049"/>
    <w:rsid w:val="0027704D"/>
    <w:rsid w:val="00277074"/>
    <w:rsid w:val="002770D1"/>
    <w:rsid w:val="00277355"/>
    <w:rsid w:val="0027745B"/>
    <w:rsid w:val="002774CC"/>
    <w:rsid w:val="002774EE"/>
    <w:rsid w:val="002775EE"/>
    <w:rsid w:val="00277694"/>
    <w:rsid w:val="002776DD"/>
    <w:rsid w:val="002777D8"/>
    <w:rsid w:val="002777E3"/>
    <w:rsid w:val="00277807"/>
    <w:rsid w:val="002778F9"/>
    <w:rsid w:val="0027790A"/>
    <w:rsid w:val="00277B6D"/>
    <w:rsid w:val="00277C40"/>
    <w:rsid w:val="00277DD9"/>
    <w:rsid w:val="00277E7F"/>
    <w:rsid w:val="00277F02"/>
    <w:rsid w:val="00277F89"/>
    <w:rsid w:val="00280281"/>
    <w:rsid w:val="002802A2"/>
    <w:rsid w:val="00280342"/>
    <w:rsid w:val="002803CE"/>
    <w:rsid w:val="0028043B"/>
    <w:rsid w:val="00280491"/>
    <w:rsid w:val="002806A2"/>
    <w:rsid w:val="002807A6"/>
    <w:rsid w:val="00280812"/>
    <w:rsid w:val="00280884"/>
    <w:rsid w:val="00280967"/>
    <w:rsid w:val="00280A6E"/>
    <w:rsid w:val="00280AC1"/>
    <w:rsid w:val="00280D13"/>
    <w:rsid w:val="00280D34"/>
    <w:rsid w:val="00280DAB"/>
    <w:rsid w:val="00280F01"/>
    <w:rsid w:val="0028105E"/>
    <w:rsid w:val="00281167"/>
    <w:rsid w:val="0028125F"/>
    <w:rsid w:val="00281324"/>
    <w:rsid w:val="002813B8"/>
    <w:rsid w:val="0028168B"/>
    <w:rsid w:val="002816E2"/>
    <w:rsid w:val="00281751"/>
    <w:rsid w:val="00281992"/>
    <w:rsid w:val="002819EB"/>
    <w:rsid w:val="00281AD6"/>
    <w:rsid w:val="00281B2E"/>
    <w:rsid w:val="00281C27"/>
    <w:rsid w:val="00281C85"/>
    <w:rsid w:val="00281D9D"/>
    <w:rsid w:val="00281DF1"/>
    <w:rsid w:val="00281EFB"/>
    <w:rsid w:val="00281F43"/>
    <w:rsid w:val="00281F71"/>
    <w:rsid w:val="00281F75"/>
    <w:rsid w:val="00282130"/>
    <w:rsid w:val="00282319"/>
    <w:rsid w:val="00282347"/>
    <w:rsid w:val="002823C7"/>
    <w:rsid w:val="002823E0"/>
    <w:rsid w:val="00282500"/>
    <w:rsid w:val="00282631"/>
    <w:rsid w:val="002826D0"/>
    <w:rsid w:val="00282831"/>
    <w:rsid w:val="00282951"/>
    <w:rsid w:val="0028297A"/>
    <w:rsid w:val="002829D9"/>
    <w:rsid w:val="002829FC"/>
    <w:rsid w:val="00282AE0"/>
    <w:rsid w:val="00282B1D"/>
    <w:rsid w:val="00282B73"/>
    <w:rsid w:val="00282F37"/>
    <w:rsid w:val="00282F8D"/>
    <w:rsid w:val="00283035"/>
    <w:rsid w:val="002830AA"/>
    <w:rsid w:val="0028313E"/>
    <w:rsid w:val="002831E1"/>
    <w:rsid w:val="0028329D"/>
    <w:rsid w:val="002832C3"/>
    <w:rsid w:val="002833E0"/>
    <w:rsid w:val="0028348D"/>
    <w:rsid w:val="002834EE"/>
    <w:rsid w:val="0028368C"/>
    <w:rsid w:val="0028373E"/>
    <w:rsid w:val="0028377C"/>
    <w:rsid w:val="00283850"/>
    <w:rsid w:val="0028385A"/>
    <w:rsid w:val="002838E1"/>
    <w:rsid w:val="002838F0"/>
    <w:rsid w:val="0028396C"/>
    <w:rsid w:val="00283984"/>
    <w:rsid w:val="002839B1"/>
    <w:rsid w:val="002839D6"/>
    <w:rsid w:val="00283BA8"/>
    <w:rsid w:val="00283BDF"/>
    <w:rsid w:val="00283C8D"/>
    <w:rsid w:val="00283CD8"/>
    <w:rsid w:val="00283CD9"/>
    <w:rsid w:val="00283DA4"/>
    <w:rsid w:val="00283DBC"/>
    <w:rsid w:val="00283EBE"/>
    <w:rsid w:val="00284086"/>
    <w:rsid w:val="00284203"/>
    <w:rsid w:val="002842EC"/>
    <w:rsid w:val="00284317"/>
    <w:rsid w:val="00284339"/>
    <w:rsid w:val="00284368"/>
    <w:rsid w:val="002843E1"/>
    <w:rsid w:val="002844D7"/>
    <w:rsid w:val="002845A6"/>
    <w:rsid w:val="00284730"/>
    <w:rsid w:val="00284773"/>
    <w:rsid w:val="002847AB"/>
    <w:rsid w:val="002847E4"/>
    <w:rsid w:val="00284840"/>
    <w:rsid w:val="0028484B"/>
    <w:rsid w:val="00284C51"/>
    <w:rsid w:val="00284C52"/>
    <w:rsid w:val="00284C8E"/>
    <w:rsid w:val="00284CA7"/>
    <w:rsid w:val="00284E37"/>
    <w:rsid w:val="00284F04"/>
    <w:rsid w:val="00284FD2"/>
    <w:rsid w:val="00285467"/>
    <w:rsid w:val="0028546A"/>
    <w:rsid w:val="00285560"/>
    <w:rsid w:val="002855BC"/>
    <w:rsid w:val="0028563E"/>
    <w:rsid w:val="002856D3"/>
    <w:rsid w:val="00285873"/>
    <w:rsid w:val="00285880"/>
    <w:rsid w:val="002858B1"/>
    <w:rsid w:val="00285972"/>
    <w:rsid w:val="00285A8E"/>
    <w:rsid w:val="00285AFA"/>
    <w:rsid w:val="00285C41"/>
    <w:rsid w:val="00285CC1"/>
    <w:rsid w:val="00285CC5"/>
    <w:rsid w:val="00285D6A"/>
    <w:rsid w:val="00285D94"/>
    <w:rsid w:val="00285DF2"/>
    <w:rsid w:val="00285EFC"/>
    <w:rsid w:val="0028607B"/>
    <w:rsid w:val="00286441"/>
    <w:rsid w:val="00286621"/>
    <w:rsid w:val="002866BE"/>
    <w:rsid w:val="002867DD"/>
    <w:rsid w:val="00286C33"/>
    <w:rsid w:val="00286CA5"/>
    <w:rsid w:val="00286EED"/>
    <w:rsid w:val="00286F05"/>
    <w:rsid w:val="00286F18"/>
    <w:rsid w:val="00286F54"/>
    <w:rsid w:val="00286FDE"/>
    <w:rsid w:val="00286FE3"/>
    <w:rsid w:val="002870D8"/>
    <w:rsid w:val="002870DB"/>
    <w:rsid w:val="00287101"/>
    <w:rsid w:val="00287127"/>
    <w:rsid w:val="002871D5"/>
    <w:rsid w:val="00287243"/>
    <w:rsid w:val="002872CC"/>
    <w:rsid w:val="0028731A"/>
    <w:rsid w:val="002875CE"/>
    <w:rsid w:val="00287617"/>
    <w:rsid w:val="0028774B"/>
    <w:rsid w:val="002877BB"/>
    <w:rsid w:val="002877E1"/>
    <w:rsid w:val="00287836"/>
    <w:rsid w:val="0028784E"/>
    <w:rsid w:val="00287931"/>
    <w:rsid w:val="00287A22"/>
    <w:rsid w:val="00287A40"/>
    <w:rsid w:val="00287B5B"/>
    <w:rsid w:val="00287B74"/>
    <w:rsid w:val="00287D8D"/>
    <w:rsid w:val="00287E98"/>
    <w:rsid w:val="00290089"/>
    <w:rsid w:val="00290205"/>
    <w:rsid w:val="002904A7"/>
    <w:rsid w:val="002904BA"/>
    <w:rsid w:val="002904FA"/>
    <w:rsid w:val="0029064B"/>
    <w:rsid w:val="00290697"/>
    <w:rsid w:val="0029069A"/>
    <w:rsid w:val="002906DB"/>
    <w:rsid w:val="002906E0"/>
    <w:rsid w:val="00290719"/>
    <w:rsid w:val="00290767"/>
    <w:rsid w:val="00290792"/>
    <w:rsid w:val="00290887"/>
    <w:rsid w:val="002908E3"/>
    <w:rsid w:val="00290902"/>
    <w:rsid w:val="00290A96"/>
    <w:rsid w:val="00290BD8"/>
    <w:rsid w:val="00290CC4"/>
    <w:rsid w:val="00290DD5"/>
    <w:rsid w:val="00290DEA"/>
    <w:rsid w:val="002910B3"/>
    <w:rsid w:val="002911C1"/>
    <w:rsid w:val="002911DA"/>
    <w:rsid w:val="002912B2"/>
    <w:rsid w:val="00291353"/>
    <w:rsid w:val="0029137E"/>
    <w:rsid w:val="00291460"/>
    <w:rsid w:val="00291461"/>
    <w:rsid w:val="0029163A"/>
    <w:rsid w:val="00291660"/>
    <w:rsid w:val="0029173D"/>
    <w:rsid w:val="002917D1"/>
    <w:rsid w:val="002917DA"/>
    <w:rsid w:val="00291979"/>
    <w:rsid w:val="00291BEE"/>
    <w:rsid w:val="00291CB2"/>
    <w:rsid w:val="00291CB6"/>
    <w:rsid w:val="00291D33"/>
    <w:rsid w:val="00291E42"/>
    <w:rsid w:val="00292040"/>
    <w:rsid w:val="002921D7"/>
    <w:rsid w:val="002921F7"/>
    <w:rsid w:val="00292246"/>
    <w:rsid w:val="00292273"/>
    <w:rsid w:val="00292290"/>
    <w:rsid w:val="002922B9"/>
    <w:rsid w:val="00292543"/>
    <w:rsid w:val="00292546"/>
    <w:rsid w:val="00292599"/>
    <w:rsid w:val="00292635"/>
    <w:rsid w:val="0029265D"/>
    <w:rsid w:val="0029284F"/>
    <w:rsid w:val="00292ABF"/>
    <w:rsid w:val="00292B3D"/>
    <w:rsid w:val="00292C09"/>
    <w:rsid w:val="00292DA1"/>
    <w:rsid w:val="00292DF9"/>
    <w:rsid w:val="00292DFC"/>
    <w:rsid w:val="00292EBA"/>
    <w:rsid w:val="00292F55"/>
    <w:rsid w:val="00292FED"/>
    <w:rsid w:val="00293040"/>
    <w:rsid w:val="00293099"/>
    <w:rsid w:val="002930F5"/>
    <w:rsid w:val="00293118"/>
    <w:rsid w:val="00293180"/>
    <w:rsid w:val="0029319A"/>
    <w:rsid w:val="002931E6"/>
    <w:rsid w:val="0029327B"/>
    <w:rsid w:val="00293371"/>
    <w:rsid w:val="00293402"/>
    <w:rsid w:val="0029353D"/>
    <w:rsid w:val="002935AB"/>
    <w:rsid w:val="002935F1"/>
    <w:rsid w:val="0029365A"/>
    <w:rsid w:val="00293857"/>
    <w:rsid w:val="00293914"/>
    <w:rsid w:val="0029393D"/>
    <w:rsid w:val="00293AE8"/>
    <w:rsid w:val="00293B7D"/>
    <w:rsid w:val="00293BB9"/>
    <w:rsid w:val="00293BC4"/>
    <w:rsid w:val="00293BDD"/>
    <w:rsid w:val="00293D23"/>
    <w:rsid w:val="00293E21"/>
    <w:rsid w:val="00293EDF"/>
    <w:rsid w:val="00293F2A"/>
    <w:rsid w:val="00293F8B"/>
    <w:rsid w:val="0029410D"/>
    <w:rsid w:val="002941EA"/>
    <w:rsid w:val="0029445A"/>
    <w:rsid w:val="00294548"/>
    <w:rsid w:val="002946A4"/>
    <w:rsid w:val="0029481D"/>
    <w:rsid w:val="00294955"/>
    <w:rsid w:val="00294A0E"/>
    <w:rsid w:val="00294CC2"/>
    <w:rsid w:val="00294D76"/>
    <w:rsid w:val="00294DBF"/>
    <w:rsid w:val="00294F15"/>
    <w:rsid w:val="00294F7C"/>
    <w:rsid w:val="002951EB"/>
    <w:rsid w:val="002953EA"/>
    <w:rsid w:val="002955E2"/>
    <w:rsid w:val="002956FC"/>
    <w:rsid w:val="002957EB"/>
    <w:rsid w:val="00295B5C"/>
    <w:rsid w:val="00295B66"/>
    <w:rsid w:val="00295BC4"/>
    <w:rsid w:val="00295C05"/>
    <w:rsid w:val="00295F32"/>
    <w:rsid w:val="0029604A"/>
    <w:rsid w:val="002961C2"/>
    <w:rsid w:val="00296414"/>
    <w:rsid w:val="002964B2"/>
    <w:rsid w:val="002966D0"/>
    <w:rsid w:val="002966DC"/>
    <w:rsid w:val="00296799"/>
    <w:rsid w:val="00296A63"/>
    <w:rsid w:val="00296A9B"/>
    <w:rsid w:val="00296C6C"/>
    <w:rsid w:val="00296C8D"/>
    <w:rsid w:val="00296CA0"/>
    <w:rsid w:val="00296D6F"/>
    <w:rsid w:val="00296DCB"/>
    <w:rsid w:val="00296DD7"/>
    <w:rsid w:val="00296E7F"/>
    <w:rsid w:val="00296E80"/>
    <w:rsid w:val="00296EEF"/>
    <w:rsid w:val="00296F0A"/>
    <w:rsid w:val="00296FCF"/>
    <w:rsid w:val="0029715E"/>
    <w:rsid w:val="002971C3"/>
    <w:rsid w:val="00297494"/>
    <w:rsid w:val="00297686"/>
    <w:rsid w:val="00297736"/>
    <w:rsid w:val="002977DA"/>
    <w:rsid w:val="00297B6C"/>
    <w:rsid w:val="00297C12"/>
    <w:rsid w:val="00297CC7"/>
    <w:rsid w:val="00297D4D"/>
    <w:rsid w:val="00297D6C"/>
    <w:rsid w:val="00297E70"/>
    <w:rsid w:val="00297F0B"/>
    <w:rsid w:val="00297F99"/>
    <w:rsid w:val="00297FD8"/>
    <w:rsid w:val="002A00BF"/>
    <w:rsid w:val="002A01A2"/>
    <w:rsid w:val="002A0249"/>
    <w:rsid w:val="002A029A"/>
    <w:rsid w:val="002A040B"/>
    <w:rsid w:val="002A051A"/>
    <w:rsid w:val="002A051C"/>
    <w:rsid w:val="002A0593"/>
    <w:rsid w:val="002A071A"/>
    <w:rsid w:val="002A0939"/>
    <w:rsid w:val="002A09EB"/>
    <w:rsid w:val="002A0A08"/>
    <w:rsid w:val="002A0AB5"/>
    <w:rsid w:val="002A0E2A"/>
    <w:rsid w:val="002A0E5B"/>
    <w:rsid w:val="002A11D7"/>
    <w:rsid w:val="002A13F5"/>
    <w:rsid w:val="002A1567"/>
    <w:rsid w:val="002A15FE"/>
    <w:rsid w:val="002A16FC"/>
    <w:rsid w:val="002A18E9"/>
    <w:rsid w:val="002A194F"/>
    <w:rsid w:val="002A19E0"/>
    <w:rsid w:val="002A1F0E"/>
    <w:rsid w:val="002A1F31"/>
    <w:rsid w:val="002A2075"/>
    <w:rsid w:val="002A215D"/>
    <w:rsid w:val="002A21FC"/>
    <w:rsid w:val="002A2265"/>
    <w:rsid w:val="002A238D"/>
    <w:rsid w:val="002A24FE"/>
    <w:rsid w:val="002A25F4"/>
    <w:rsid w:val="002A2702"/>
    <w:rsid w:val="002A2994"/>
    <w:rsid w:val="002A2AE0"/>
    <w:rsid w:val="002A2B2A"/>
    <w:rsid w:val="002A2CA7"/>
    <w:rsid w:val="002A2CF5"/>
    <w:rsid w:val="002A2DFD"/>
    <w:rsid w:val="002A2EB0"/>
    <w:rsid w:val="002A2ED8"/>
    <w:rsid w:val="002A2F4E"/>
    <w:rsid w:val="002A2FFF"/>
    <w:rsid w:val="002A3021"/>
    <w:rsid w:val="002A304F"/>
    <w:rsid w:val="002A31CB"/>
    <w:rsid w:val="002A31FF"/>
    <w:rsid w:val="002A3256"/>
    <w:rsid w:val="002A337A"/>
    <w:rsid w:val="002A3404"/>
    <w:rsid w:val="002A35B4"/>
    <w:rsid w:val="002A35E4"/>
    <w:rsid w:val="002A363A"/>
    <w:rsid w:val="002A366F"/>
    <w:rsid w:val="002A36C9"/>
    <w:rsid w:val="002A373A"/>
    <w:rsid w:val="002A3753"/>
    <w:rsid w:val="002A38A0"/>
    <w:rsid w:val="002A38B2"/>
    <w:rsid w:val="002A39D3"/>
    <w:rsid w:val="002A39DD"/>
    <w:rsid w:val="002A3B06"/>
    <w:rsid w:val="002A3CD8"/>
    <w:rsid w:val="002A3DEE"/>
    <w:rsid w:val="002A3E74"/>
    <w:rsid w:val="002A3E85"/>
    <w:rsid w:val="002A3F7C"/>
    <w:rsid w:val="002A40CF"/>
    <w:rsid w:val="002A42A8"/>
    <w:rsid w:val="002A42D3"/>
    <w:rsid w:val="002A4331"/>
    <w:rsid w:val="002A4491"/>
    <w:rsid w:val="002A4567"/>
    <w:rsid w:val="002A49B2"/>
    <w:rsid w:val="002A4A01"/>
    <w:rsid w:val="002A4A27"/>
    <w:rsid w:val="002A4A75"/>
    <w:rsid w:val="002A4A7A"/>
    <w:rsid w:val="002A4A9F"/>
    <w:rsid w:val="002A4BD9"/>
    <w:rsid w:val="002A4C5E"/>
    <w:rsid w:val="002A4D6B"/>
    <w:rsid w:val="002A4DB9"/>
    <w:rsid w:val="002A4DE9"/>
    <w:rsid w:val="002A4E86"/>
    <w:rsid w:val="002A4EF9"/>
    <w:rsid w:val="002A4F79"/>
    <w:rsid w:val="002A4FE7"/>
    <w:rsid w:val="002A512A"/>
    <w:rsid w:val="002A51AC"/>
    <w:rsid w:val="002A51C4"/>
    <w:rsid w:val="002A537F"/>
    <w:rsid w:val="002A53D1"/>
    <w:rsid w:val="002A550C"/>
    <w:rsid w:val="002A5559"/>
    <w:rsid w:val="002A55BC"/>
    <w:rsid w:val="002A55DD"/>
    <w:rsid w:val="002A566A"/>
    <w:rsid w:val="002A5673"/>
    <w:rsid w:val="002A5804"/>
    <w:rsid w:val="002A580B"/>
    <w:rsid w:val="002A58E2"/>
    <w:rsid w:val="002A59B9"/>
    <w:rsid w:val="002A59D1"/>
    <w:rsid w:val="002A59E3"/>
    <w:rsid w:val="002A5B94"/>
    <w:rsid w:val="002A5BF3"/>
    <w:rsid w:val="002A5BFD"/>
    <w:rsid w:val="002A5D3B"/>
    <w:rsid w:val="002A5E37"/>
    <w:rsid w:val="002A5EF1"/>
    <w:rsid w:val="002A5F3D"/>
    <w:rsid w:val="002A5F55"/>
    <w:rsid w:val="002A5FF5"/>
    <w:rsid w:val="002A6066"/>
    <w:rsid w:val="002A61B7"/>
    <w:rsid w:val="002A61FB"/>
    <w:rsid w:val="002A6245"/>
    <w:rsid w:val="002A6252"/>
    <w:rsid w:val="002A630F"/>
    <w:rsid w:val="002A63A4"/>
    <w:rsid w:val="002A63A5"/>
    <w:rsid w:val="002A6511"/>
    <w:rsid w:val="002A6528"/>
    <w:rsid w:val="002A653D"/>
    <w:rsid w:val="002A6604"/>
    <w:rsid w:val="002A6719"/>
    <w:rsid w:val="002A68FD"/>
    <w:rsid w:val="002A6941"/>
    <w:rsid w:val="002A6B62"/>
    <w:rsid w:val="002A6B6D"/>
    <w:rsid w:val="002A6C7D"/>
    <w:rsid w:val="002A6CBA"/>
    <w:rsid w:val="002A6CF0"/>
    <w:rsid w:val="002A6D46"/>
    <w:rsid w:val="002A6EF2"/>
    <w:rsid w:val="002A6F5B"/>
    <w:rsid w:val="002A70FB"/>
    <w:rsid w:val="002A737C"/>
    <w:rsid w:val="002A742E"/>
    <w:rsid w:val="002A74A9"/>
    <w:rsid w:val="002A753A"/>
    <w:rsid w:val="002A754E"/>
    <w:rsid w:val="002A75A8"/>
    <w:rsid w:val="002A75AC"/>
    <w:rsid w:val="002A7749"/>
    <w:rsid w:val="002A77B6"/>
    <w:rsid w:val="002A7949"/>
    <w:rsid w:val="002A79CC"/>
    <w:rsid w:val="002A7A01"/>
    <w:rsid w:val="002A7A05"/>
    <w:rsid w:val="002A7A71"/>
    <w:rsid w:val="002A7AEA"/>
    <w:rsid w:val="002A7C1D"/>
    <w:rsid w:val="002B00D6"/>
    <w:rsid w:val="002B019D"/>
    <w:rsid w:val="002B02BA"/>
    <w:rsid w:val="002B037C"/>
    <w:rsid w:val="002B03A0"/>
    <w:rsid w:val="002B04A0"/>
    <w:rsid w:val="002B05C5"/>
    <w:rsid w:val="002B05EB"/>
    <w:rsid w:val="002B0699"/>
    <w:rsid w:val="002B08E1"/>
    <w:rsid w:val="002B0941"/>
    <w:rsid w:val="002B095C"/>
    <w:rsid w:val="002B09C5"/>
    <w:rsid w:val="002B0B44"/>
    <w:rsid w:val="002B0BC8"/>
    <w:rsid w:val="002B0C91"/>
    <w:rsid w:val="002B0E8F"/>
    <w:rsid w:val="002B0ECB"/>
    <w:rsid w:val="002B1125"/>
    <w:rsid w:val="002B127F"/>
    <w:rsid w:val="002B13A0"/>
    <w:rsid w:val="002B144F"/>
    <w:rsid w:val="002B1462"/>
    <w:rsid w:val="002B14C3"/>
    <w:rsid w:val="002B1587"/>
    <w:rsid w:val="002B15B8"/>
    <w:rsid w:val="002B187C"/>
    <w:rsid w:val="002B195A"/>
    <w:rsid w:val="002B19E0"/>
    <w:rsid w:val="002B1AEE"/>
    <w:rsid w:val="002B1C47"/>
    <w:rsid w:val="002B1C5F"/>
    <w:rsid w:val="002B1CCC"/>
    <w:rsid w:val="002B1CEB"/>
    <w:rsid w:val="002B1CEE"/>
    <w:rsid w:val="002B1E04"/>
    <w:rsid w:val="002B1FC7"/>
    <w:rsid w:val="002B2005"/>
    <w:rsid w:val="002B20A2"/>
    <w:rsid w:val="002B20B4"/>
    <w:rsid w:val="002B20BE"/>
    <w:rsid w:val="002B20FF"/>
    <w:rsid w:val="002B211E"/>
    <w:rsid w:val="002B2171"/>
    <w:rsid w:val="002B217D"/>
    <w:rsid w:val="002B21E4"/>
    <w:rsid w:val="002B25AA"/>
    <w:rsid w:val="002B282A"/>
    <w:rsid w:val="002B28BB"/>
    <w:rsid w:val="002B295C"/>
    <w:rsid w:val="002B29FD"/>
    <w:rsid w:val="002B2A64"/>
    <w:rsid w:val="002B2AE9"/>
    <w:rsid w:val="002B2B6E"/>
    <w:rsid w:val="002B2CF0"/>
    <w:rsid w:val="002B2D39"/>
    <w:rsid w:val="002B2DA3"/>
    <w:rsid w:val="002B2EDD"/>
    <w:rsid w:val="002B2F2D"/>
    <w:rsid w:val="002B3069"/>
    <w:rsid w:val="002B30AA"/>
    <w:rsid w:val="002B319F"/>
    <w:rsid w:val="002B32FB"/>
    <w:rsid w:val="002B3374"/>
    <w:rsid w:val="002B3403"/>
    <w:rsid w:val="002B3454"/>
    <w:rsid w:val="002B36D8"/>
    <w:rsid w:val="002B373F"/>
    <w:rsid w:val="002B3740"/>
    <w:rsid w:val="002B38D2"/>
    <w:rsid w:val="002B3948"/>
    <w:rsid w:val="002B3A5B"/>
    <w:rsid w:val="002B3AA2"/>
    <w:rsid w:val="002B3BB5"/>
    <w:rsid w:val="002B3C3C"/>
    <w:rsid w:val="002B3C9A"/>
    <w:rsid w:val="002B3D0D"/>
    <w:rsid w:val="002B3D7D"/>
    <w:rsid w:val="002B3DBD"/>
    <w:rsid w:val="002B3DF5"/>
    <w:rsid w:val="002B3FED"/>
    <w:rsid w:val="002B400F"/>
    <w:rsid w:val="002B40B5"/>
    <w:rsid w:val="002B40CA"/>
    <w:rsid w:val="002B41C0"/>
    <w:rsid w:val="002B434F"/>
    <w:rsid w:val="002B447F"/>
    <w:rsid w:val="002B44A6"/>
    <w:rsid w:val="002B4541"/>
    <w:rsid w:val="002B47DF"/>
    <w:rsid w:val="002B48FF"/>
    <w:rsid w:val="002B4B30"/>
    <w:rsid w:val="002B4B3F"/>
    <w:rsid w:val="002B4BE2"/>
    <w:rsid w:val="002B4DE3"/>
    <w:rsid w:val="002B4F61"/>
    <w:rsid w:val="002B4FBE"/>
    <w:rsid w:val="002B5096"/>
    <w:rsid w:val="002B511A"/>
    <w:rsid w:val="002B52C8"/>
    <w:rsid w:val="002B5321"/>
    <w:rsid w:val="002B5424"/>
    <w:rsid w:val="002B54D2"/>
    <w:rsid w:val="002B5531"/>
    <w:rsid w:val="002B55FB"/>
    <w:rsid w:val="002B5668"/>
    <w:rsid w:val="002B5692"/>
    <w:rsid w:val="002B57CA"/>
    <w:rsid w:val="002B5A76"/>
    <w:rsid w:val="002B6156"/>
    <w:rsid w:val="002B6222"/>
    <w:rsid w:val="002B63A1"/>
    <w:rsid w:val="002B63B5"/>
    <w:rsid w:val="002B63C6"/>
    <w:rsid w:val="002B654A"/>
    <w:rsid w:val="002B66CB"/>
    <w:rsid w:val="002B6804"/>
    <w:rsid w:val="002B680F"/>
    <w:rsid w:val="002B6AD6"/>
    <w:rsid w:val="002B6B5C"/>
    <w:rsid w:val="002B6B78"/>
    <w:rsid w:val="002B6C6E"/>
    <w:rsid w:val="002B6E2E"/>
    <w:rsid w:val="002B6E82"/>
    <w:rsid w:val="002B7120"/>
    <w:rsid w:val="002B7246"/>
    <w:rsid w:val="002B72D3"/>
    <w:rsid w:val="002B73BF"/>
    <w:rsid w:val="002B754C"/>
    <w:rsid w:val="002B76D3"/>
    <w:rsid w:val="002B7928"/>
    <w:rsid w:val="002B7B90"/>
    <w:rsid w:val="002B7D27"/>
    <w:rsid w:val="002B7D6F"/>
    <w:rsid w:val="002B7E39"/>
    <w:rsid w:val="002B7F43"/>
    <w:rsid w:val="002C002A"/>
    <w:rsid w:val="002C00EA"/>
    <w:rsid w:val="002C0296"/>
    <w:rsid w:val="002C02F5"/>
    <w:rsid w:val="002C0323"/>
    <w:rsid w:val="002C03FD"/>
    <w:rsid w:val="002C0443"/>
    <w:rsid w:val="002C0560"/>
    <w:rsid w:val="002C068F"/>
    <w:rsid w:val="002C069C"/>
    <w:rsid w:val="002C077D"/>
    <w:rsid w:val="002C085B"/>
    <w:rsid w:val="002C090E"/>
    <w:rsid w:val="002C0CFB"/>
    <w:rsid w:val="002C0DAB"/>
    <w:rsid w:val="002C0DFC"/>
    <w:rsid w:val="002C100E"/>
    <w:rsid w:val="002C1090"/>
    <w:rsid w:val="002C1248"/>
    <w:rsid w:val="002C125F"/>
    <w:rsid w:val="002C1285"/>
    <w:rsid w:val="002C129D"/>
    <w:rsid w:val="002C12B6"/>
    <w:rsid w:val="002C14D7"/>
    <w:rsid w:val="002C14DE"/>
    <w:rsid w:val="002C15B7"/>
    <w:rsid w:val="002C174B"/>
    <w:rsid w:val="002C17EF"/>
    <w:rsid w:val="002C18C2"/>
    <w:rsid w:val="002C1A7E"/>
    <w:rsid w:val="002C1C4A"/>
    <w:rsid w:val="002C1C64"/>
    <w:rsid w:val="002C1DC0"/>
    <w:rsid w:val="002C1E52"/>
    <w:rsid w:val="002C1EBF"/>
    <w:rsid w:val="002C1EFB"/>
    <w:rsid w:val="002C202D"/>
    <w:rsid w:val="002C2163"/>
    <w:rsid w:val="002C23F7"/>
    <w:rsid w:val="002C2507"/>
    <w:rsid w:val="002C25DD"/>
    <w:rsid w:val="002C25EE"/>
    <w:rsid w:val="002C27B7"/>
    <w:rsid w:val="002C2AC7"/>
    <w:rsid w:val="002C2AD5"/>
    <w:rsid w:val="002C2BDB"/>
    <w:rsid w:val="002C2CAB"/>
    <w:rsid w:val="002C2E80"/>
    <w:rsid w:val="002C2EE6"/>
    <w:rsid w:val="002C2F89"/>
    <w:rsid w:val="002C30CC"/>
    <w:rsid w:val="002C3137"/>
    <w:rsid w:val="002C3145"/>
    <w:rsid w:val="002C3153"/>
    <w:rsid w:val="002C3177"/>
    <w:rsid w:val="002C3216"/>
    <w:rsid w:val="002C3267"/>
    <w:rsid w:val="002C3489"/>
    <w:rsid w:val="002C34EC"/>
    <w:rsid w:val="002C35F3"/>
    <w:rsid w:val="002C3630"/>
    <w:rsid w:val="002C363C"/>
    <w:rsid w:val="002C3686"/>
    <w:rsid w:val="002C36FA"/>
    <w:rsid w:val="002C380A"/>
    <w:rsid w:val="002C39EE"/>
    <w:rsid w:val="002C3A55"/>
    <w:rsid w:val="002C3B18"/>
    <w:rsid w:val="002C3B19"/>
    <w:rsid w:val="002C3B64"/>
    <w:rsid w:val="002C3C0F"/>
    <w:rsid w:val="002C3C4A"/>
    <w:rsid w:val="002C3C6E"/>
    <w:rsid w:val="002C3D95"/>
    <w:rsid w:val="002C3DE4"/>
    <w:rsid w:val="002C3E4B"/>
    <w:rsid w:val="002C3F67"/>
    <w:rsid w:val="002C40E3"/>
    <w:rsid w:val="002C40E7"/>
    <w:rsid w:val="002C40FB"/>
    <w:rsid w:val="002C4221"/>
    <w:rsid w:val="002C4293"/>
    <w:rsid w:val="002C431D"/>
    <w:rsid w:val="002C43C2"/>
    <w:rsid w:val="002C43C7"/>
    <w:rsid w:val="002C4422"/>
    <w:rsid w:val="002C450D"/>
    <w:rsid w:val="002C459B"/>
    <w:rsid w:val="002C45BE"/>
    <w:rsid w:val="002C45E3"/>
    <w:rsid w:val="002C4680"/>
    <w:rsid w:val="002C4914"/>
    <w:rsid w:val="002C496E"/>
    <w:rsid w:val="002C4981"/>
    <w:rsid w:val="002C4A5F"/>
    <w:rsid w:val="002C4AFE"/>
    <w:rsid w:val="002C4C41"/>
    <w:rsid w:val="002C4D29"/>
    <w:rsid w:val="002C4DC0"/>
    <w:rsid w:val="002C4E8B"/>
    <w:rsid w:val="002C4EF1"/>
    <w:rsid w:val="002C5135"/>
    <w:rsid w:val="002C519F"/>
    <w:rsid w:val="002C5217"/>
    <w:rsid w:val="002C54D6"/>
    <w:rsid w:val="002C5622"/>
    <w:rsid w:val="002C5708"/>
    <w:rsid w:val="002C57D2"/>
    <w:rsid w:val="002C5868"/>
    <w:rsid w:val="002C589A"/>
    <w:rsid w:val="002C58FF"/>
    <w:rsid w:val="002C5A4A"/>
    <w:rsid w:val="002C5AFA"/>
    <w:rsid w:val="002C5C8F"/>
    <w:rsid w:val="002C5CFB"/>
    <w:rsid w:val="002C5E12"/>
    <w:rsid w:val="002C5E23"/>
    <w:rsid w:val="002C5F25"/>
    <w:rsid w:val="002C5FA7"/>
    <w:rsid w:val="002C600A"/>
    <w:rsid w:val="002C6049"/>
    <w:rsid w:val="002C60CD"/>
    <w:rsid w:val="002C618E"/>
    <w:rsid w:val="002C624A"/>
    <w:rsid w:val="002C627A"/>
    <w:rsid w:val="002C6402"/>
    <w:rsid w:val="002C6432"/>
    <w:rsid w:val="002C6494"/>
    <w:rsid w:val="002C672E"/>
    <w:rsid w:val="002C686A"/>
    <w:rsid w:val="002C6A0A"/>
    <w:rsid w:val="002C6AAE"/>
    <w:rsid w:val="002C6BF1"/>
    <w:rsid w:val="002C6C8B"/>
    <w:rsid w:val="002C6CC3"/>
    <w:rsid w:val="002C6D5F"/>
    <w:rsid w:val="002C6D89"/>
    <w:rsid w:val="002C6D97"/>
    <w:rsid w:val="002C6DB0"/>
    <w:rsid w:val="002C6E22"/>
    <w:rsid w:val="002C6E3A"/>
    <w:rsid w:val="002C6E3B"/>
    <w:rsid w:val="002C7027"/>
    <w:rsid w:val="002C70B8"/>
    <w:rsid w:val="002C735D"/>
    <w:rsid w:val="002C7394"/>
    <w:rsid w:val="002C7726"/>
    <w:rsid w:val="002C77E1"/>
    <w:rsid w:val="002C77F4"/>
    <w:rsid w:val="002C77F7"/>
    <w:rsid w:val="002C7826"/>
    <w:rsid w:val="002C782C"/>
    <w:rsid w:val="002C7917"/>
    <w:rsid w:val="002C791B"/>
    <w:rsid w:val="002C79FE"/>
    <w:rsid w:val="002C7A02"/>
    <w:rsid w:val="002C7BCD"/>
    <w:rsid w:val="002C7D1B"/>
    <w:rsid w:val="002C7D22"/>
    <w:rsid w:val="002C7E33"/>
    <w:rsid w:val="002C7E4B"/>
    <w:rsid w:val="002C7E5C"/>
    <w:rsid w:val="002C7F57"/>
    <w:rsid w:val="002D0165"/>
    <w:rsid w:val="002D0204"/>
    <w:rsid w:val="002D0346"/>
    <w:rsid w:val="002D0354"/>
    <w:rsid w:val="002D03BC"/>
    <w:rsid w:val="002D0452"/>
    <w:rsid w:val="002D052D"/>
    <w:rsid w:val="002D0646"/>
    <w:rsid w:val="002D0693"/>
    <w:rsid w:val="002D0866"/>
    <w:rsid w:val="002D08E1"/>
    <w:rsid w:val="002D092C"/>
    <w:rsid w:val="002D0A9C"/>
    <w:rsid w:val="002D0B32"/>
    <w:rsid w:val="002D0B45"/>
    <w:rsid w:val="002D0C1E"/>
    <w:rsid w:val="002D0C62"/>
    <w:rsid w:val="002D0CD6"/>
    <w:rsid w:val="002D0F7F"/>
    <w:rsid w:val="002D0FD8"/>
    <w:rsid w:val="002D105A"/>
    <w:rsid w:val="002D1236"/>
    <w:rsid w:val="002D14F7"/>
    <w:rsid w:val="002D1570"/>
    <w:rsid w:val="002D1794"/>
    <w:rsid w:val="002D19B1"/>
    <w:rsid w:val="002D1A7F"/>
    <w:rsid w:val="002D1CE4"/>
    <w:rsid w:val="002D1D65"/>
    <w:rsid w:val="002D1DB5"/>
    <w:rsid w:val="002D1DE7"/>
    <w:rsid w:val="002D1F04"/>
    <w:rsid w:val="002D1F0C"/>
    <w:rsid w:val="002D2066"/>
    <w:rsid w:val="002D20A7"/>
    <w:rsid w:val="002D234F"/>
    <w:rsid w:val="002D2428"/>
    <w:rsid w:val="002D25ED"/>
    <w:rsid w:val="002D265B"/>
    <w:rsid w:val="002D27B6"/>
    <w:rsid w:val="002D290C"/>
    <w:rsid w:val="002D2A4D"/>
    <w:rsid w:val="002D2AFB"/>
    <w:rsid w:val="002D2BAB"/>
    <w:rsid w:val="002D2BEF"/>
    <w:rsid w:val="002D2CE6"/>
    <w:rsid w:val="002D2CED"/>
    <w:rsid w:val="002D2ED2"/>
    <w:rsid w:val="002D3125"/>
    <w:rsid w:val="002D3147"/>
    <w:rsid w:val="002D31FD"/>
    <w:rsid w:val="002D3254"/>
    <w:rsid w:val="002D3421"/>
    <w:rsid w:val="002D350D"/>
    <w:rsid w:val="002D3665"/>
    <w:rsid w:val="002D36D6"/>
    <w:rsid w:val="002D3935"/>
    <w:rsid w:val="002D3A19"/>
    <w:rsid w:val="002D3A1C"/>
    <w:rsid w:val="002D3A88"/>
    <w:rsid w:val="002D3AA4"/>
    <w:rsid w:val="002D3ADE"/>
    <w:rsid w:val="002D3AEC"/>
    <w:rsid w:val="002D3BD3"/>
    <w:rsid w:val="002D3D28"/>
    <w:rsid w:val="002D3F9E"/>
    <w:rsid w:val="002D3FBF"/>
    <w:rsid w:val="002D402C"/>
    <w:rsid w:val="002D4059"/>
    <w:rsid w:val="002D40E8"/>
    <w:rsid w:val="002D414C"/>
    <w:rsid w:val="002D41EC"/>
    <w:rsid w:val="002D438A"/>
    <w:rsid w:val="002D43B1"/>
    <w:rsid w:val="002D4507"/>
    <w:rsid w:val="002D4516"/>
    <w:rsid w:val="002D45D3"/>
    <w:rsid w:val="002D4626"/>
    <w:rsid w:val="002D4696"/>
    <w:rsid w:val="002D472E"/>
    <w:rsid w:val="002D47D2"/>
    <w:rsid w:val="002D481D"/>
    <w:rsid w:val="002D488A"/>
    <w:rsid w:val="002D49D9"/>
    <w:rsid w:val="002D4B54"/>
    <w:rsid w:val="002D4C08"/>
    <w:rsid w:val="002D4D74"/>
    <w:rsid w:val="002D4D91"/>
    <w:rsid w:val="002D4DDD"/>
    <w:rsid w:val="002D4EAE"/>
    <w:rsid w:val="002D4F42"/>
    <w:rsid w:val="002D4FF2"/>
    <w:rsid w:val="002D510A"/>
    <w:rsid w:val="002D5115"/>
    <w:rsid w:val="002D513B"/>
    <w:rsid w:val="002D5245"/>
    <w:rsid w:val="002D52F1"/>
    <w:rsid w:val="002D558C"/>
    <w:rsid w:val="002D5689"/>
    <w:rsid w:val="002D56ED"/>
    <w:rsid w:val="002D5AA2"/>
    <w:rsid w:val="002D5CB4"/>
    <w:rsid w:val="002D60F7"/>
    <w:rsid w:val="002D624F"/>
    <w:rsid w:val="002D65DF"/>
    <w:rsid w:val="002D6629"/>
    <w:rsid w:val="002D6677"/>
    <w:rsid w:val="002D6752"/>
    <w:rsid w:val="002D6779"/>
    <w:rsid w:val="002D6988"/>
    <w:rsid w:val="002D6990"/>
    <w:rsid w:val="002D69A1"/>
    <w:rsid w:val="002D6B11"/>
    <w:rsid w:val="002D6B2B"/>
    <w:rsid w:val="002D6B61"/>
    <w:rsid w:val="002D6C6B"/>
    <w:rsid w:val="002D6CF6"/>
    <w:rsid w:val="002D6DEB"/>
    <w:rsid w:val="002D6EC3"/>
    <w:rsid w:val="002D6F83"/>
    <w:rsid w:val="002D7097"/>
    <w:rsid w:val="002D7188"/>
    <w:rsid w:val="002D71AD"/>
    <w:rsid w:val="002D7288"/>
    <w:rsid w:val="002D7389"/>
    <w:rsid w:val="002D7435"/>
    <w:rsid w:val="002D750A"/>
    <w:rsid w:val="002D780A"/>
    <w:rsid w:val="002D7871"/>
    <w:rsid w:val="002D78A7"/>
    <w:rsid w:val="002D78F2"/>
    <w:rsid w:val="002D7926"/>
    <w:rsid w:val="002D7946"/>
    <w:rsid w:val="002D7967"/>
    <w:rsid w:val="002D7B9C"/>
    <w:rsid w:val="002D7C9D"/>
    <w:rsid w:val="002D7CA2"/>
    <w:rsid w:val="002D7CF7"/>
    <w:rsid w:val="002D7D58"/>
    <w:rsid w:val="002D9AAC"/>
    <w:rsid w:val="002E00A1"/>
    <w:rsid w:val="002E013C"/>
    <w:rsid w:val="002E0443"/>
    <w:rsid w:val="002E04F8"/>
    <w:rsid w:val="002E0528"/>
    <w:rsid w:val="002E0577"/>
    <w:rsid w:val="002E0730"/>
    <w:rsid w:val="002E074C"/>
    <w:rsid w:val="002E081C"/>
    <w:rsid w:val="002E0892"/>
    <w:rsid w:val="002E0AC9"/>
    <w:rsid w:val="002E0AFF"/>
    <w:rsid w:val="002E0B3A"/>
    <w:rsid w:val="002E0D3A"/>
    <w:rsid w:val="002E0DD0"/>
    <w:rsid w:val="002E0EB4"/>
    <w:rsid w:val="002E1107"/>
    <w:rsid w:val="002E11CB"/>
    <w:rsid w:val="002E13AA"/>
    <w:rsid w:val="002E14A1"/>
    <w:rsid w:val="002E151A"/>
    <w:rsid w:val="002E157F"/>
    <w:rsid w:val="002E15A1"/>
    <w:rsid w:val="002E164B"/>
    <w:rsid w:val="002E1729"/>
    <w:rsid w:val="002E1743"/>
    <w:rsid w:val="002E1772"/>
    <w:rsid w:val="002E1911"/>
    <w:rsid w:val="002E193A"/>
    <w:rsid w:val="002E19E7"/>
    <w:rsid w:val="002E1AD8"/>
    <w:rsid w:val="002E1BF8"/>
    <w:rsid w:val="002E1DCA"/>
    <w:rsid w:val="002E1EDB"/>
    <w:rsid w:val="002E1F1D"/>
    <w:rsid w:val="002E2033"/>
    <w:rsid w:val="002E2228"/>
    <w:rsid w:val="002E246A"/>
    <w:rsid w:val="002E2532"/>
    <w:rsid w:val="002E299F"/>
    <w:rsid w:val="002E2B4A"/>
    <w:rsid w:val="002E2BF9"/>
    <w:rsid w:val="002E2C59"/>
    <w:rsid w:val="002E2E56"/>
    <w:rsid w:val="002E305D"/>
    <w:rsid w:val="002E30D4"/>
    <w:rsid w:val="002E32D0"/>
    <w:rsid w:val="002E32D2"/>
    <w:rsid w:val="002E32D3"/>
    <w:rsid w:val="002E3408"/>
    <w:rsid w:val="002E3480"/>
    <w:rsid w:val="002E37C6"/>
    <w:rsid w:val="002E384E"/>
    <w:rsid w:val="002E389C"/>
    <w:rsid w:val="002E39D7"/>
    <w:rsid w:val="002E3A0D"/>
    <w:rsid w:val="002E3A6C"/>
    <w:rsid w:val="002E3B60"/>
    <w:rsid w:val="002E3B69"/>
    <w:rsid w:val="002E3B77"/>
    <w:rsid w:val="002E3B99"/>
    <w:rsid w:val="002E3C20"/>
    <w:rsid w:val="002E3D0F"/>
    <w:rsid w:val="002E3E54"/>
    <w:rsid w:val="002E3EDA"/>
    <w:rsid w:val="002E4152"/>
    <w:rsid w:val="002E441F"/>
    <w:rsid w:val="002E4544"/>
    <w:rsid w:val="002E4578"/>
    <w:rsid w:val="002E459B"/>
    <w:rsid w:val="002E46C6"/>
    <w:rsid w:val="002E47D1"/>
    <w:rsid w:val="002E49C1"/>
    <w:rsid w:val="002E4A0C"/>
    <w:rsid w:val="002E4A85"/>
    <w:rsid w:val="002E4A95"/>
    <w:rsid w:val="002E4B90"/>
    <w:rsid w:val="002E4C19"/>
    <w:rsid w:val="002E4F85"/>
    <w:rsid w:val="002E5045"/>
    <w:rsid w:val="002E5066"/>
    <w:rsid w:val="002E5093"/>
    <w:rsid w:val="002E51DB"/>
    <w:rsid w:val="002E5301"/>
    <w:rsid w:val="002E5446"/>
    <w:rsid w:val="002E54BA"/>
    <w:rsid w:val="002E5528"/>
    <w:rsid w:val="002E56F5"/>
    <w:rsid w:val="002E5A33"/>
    <w:rsid w:val="002E5B72"/>
    <w:rsid w:val="002E5B95"/>
    <w:rsid w:val="002E5BF1"/>
    <w:rsid w:val="002E5C4A"/>
    <w:rsid w:val="002E5CE0"/>
    <w:rsid w:val="002E5E36"/>
    <w:rsid w:val="002E5E51"/>
    <w:rsid w:val="002E5FB6"/>
    <w:rsid w:val="002E61A4"/>
    <w:rsid w:val="002E6446"/>
    <w:rsid w:val="002E644F"/>
    <w:rsid w:val="002E648B"/>
    <w:rsid w:val="002E64D9"/>
    <w:rsid w:val="002E64DE"/>
    <w:rsid w:val="002E6508"/>
    <w:rsid w:val="002E6550"/>
    <w:rsid w:val="002E67C5"/>
    <w:rsid w:val="002E686C"/>
    <w:rsid w:val="002E6977"/>
    <w:rsid w:val="002E6A52"/>
    <w:rsid w:val="002E6D80"/>
    <w:rsid w:val="002E6ED5"/>
    <w:rsid w:val="002E6F84"/>
    <w:rsid w:val="002E704C"/>
    <w:rsid w:val="002E70D7"/>
    <w:rsid w:val="002E74C4"/>
    <w:rsid w:val="002E74F3"/>
    <w:rsid w:val="002E78A5"/>
    <w:rsid w:val="002E795A"/>
    <w:rsid w:val="002E7962"/>
    <w:rsid w:val="002E7A72"/>
    <w:rsid w:val="002E7BDF"/>
    <w:rsid w:val="002E7C01"/>
    <w:rsid w:val="002E7CB6"/>
    <w:rsid w:val="002F005B"/>
    <w:rsid w:val="002F00F1"/>
    <w:rsid w:val="002F0121"/>
    <w:rsid w:val="002F027F"/>
    <w:rsid w:val="002F0292"/>
    <w:rsid w:val="002F034F"/>
    <w:rsid w:val="002F061C"/>
    <w:rsid w:val="002F06C5"/>
    <w:rsid w:val="002F0788"/>
    <w:rsid w:val="002F097C"/>
    <w:rsid w:val="002F0A06"/>
    <w:rsid w:val="002F0B77"/>
    <w:rsid w:val="002F0DD8"/>
    <w:rsid w:val="002F0DDE"/>
    <w:rsid w:val="002F0EBF"/>
    <w:rsid w:val="002F0FB9"/>
    <w:rsid w:val="002F10B6"/>
    <w:rsid w:val="002F10D3"/>
    <w:rsid w:val="002F1171"/>
    <w:rsid w:val="002F1186"/>
    <w:rsid w:val="002F12D0"/>
    <w:rsid w:val="002F1369"/>
    <w:rsid w:val="002F13F4"/>
    <w:rsid w:val="002F1501"/>
    <w:rsid w:val="002F154F"/>
    <w:rsid w:val="002F1625"/>
    <w:rsid w:val="002F1656"/>
    <w:rsid w:val="002F1700"/>
    <w:rsid w:val="002F1A39"/>
    <w:rsid w:val="002F1A67"/>
    <w:rsid w:val="002F1AA6"/>
    <w:rsid w:val="002F1B68"/>
    <w:rsid w:val="002F1BD9"/>
    <w:rsid w:val="002F1D23"/>
    <w:rsid w:val="002F1E2F"/>
    <w:rsid w:val="002F1F04"/>
    <w:rsid w:val="002F2199"/>
    <w:rsid w:val="002F21E8"/>
    <w:rsid w:val="002F2472"/>
    <w:rsid w:val="002F2541"/>
    <w:rsid w:val="002F2725"/>
    <w:rsid w:val="002F284A"/>
    <w:rsid w:val="002F2876"/>
    <w:rsid w:val="002F2A38"/>
    <w:rsid w:val="002F2C43"/>
    <w:rsid w:val="002F2C8C"/>
    <w:rsid w:val="002F2DD6"/>
    <w:rsid w:val="002F2E44"/>
    <w:rsid w:val="002F2EB7"/>
    <w:rsid w:val="002F2EDD"/>
    <w:rsid w:val="002F2F4F"/>
    <w:rsid w:val="002F302D"/>
    <w:rsid w:val="002F30AA"/>
    <w:rsid w:val="002F30FD"/>
    <w:rsid w:val="002F3112"/>
    <w:rsid w:val="002F3299"/>
    <w:rsid w:val="002F352A"/>
    <w:rsid w:val="002F371F"/>
    <w:rsid w:val="002F374B"/>
    <w:rsid w:val="002F3756"/>
    <w:rsid w:val="002F3839"/>
    <w:rsid w:val="002F3A8B"/>
    <w:rsid w:val="002F3C93"/>
    <w:rsid w:val="002F3D14"/>
    <w:rsid w:val="002F3E06"/>
    <w:rsid w:val="002F40DE"/>
    <w:rsid w:val="002F4216"/>
    <w:rsid w:val="002F43A0"/>
    <w:rsid w:val="002F43F5"/>
    <w:rsid w:val="002F4636"/>
    <w:rsid w:val="002F46AE"/>
    <w:rsid w:val="002F472E"/>
    <w:rsid w:val="002F4762"/>
    <w:rsid w:val="002F4781"/>
    <w:rsid w:val="002F4826"/>
    <w:rsid w:val="002F4974"/>
    <w:rsid w:val="002F49BD"/>
    <w:rsid w:val="002F4ADB"/>
    <w:rsid w:val="002F4E67"/>
    <w:rsid w:val="002F4E9B"/>
    <w:rsid w:val="002F4EB5"/>
    <w:rsid w:val="002F4FFA"/>
    <w:rsid w:val="002F51DD"/>
    <w:rsid w:val="002F544F"/>
    <w:rsid w:val="002F563B"/>
    <w:rsid w:val="002F57B1"/>
    <w:rsid w:val="002F58E5"/>
    <w:rsid w:val="002F596C"/>
    <w:rsid w:val="002F5980"/>
    <w:rsid w:val="002F5AB8"/>
    <w:rsid w:val="002F5CCC"/>
    <w:rsid w:val="002F5D00"/>
    <w:rsid w:val="002F5F47"/>
    <w:rsid w:val="002F5F4A"/>
    <w:rsid w:val="002F6084"/>
    <w:rsid w:val="002F60A2"/>
    <w:rsid w:val="002F60BC"/>
    <w:rsid w:val="002F61D7"/>
    <w:rsid w:val="002F6262"/>
    <w:rsid w:val="002F62B1"/>
    <w:rsid w:val="002F6316"/>
    <w:rsid w:val="002F6531"/>
    <w:rsid w:val="002F65E6"/>
    <w:rsid w:val="002F662C"/>
    <w:rsid w:val="002F6697"/>
    <w:rsid w:val="002F680F"/>
    <w:rsid w:val="002F6833"/>
    <w:rsid w:val="002F68F9"/>
    <w:rsid w:val="002F6967"/>
    <w:rsid w:val="002F6B6A"/>
    <w:rsid w:val="002F6C6A"/>
    <w:rsid w:val="002F6C7D"/>
    <w:rsid w:val="002F6F33"/>
    <w:rsid w:val="002F6F65"/>
    <w:rsid w:val="002F72D8"/>
    <w:rsid w:val="002F747A"/>
    <w:rsid w:val="002F75E9"/>
    <w:rsid w:val="002F75FF"/>
    <w:rsid w:val="002F775F"/>
    <w:rsid w:val="002F7762"/>
    <w:rsid w:val="002F7A43"/>
    <w:rsid w:val="002F7B41"/>
    <w:rsid w:val="002F7BD8"/>
    <w:rsid w:val="002F7DEA"/>
    <w:rsid w:val="002F7F60"/>
    <w:rsid w:val="003000CA"/>
    <w:rsid w:val="003000E4"/>
    <w:rsid w:val="00300169"/>
    <w:rsid w:val="003001C9"/>
    <w:rsid w:val="00300205"/>
    <w:rsid w:val="00300407"/>
    <w:rsid w:val="00300529"/>
    <w:rsid w:val="003005B2"/>
    <w:rsid w:val="003007FF"/>
    <w:rsid w:val="0030080D"/>
    <w:rsid w:val="0030084C"/>
    <w:rsid w:val="00300A8B"/>
    <w:rsid w:val="00300A98"/>
    <w:rsid w:val="00300CC7"/>
    <w:rsid w:val="00300E37"/>
    <w:rsid w:val="00300EA0"/>
    <w:rsid w:val="00300EC8"/>
    <w:rsid w:val="003011BA"/>
    <w:rsid w:val="003011E4"/>
    <w:rsid w:val="003012EE"/>
    <w:rsid w:val="0030139C"/>
    <w:rsid w:val="003013E5"/>
    <w:rsid w:val="0030144F"/>
    <w:rsid w:val="00301507"/>
    <w:rsid w:val="00301520"/>
    <w:rsid w:val="003016FF"/>
    <w:rsid w:val="003017D3"/>
    <w:rsid w:val="00301841"/>
    <w:rsid w:val="00301A9F"/>
    <w:rsid w:val="00301B69"/>
    <w:rsid w:val="00301C81"/>
    <w:rsid w:val="00301C9F"/>
    <w:rsid w:val="00301EC4"/>
    <w:rsid w:val="00302097"/>
    <w:rsid w:val="003021FD"/>
    <w:rsid w:val="00302467"/>
    <w:rsid w:val="003026D6"/>
    <w:rsid w:val="00302813"/>
    <w:rsid w:val="00302939"/>
    <w:rsid w:val="003029C3"/>
    <w:rsid w:val="00302A9B"/>
    <w:rsid w:val="00302AB1"/>
    <w:rsid w:val="00302D8F"/>
    <w:rsid w:val="00302F07"/>
    <w:rsid w:val="00302F17"/>
    <w:rsid w:val="003030BE"/>
    <w:rsid w:val="00303118"/>
    <w:rsid w:val="0030311A"/>
    <w:rsid w:val="0030311C"/>
    <w:rsid w:val="003031C7"/>
    <w:rsid w:val="0030324C"/>
    <w:rsid w:val="003034B4"/>
    <w:rsid w:val="0030352E"/>
    <w:rsid w:val="003037E4"/>
    <w:rsid w:val="0030381A"/>
    <w:rsid w:val="00303834"/>
    <w:rsid w:val="0030399A"/>
    <w:rsid w:val="003039D4"/>
    <w:rsid w:val="003039E1"/>
    <w:rsid w:val="00303DAE"/>
    <w:rsid w:val="00303F30"/>
    <w:rsid w:val="00303F5B"/>
    <w:rsid w:val="0030416D"/>
    <w:rsid w:val="0030446E"/>
    <w:rsid w:val="00304518"/>
    <w:rsid w:val="00304547"/>
    <w:rsid w:val="003045E7"/>
    <w:rsid w:val="00304673"/>
    <w:rsid w:val="003046AA"/>
    <w:rsid w:val="00304851"/>
    <w:rsid w:val="003049C6"/>
    <w:rsid w:val="00304A86"/>
    <w:rsid w:val="00304B26"/>
    <w:rsid w:val="00304C61"/>
    <w:rsid w:val="00304EF8"/>
    <w:rsid w:val="00305013"/>
    <w:rsid w:val="00305208"/>
    <w:rsid w:val="003052B8"/>
    <w:rsid w:val="0030531E"/>
    <w:rsid w:val="0030531F"/>
    <w:rsid w:val="00305324"/>
    <w:rsid w:val="003053E5"/>
    <w:rsid w:val="0030544E"/>
    <w:rsid w:val="003054A2"/>
    <w:rsid w:val="003055D2"/>
    <w:rsid w:val="00305632"/>
    <w:rsid w:val="003057AF"/>
    <w:rsid w:val="003057F1"/>
    <w:rsid w:val="003057FC"/>
    <w:rsid w:val="00305910"/>
    <w:rsid w:val="00305A17"/>
    <w:rsid w:val="00305AD6"/>
    <w:rsid w:val="00305D21"/>
    <w:rsid w:val="00305D8B"/>
    <w:rsid w:val="00305DD7"/>
    <w:rsid w:val="00305E9C"/>
    <w:rsid w:val="00305F04"/>
    <w:rsid w:val="003061C9"/>
    <w:rsid w:val="003063EC"/>
    <w:rsid w:val="0030643B"/>
    <w:rsid w:val="0030649F"/>
    <w:rsid w:val="0030657E"/>
    <w:rsid w:val="00306583"/>
    <w:rsid w:val="00306628"/>
    <w:rsid w:val="00306784"/>
    <w:rsid w:val="0030681E"/>
    <w:rsid w:val="00306941"/>
    <w:rsid w:val="00306998"/>
    <w:rsid w:val="00306A3A"/>
    <w:rsid w:val="00306BCD"/>
    <w:rsid w:val="00306BF0"/>
    <w:rsid w:val="00306DF6"/>
    <w:rsid w:val="00306E0B"/>
    <w:rsid w:val="00306F3F"/>
    <w:rsid w:val="0030701F"/>
    <w:rsid w:val="003070AE"/>
    <w:rsid w:val="00307155"/>
    <w:rsid w:val="00307264"/>
    <w:rsid w:val="00307601"/>
    <w:rsid w:val="0030770A"/>
    <w:rsid w:val="0030778B"/>
    <w:rsid w:val="003078C2"/>
    <w:rsid w:val="003079AF"/>
    <w:rsid w:val="003079D3"/>
    <w:rsid w:val="003079D6"/>
    <w:rsid w:val="00307ABF"/>
    <w:rsid w:val="00307AEE"/>
    <w:rsid w:val="00307C2A"/>
    <w:rsid w:val="00307DB4"/>
    <w:rsid w:val="00307F02"/>
    <w:rsid w:val="0031000D"/>
    <w:rsid w:val="00310032"/>
    <w:rsid w:val="0031010C"/>
    <w:rsid w:val="0031018A"/>
    <w:rsid w:val="0031021A"/>
    <w:rsid w:val="0031029B"/>
    <w:rsid w:val="00310326"/>
    <w:rsid w:val="0031041B"/>
    <w:rsid w:val="00310436"/>
    <w:rsid w:val="0031050A"/>
    <w:rsid w:val="00310525"/>
    <w:rsid w:val="00310527"/>
    <w:rsid w:val="003105AF"/>
    <w:rsid w:val="003105F2"/>
    <w:rsid w:val="003106B8"/>
    <w:rsid w:val="00310753"/>
    <w:rsid w:val="003107F9"/>
    <w:rsid w:val="00310936"/>
    <w:rsid w:val="00310970"/>
    <w:rsid w:val="00310A01"/>
    <w:rsid w:val="00310B1E"/>
    <w:rsid w:val="00310B67"/>
    <w:rsid w:val="00310D74"/>
    <w:rsid w:val="00310D98"/>
    <w:rsid w:val="0031117E"/>
    <w:rsid w:val="0031152A"/>
    <w:rsid w:val="00311624"/>
    <w:rsid w:val="00311644"/>
    <w:rsid w:val="0031173E"/>
    <w:rsid w:val="00311764"/>
    <w:rsid w:val="003118AB"/>
    <w:rsid w:val="003118B4"/>
    <w:rsid w:val="00311C31"/>
    <w:rsid w:val="00311CCD"/>
    <w:rsid w:val="00311EC8"/>
    <w:rsid w:val="00311FE8"/>
    <w:rsid w:val="003121DE"/>
    <w:rsid w:val="00312207"/>
    <w:rsid w:val="003122C5"/>
    <w:rsid w:val="0031233B"/>
    <w:rsid w:val="003123CD"/>
    <w:rsid w:val="00312434"/>
    <w:rsid w:val="003124FF"/>
    <w:rsid w:val="00312522"/>
    <w:rsid w:val="0031252A"/>
    <w:rsid w:val="00312782"/>
    <w:rsid w:val="003127DC"/>
    <w:rsid w:val="00312869"/>
    <w:rsid w:val="003129BA"/>
    <w:rsid w:val="00312BC0"/>
    <w:rsid w:val="00312CE2"/>
    <w:rsid w:val="00312E3C"/>
    <w:rsid w:val="00312E46"/>
    <w:rsid w:val="00312E6D"/>
    <w:rsid w:val="0031307F"/>
    <w:rsid w:val="0031309A"/>
    <w:rsid w:val="0031316C"/>
    <w:rsid w:val="0031346B"/>
    <w:rsid w:val="00313701"/>
    <w:rsid w:val="003137E1"/>
    <w:rsid w:val="00313854"/>
    <w:rsid w:val="00313885"/>
    <w:rsid w:val="003138DF"/>
    <w:rsid w:val="00313A0E"/>
    <w:rsid w:val="00313A57"/>
    <w:rsid w:val="00313AE6"/>
    <w:rsid w:val="00313B90"/>
    <w:rsid w:val="00313C4D"/>
    <w:rsid w:val="00313D57"/>
    <w:rsid w:val="00313D6B"/>
    <w:rsid w:val="00313D7B"/>
    <w:rsid w:val="00313DCD"/>
    <w:rsid w:val="00313E2D"/>
    <w:rsid w:val="00313EA6"/>
    <w:rsid w:val="00313F17"/>
    <w:rsid w:val="00313F19"/>
    <w:rsid w:val="00313F53"/>
    <w:rsid w:val="0031420E"/>
    <w:rsid w:val="00314268"/>
    <w:rsid w:val="00314391"/>
    <w:rsid w:val="003144FB"/>
    <w:rsid w:val="00314664"/>
    <w:rsid w:val="003147B3"/>
    <w:rsid w:val="003147D2"/>
    <w:rsid w:val="003147E4"/>
    <w:rsid w:val="003148D7"/>
    <w:rsid w:val="003148FC"/>
    <w:rsid w:val="0031491D"/>
    <w:rsid w:val="00314CA3"/>
    <w:rsid w:val="00314D48"/>
    <w:rsid w:val="00314E65"/>
    <w:rsid w:val="00314F22"/>
    <w:rsid w:val="00314FC6"/>
    <w:rsid w:val="00315089"/>
    <w:rsid w:val="003152CB"/>
    <w:rsid w:val="00315324"/>
    <w:rsid w:val="0031538C"/>
    <w:rsid w:val="00315408"/>
    <w:rsid w:val="0031557E"/>
    <w:rsid w:val="0031578B"/>
    <w:rsid w:val="00315956"/>
    <w:rsid w:val="003159D1"/>
    <w:rsid w:val="00315AB1"/>
    <w:rsid w:val="00315B7E"/>
    <w:rsid w:val="00315B83"/>
    <w:rsid w:val="00315D80"/>
    <w:rsid w:val="00315E84"/>
    <w:rsid w:val="003160A0"/>
    <w:rsid w:val="00316126"/>
    <w:rsid w:val="003161A3"/>
    <w:rsid w:val="003161AA"/>
    <w:rsid w:val="003161B6"/>
    <w:rsid w:val="003161B9"/>
    <w:rsid w:val="00316225"/>
    <w:rsid w:val="003162A0"/>
    <w:rsid w:val="00316334"/>
    <w:rsid w:val="00316465"/>
    <w:rsid w:val="003164E8"/>
    <w:rsid w:val="003164EC"/>
    <w:rsid w:val="003168E2"/>
    <w:rsid w:val="00316961"/>
    <w:rsid w:val="00316996"/>
    <w:rsid w:val="00316A9A"/>
    <w:rsid w:val="00316B15"/>
    <w:rsid w:val="00316B60"/>
    <w:rsid w:val="00316B8C"/>
    <w:rsid w:val="00316BD7"/>
    <w:rsid w:val="00316BFB"/>
    <w:rsid w:val="00316D94"/>
    <w:rsid w:val="00316E37"/>
    <w:rsid w:val="00316E90"/>
    <w:rsid w:val="00316F90"/>
    <w:rsid w:val="00316FE1"/>
    <w:rsid w:val="0031705A"/>
    <w:rsid w:val="0031708E"/>
    <w:rsid w:val="00317112"/>
    <w:rsid w:val="003171C0"/>
    <w:rsid w:val="00317218"/>
    <w:rsid w:val="00317370"/>
    <w:rsid w:val="003173B3"/>
    <w:rsid w:val="00317438"/>
    <w:rsid w:val="00317445"/>
    <w:rsid w:val="00317583"/>
    <w:rsid w:val="003175C0"/>
    <w:rsid w:val="003175D4"/>
    <w:rsid w:val="00317615"/>
    <w:rsid w:val="0031761F"/>
    <w:rsid w:val="00317710"/>
    <w:rsid w:val="00317911"/>
    <w:rsid w:val="00317B6A"/>
    <w:rsid w:val="00317C47"/>
    <w:rsid w:val="00317D6B"/>
    <w:rsid w:val="00317DB7"/>
    <w:rsid w:val="00317F1F"/>
    <w:rsid w:val="003200A2"/>
    <w:rsid w:val="00320137"/>
    <w:rsid w:val="00320207"/>
    <w:rsid w:val="003202A8"/>
    <w:rsid w:val="003202F6"/>
    <w:rsid w:val="00320306"/>
    <w:rsid w:val="00320329"/>
    <w:rsid w:val="003203B1"/>
    <w:rsid w:val="00320422"/>
    <w:rsid w:val="00320441"/>
    <w:rsid w:val="00320495"/>
    <w:rsid w:val="00320545"/>
    <w:rsid w:val="003205DA"/>
    <w:rsid w:val="0032068C"/>
    <w:rsid w:val="0032069F"/>
    <w:rsid w:val="003206D1"/>
    <w:rsid w:val="00320753"/>
    <w:rsid w:val="00320802"/>
    <w:rsid w:val="0032088E"/>
    <w:rsid w:val="003208F3"/>
    <w:rsid w:val="00320A1C"/>
    <w:rsid w:val="00320A75"/>
    <w:rsid w:val="00320ACF"/>
    <w:rsid w:val="00320AD9"/>
    <w:rsid w:val="00320B54"/>
    <w:rsid w:val="00320D17"/>
    <w:rsid w:val="00320DAC"/>
    <w:rsid w:val="00320DF3"/>
    <w:rsid w:val="003210B2"/>
    <w:rsid w:val="0032132E"/>
    <w:rsid w:val="0032133B"/>
    <w:rsid w:val="003213C7"/>
    <w:rsid w:val="003214DC"/>
    <w:rsid w:val="00321503"/>
    <w:rsid w:val="00321574"/>
    <w:rsid w:val="0032173C"/>
    <w:rsid w:val="00321740"/>
    <w:rsid w:val="00321A04"/>
    <w:rsid w:val="00321A08"/>
    <w:rsid w:val="00321B0F"/>
    <w:rsid w:val="00321B67"/>
    <w:rsid w:val="00321C15"/>
    <w:rsid w:val="00321E0E"/>
    <w:rsid w:val="00321E22"/>
    <w:rsid w:val="00321F70"/>
    <w:rsid w:val="00321FFD"/>
    <w:rsid w:val="00322122"/>
    <w:rsid w:val="00322171"/>
    <w:rsid w:val="00322174"/>
    <w:rsid w:val="003222B3"/>
    <w:rsid w:val="0032236B"/>
    <w:rsid w:val="00322391"/>
    <w:rsid w:val="003223E0"/>
    <w:rsid w:val="00322484"/>
    <w:rsid w:val="003224DE"/>
    <w:rsid w:val="00322692"/>
    <w:rsid w:val="0032286B"/>
    <w:rsid w:val="00322A06"/>
    <w:rsid w:val="00322A58"/>
    <w:rsid w:val="00322B78"/>
    <w:rsid w:val="00322B7C"/>
    <w:rsid w:val="00322B84"/>
    <w:rsid w:val="00322C10"/>
    <w:rsid w:val="00322C3A"/>
    <w:rsid w:val="00322C44"/>
    <w:rsid w:val="00322C82"/>
    <w:rsid w:val="00322D09"/>
    <w:rsid w:val="00322D34"/>
    <w:rsid w:val="00322F16"/>
    <w:rsid w:val="00322FE2"/>
    <w:rsid w:val="00323037"/>
    <w:rsid w:val="0032325D"/>
    <w:rsid w:val="00323278"/>
    <w:rsid w:val="003232ED"/>
    <w:rsid w:val="00323477"/>
    <w:rsid w:val="00323548"/>
    <w:rsid w:val="00323594"/>
    <w:rsid w:val="00323636"/>
    <w:rsid w:val="003236C3"/>
    <w:rsid w:val="003236E4"/>
    <w:rsid w:val="00323753"/>
    <w:rsid w:val="003239F0"/>
    <w:rsid w:val="00323A40"/>
    <w:rsid w:val="00323C6B"/>
    <w:rsid w:val="00323EAA"/>
    <w:rsid w:val="00323EC8"/>
    <w:rsid w:val="00323ECA"/>
    <w:rsid w:val="00323FCE"/>
    <w:rsid w:val="0032406D"/>
    <w:rsid w:val="003240FE"/>
    <w:rsid w:val="003241AC"/>
    <w:rsid w:val="003242A3"/>
    <w:rsid w:val="003244ED"/>
    <w:rsid w:val="00324556"/>
    <w:rsid w:val="0032463F"/>
    <w:rsid w:val="00324756"/>
    <w:rsid w:val="003247BD"/>
    <w:rsid w:val="0032480E"/>
    <w:rsid w:val="0032480F"/>
    <w:rsid w:val="0032490E"/>
    <w:rsid w:val="00324951"/>
    <w:rsid w:val="00324ADB"/>
    <w:rsid w:val="00324AF4"/>
    <w:rsid w:val="00324D99"/>
    <w:rsid w:val="00324E04"/>
    <w:rsid w:val="00324E17"/>
    <w:rsid w:val="00324E46"/>
    <w:rsid w:val="00325004"/>
    <w:rsid w:val="0032511B"/>
    <w:rsid w:val="0032513C"/>
    <w:rsid w:val="00325230"/>
    <w:rsid w:val="0032525F"/>
    <w:rsid w:val="00325321"/>
    <w:rsid w:val="0032549C"/>
    <w:rsid w:val="003254CC"/>
    <w:rsid w:val="00325507"/>
    <w:rsid w:val="00325555"/>
    <w:rsid w:val="003255EC"/>
    <w:rsid w:val="00325735"/>
    <w:rsid w:val="003257C7"/>
    <w:rsid w:val="003257C9"/>
    <w:rsid w:val="003257CA"/>
    <w:rsid w:val="0032581F"/>
    <w:rsid w:val="00325852"/>
    <w:rsid w:val="003258A4"/>
    <w:rsid w:val="003258E5"/>
    <w:rsid w:val="0032591D"/>
    <w:rsid w:val="003259DD"/>
    <w:rsid w:val="00325A32"/>
    <w:rsid w:val="00325A94"/>
    <w:rsid w:val="00325C2F"/>
    <w:rsid w:val="00325C6B"/>
    <w:rsid w:val="00325C8A"/>
    <w:rsid w:val="00325F66"/>
    <w:rsid w:val="00325FCC"/>
    <w:rsid w:val="00326082"/>
    <w:rsid w:val="003260CC"/>
    <w:rsid w:val="00326334"/>
    <w:rsid w:val="0032647D"/>
    <w:rsid w:val="0032647E"/>
    <w:rsid w:val="00326506"/>
    <w:rsid w:val="0032671B"/>
    <w:rsid w:val="0032688B"/>
    <w:rsid w:val="003268FF"/>
    <w:rsid w:val="003269A6"/>
    <w:rsid w:val="00326A30"/>
    <w:rsid w:val="00326AE9"/>
    <w:rsid w:val="00326B17"/>
    <w:rsid w:val="00326C16"/>
    <w:rsid w:val="00326D4A"/>
    <w:rsid w:val="00326D8E"/>
    <w:rsid w:val="00326ED6"/>
    <w:rsid w:val="00326F7D"/>
    <w:rsid w:val="0032714E"/>
    <w:rsid w:val="0032732C"/>
    <w:rsid w:val="00327531"/>
    <w:rsid w:val="003275C1"/>
    <w:rsid w:val="0032770E"/>
    <w:rsid w:val="0032775A"/>
    <w:rsid w:val="003277C7"/>
    <w:rsid w:val="00327823"/>
    <w:rsid w:val="00327859"/>
    <w:rsid w:val="0032785B"/>
    <w:rsid w:val="00327B5D"/>
    <w:rsid w:val="00327B7B"/>
    <w:rsid w:val="00327BD4"/>
    <w:rsid w:val="00327C34"/>
    <w:rsid w:val="00327CF7"/>
    <w:rsid w:val="00327ED9"/>
    <w:rsid w:val="00327F75"/>
    <w:rsid w:val="00327FF3"/>
    <w:rsid w:val="00330074"/>
    <w:rsid w:val="00330113"/>
    <w:rsid w:val="00330207"/>
    <w:rsid w:val="003303AC"/>
    <w:rsid w:val="00330532"/>
    <w:rsid w:val="0033063D"/>
    <w:rsid w:val="003307E6"/>
    <w:rsid w:val="00330820"/>
    <w:rsid w:val="00330957"/>
    <w:rsid w:val="003309D8"/>
    <w:rsid w:val="00330A1E"/>
    <w:rsid w:val="00330A7A"/>
    <w:rsid w:val="00330A86"/>
    <w:rsid w:val="00330A90"/>
    <w:rsid w:val="00330D5A"/>
    <w:rsid w:val="00330DF7"/>
    <w:rsid w:val="00330FAA"/>
    <w:rsid w:val="003311A4"/>
    <w:rsid w:val="003311A6"/>
    <w:rsid w:val="003313C6"/>
    <w:rsid w:val="003316B7"/>
    <w:rsid w:val="003317A0"/>
    <w:rsid w:val="003317AD"/>
    <w:rsid w:val="003317CA"/>
    <w:rsid w:val="00331B19"/>
    <w:rsid w:val="00331C4F"/>
    <w:rsid w:val="00331D1C"/>
    <w:rsid w:val="00331D7B"/>
    <w:rsid w:val="00331EFC"/>
    <w:rsid w:val="003320DC"/>
    <w:rsid w:val="0033233A"/>
    <w:rsid w:val="00332464"/>
    <w:rsid w:val="00332590"/>
    <w:rsid w:val="00332631"/>
    <w:rsid w:val="00332664"/>
    <w:rsid w:val="003326E6"/>
    <w:rsid w:val="00332767"/>
    <w:rsid w:val="003328CE"/>
    <w:rsid w:val="003329CB"/>
    <w:rsid w:val="00332A13"/>
    <w:rsid w:val="00332B0F"/>
    <w:rsid w:val="00332BF4"/>
    <w:rsid w:val="00332C90"/>
    <w:rsid w:val="00332E6C"/>
    <w:rsid w:val="00332E72"/>
    <w:rsid w:val="00332EE3"/>
    <w:rsid w:val="00332EEF"/>
    <w:rsid w:val="00332F40"/>
    <w:rsid w:val="00332FE2"/>
    <w:rsid w:val="00333083"/>
    <w:rsid w:val="003330FA"/>
    <w:rsid w:val="0033310F"/>
    <w:rsid w:val="0033319B"/>
    <w:rsid w:val="003333D1"/>
    <w:rsid w:val="00333469"/>
    <w:rsid w:val="00333585"/>
    <w:rsid w:val="003337E6"/>
    <w:rsid w:val="00333812"/>
    <w:rsid w:val="0033384C"/>
    <w:rsid w:val="00333854"/>
    <w:rsid w:val="003338AC"/>
    <w:rsid w:val="003338B0"/>
    <w:rsid w:val="00333962"/>
    <w:rsid w:val="003339A4"/>
    <w:rsid w:val="00333A37"/>
    <w:rsid w:val="00333BAF"/>
    <w:rsid w:val="00333BB5"/>
    <w:rsid w:val="00333BEA"/>
    <w:rsid w:val="00333CC3"/>
    <w:rsid w:val="00333CF7"/>
    <w:rsid w:val="00333E06"/>
    <w:rsid w:val="00333E09"/>
    <w:rsid w:val="00333E11"/>
    <w:rsid w:val="00333E12"/>
    <w:rsid w:val="00334091"/>
    <w:rsid w:val="003340A4"/>
    <w:rsid w:val="003342D6"/>
    <w:rsid w:val="003342D8"/>
    <w:rsid w:val="003343B2"/>
    <w:rsid w:val="003343D2"/>
    <w:rsid w:val="003343DC"/>
    <w:rsid w:val="0033443B"/>
    <w:rsid w:val="003344F1"/>
    <w:rsid w:val="00334504"/>
    <w:rsid w:val="00334750"/>
    <w:rsid w:val="003347C8"/>
    <w:rsid w:val="003348B9"/>
    <w:rsid w:val="003348BD"/>
    <w:rsid w:val="00334A75"/>
    <w:rsid w:val="00334A8E"/>
    <w:rsid w:val="00334D25"/>
    <w:rsid w:val="00334D57"/>
    <w:rsid w:val="00334D6B"/>
    <w:rsid w:val="00334E31"/>
    <w:rsid w:val="00334E57"/>
    <w:rsid w:val="0033505A"/>
    <w:rsid w:val="0033508B"/>
    <w:rsid w:val="0033517A"/>
    <w:rsid w:val="00335255"/>
    <w:rsid w:val="003353B3"/>
    <w:rsid w:val="003354F3"/>
    <w:rsid w:val="0033564C"/>
    <w:rsid w:val="003356EA"/>
    <w:rsid w:val="00335712"/>
    <w:rsid w:val="003357FF"/>
    <w:rsid w:val="0033591D"/>
    <w:rsid w:val="003359AE"/>
    <w:rsid w:val="003359C0"/>
    <w:rsid w:val="003359EC"/>
    <w:rsid w:val="00335B6B"/>
    <w:rsid w:val="00335C8E"/>
    <w:rsid w:val="00335CAD"/>
    <w:rsid w:val="00335CB2"/>
    <w:rsid w:val="00335CF3"/>
    <w:rsid w:val="00335D29"/>
    <w:rsid w:val="00335D81"/>
    <w:rsid w:val="00335E4E"/>
    <w:rsid w:val="003360DA"/>
    <w:rsid w:val="0033642B"/>
    <w:rsid w:val="00336444"/>
    <w:rsid w:val="00336517"/>
    <w:rsid w:val="00336554"/>
    <w:rsid w:val="003365C5"/>
    <w:rsid w:val="003367C7"/>
    <w:rsid w:val="003367DE"/>
    <w:rsid w:val="003369A1"/>
    <w:rsid w:val="003369EB"/>
    <w:rsid w:val="00336A86"/>
    <w:rsid w:val="00336C5A"/>
    <w:rsid w:val="00336D29"/>
    <w:rsid w:val="00336E21"/>
    <w:rsid w:val="00336E53"/>
    <w:rsid w:val="00336ED1"/>
    <w:rsid w:val="00336F56"/>
    <w:rsid w:val="0033721C"/>
    <w:rsid w:val="0033725F"/>
    <w:rsid w:val="003372B8"/>
    <w:rsid w:val="00337405"/>
    <w:rsid w:val="00337421"/>
    <w:rsid w:val="00337764"/>
    <w:rsid w:val="003377A1"/>
    <w:rsid w:val="00337896"/>
    <w:rsid w:val="00337C2B"/>
    <w:rsid w:val="00337C45"/>
    <w:rsid w:val="00337CD2"/>
    <w:rsid w:val="00337E90"/>
    <w:rsid w:val="00340041"/>
    <w:rsid w:val="003401A1"/>
    <w:rsid w:val="00340713"/>
    <w:rsid w:val="0034073F"/>
    <w:rsid w:val="00340786"/>
    <w:rsid w:val="00340905"/>
    <w:rsid w:val="003409F9"/>
    <w:rsid w:val="00340B3C"/>
    <w:rsid w:val="00340C14"/>
    <w:rsid w:val="00340D96"/>
    <w:rsid w:val="00340EF9"/>
    <w:rsid w:val="00340F89"/>
    <w:rsid w:val="00341029"/>
    <w:rsid w:val="0034107F"/>
    <w:rsid w:val="00341311"/>
    <w:rsid w:val="003413D8"/>
    <w:rsid w:val="003414E4"/>
    <w:rsid w:val="00341574"/>
    <w:rsid w:val="003415E5"/>
    <w:rsid w:val="003415EF"/>
    <w:rsid w:val="0034160F"/>
    <w:rsid w:val="00341649"/>
    <w:rsid w:val="0034168A"/>
    <w:rsid w:val="00341786"/>
    <w:rsid w:val="003418E6"/>
    <w:rsid w:val="003419A0"/>
    <w:rsid w:val="00341C00"/>
    <w:rsid w:val="00341C79"/>
    <w:rsid w:val="00341CEE"/>
    <w:rsid w:val="00341D46"/>
    <w:rsid w:val="00341DA4"/>
    <w:rsid w:val="00342036"/>
    <w:rsid w:val="003420A4"/>
    <w:rsid w:val="00342156"/>
    <w:rsid w:val="00342324"/>
    <w:rsid w:val="0034234D"/>
    <w:rsid w:val="003423C4"/>
    <w:rsid w:val="003423DC"/>
    <w:rsid w:val="003424EA"/>
    <w:rsid w:val="00342504"/>
    <w:rsid w:val="003425E1"/>
    <w:rsid w:val="0034265E"/>
    <w:rsid w:val="003426A5"/>
    <w:rsid w:val="003426EB"/>
    <w:rsid w:val="0034289B"/>
    <w:rsid w:val="003429EE"/>
    <w:rsid w:val="00342A0E"/>
    <w:rsid w:val="00342C3B"/>
    <w:rsid w:val="00342CAF"/>
    <w:rsid w:val="00342CC7"/>
    <w:rsid w:val="00342D72"/>
    <w:rsid w:val="00342D77"/>
    <w:rsid w:val="00342E42"/>
    <w:rsid w:val="0034307F"/>
    <w:rsid w:val="00343116"/>
    <w:rsid w:val="00343292"/>
    <w:rsid w:val="00343554"/>
    <w:rsid w:val="00343564"/>
    <w:rsid w:val="00343583"/>
    <w:rsid w:val="00343746"/>
    <w:rsid w:val="003437C5"/>
    <w:rsid w:val="00343814"/>
    <w:rsid w:val="00343997"/>
    <w:rsid w:val="00343A0D"/>
    <w:rsid w:val="00343A5F"/>
    <w:rsid w:val="00343BB3"/>
    <w:rsid w:val="00343BFE"/>
    <w:rsid w:val="00343DBD"/>
    <w:rsid w:val="00343DCE"/>
    <w:rsid w:val="00343E3B"/>
    <w:rsid w:val="00343F59"/>
    <w:rsid w:val="003440F7"/>
    <w:rsid w:val="00344137"/>
    <w:rsid w:val="00344157"/>
    <w:rsid w:val="0034423B"/>
    <w:rsid w:val="003444DF"/>
    <w:rsid w:val="00344560"/>
    <w:rsid w:val="003445C6"/>
    <w:rsid w:val="0034462A"/>
    <w:rsid w:val="003446E0"/>
    <w:rsid w:val="003446FF"/>
    <w:rsid w:val="0034471A"/>
    <w:rsid w:val="003447A2"/>
    <w:rsid w:val="00344AE0"/>
    <w:rsid w:val="00344CD8"/>
    <w:rsid w:val="00344D5F"/>
    <w:rsid w:val="00345007"/>
    <w:rsid w:val="0034511F"/>
    <w:rsid w:val="0034513E"/>
    <w:rsid w:val="003451C3"/>
    <w:rsid w:val="00345247"/>
    <w:rsid w:val="00345326"/>
    <w:rsid w:val="003453A6"/>
    <w:rsid w:val="0034544F"/>
    <w:rsid w:val="00345548"/>
    <w:rsid w:val="00345581"/>
    <w:rsid w:val="00345599"/>
    <w:rsid w:val="003456CE"/>
    <w:rsid w:val="003456D6"/>
    <w:rsid w:val="00345753"/>
    <w:rsid w:val="003457D5"/>
    <w:rsid w:val="0034581B"/>
    <w:rsid w:val="00345823"/>
    <w:rsid w:val="00345832"/>
    <w:rsid w:val="00345900"/>
    <w:rsid w:val="0034595B"/>
    <w:rsid w:val="00345AED"/>
    <w:rsid w:val="00345C48"/>
    <w:rsid w:val="00345D5E"/>
    <w:rsid w:val="00345D70"/>
    <w:rsid w:val="00345E2B"/>
    <w:rsid w:val="00345E8E"/>
    <w:rsid w:val="00345F47"/>
    <w:rsid w:val="0034616D"/>
    <w:rsid w:val="003462E3"/>
    <w:rsid w:val="003462FF"/>
    <w:rsid w:val="00346431"/>
    <w:rsid w:val="003464E8"/>
    <w:rsid w:val="003465C3"/>
    <w:rsid w:val="003465C8"/>
    <w:rsid w:val="003465DA"/>
    <w:rsid w:val="00346627"/>
    <w:rsid w:val="0034672F"/>
    <w:rsid w:val="003467F2"/>
    <w:rsid w:val="003469A5"/>
    <w:rsid w:val="003469E5"/>
    <w:rsid w:val="00346AB8"/>
    <w:rsid w:val="00346B48"/>
    <w:rsid w:val="00346B4B"/>
    <w:rsid w:val="00346B64"/>
    <w:rsid w:val="00346C03"/>
    <w:rsid w:val="00346C2C"/>
    <w:rsid w:val="00346CC9"/>
    <w:rsid w:val="00346E1E"/>
    <w:rsid w:val="00346FE9"/>
    <w:rsid w:val="00347187"/>
    <w:rsid w:val="003471B5"/>
    <w:rsid w:val="003472D6"/>
    <w:rsid w:val="003473EC"/>
    <w:rsid w:val="00347572"/>
    <w:rsid w:val="00347684"/>
    <w:rsid w:val="003476DA"/>
    <w:rsid w:val="0034798C"/>
    <w:rsid w:val="00347B45"/>
    <w:rsid w:val="00347BB2"/>
    <w:rsid w:val="00347D0E"/>
    <w:rsid w:val="00347D10"/>
    <w:rsid w:val="00347D11"/>
    <w:rsid w:val="00347D25"/>
    <w:rsid w:val="00347ECC"/>
    <w:rsid w:val="00347F0C"/>
    <w:rsid w:val="00347F0D"/>
    <w:rsid w:val="00347F3D"/>
    <w:rsid w:val="00347FA9"/>
    <w:rsid w:val="00347FAA"/>
    <w:rsid w:val="00350042"/>
    <w:rsid w:val="003500CE"/>
    <w:rsid w:val="00350279"/>
    <w:rsid w:val="00350280"/>
    <w:rsid w:val="00350352"/>
    <w:rsid w:val="00350436"/>
    <w:rsid w:val="00350522"/>
    <w:rsid w:val="00350545"/>
    <w:rsid w:val="00350736"/>
    <w:rsid w:val="00350749"/>
    <w:rsid w:val="00350777"/>
    <w:rsid w:val="003507F3"/>
    <w:rsid w:val="0035094D"/>
    <w:rsid w:val="00350AB7"/>
    <w:rsid w:val="00350BA0"/>
    <w:rsid w:val="00350C29"/>
    <w:rsid w:val="00350E12"/>
    <w:rsid w:val="00350E5F"/>
    <w:rsid w:val="00350EBE"/>
    <w:rsid w:val="00350F19"/>
    <w:rsid w:val="00350FD1"/>
    <w:rsid w:val="0035103A"/>
    <w:rsid w:val="003510FB"/>
    <w:rsid w:val="0035113B"/>
    <w:rsid w:val="0035115E"/>
    <w:rsid w:val="0035116D"/>
    <w:rsid w:val="00351171"/>
    <w:rsid w:val="0035124B"/>
    <w:rsid w:val="00351268"/>
    <w:rsid w:val="003514EF"/>
    <w:rsid w:val="00351593"/>
    <w:rsid w:val="00351681"/>
    <w:rsid w:val="00351748"/>
    <w:rsid w:val="003518E7"/>
    <w:rsid w:val="0035197B"/>
    <w:rsid w:val="003519ED"/>
    <w:rsid w:val="00351ADF"/>
    <w:rsid w:val="00351B46"/>
    <w:rsid w:val="00351D5E"/>
    <w:rsid w:val="00351F6E"/>
    <w:rsid w:val="00352028"/>
    <w:rsid w:val="00352128"/>
    <w:rsid w:val="0035213A"/>
    <w:rsid w:val="0035224C"/>
    <w:rsid w:val="0035224D"/>
    <w:rsid w:val="00352442"/>
    <w:rsid w:val="003524AE"/>
    <w:rsid w:val="0035261D"/>
    <w:rsid w:val="00352755"/>
    <w:rsid w:val="0035284A"/>
    <w:rsid w:val="00352BC1"/>
    <w:rsid w:val="00352D35"/>
    <w:rsid w:val="00352F4E"/>
    <w:rsid w:val="00353110"/>
    <w:rsid w:val="00353557"/>
    <w:rsid w:val="00353674"/>
    <w:rsid w:val="003536CB"/>
    <w:rsid w:val="003537BA"/>
    <w:rsid w:val="003537FF"/>
    <w:rsid w:val="00353809"/>
    <w:rsid w:val="003538EE"/>
    <w:rsid w:val="00353946"/>
    <w:rsid w:val="00353AB8"/>
    <w:rsid w:val="00353B3B"/>
    <w:rsid w:val="00353BEB"/>
    <w:rsid w:val="00353CCB"/>
    <w:rsid w:val="00353DA1"/>
    <w:rsid w:val="00353EAC"/>
    <w:rsid w:val="00353FBA"/>
    <w:rsid w:val="0035407E"/>
    <w:rsid w:val="00354089"/>
    <w:rsid w:val="00354094"/>
    <w:rsid w:val="00354121"/>
    <w:rsid w:val="0035420F"/>
    <w:rsid w:val="00354372"/>
    <w:rsid w:val="003544D9"/>
    <w:rsid w:val="00354606"/>
    <w:rsid w:val="003547E3"/>
    <w:rsid w:val="00354885"/>
    <w:rsid w:val="0035488B"/>
    <w:rsid w:val="00354932"/>
    <w:rsid w:val="0035497B"/>
    <w:rsid w:val="0035498B"/>
    <w:rsid w:val="00354B0E"/>
    <w:rsid w:val="00354B31"/>
    <w:rsid w:val="00354F7E"/>
    <w:rsid w:val="00355044"/>
    <w:rsid w:val="00355195"/>
    <w:rsid w:val="0035535E"/>
    <w:rsid w:val="00355370"/>
    <w:rsid w:val="003554E5"/>
    <w:rsid w:val="00355763"/>
    <w:rsid w:val="003557AF"/>
    <w:rsid w:val="003558FC"/>
    <w:rsid w:val="00355AAD"/>
    <w:rsid w:val="00355B12"/>
    <w:rsid w:val="00355BB8"/>
    <w:rsid w:val="00355C29"/>
    <w:rsid w:val="00355CEE"/>
    <w:rsid w:val="00355CF6"/>
    <w:rsid w:val="00355EA6"/>
    <w:rsid w:val="00355F44"/>
    <w:rsid w:val="00356034"/>
    <w:rsid w:val="00356040"/>
    <w:rsid w:val="003560B2"/>
    <w:rsid w:val="00356240"/>
    <w:rsid w:val="003562B7"/>
    <w:rsid w:val="0035636A"/>
    <w:rsid w:val="00356515"/>
    <w:rsid w:val="00356568"/>
    <w:rsid w:val="00356677"/>
    <w:rsid w:val="0035667D"/>
    <w:rsid w:val="003567D5"/>
    <w:rsid w:val="00356851"/>
    <w:rsid w:val="0035689B"/>
    <w:rsid w:val="0035693C"/>
    <w:rsid w:val="00356AC7"/>
    <w:rsid w:val="00356B05"/>
    <w:rsid w:val="00356BBD"/>
    <w:rsid w:val="00356D05"/>
    <w:rsid w:val="00356DDF"/>
    <w:rsid w:val="00356EAE"/>
    <w:rsid w:val="00357068"/>
    <w:rsid w:val="003570A7"/>
    <w:rsid w:val="0035742E"/>
    <w:rsid w:val="003575C5"/>
    <w:rsid w:val="0035779B"/>
    <w:rsid w:val="0035797D"/>
    <w:rsid w:val="00357A45"/>
    <w:rsid w:val="00357BF6"/>
    <w:rsid w:val="00357E1C"/>
    <w:rsid w:val="00357F77"/>
    <w:rsid w:val="00360137"/>
    <w:rsid w:val="0036022C"/>
    <w:rsid w:val="00360247"/>
    <w:rsid w:val="00360445"/>
    <w:rsid w:val="00360572"/>
    <w:rsid w:val="003607C8"/>
    <w:rsid w:val="00360831"/>
    <w:rsid w:val="0036091E"/>
    <w:rsid w:val="00360CB8"/>
    <w:rsid w:val="00360CDE"/>
    <w:rsid w:val="00360D57"/>
    <w:rsid w:val="00360DE4"/>
    <w:rsid w:val="00360DF0"/>
    <w:rsid w:val="00360E50"/>
    <w:rsid w:val="00360E67"/>
    <w:rsid w:val="00360EC0"/>
    <w:rsid w:val="00360F11"/>
    <w:rsid w:val="00361076"/>
    <w:rsid w:val="00361123"/>
    <w:rsid w:val="003611D7"/>
    <w:rsid w:val="0036121E"/>
    <w:rsid w:val="0036122C"/>
    <w:rsid w:val="0036129B"/>
    <w:rsid w:val="003612FA"/>
    <w:rsid w:val="003613FB"/>
    <w:rsid w:val="00361423"/>
    <w:rsid w:val="003614E1"/>
    <w:rsid w:val="00361658"/>
    <w:rsid w:val="003617BD"/>
    <w:rsid w:val="003618CA"/>
    <w:rsid w:val="003618E7"/>
    <w:rsid w:val="00361A06"/>
    <w:rsid w:val="00361A5D"/>
    <w:rsid w:val="00361AF6"/>
    <w:rsid w:val="00361BC4"/>
    <w:rsid w:val="00361CB8"/>
    <w:rsid w:val="00361DA9"/>
    <w:rsid w:val="00361DE4"/>
    <w:rsid w:val="00361EC0"/>
    <w:rsid w:val="00361F98"/>
    <w:rsid w:val="00361FB9"/>
    <w:rsid w:val="00361FD7"/>
    <w:rsid w:val="0036201D"/>
    <w:rsid w:val="0036202E"/>
    <w:rsid w:val="003620BF"/>
    <w:rsid w:val="0036237C"/>
    <w:rsid w:val="00362475"/>
    <w:rsid w:val="0036247F"/>
    <w:rsid w:val="003624AB"/>
    <w:rsid w:val="00362836"/>
    <w:rsid w:val="003628A6"/>
    <w:rsid w:val="00362A30"/>
    <w:rsid w:val="00362A3A"/>
    <w:rsid w:val="00362BAC"/>
    <w:rsid w:val="00362C49"/>
    <w:rsid w:val="00362DCA"/>
    <w:rsid w:val="00362E3D"/>
    <w:rsid w:val="00362E5C"/>
    <w:rsid w:val="00362F66"/>
    <w:rsid w:val="00362FD3"/>
    <w:rsid w:val="0036308E"/>
    <w:rsid w:val="00363307"/>
    <w:rsid w:val="00363322"/>
    <w:rsid w:val="00363375"/>
    <w:rsid w:val="0036346D"/>
    <w:rsid w:val="003638DF"/>
    <w:rsid w:val="003638E9"/>
    <w:rsid w:val="00363B1A"/>
    <w:rsid w:val="00363B23"/>
    <w:rsid w:val="00363B8E"/>
    <w:rsid w:val="00363E75"/>
    <w:rsid w:val="00363E85"/>
    <w:rsid w:val="00363FEF"/>
    <w:rsid w:val="00364026"/>
    <w:rsid w:val="0036403E"/>
    <w:rsid w:val="00364253"/>
    <w:rsid w:val="0036435F"/>
    <w:rsid w:val="00364442"/>
    <w:rsid w:val="00364503"/>
    <w:rsid w:val="0036467F"/>
    <w:rsid w:val="003647B0"/>
    <w:rsid w:val="0036493C"/>
    <w:rsid w:val="0036495A"/>
    <w:rsid w:val="003649FA"/>
    <w:rsid w:val="00364A25"/>
    <w:rsid w:val="00364A49"/>
    <w:rsid w:val="00364A7E"/>
    <w:rsid w:val="00364B2D"/>
    <w:rsid w:val="00364B30"/>
    <w:rsid w:val="00364B32"/>
    <w:rsid w:val="00364BBB"/>
    <w:rsid w:val="00364BD0"/>
    <w:rsid w:val="00364BF6"/>
    <w:rsid w:val="00364C13"/>
    <w:rsid w:val="00364E66"/>
    <w:rsid w:val="00365177"/>
    <w:rsid w:val="00365235"/>
    <w:rsid w:val="00365240"/>
    <w:rsid w:val="00365259"/>
    <w:rsid w:val="003652A2"/>
    <w:rsid w:val="00365384"/>
    <w:rsid w:val="003653C0"/>
    <w:rsid w:val="00365410"/>
    <w:rsid w:val="003654D5"/>
    <w:rsid w:val="003657D1"/>
    <w:rsid w:val="00365801"/>
    <w:rsid w:val="0036599A"/>
    <w:rsid w:val="00365A9D"/>
    <w:rsid w:val="00365AE8"/>
    <w:rsid w:val="00365D12"/>
    <w:rsid w:val="00366160"/>
    <w:rsid w:val="003663D7"/>
    <w:rsid w:val="003664C2"/>
    <w:rsid w:val="0036664F"/>
    <w:rsid w:val="00366725"/>
    <w:rsid w:val="00366763"/>
    <w:rsid w:val="00366829"/>
    <w:rsid w:val="00366907"/>
    <w:rsid w:val="00366A22"/>
    <w:rsid w:val="00366B23"/>
    <w:rsid w:val="00366D78"/>
    <w:rsid w:val="00366D79"/>
    <w:rsid w:val="00366E44"/>
    <w:rsid w:val="00366E96"/>
    <w:rsid w:val="00366EEE"/>
    <w:rsid w:val="00366F88"/>
    <w:rsid w:val="00367056"/>
    <w:rsid w:val="003671C3"/>
    <w:rsid w:val="0036722A"/>
    <w:rsid w:val="003672C1"/>
    <w:rsid w:val="00367379"/>
    <w:rsid w:val="003673CA"/>
    <w:rsid w:val="003674BD"/>
    <w:rsid w:val="00367549"/>
    <w:rsid w:val="003675AB"/>
    <w:rsid w:val="003676B9"/>
    <w:rsid w:val="003677CA"/>
    <w:rsid w:val="003677E0"/>
    <w:rsid w:val="00367829"/>
    <w:rsid w:val="0036782E"/>
    <w:rsid w:val="003678C5"/>
    <w:rsid w:val="003679BD"/>
    <w:rsid w:val="003679C7"/>
    <w:rsid w:val="00367B97"/>
    <w:rsid w:val="00367BED"/>
    <w:rsid w:val="00367D95"/>
    <w:rsid w:val="00367DFA"/>
    <w:rsid w:val="00367E43"/>
    <w:rsid w:val="00370055"/>
    <w:rsid w:val="0037007C"/>
    <w:rsid w:val="00370149"/>
    <w:rsid w:val="0037016B"/>
    <w:rsid w:val="003702AA"/>
    <w:rsid w:val="00370387"/>
    <w:rsid w:val="003704E3"/>
    <w:rsid w:val="00370501"/>
    <w:rsid w:val="00370725"/>
    <w:rsid w:val="00370770"/>
    <w:rsid w:val="00370905"/>
    <w:rsid w:val="00370A74"/>
    <w:rsid w:val="00370D96"/>
    <w:rsid w:val="00370D97"/>
    <w:rsid w:val="00370EA7"/>
    <w:rsid w:val="00370F00"/>
    <w:rsid w:val="00370F08"/>
    <w:rsid w:val="00370FC0"/>
    <w:rsid w:val="00371005"/>
    <w:rsid w:val="0037106E"/>
    <w:rsid w:val="00371071"/>
    <w:rsid w:val="0037117B"/>
    <w:rsid w:val="00371186"/>
    <w:rsid w:val="00371433"/>
    <w:rsid w:val="00371450"/>
    <w:rsid w:val="003714AE"/>
    <w:rsid w:val="003714B0"/>
    <w:rsid w:val="0037153B"/>
    <w:rsid w:val="0037176A"/>
    <w:rsid w:val="00371A18"/>
    <w:rsid w:val="00371A52"/>
    <w:rsid w:val="00371A90"/>
    <w:rsid w:val="00371BA2"/>
    <w:rsid w:val="00371BB8"/>
    <w:rsid w:val="00371D2F"/>
    <w:rsid w:val="00371DD7"/>
    <w:rsid w:val="00371E5A"/>
    <w:rsid w:val="00371FDF"/>
    <w:rsid w:val="0037201E"/>
    <w:rsid w:val="0037210A"/>
    <w:rsid w:val="00372113"/>
    <w:rsid w:val="00372221"/>
    <w:rsid w:val="003724C8"/>
    <w:rsid w:val="003726A7"/>
    <w:rsid w:val="00372801"/>
    <w:rsid w:val="00372830"/>
    <w:rsid w:val="00372BA9"/>
    <w:rsid w:val="00372D34"/>
    <w:rsid w:val="00372D4F"/>
    <w:rsid w:val="00372DC7"/>
    <w:rsid w:val="00372E35"/>
    <w:rsid w:val="00372EA4"/>
    <w:rsid w:val="00373139"/>
    <w:rsid w:val="00373206"/>
    <w:rsid w:val="00373354"/>
    <w:rsid w:val="0037349B"/>
    <w:rsid w:val="00373772"/>
    <w:rsid w:val="003737ED"/>
    <w:rsid w:val="003737F1"/>
    <w:rsid w:val="00373923"/>
    <w:rsid w:val="00373A3A"/>
    <w:rsid w:val="00373AB0"/>
    <w:rsid w:val="00373AD2"/>
    <w:rsid w:val="00373B0F"/>
    <w:rsid w:val="00373B18"/>
    <w:rsid w:val="00373B80"/>
    <w:rsid w:val="00373BB0"/>
    <w:rsid w:val="00373BCA"/>
    <w:rsid w:val="00373E0D"/>
    <w:rsid w:val="00373F2D"/>
    <w:rsid w:val="0037415B"/>
    <w:rsid w:val="00374161"/>
    <w:rsid w:val="003741B1"/>
    <w:rsid w:val="0037426F"/>
    <w:rsid w:val="00374315"/>
    <w:rsid w:val="00374434"/>
    <w:rsid w:val="003744E3"/>
    <w:rsid w:val="00374560"/>
    <w:rsid w:val="00374641"/>
    <w:rsid w:val="003746B7"/>
    <w:rsid w:val="00374982"/>
    <w:rsid w:val="00374AC0"/>
    <w:rsid w:val="00374B4D"/>
    <w:rsid w:val="00374D69"/>
    <w:rsid w:val="00374D6F"/>
    <w:rsid w:val="00374E87"/>
    <w:rsid w:val="00374F20"/>
    <w:rsid w:val="00374F95"/>
    <w:rsid w:val="0037500B"/>
    <w:rsid w:val="00375027"/>
    <w:rsid w:val="00375098"/>
    <w:rsid w:val="003751AB"/>
    <w:rsid w:val="00375207"/>
    <w:rsid w:val="003752FC"/>
    <w:rsid w:val="00375304"/>
    <w:rsid w:val="00375374"/>
    <w:rsid w:val="00375379"/>
    <w:rsid w:val="003756D9"/>
    <w:rsid w:val="003757DC"/>
    <w:rsid w:val="003757E5"/>
    <w:rsid w:val="0037582C"/>
    <w:rsid w:val="00375A06"/>
    <w:rsid w:val="00375A69"/>
    <w:rsid w:val="00375A96"/>
    <w:rsid w:val="00375B80"/>
    <w:rsid w:val="00375BCC"/>
    <w:rsid w:val="00375E1F"/>
    <w:rsid w:val="00375EE0"/>
    <w:rsid w:val="00376003"/>
    <w:rsid w:val="00376104"/>
    <w:rsid w:val="00376207"/>
    <w:rsid w:val="00376266"/>
    <w:rsid w:val="003762E0"/>
    <w:rsid w:val="00376475"/>
    <w:rsid w:val="003764A5"/>
    <w:rsid w:val="003764EC"/>
    <w:rsid w:val="00376567"/>
    <w:rsid w:val="00376599"/>
    <w:rsid w:val="003765DE"/>
    <w:rsid w:val="003766D7"/>
    <w:rsid w:val="00376767"/>
    <w:rsid w:val="0037685D"/>
    <w:rsid w:val="00376C2E"/>
    <w:rsid w:val="00376DC6"/>
    <w:rsid w:val="00376E30"/>
    <w:rsid w:val="00376F79"/>
    <w:rsid w:val="00376FB2"/>
    <w:rsid w:val="003770A7"/>
    <w:rsid w:val="003772E0"/>
    <w:rsid w:val="003772F2"/>
    <w:rsid w:val="00377352"/>
    <w:rsid w:val="003774A8"/>
    <w:rsid w:val="00377519"/>
    <w:rsid w:val="0037763A"/>
    <w:rsid w:val="0037777A"/>
    <w:rsid w:val="00377B50"/>
    <w:rsid w:val="00377C15"/>
    <w:rsid w:val="00377C2B"/>
    <w:rsid w:val="00377C46"/>
    <w:rsid w:val="0037C058"/>
    <w:rsid w:val="00380049"/>
    <w:rsid w:val="00380130"/>
    <w:rsid w:val="003801F9"/>
    <w:rsid w:val="0038021B"/>
    <w:rsid w:val="00380277"/>
    <w:rsid w:val="003802AD"/>
    <w:rsid w:val="00380316"/>
    <w:rsid w:val="003803FF"/>
    <w:rsid w:val="003804D5"/>
    <w:rsid w:val="00380514"/>
    <w:rsid w:val="00380599"/>
    <w:rsid w:val="00380714"/>
    <w:rsid w:val="00380726"/>
    <w:rsid w:val="003807C3"/>
    <w:rsid w:val="003809A1"/>
    <w:rsid w:val="00380BCB"/>
    <w:rsid w:val="00380D57"/>
    <w:rsid w:val="00380DBE"/>
    <w:rsid w:val="00380E80"/>
    <w:rsid w:val="003811F3"/>
    <w:rsid w:val="0038120D"/>
    <w:rsid w:val="00381421"/>
    <w:rsid w:val="0038147F"/>
    <w:rsid w:val="00381485"/>
    <w:rsid w:val="0038149C"/>
    <w:rsid w:val="0038174B"/>
    <w:rsid w:val="0038193D"/>
    <w:rsid w:val="003819EE"/>
    <w:rsid w:val="00381A77"/>
    <w:rsid w:val="00381F25"/>
    <w:rsid w:val="00382348"/>
    <w:rsid w:val="0038248F"/>
    <w:rsid w:val="003824C6"/>
    <w:rsid w:val="0038254D"/>
    <w:rsid w:val="00382625"/>
    <w:rsid w:val="00382694"/>
    <w:rsid w:val="003826B0"/>
    <w:rsid w:val="003826F7"/>
    <w:rsid w:val="00382712"/>
    <w:rsid w:val="003827DD"/>
    <w:rsid w:val="00382808"/>
    <w:rsid w:val="00382B54"/>
    <w:rsid w:val="00382BBC"/>
    <w:rsid w:val="00382C20"/>
    <w:rsid w:val="00382C24"/>
    <w:rsid w:val="00382CD7"/>
    <w:rsid w:val="00382D17"/>
    <w:rsid w:val="00382D98"/>
    <w:rsid w:val="00382DB1"/>
    <w:rsid w:val="00382DDC"/>
    <w:rsid w:val="00382E5E"/>
    <w:rsid w:val="00382EA5"/>
    <w:rsid w:val="00382EF9"/>
    <w:rsid w:val="00382F94"/>
    <w:rsid w:val="00383124"/>
    <w:rsid w:val="0038352B"/>
    <w:rsid w:val="00383583"/>
    <w:rsid w:val="00383799"/>
    <w:rsid w:val="0038379D"/>
    <w:rsid w:val="0038383D"/>
    <w:rsid w:val="003838EB"/>
    <w:rsid w:val="00383C64"/>
    <w:rsid w:val="00383C6C"/>
    <w:rsid w:val="00383CA2"/>
    <w:rsid w:val="00383D6D"/>
    <w:rsid w:val="00383E8D"/>
    <w:rsid w:val="00383FD1"/>
    <w:rsid w:val="0038400D"/>
    <w:rsid w:val="00384029"/>
    <w:rsid w:val="003841C6"/>
    <w:rsid w:val="00384552"/>
    <w:rsid w:val="00384710"/>
    <w:rsid w:val="00384882"/>
    <w:rsid w:val="00384892"/>
    <w:rsid w:val="00384926"/>
    <w:rsid w:val="0038494A"/>
    <w:rsid w:val="00384952"/>
    <w:rsid w:val="00384A9A"/>
    <w:rsid w:val="00384B33"/>
    <w:rsid w:val="00384B61"/>
    <w:rsid w:val="00384BCF"/>
    <w:rsid w:val="00384BD6"/>
    <w:rsid w:val="00384D6C"/>
    <w:rsid w:val="00384DBD"/>
    <w:rsid w:val="00384E55"/>
    <w:rsid w:val="0038503A"/>
    <w:rsid w:val="003850FD"/>
    <w:rsid w:val="003851AD"/>
    <w:rsid w:val="0038526F"/>
    <w:rsid w:val="0038530B"/>
    <w:rsid w:val="003853EE"/>
    <w:rsid w:val="00385542"/>
    <w:rsid w:val="00385601"/>
    <w:rsid w:val="003856A9"/>
    <w:rsid w:val="00385819"/>
    <w:rsid w:val="00385C03"/>
    <w:rsid w:val="00385C58"/>
    <w:rsid w:val="00385CD3"/>
    <w:rsid w:val="00385CE4"/>
    <w:rsid w:val="00385D0E"/>
    <w:rsid w:val="00385D37"/>
    <w:rsid w:val="00385EA0"/>
    <w:rsid w:val="00385F2C"/>
    <w:rsid w:val="00385F47"/>
    <w:rsid w:val="00386125"/>
    <w:rsid w:val="003863BB"/>
    <w:rsid w:val="00386473"/>
    <w:rsid w:val="00386498"/>
    <w:rsid w:val="003864E6"/>
    <w:rsid w:val="00386511"/>
    <w:rsid w:val="00386595"/>
    <w:rsid w:val="003865E7"/>
    <w:rsid w:val="00386691"/>
    <w:rsid w:val="0038681F"/>
    <w:rsid w:val="00386824"/>
    <w:rsid w:val="0038689B"/>
    <w:rsid w:val="003869BC"/>
    <w:rsid w:val="00386AC1"/>
    <w:rsid w:val="00386DB9"/>
    <w:rsid w:val="00386DDD"/>
    <w:rsid w:val="00386E63"/>
    <w:rsid w:val="00386EB9"/>
    <w:rsid w:val="00386F90"/>
    <w:rsid w:val="0038700E"/>
    <w:rsid w:val="00387162"/>
    <w:rsid w:val="00387184"/>
    <w:rsid w:val="00387539"/>
    <w:rsid w:val="00387574"/>
    <w:rsid w:val="003875F5"/>
    <w:rsid w:val="0038762C"/>
    <w:rsid w:val="003876BC"/>
    <w:rsid w:val="0038772A"/>
    <w:rsid w:val="003878DF"/>
    <w:rsid w:val="00387957"/>
    <w:rsid w:val="00387C5D"/>
    <w:rsid w:val="00387DA4"/>
    <w:rsid w:val="00387F75"/>
    <w:rsid w:val="00390171"/>
    <w:rsid w:val="0039019E"/>
    <w:rsid w:val="00390222"/>
    <w:rsid w:val="0039023E"/>
    <w:rsid w:val="00390260"/>
    <w:rsid w:val="003903A9"/>
    <w:rsid w:val="003903B1"/>
    <w:rsid w:val="00390577"/>
    <w:rsid w:val="003905F7"/>
    <w:rsid w:val="003905FC"/>
    <w:rsid w:val="00390676"/>
    <w:rsid w:val="003906E8"/>
    <w:rsid w:val="0039078D"/>
    <w:rsid w:val="003908CE"/>
    <w:rsid w:val="003909AE"/>
    <w:rsid w:val="00390B7D"/>
    <w:rsid w:val="00390C07"/>
    <w:rsid w:val="00390CEE"/>
    <w:rsid w:val="00390F07"/>
    <w:rsid w:val="00390F78"/>
    <w:rsid w:val="0039108C"/>
    <w:rsid w:val="003911B9"/>
    <w:rsid w:val="003911D0"/>
    <w:rsid w:val="00391272"/>
    <w:rsid w:val="003912F8"/>
    <w:rsid w:val="003915F8"/>
    <w:rsid w:val="003916EB"/>
    <w:rsid w:val="003918BD"/>
    <w:rsid w:val="003918C2"/>
    <w:rsid w:val="003918CB"/>
    <w:rsid w:val="0039190E"/>
    <w:rsid w:val="00391916"/>
    <w:rsid w:val="00391938"/>
    <w:rsid w:val="00391968"/>
    <w:rsid w:val="0039199A"/>
    <w:rsid w:val="003919B5"/>
    <w:rsid w:val="00391AC7"/>
    <w:rsid w:val="00391AE0"/>
    <w:rsid w:val="00391B01"/>
    <w:rsid w:val="00391B0E"/>
    <w:rsid w:val="00391B70"/>
    <w:rsid w:val="00391BA5"/>
    <w:rsid w:val="00391BEB"/>
    <w:rsid w:val="00391CBF"/>
    <w:rsid w:val="00391D95"/>
    <w:rsid w:val="00391E62"/>
    <w:rsid w:val="00391F43"/>
    <w:rsid w:val="00392032"/>
    <w:rsid w:val="00392067"/>
    <w:rsid w:val="003921A2"/>
    <w:rsid w:val="00392399"/>
    <w:rsid w:val="003923AF"/>
    <w:rsid w:val="0039242A"/>
    <w:rsid w:val="003924B7"/>
    <w:rsid w:val="003924E8"/>
    <w:rsid w:val="0039256D"/>
    <w:rsid w:val="003927E4"/>
    <w:rsid w:val="0039281A"/>
    <w:rsid w:val="003929E8"/>
    <w:rsid w:val="00392A90"/>
    <w:rsid w:val="00392BD8"/>
    <w:rsid w:val="00392D1F"/>
    <w:rsid w:val="00392F36"/>
    <w:rsid w:val="00393060"/>
    <w:rsid w:val="0039313A"/>
    <w:rsid w:val="0039322B"/>
    <w:rsid w:val="003932CB"/>
    <w:rsid w:val="00393588"/>
    <w:rsid w:val="00393691"/>
    <w:rsid w:val="003937B7"/>
    <w:rsid w:val="003938BF"/>
    <w:rsid w:val="0039399F"/>
    <w:rsid w:val="00393A76"/>
    <w:rsid w:val="00393AFE"/>
    <w:rsid w:val="00393C2A"/>
    <w:rsid w:val="00393C76"/>
    <w:rsid w:val="00393D4E"/>
    <w:rsid w:val="00393D4F"/>
    <w:rsid w:val="00394062"/>
    <w:rsid w:val="003940F1"/>
    <w:rsid w:val="00394114"/>
    <w:rsid w:val="00394140"/>
    <w:rsid w:val="0039430E"/>
    <w:rsid w:val="0039471E"/>
    <w:rsid w:val="00394722"/>
    <w:rsid w:val="00394724"/>
    <w:rsid w:val="0039472D"/>
    <w:rsid w:val="00394774"/>
    <w:rsid w:val="003947A8"/>
    <w:rsid w:val="00394887"/>
    <w:rsid w:val="00394A10"/>
    <w:rsid w:val="00394A2B"/>
    <w:rsid w:val="00394BB3"/>
    <w:rsid w:val="00394F05"/>
    <w:rsid w:val="00394F23"/>
    <w:rsid w:val="00395019"/>
    <w:rsid w:val="0039503F"/>
    <w:rsid w:val="0039515E"/>
    <w:rsid w:val="003952F3"/>
    <w:rsid w:val="00395348"/>
    <w:rsid w:val="0039538D"/>
    <w:rsid w:val="0039541F"/>
    <w:rsid w:val="00395508"/>
    <w:rsid w:val="00395600"/>
    <w:rsid w:val="00395637"/>
    <w:rsid w:val="0039565D"/>
    <w:rsid w:val="0039567C"/>
    <w:rsid w:val="0039569B"/>
    <w:rsid w:val="003956A7"/>
    <w:rsid w:val="00395791"/>
    <w:rsid w:val="003957E2"/>
    <w:rsid w:val="0039591B"/>
    <w:rsid w:val="00395BAE"/>
    <w:rsid w:val="00395D7A"/>
    <w:rsid w:val="00395FA4"/>
    <w:rsid w:val="00395FFA"/>
    <w:rsid w:val="0039606F"/>
    <w:rsid w:val="00396101"/>
    <w:rsid w:val="00396125"/>
    <w:rsid w:val="00396176"/>
    <w:rsid w:val="0039628E"/>
    <w:rsid w:val="00396387"/>
    <w:rsid w:val="00396432"/>
    <w:rsid w:val="003965BA"/>
    <w:rsid w:val="003965E3"/>
    <w:rsid w:val="0039660C"/>
    <w:rsid w:val="00396619"/>
    <w:rsid w:val="00396627"/>
    <w:rsid w:val="003967A2"/>
    <w:rsid w:val="003967F2"/>
    <w:rsid w:val="00396D19"/>
    <w:rsid w:val="00396DDD"/>
    <w:rsid w:val="00396DFE"/>
    <w:rsid w:val="00396FC7"/>
    <w:rsid w:val="00396FD6"/>
    <w:rsid w:val="0039719A"/>
    <w:rsid w:val="0039721A"/>
    <w:rsid w:val="0039733C"/>
    <w:rsid w:val="003973C5"/>
    <w:rsid w:val="003973D7"/>
    <w:rsid w:val="003974C0"/>
    <w:rsid w:val="0039779B"/>
    <w:rsid w:val="00397853"/>
    <w:rsid w:val="00397A04"/>
    <w:rsid w:val="00397A0C"/>
    <w:rsid w:val="00397B08"/>
    <w:rsid w:val="00397B50"/>
    <w:rsid w:val="00397BA2"/>
    <w:rsid w:val="00397D74"/>
    <w:rsid w:val="00397E6B"/>
    <w:rsid w:val="00397E9B"/>
    <w:rsid w:val="00397EEE"/>
    <w:rsid w:val="003A0045"/>
    <w:rsid w:val="003A013A"/>
    <w:rsid w:val="003A0162"/>
    <w:rsid w:val="003A017A"/>
    <w:rsid w:val="003A0280"/>
    <w:rsid w:val="003A053F"/>
    <w:rsid w:val="003A0729"/>
    <w:rsid w:val="003A0838"/>
    <w:rsid w:val="003A0894"/>
    <w:rsid w:val="003A0904"/>
    <w:rsid w:val="003A0975"/>
    <w:rsid w:val="003A09BF"/>
    <w:rsid w:val="003A0AE1"/>
    <w:rsid w:val="003A0C59"/>
    <w:rsid w:val="003A0C71"/>
    <w:rsid w:val="003A0CB4"/>
    <w:rsid w:val="003A0EAA"/>
    <w:rsid w:val="003A0EAD"/>
    <w:rsid w:val="003A1032"/>
    <w:rsid w:val="003A1058"/>
    <w:rsid w:val="003A10DA"/>
    <w:rsid w:val="003A10EF"/>
    <w:rsid w:val="003A11A7"/>
    <w:rsid w:val="003A11D9"/>
    <w:rsid w:val="003A123F"/>
    <w:rsid w:val="003A12C8"/>
    <w:rsid w:val="003A1339"/>
    <w:rsid w:val="003A1488"/>
    <w:rsid w:val="003A14C8"/>
    <w:rsid w:val="003A166F"/>
    <w:rsid w:val="003A1721"/>
    <w:rsid w:val="003A1744"/>
    <w:rsid w:val="003A1884"/>
    <w:rsid w:val="003A18D7"/>
    <w:rsid w:val="003A1A5C"/>
    <w:rsid w:val="003A1AB4"/>
    <w:rsid w:val="003A1C34"/>
    <w:rsid w:val="003A1C76"/>
    <w:rsid w:val="003A1D58"/>
    <w:rsid w:val="003A1ECD"/>
    <w:rsid w:val="003A1FAC"/>
    <w:rsid w:val="003A208F"/>
    <w:rsid w:val="003A2095"/>
    <w:rsid w:val="003A20E7"/>
    <w:rsid w:val="003A2128"/>
    <w:rsid w:val="003A214B"/>
    <w:rsid w:val="003A217D"/>
    <w:rsid w:val="003A24CC"/>
    <w:rsid w:val="003A257D"/>
    <w:rsid w:val="003A25B1"/>
    <w:rsid w:val="003A26AA"/>
    <w:rsid w:val="003A280F"/>
    <w:rsid w:val="003A283D"/>
    <w:rsid w:val="003A2907"/>
    <w:rsid w:val="003A2959"/>
    <w:rsid w:val="003A295D"/>
    <w:rsid w:val="003A2960"/>
    <w:rsid w:val="003A2968"/>
    <w:rsid w:val="003A29FD"/>
    <w:rsid w:val="003A2AAD"/>
    <w:rsid w:val="003A2AC1"/>
    <w:rsid w:val="003A2BB9"/>
    <w:rsid w:val="003A2D9A"/>
    <w:rsid w:val="003A2D9B"/>
    <w:rsid w:val="003A2F9A"/>
    <w:rsid w:val="003A337C"/>
    <w:rsid w:val="003A35D9"/>
    <w:rsid w:val="003A3653"/>
    <w:rsid w:val="003A372E"/>
    <w:rsid w:val="003A375C"/>
    <w:rsid w:val="003A39DA"/>
    <w:rsid w:val="003A3A62"/>
    <w:rsid w:val="003A3BB3"/>
    <w:rsid w:val="003A3BB7"/>
    <w:rsid w:val="003A3DF9"/>
    <w:rsid w:val="003A3EC5"/>
    <w:rsid w:val="003A40AA"/>
    <w:rsid w:val="003A4119"/>
    <w:rsid w:val="003A4151"/>
    <w:rsid w:val="003A443F"/>
    <w:rsid w:val="003A446F"/>
    <w:rsid w:val="003A448C"/>
    <w:rsid w:val="003A4495"/>
    <w:rsid w:val="003A4610"/>
    <w:rsid w:val="003A4626"/>
    <w:rsid w:val="003A4790"/>
    <w:rsid w:val="003A479D"/>
    <w:rsid w:val="003A4816"/>
    <w:rsid w:val="003A49AC"/>
    <w:rsid w:val="003A4A7E"/>
    <w:rsid w:val="003A4BC5"/>
    <w:rsid w:val="003A4CB5"/>
    <w:rsid w:val="003A4CFD"/>
    <w:rsid w:val="003A4EFA"/>
    <w:rsid w:val="003A5185"/>
    <w:rsid w:val="003A54A6"/>
    <w:rsid w:val="003A54BF"/>
    <w:rsid w:val="003A551B"/>
    <w:rsid w:val="003A55B4"/>
    <w:rsid w:val="003A5628"/>
    <w:rsid w:val="003A5722"/>
    <w:rsid w:val="003A579E"/>
    <w:rsid w:val="003A5885"/>
    <w:rsid w:val="003A58E8"/>
    <w:rsid w:val="003A58EF"/>
    <w:rsid w:val="003A59F5"/>
    <w:rsid w:val="003A5B63"/>
    <w:rsid w:val="003A5C9B"/>
    <w:rsid w:val="003A5CAB"/>
    <w:rsid w:val="003A5D4E"/>
    <w:rsid w:val="003A5D7E"/>
    <w:rsid w:val="003A5F2C"/>
    <w:rsid w:val="003A5F92"/>
    <w:rsid w:val="003A6036"/>
    <w:rsid w:val="003A60E8"/>
    <w:rsid w:val="003A61D1"/>
    <w:rsid w:val="003A628D"/>
    <w:rsid w:val="003A62EA"/>
    <w:rsid w:val="003A648E"/>
    <w:rsid w:val="003A6791"/>
    <w:rsid w:val="003A6869"/>
    <w:rsid w:val="003A6877"/>
    <w:rsid w:val="003A68AE"/>
    <w:rsid w:val="003A68BE"/>
    <w:rsid w:val="003A6A33"/>
    <w:rsid w:val="003A6FFE"/>
    <w:rsid w:val="003A7082"/>
    <w:rsid w:val="003A70F7"/>
    <w:rsid w:val="003A7197"/>
    <w:rsid w:val="003A726F"/>
    <w:rsid w:val="003A72E7"/>
    <w:rsid w:val="003A7329"/>
    <w:rsid w:val="003A732F"/>
    <w:rsid w:val="003A7374"/>
    <w:rsid w:val="003A73DD"/>
    <w:rsid w:val="003A7435"/>
    <w:rsid w:val="003A7479"/>
    <w:rsid w:val="003A7695"/>
    <w:rsid w:val="003A76BC"/>
    <w:rsid w:val="003A780D"/>
    <w:rsid w:val="003A7867"/>
    <w:rsid w:val="003A7936"/>
    <w:rsid w:val="003A79AF"/>
    <w:rsid w:val="003A7B4A"/>
    <w:rsid w:val="003A7CBC"/>
    <w:rsid w:val="003A7E3B"/>
    <w:rsid w:val="003A7F41"/>
    <w:rsid w:val="003A7F77"/>
    <w:rsid w:val="003B0001"/>
    <w:rsid w:val="003B0049"/>
    <w:rsid w:val="003B0063"/>
    <w:rsid w:val="003B00D8"/>
    <w:rsid w:val="003B0172"/>
    <w:rsid w:val="003B017D"/>
    <w:rsid w:val="003B01BE"/>
    <w:rsid w:val="003B02DA"/>
    <w:rsid w:val="003B0370"/>
    <w:rsid w:val="003B041A"/>
    <w:rsid w:val="003B04F0"/>
    <w:rsid w:val="003B0689"/>
    <w:rsid w:val="003B078F"/>
    <w:rsid w:val="003B09F8"/>
    <w:rsid w:val="003B0F32"/>
    <w:rsid w:val="003B0FCE"/>
    <w:rsid w:val="003B12D3"/>
    <w:rsid w:val="003B13C2"/>
    <w:rsid w:val="003B13CF"/>
    <w:rsid w:val="003B14EB"/>
    <w:rsid w:val="003B14FD"/>
    <w:rsid w:val="003B153F"/>
    <w:rsid w:val="003B1674"/>
    <w:rsid w:val="003B16C1"/>
    <w:rsid w:val="003B176D"/>
    <w:rsid w:val="003B1C18"/>
    <w:rsid w:val="003B1D05"/>
    <w:rsid w:val="003B1FB8"/>
    <w:rsid w:val="003B2030"/>
    <w:rsid w:val="003B21B1"/>
    <w:rsid w:val="003B21CC"/>
    <w:rsid w:val="003B21ED"/>
    <w:rsid w:val="003B24A1"/>
    <w:rsid w:val="003B2525"/>
    <w:rsid w:val="003B2535"/>
    <w:rsid w:val="003B25AF"/>
    <w:rsid w:val="003B25DA"/>
    <w:rsid w:val="003B2644"/>
    <w:rsid w:val="003B2776"/>
    <w:rsid w:val="003B280B"/>
    <w:rsid w:val="003B28E3"/>
    <w:rsid w:val="003B299D"/>
    <w:rsid w:val="003B2A06"/>
    <w:rsid w:val="003B2AF7"/>
    <w:rsid w:val="003B2D44"/>
    <w:rsid w:val="003B3054"/>
    <w:rsid w:val="003B30E8"/>
    <w:rsid w:val="003B3160"/>
    <w:rsid w:val="003B3172"/>
    <w:rsid w:val="003B33F3"/>
    <w:rsid w:val="003B34A8"/>
    <w:rsid w:val="003B3539"/>
    <w:rsid w:val="003B366D"/>
    <w:rsid w:val="003B36C4"/>
    <w:rsid w:val="003B37F6"/>
    <w:rsid w:val="003B39CE"/>
    <w:rsid w:val="003B3A23"/>
    <w:rsid w:val="003B3C17"/>
    <w:rsid w:val="003B3C6E"/>
    <w:rsid w:val="003B3D18"/>
    <w:rsid w:val="003B3DF3"/>
    <w:rsid w:val="003B4071"/>
    <w:rsid w:val="003B4190"/>
    <w:rsid w:val="003B42FF"/>
    <w:rsid w:val="003B430E"/>
    <w:rsid w:val="003B4347"/>
    <w:rsid w:val="003B43ED"/>
    <w:rsid w:val="003B447D"/>
    <w:rsid w:val="003B4537"/>
    <w:rsid w:val="003B458B"/>
    <w:rsid w:val="003B465F"/>
    <w:rsid w:val="003B47C9"/>
    <w:rsid w:val="003B482D"/>
    <w:rsid w:val="003B490A"/>
    <w:rsid w:val="003B4A43"/>
    <w:rsid w:val="003B4B66"/>
    <w:rsid w:val="003B4C29"/>
    <w:rsid w:val="003B4CB9"/>
    <w:rsid w:val="003B4DCC"/>
    <w:rsid w:val="003B4F1C"/>
    <w:rsid w:val="003B5026"/>
    <w:rsid w:val="003B50E0"/>
    <w:rsid w:val="003B50FD"/>
    <w:rsid w:val="003B5380"/>
    <w:rsid w:val="003B54B4"/>
    <w:rsid w:val="003B567E"/>
    <w:rsid w:val="003B5747"/>
    <w:rsid w:val="003B584E"/>
    <w:rsid w:val="003B590A"/>
    <w:rsid w:val="003B5A75"/>
    <w:rsid w:val="003B5C77"/>
    <w:rsid w:val="003B5D4C"/>
    <w:rsid w:val="003B5FBB"/>
    <w:rsid w:val="003B605F"/>
    <w:rsid w:val="003B607F"/>
    <w:rsid w:val="003B635C"/>
    <w:rsid w:val="003B6378"/>
    <w:rsid w:val="003B63C3"/>
    <w:rsid w:val="003B6592"/>
    <w:rsid w:val="003B6746"/>
    <w:rsid w:val="003B674D"/>
    <w:rsid w:val="003B67F6"/>
    <w:rsid w:val="003B68E7"/>
    <w:rsid w:val="003B6B2C"/>
    <w:rsid w:val="003B6F43"/>
    <w:rsid w:val="003B6FD2"/>
    <w:rsid w:val="003B705E"/>
    <w:rsid w:val="003B7061"/>
    <w:rsid w:val="003B711F"/>
    <w:rsid w:val="003B729D"/>
    <w:rsid w:val="003B72E3"/>
    <w:rsid w:val="003B72E5"/>
    <w:rsid w:val="003B7331"/>
    <w:rsid w:val="003B7334"/>
    <w:rsid w:val="003B735B"/>
    <w:rsid w:val="003B7376"/>
    <w:rsid w:val="003B737D"/>
    <w:rsid w:val="003B73A2"/>
    <w:rsid w:val="003B7430"/>
    <w:rsid w:val="003B744F"/>
    <w:rsid w:val="003B745D"/>
    <w:rsid w:val="003B7481"/>
    <w:rsid w:val="003B7548"/>
    <w:rsid w:val="003B75FA"/>
    <w:rsid w:val="003B7637"/>
    <w:rsid w:val="003B7698"/>
    <w:rsid w:val="003B77A9"/>
    <w:rsid w:val="003B7888"/>
    <w:rsid w:val="003B7D5B"/>
    <w:rsid w:val="003B7E9E"/>
    <w:rsid w:val="003B7EC8"/>
    <w:rsid w:val="003B7EEC"/>
    <w:rsid w:val="003B7F69"/>
    <w:rsid w:val="003C0000"/>
    <w:rsid w:val="003C0101"/>
    <w:rsid w:val="003C01D0"/>
    <w:rsid w:val="003C02E2"/>
    <w:rsid w:val="003C02FE"/>
    <w:rsid w:val="003C03E6"/>
    <w:rsid w:val="003C0598"/>
    <w:rsid w:val="003C0721"/>
    <w:rsid w:val="003C078E"/>
    <w:rsid w:val="003C07F1"/>
    <w:rsid w:val="003C07FE"/>
    <w:rsid w:val="003C0AE7"/>
    <w:rsid w:val="003C0D4F"/>
    <w:rsid w:val="003C0DAE"/>
    <w:rsid w:val="003C1092"/>
    <w:rsid w:val="003C10FB"/>
    <w:rsid w:val="003C12D1"/>
    <w:rsid w:val="003C12DC"/>
    <w:rsid w:val="003C1373"/>
    <w:rsid w:val="003C145C"/>
    <w:rsid w:val="003C164C"/>
    <w:rsid w:val="003C192D"/>
    <w:rsid w:val="003C19F8"/>
    <w:rsid w:val="003C1A65"/>
    <w:rsid w:val="003C1AE0"/>
    <w:rsid w:val="003C1AFA"/>
    <w:rsid w:val="003C1BA3"/>
    <w:rsid w:val="003C1BF9"/>
    <w:rsid w:val="003C1CB6"/>
    <w:rsid w:val="003C1CE8"/>
    <w:rsid w:val="003C1E3E"/>
    <w:rsid w:val="003C1E5A"/>
    <w:rsid w:val="003C1E5C"/>
    <w:rsid w:val="003C1E88"/>
    <w:rsid w:val="003C1ED9"/>
    <w:rsid w:val="003C20BE"/>
    <w:rsid w:val="003C2142"/>
    <w:rsid w:val="003C222E"/>
    <w:rsid w:val="003C22CD"/>
    <w:rsid w:val="003C2394"/>
    <w:rsid w:val="003C24E5"/>
    <w:rsid w:val="003C26C7"/>
    <w:rsid w:val="003C27CA"/>
    <w:rsid w:val="003C27E1"/>
    <w:rsid w:val="003C2A2F"/>
    <w:rsid w:val="003C2AA1"/>
    <w:rsid w:val="003C2BD5"/>
    <w:rsid w:val="003C2BF6"/>
    <w:rsid w:val="003C2C32"/>
    <w:rsid w:val="003C2CAC"/>
    <w:rsid w:val="003C2D03"/>
    <w:rsid w:val="003C2D0C"/>
    <w:rsid w:val="003C2E88"/>
    <w:rsid w:val="003C2EAB"/>
    <w:rsid w:val="003C2EFD"/>
    <w:rsid w:val="003C2FF4"/>
    <w:rsid w:val="003C3005"/>
    <w:rsid w:val="003C323D"/>
    <w:rsid w:val="003C33C6"/>
    <w:rsid w:val="003C346C"/>
    <w:rsid w:val="003C35EB"/>
    <w:rsid w:val="003C3640"/>
    <w:rsid w:val="003C3694"/>
    <w:rsid w:val="003C36B0"/>
    <w:rsid w:val="003C3704"/>
    <w:rsid w:val="003C3714"/>
    <w:rsid w:val="003C3717"/>
    <w:rsid w:val="003C3811"/>
    <w:rsid w:val="003C38DA"/>
    <w:rsid w:val="003C3924"/>
    <w:rsid w:val="003C3B3E"/>
    <w:rsid w:val="003C3B97"/>
    <w:rsid w:val="003C3D22"/>
    <w:rsid w:val="003C3D36"/>
    <w:rsid w:val="003C3E34"/>
    <w:rsid w:val="003C3EEE"/>
    <w:rsid w:val="003C40CE"/>
    <w:rsid w:val="003C41D6"/>
    <w:rsid w:val="003C41EB"/>
    <w:rsid w:val="003C41EF"/>
    <w:rsid w:val="003C41FE"/>
    <w:rsid w:val="003C4252"/>
    <w:rsid w:val="003C440A"/>
    <w:rsid w:val="003C457E"/>
    <w:rsid w:val="003C4671"/>
    <w:rsid w:val="003C4783"/>
    <w:rsid w:val="003C4798"/>
    <w:rsid w:val="003C48D1"/>
    <w:rsid w:val="003C48DD"/>
    <w:rsid w:val="003C48F4"/>
    <w:rsid w:val="003C4902"/>
    <w:rsid w:val="003C492F"/>
    <w:rsid w:val="003C495B"/>
    <w:rsid w:val="003C4963"/>
    <w:rsid w:val="003C4A65"/>
    <w:rsid w:val="003C4AFD"/>
    <w:rsid w:val="003C4C05"/>
    <w:rsid w:val="003C4E65"/>
    <w:rsid w:val="003C4EA5"/>
    <w:rsid w:val="003C5071"/>
    <w:rsid w:val="003C5239"/>
    <w:rsid w:val="003C527C"/>
    <w:rsid w:val="003C53F0"/>
    <w:rsid w:val="003C54B7"/>
    <w:rsid w:val="003C5527"/>
    <w:rsid w:val="003C5679"/>
    <w:rsid w:val="003C5745"/>
    <w:rsid w:val="003C581D"/>
    <w:rsid w:val="003C58EA"/>
    <w:rsid w:val="003C5BD6"/>
    <w:rsid w:val="003C5CA0"/>
    <w:rsid w:val="003C5CF0"/>
    <w:rsid w:val="003C5CFE"/>
    <w:rsid w:val="003C5D98"/>
    <w:rsid w:val="003C5E16"/>
    <w:rsid w:val="003C5E87"/>
    <w:rsid w:val="003C5FA3"/>
    <w:rsid w:val="003C6037"/>
    <w:rsid w:val="003C60AD"/>
    <w:rsid w:val="003C60DB"/>
    <w:rsid w:val="003C6347"/>
    <w:rsid w:val="003C63DB"/>
    <w:rsid w:val="003C6509"/>
    <w:rsid w:val="003C657C"/>
    <w:rsid w:val="003C65DE"/>
    <w:rsid w:val="003C6644"/>
    <w:rsid w:val="003C664F"/>
    <w:rsid w:val="003C6915"/>
    <w:rsid w:val="003C695D"/>
    <w:rsid w:val="003C6C2D"/>
    <w:rsid w:val="003C6C78"/>
    <w:rsid w:val="003C6D20"/>
    <w:rsid w:val="003C6D49"/>
    <w:rsid w:val="003C6D5C"/>
    <w:rsid w:val="003C6E0E"/>
    <w:rsid w:val="003C6E28"/>
    <w:rsid w:val="003C6FFA"/>
    <w:rsid w:val="003C7002"/>
    <w:rsid w:val="003C70DB"/>
    <w:rsid w:val="003C710B"/>
    <w:rsid w:val="003C71D3"/>
    <w:rsid w:val="003C7357"/>
    <w:rsid w:val="003C771A"/>
    <w:rsid w:val="003C772C"/>
    <w:rsid w:val="003C7804"/>
    <w:rsid w:val="003C7A62"/>
    <w:rsid w:val="003C7A64"/>
    <w:rsid w:val="003C7ADD"/>
    <w:rsid w:val="003C7E71"/>
    <w:rsid w:val="003C7E7A"/>
    <w:rsid w:val="003D017C"/>
    <w:rsid w:val="003D02D3"/>
    <w:rsid w:val="003D032C"/>
    <w:rsid w:val="003D0537"/>
    <w:rsid w:val="003D057C"/>
    <w:rsid w:val="003D067F"/>
    <w:rsid w:val="003D069A"/>
    <w:rsid w:val="003D0722"/>
    <w:rsid w:val="003D07AF"/>
    <w:rsid w:val="003D07E2"/>
    <w:rsid w:val="003D0AED"/>
    <w:rsid w:val="003D0BF9"/>
    <w:rsid w:val="003D0C5C"/>
    <w:rsid w:val="003D0D5B"/>
    <w:rsid w:val="003D0DFA"/>
    <w:rsid w:val="003D0E1C"/>
    <w:rsid w:val="003D1016"/>
    <w:rsid w:val="003D1106"/>
    <w:rsid w:val="003D116D"/>
    <w:rsid w:val="003D1197"/>
    <w:rsid w:val="003D1201"/>
    <w:rsid w:val="003D138A"/>
    <w:rsid w:val="003D147D"/>
    <w:rsid w:val="003D17EC"/>
    <w:rsid w:val="003D196D"/>
    <w:rsid w:val="003D1BCA"/>
    <w:rsid w:val="003D1C0D"/>
    <w:rsid w:val="003D1CE1"/>
    <w:rsid w:val="003D1DB3"/>
    <w:rsid w:val="003D1E17"/>
    <w:rsid w:val="003D1E81"/>
    <w:rsid w:val="003D1F05"/>
    <w:rsid w:val="003D1F88"/>
    <w:rsid w:val="003D1FD7"/>
    <w:rsid w:val="003D203A"/>
    <w:rsid w:val="003D20E8"/>
    <w:rsid w:val="003D2237"/>
    <w:rsid w:val="003D24B6"/>
    <w:rsid w:val="003D26CC"/>
    <w:rsid w:val="003D27C0"/>
    <w:rsid w:val="003D288A"/>
    <w:rsid w:val="003D28DE"/>
    <w:rsid w:val="003D28FD"/>
    <w:rsid w:val="003D2A0C"/>
    <w:rsid w:val="003D2B95"/>
    <w:rsid w:val="003D2D62"/>
    <w:rsid w:val="003D2D63"/>
    <w:rsid w:val="003D2E4C"/>
    <w:rsid w:val="003D2EDC"/>
    <w:rsid w:val="003D304D"/>
    <w:rsid w:val="003D30C7"/>
    <w:rsid w:val="003D31F2"/>
    <w:rsid w:val="003D3205"/>
    <w:rsid w:val="003D3246"/>
    <w:rsid w:val="003D3345"/>
    <w:rsid w:val="003D33E9"/>
    <w:rsid w:val="003D3401"/>
    <w:rsid w:val="003D3441"/>
    <w:rsid w:val="003D347A"/>
    <w:rsid w:val="003D3568"/>
    <w:rsid w:val="003D362C"/>
    <w:rsid w:val="003D3731"/>
    <w:rsid w:val="003D389F"/>
    <w:rsid w:val="003D3915"/>
    <w:rsid w:val="003D39BE"/>
    <w:rsid w:val="003D3A7C"/>
    <w:rsid w:val="003D3B22"/>
    <w:rsid w:val="003D3BFB"/>
    <w:rsid w:val="003D3C05"/>
    <w:rsid w:val="003D3C0A"/>
    <w:rsid w:val="003D3C23"/>
    <w:rsid w:val="003D3CA5"/>
    <w:rsid w:val="003D3D48"/>
    <w:rsid w:val="003D40A2"/>
    <w:rsid w:val="003D40F8"/>
    <w:rsid w:val="003D41C4"/>
    <w:rsid w:val="003D41D6"/>
    <w:rsid w:val="003D41DB"/>
    <w:rsid w:val="003D42AB"/>
    <w:rsid w:val="003D4688"/>
    <w:rsid w:val="003D47CE"/>
    <w:rsid w:val="003D4A0D"/>
    <w:rsid w:val="003D4AA4"/>
    <w:rsid w:val="003D4ADE"/>
    <w:rsid w:val="003D4C09"/>
    <w:rsid w:val="003D4C43"/>
    <w:rsid w:val="003D4C6A"/>
    <w:rsid w:val="003D4D1D"/>
    <w:rsid w:val="003D4FB2"/>
    <w:rsid w:val="003D509C"/>
    <w:rsid w:val="003D51EF"/>
    <w:rsid w:val="003D5517"/>
    <w:rsid w:val="003D59FC"/>
    <w:rsid w:val="003D5CA8"/>
    <w:rsid w:val="003D5CE3"/>
    <w:rsid w:val="003D5D07"/>
    <w:rsid w:val="003D5DE5"/>
    <w:rsid w:val="003D5F8D"/>
    <w:rsid w:val="003D61B4"/>
    <w:rsid w:val="003D6555"/>
    <w:rsid w:val="003D65FD"/>
    <w:rsid w:val="003D662F"/>
    <w:rsid w:val="003D68AC"/>
    <w:rsid w:val="003D6902"/>
    <w:rsid w:val="003D69FC"/>
    <w:rsid w:val="003D6A6D"/>
    <w:rsid w:val="003D6AC7"/>
    <w:rsid w:val="003D6C73"/>
    <w:rsid w:val="003D6DBD"/>
    <w:rsid w:val="003D6DC6"/>
    <w:rsid w:val="003D6F21"/>
    <w:rsid w:val="003D6FA1"/>
    <w:rsid w:val="003D7037"/>
    <w:rsid w:val="003D7145"/>
    <w:rsid w:val="003D716B"/>
    <w:rsid w:val="003D736D"/>
    <w:rsid w:val="003D7430"/>
    <w:rsid w:val="003D74C9"/>
    <w:rsid w:val="003D76AE"/>
    <w:rsid w:val="003D76ED"/>
    <w:rsid w:val="003D775E"/>
    <w:rsid w:val="003D77C5"/>
    <w:rsid w:val="003D7A43"/>
    <w:rsid w:val="003D7B1B"/>
    <w:rsid w:val="003D7D0F"/>
    <w:rsid w:val="003D7DD6"/>
    <w:rsid w:val="003D7E8C"/>
    <w:rsid w:val="003D7F2C"/>
    <w:rsid w:val="003D7FB9"/>
    <w:rsid w:val="003E0114"/>
    <w:rsid w:val="003E0717"/>
    <w:rsid w:val="003E0730"/>
    <w:rsid w:val="003E0787"/>
    <w:rsid w:val="003E07C7"/>
    <w:rsid w:val="003E082A"/>
    <w:rsid w:val="003E087F"/>
    <w:rsid w:val="003E0A37"/>
    <w:rsid w:val="003E0A41"/>
    <w:rsid w:val="003E0BDE"/>
    <w:rsid w:val="003E0BE9"/>
    <w:rsid w:val="003E0D28"/>
    <w:rsid w:val="003E0D3F"/>
    <w:rsid w:val="003E0DBC"/>
    <w:rsid w:val="003E0FBF"/>
    <w:rsid w:val="003E1005"/>
    <w:rsid w:val="003E10D7"/>
    <w:rsid w:val="003E1193"/>
    <w:rsid w:val="003E11B0"/>
    <w:rsid w:val="003E12FC"/>
    <w:rsid w:val="003E1558"/>
    <w:rsid w:val="003E160D"/>
    <w:rsid w:val="003E16C6"/>
    <w:rsid w:val="003E1899"/>
    <w:rsid w:val="003E19A4"/>
    <w:rsid w:val="003E1AF0"/>
    <w:rsid w:val="003E1CA9"/>
    <w:rsid w:val="003E1EA8"/>
    <w:rsid w:val="003E2003"/>
    <w:rsid w:val="003E2134"/>
    <w:rsid w:val="003E21CE"/>
    <w:rsid w:val="003E23AA"/>
    <w:rsid w:val="003E2426"/>
    <w:rsid w:val="003E2452"/>
    <w:rsid w:val="003E2493"/>
    <w:rsid w:val="003E24B2"/>
    <w:rsid w:val="003E24CD"/>
    <w:rsid w:val="003E26DF"/>
    <w:rsid w:val="003E295A"/>
    <w:rsid w:val="003E2BCF"/>
    <w:rsid w:val="003E2CB4"/>
    <w:rsid w:val="003E2DA5"/>
    <w:rsid w:val="003E2DBE"/>
    <w:rsid w:val="003E2DC6"/>
    <w:rsid w:val="003E2E54"/>
    <w:rsid w:val="003E2E9E"/>
    <w:rsid w:val="003E2ED2"/>
    <w:rsid w:val="003E2FB3"/>
    <w:rsid w:val="003E3047"/>
    <w:rsid w:val="003E30B8"/>
    <w:rsid w:val="003E30C4"/>
    <w:rsid w:val="003E32DB"/>
    <w:rsid w:val="003E3494"/>
    <w:rsid w:val="003E3511"/>
    <w:rsid w:val="003E3576"/>
    <w:rsid w:val="003E358D"/>
    <w:rsid w:val="003E372C"/>
    <w:rsid w:val="003E3739"/>
    <w:rsid w:val="003E3782"/>
    <w:rsid w:val="003E3904"/>
    <w:rsid w:val="003E3A17"/>
    <w:rsid w:val="003E3A52"/>
    <w:rsid w:val="003E3DD5"/>
    <w:rsid w:val="003E3E48"/>
    <w:rsid w:val="003E3E55"/>
    <w:rsid w:val="003E3F44"/>
    <w:rsid w:val="003E3F7B"/>
    <w:rsid w:val="003E41D8"/>
    <w:rsid w:val="003E4233"/>
    <w:rsid w:val="003E43D8"/>
    <w:rsid w:val="003E453F"/>
    <w:rsid w:val="003E4696"/>
    <w:rsid w:val="003E476A"/>
    <w:rsid w:val="003E47CC"/>
    <w:rsid w:val="003E47D7"/>
    <w:rsid w:val="003E47E8"/>
    <w:rsid w:val="003E4835"/>
    <w:rsid w:val="003E4901"/>
    <w:rsid w:val="003E492E"/>
    <w:rsid w:val="003E49E1"/>
    <w:rsid w:val="003E4A6B"/>
    <w:rsid w:val="003E4AC2"/>
    <w:rsid w:val="003E4B88"/>
    <w:rsid w:val="003E4C28"/>
    <w:rsid w:val="003E4C90"/>
    <w:rsid w:val="003E4D1C"/>
    <w:rsid w:val="003E4E61"/>
    <w:rsid w:val="003E4F02"/>
    <w:rsid w:val="003E4F5E"/>
    <w:rsid w:val="003E506C"/>
    <w:rsid w:val="003E51CB"/>
    <w:rsid w:val="003E529B"/>
    <w:rsid w:val="003E546E"/>
    <w:rsid w:val="003E54E4"/>
    <w:rsid w:val="003E578B"/>
    <w:rsid w:val="003E57E0"/>
    <w:rsid w:val="003E5901"/>
    <w:rsid w:val="003E5943"/>
    <w:rsid w:val="003E5981"/>
    <w:rsid w:val="003E59F4"/>
    <w:rsid w:val="003E5A0F"/>
    <w:rsid w:val="003E5B5C"/>
    <w:rsid w:val="003E5CD5"/>
    <w:rsid w:val="003E5DA7"/>
    <w:rsid w:val="003E5E00"/>
    <w:rsid w:val="003E5E94"/>
    <w:rsid w:val="003E6015"/>
    <w:rsid w:val="003E60C7"/>
    <w:rsid w:val="003E60E1"/>
    <w:rsid w:val="003E6132"/>
    <w:rsid w:val="003E6189"/>
    <w:rsid w:val="003E62F4"/>
    <w:rsid w:val="003E63C4"/>
    <w:rsid w:val="003E6575"/>
    <w:rsid w:val="003E676C"/>
    <w:rsid w:val="003E6908"/>
    <w:rsid w:val="003E6913"/>
    <w:rsid w:val="003E694D"/>
    <w:rsid w:val="003E694E"/>
    <w:rsid w:val="003E6A2D"/>
    <w:rsid w:val="003E6B21"/>
    <w:rsid w:val="003E6C71"/>
    <w:rsid w:val="003E6D16"/>
    <w:rsid w:val="003E6DD8"/>
    <w:rsid w:val="003E6E28"/>
    <w:rsid w:val="003E6ECE"/>
    <w:rsid w:val="003E6F32"/>
    <w:rsid w:val="003E7114"/>
    <w:rsid w:val="003E7145"/>
    <w:rsid w:val="003E71C3"/>
    <w:rsid w:val="003E7225"/>
    <w:rsid w:val="003E7378"/>
    <w:rsid w:val="003E73A6"/>
    <w:rsid w:val="003E768A"/>
    <w:rsid w:val="003E7788"/>
    <w:rsid w:val="003E77CC"/>
    <w:rsid w:val="003E7985"/>
    <w:rsid w:val="003E7A4E"/>
    <w:rsid w:val="003E7AAB"/>
    <w:rsid w:val="003E7AB2"/>
    <w:rsid w:val="003E7B66"/>
    <w:rsid w:val="003E7BEB"/>
    <w:rsid w:val="003E7CB4"/>
    <w:rsid w:val="003E7D36"/>
    <w:rsid w:val="003E7DF2"/>
    <w:rsid w:val="003E7E47"/>
    <w:rsid w:val="003E7E8F"/>
    <w:rsid w:val="003E7F01"/>
    <w:rsid w:val="003E7F07"/>
    <w:rsid w:val="003E7F60"/>
    <w:rsid w:val="003E7F8A"/>
    <w:rsid w:val="003E7F97"/>
    <w:rsid w:val="003F0106"/>
    <w:rsid w:val="003F0117"/>
    <w:rsid w:val="003F021A"/>
    <w:rsid w:val="003F0257"/>
    <w:rsid w:val="003F02D3"/>
    <w:rsid w:val="003F03DB"/>
    <w:rsid w:val="003F05F8"/>
    <w:rsid w:val="003F0761"/>
    <w:rsid w:val="003F07A0"/>
    <w:rsid w:val="003F07C6"/>
    <w:rsid w:val="003F0825"/>
    <w:rsid w:val="003F08C0"/>
    <w:rsid w:val="003F0933"/>
    <w:rsid w:val="003F0C09"/>
    <w:rsid w:val="003F0C20"/>
    <w:rsid w:val="003F0CCC"/>
    <w:rsid w:val="003F0D9D"/>
    <w:rsid w:val="003F0DEE"/>
    <w:rsid w:val="003F0EC3"/>
    <w:rsid w:val="003F0F7C"/>
    <w:rsid w:val="003F1016"/>
    <w:rsid w:val="003F1078"/>
    <w:rsid w:val="003F114A"/>
    <w:rsid w:val="003F11BE"/>
    <w:rsid w:val="003F1292"/>
    <w:rsid w:val="003F1452"/>
    <w:rsid w:val="003F14D6"/>
    <w:rsid w:val="003F1504"/>
    <w:rsid w:val="003F15C3"/>
    <w:rsid w:val="003F169F"/>
    <w:rsid w:val="003F1740"/>
    <w:rsid w:val="003F177E"/>
    <w:rsid w:val="003F18D2"/>
    <w:rsid w:val="003F18F0"/>
    <w:rsid w:val="003F198E"/>
    <w:rsid w:val="003F1A5F"/>
    <w:rsid w:val="003F1A7E"/>
    <w:rsid w:val="003F1AE2"/>
    <w:rsid w:val="003F1BB8"/>
    <w:rsid w:val="003F1CBD"/>
    <w:rsid w:val="003F1CE1"/>
    <w:rsid w:val="003F1DFD"/>
    <w:rsid w:val="003F1E99"/>
    <w:rsid w:val="003F1EC4"/>
    <w:rsid w:val="003F2089"/>
    <w:rsid w:val="003F2121"/>
    <w:rsid w:val="003F2147"/>
    <w:rsid w:val="003F22F2"/>
    <w:rsid w:val="003F24A6"/>
    <w:rsid w:val="003F256B"/>
    <w:rsid w:val="003F2876"/>
    <w:rsid w:val="003F2A65"/>
    <w:rsid w:val="003F2B4F"/>
    <w:rsid w:val="003F2B58"/>
    <w:rsid w:val="003F2B86"/>
    <w:rsid w:val="003F2C1C"/>
    <w:rsid w:val="003F2CFC"/>
    <w:rsid w:val="003F2D1B"/>
    <w:rsid w:val="003F2D7F"/>
    <w:rsid w:val="003F2DA5"/>
    <w:rsid w:val="003F2E1E"/>
    <w:rsid w:val="003F2FC1"/>
    <w:rsid w:val="003F30AB"/>
    <w:rsid w:val="003F30E2"/>
    <w:rsid w:val="003F3120"/>
    <w:rsid w:val="003F3196"/>
    <w:rsid w:val="003F31D3"/>
    <w:rsid w:val="003F31E7"/>
    <w:rsid w:val="003F3208"/>
    <w:rsid w:val="003F327E"/>
    <w:rsid w:val="003F32E2"/>
    <w:rsid w:val="003F3432"/>
    <w:rsid w:val="003F34C4"/>
    <w:rsid w:val="003F35B4"/>
    <w:rsid w:val="003F3952"/>
    <w:rsid w:val="003F3953"/>
    <w:rsid w:val="003F3AE8"/>
    <w:rsid w:val="003F3C59"/>
    <w:rsid w:val="003F3D5A"/>
    <w:rsid w:val="003F3EAA"/>
    <w:rsid w:val="003F3FDC"/>
    <w:rsid w:val="003F4229"/>
    <w:rsid w:val="003F42B8"/>
    <w:rsid w:val="003F4483"/>
    <w:rsid w:val="003F44AA"/>
    <w:rsid w:val="003F4589"/>
    <w:rsid w:val="003F45DF"/>
    <w:rsid w:val="003F45E4"/>
    <w:rsid w:val="003F4607"/>
    <w:rsid w:val="003F4676"/>
    <w:rsid w:val="003F4701"/>
    <w:rsid w:val="003F475E"/>
    <w:rsid w:val="003F4764"/>
    <w:rsid w:val="003F47F1"/>
    <w:rsid w:val="003F4A20"/>
    <w:rsid w:val="003F4A43"/>
    <w:rsid w:val="003F4CB4"/>
    <w:rsid w:val="003F4DA9"/>
    <w:rsid w:val="003F4E70"/>
    <w:rsid w:val="003F4E77"/>
    <w:rsid w:val="003F501D"/>
    <w:rsid w:val="003F504D"/>
    <w:rsid w:val="003F506C"/>
    <w:rsid w:val="003F517A"/>
    <w:rsid w:val="003F51B6"/>
    <w:rsid w:val="003F520A"/>
    <w:rsid w:val="003F5268"/>
    <w:rsid w:val="003F52E0"/>
    <w:rsid w:val="003F548C"/>
    <w:rsid w:val="003F55BA"/>
    <w:rsid w:val="003F56EF"/>
    <w:rsid w:val="003F5704"/>
    <w:rsid w:val="003F577E"/>
    <w:rsid w:val="003F579D"/>
    <w:rsid w:val="003F5836"/>
    <w:rsid w:val="003F5848"/>
    <w:rsid w:val="003F5872"/>
    <w:rsid w:val="003F587D"/>
    <w:rsid w:val="003F5886"/>
    <w:rsid w:val="003F599E"/>
    <w:rsid w:val="003F5B3E"/>
    <w:rsid w:val="003F5BA6"/>
    <w:rsid w:val="003F5BD5"/>
    <w:rsid w:val="003F5D1A"/>
    <w:rsid w:val="003F5D49"/>
    <w:rsid w:val="003F5DD7"/>
    <w:rsid w:val="003F5E2E"/>
    <w:rsid w:val="003F5E6D"/>
    <w:rsid w:val="003F5F58"/>
    <w:rsid w:val="003F60C8"/>
    <w:rsid w:val="003F60F8"/>
    <w:rsid w:val="003F627A"/>
    <w:rsid w:val="003F62D8"/>
    <w:rsid w:val="003F6373"/>
    <w:rsid w:val="003F63D7"/>
    <w:rsid w:val="003F63E8"/>
    <w:rsid w:val="003F6486"/>
    <w:rsid w:val="003F64EF"/>
    <w:rsid w:val="003F654A"/>
    <w:rsid w:val="003F6716"/>
    <w:rsid w:val="003F687F"/>
    <w:rsid w:val="003F68F0"/>
    <w:rsid w:val="003F6917"/>
    <w:rsid w:val="003F6A37"/>
    <w:rsid w:val="003F6EFF"/>
    <w:rsid w:val="003F719B"/>
    <w:rsid w:val="003F71AD"/>
    <w:rsid w:val="003F71D5"/>
    <w:rsid w:val="003F72CB"/>
    <w:rsid w:val="003F73CB"/>
    <w:rsid w:val="003F73D8"/>
    <w:rsid w:val="003F748F"/>
    <w:rsid w:val="003F74F7"/>
    <w:rsid w:val="003F7621"/>
    <w:rsid w:val="003F76A7"/>
    <w:rsid w:val="003F776B"/>
    <w:rsid w:val="003F785C"/>
    <w:rsid w:val="003F7C3A"/>
    <w:rsid w:val="003F7C65"/>
    <w:rsid w:val="003F7D15"/>
    <w:rsid w:val="003F7E5C"/>
    <w:rsid w:val="003F7E61"/>
    <w:rsid w:val="003F7ECB"/>
    <w:rsid w:val="003F7EEC"/>
    <w:rsid w:val="004001E4"/>
    <w:rsid w:val="00400209"/>
    <w:rsid w:val="0040020C"/>
    <w:rsid w:val="00400238"/>
    <w:rsid w:val="004005D8"/>
    <w:rsid w:val="004008C1"/>
    <w:rsid w:val="00400991"/>
    <w:rsid w:val="00400D4A"/>
    <w:rsid w:val="00400D95"/>
    <w:rsid w:val="00400EAE"/>
    <w:rsid w:val="00400F29"/>
    <w:rsid w:val="00400FC3"/>
    <w:rsid w:val="0040102F"/>
    <w:rsid w:val="00401321"/>
    <w:rsid w:val="004013D9"/>
    <w:rsid w:val="00401417"/>
    <w:rsid w:val="00401523"/>
    <w:rsid w:val="0040152B"/>
    <w:rsid w:val="004015E2"/>
    <w:rsid w:val="004018AA"/>
    <w:rsid w:val="00401AC3"/>
    <w:rsid w:val="00401C13"/>
    <w:rsid w:val="00401CA0"/>
    <w:rsid w:val="00401D45"/>
    <w:rsid w:val="00401F7D"/>
    <w:rsid w:val="00402076"/>
    <w:rsid w:val="0040217F"/>
    <w:rsid w:val="004022D8"/>
    <w:rsid w:val="004023A5"/>
    <w:rsid w:val="00402675"/>
    <w:rsid w:val="004026E0"/>
    <w:rsid w:val="0040270D"/>
    <w:rsid w:val="0040297B"/>
    <w:rsid w:val="00402B1C"/>
    <w:rsid w:val="00402B5E"/>
    <w:rsid w:val="00402E49"/>
    <w:rsid w:val="00403031"/>
    <w:rsid w:val="00403094"/>
    <w:rsid w:val="004032A2"/>
    <w:rsid w:val="004032DC"/>
    <w:rsid w:val="0040331C"/>
    <w:rsid w:val="00403460"/>
    <w:rsid w:val="004034CB"/>
    <w:rsid w:val="004035D3"/>
    <w:rsid w:val="004036E5"/>
    <w:rsid w:val="00403AAD"/>
    <w:rsid w:val="00403B89"/>
    <w:rsid w:val="00403C22"/>
    <w:rsid w:val="00403C3E"/>
    <w:rsid w:val="00403CF4"/>
    <w:rsid w:val="00403D65"/>
    <w:rsid w:val="00403E8A"/>
    <w:rsid w:val="00403F46"/>
    <w:rsid w:val="0040404A"/>
    <w:rsid w:val="0040405D"/>
    <w:rsid w:val="004040D9"/>
    <w:rsid w:val="00404109"/>
    <w:rsid w:val="00404167"/>
    <w:rsid w:val="0040416D"/>
    <w:rsid w:val="004041D0"/>
    <w:rsid w:val="004041D5"/>
    <w:rsid w:val="00404466"/>
    <w:rsid w:val="004044F1"/>
    <w:rsid w:val="00404501"/>
    <w:rsid w:val="004045E0"/>
    <w:rsid w:val="0040489D"/>
    <w:rsid w:val="00404B0E"/>
    <w:rsid w:val="00404B3D"/>
    <w:rsid w:val="00404C7F"/>
    <w:rsid w:val="00404D56"/>
    <w:rsid w:val="00404D84"/>
    <w:rsid w:val="00404D96"/>
    <w:rsid w:val="00404FBB"/>
    <w:rsid w:val="00404FC2"/>
    <w:rsid w:val="0040500F"/>
    <w:rsid w:val="00405140"/>
    <w:rsid w:val="0040521C"/>
    <w:rsid w:val="00405405"/>
    <w:rsid w:val="004054D6"/>
    <w:rsid w:val="00405697"/>
    <w:rsid w:val="004056C9"/>
    <w:rsid w:val="0040580D"/>
    <w:rsid w:val="00405840"/>
    <w:rsid w:val="00405893"/>
    <w:rsid w:val="00405B05"/>
    <w:rsid w:val="00405C81"/>
    <w:rsid w:val="00405D38"/>
    <w:rsid w:val="00405E21"/>
    <w:rsid w:val="00405E24"/>
    <w:rsid w:val="00405ED0"/>
    <w:rsid w:val="00405EDB"/>
    <w:rsid w:val="00405F5A"/>
    <w:rsid w:val="0040621F"/>
    <w:rsid w:val="004062F6"/>
    <w:rsid w:val="0040635B"/>
    <w:rsid w:val="00406414"/>
    <w:rsid w:val="00406444"/>
    <w:rsid w:val="00406675"/>
    <w:rsid w:val="004066D4"/>
    <w:rsid w:val="00406730"/>
    <w:rsid w:val="00406794"/>
    <w:rsid w:val="004069F1"/>
    <w:rsid w:val="004069FB"/>
    <w:rsid w:val="00406B19"/>
    <w:rsid w:val="00406BB9"/>
    <w:rsid w:val="00406C59"/>
    <w:rsid w:val="00406E01"/>
    <w:rsid w:val="00406F0F"/>
    <w:rsid w:val="00406F88"/>
    <w:rsid w:val="0040700B"/>
    <w:rsid w:val="004070FA"/>
    <w:rsid w:val="00407186"/>
    <w:rsid w:val="004071A1"/>
    <w:rsid w:val="00407254"/>
    <w:rsid w:val="00407291"/>
    <w:rsid w:val="004072A9"/>
    <w:rsid w:val="004073E1"/>
    <w:rsid w:val="004074AE"/>
    <w:rsid w:val="00407766"/>
    <w:rsid w:val="00407860"/>
    <w:rsid w:val="0040788C"/>
    <w:rsid w:val="0040798A"/>
    <w:rsid w:val="00407D9E"/>
    <w:rsid w:val="00407EF8"/>
    <w:rsid w:val="00407F06"/>
    <w:rsid w:val="00407F54"/>
    <w:rsid w:val="004100CC"/>
    <w:rsid w:val="00410112"/>
    <w:rsid w:val="00410187"/>
    <w:rsid w:val="004101FB"/>
    <w:rsid w:val="00410273"/>
    <w:rsid w:val="00410360"/>
    <w:rsid w:val="0041043C"/>
    <w:rsid w:val="00410501"/>
    <w:rsid w:val="00410520"/>
    <w:rsid w:val="004106EF"/>
    <w:rsid w:val="00410953"/>
    <w:rsid w:val="00410A43"/>
    <w:rsid w:val="00410B28"/>
    <w:rsid w:val="00410F4C"/>
    <w:rsid w:val="00410F70"/>
    <w:rsid w:val="00411341"/>
    <w:rsid w:val="0041140B"/>
    <w:rsid w:val="0041144F"/>
    <w:rsid w:val="0041153C"/>
    <w:rsid w:val="00411578"/>
    <w:rsid w:val="00411671"/>
    <w:rsid w:val="004116BC"/>
    <w:rsid w:val="00411832"/>
    <w:rsid w:val="004119B7"/>
    <w:rsid w:val="004119BE"/>
    <w:rsid w:val="00411A77"/>
    <w:rsid w:val="00411B35"/>
    <w:rsid w:val="00411BC9"/>
    <w:rsid w:val="00411D54"/>
    <w:rsid w:val="00411E01"/>
    <w:rsid w:val="00411E52"/>
    <w:rsid w:val="00412192"/>
    <w:rsid w:val="00412281"/>
    <w:rsid w:val="004122CF"/>
    <w:rsid w:val="004123B8"/>
    <w:rsid w:val="00412402"/>
    <w:rsid w:val="0041242C"/>
    <w:rsid w:val="004124E4"/>
    <w:rsid w:val="00412590"/>
    <w:rsid w:val="00412596"/>
    <w:rsid w:val="00412639"/>
    <w:rsid w:val="0041267B"/>
    <w:rsid w:val="0041268E"/>
    <w:rsid w:val="004127B0"/>
    <w:rsid w:val="004127E6"/>
    <w:rsid w:val="004128DE"/>
    <w:rsid w:val="0041293A"/>
    <w:rsid w:val="00412C9E"/>
    <w:rsid w:val="00412DAD"/>
    <w:rsid w:val="00412FA2"/>
    <w:rsid w:val="00412FD3"/>
    <w:rsid w:val="004130FD"/>
    <w:rsid w:val="0041312D"/>
    <w:rsid w:val="00413280"/>
    <w:rsid w:val="0041338B"/>
    <w:rsid w:val="004133D8"/>
    <w:rsid w:val="00413598"/>
    <w:rsid w:val="0041372F"/>
    <w:rsid w:val="00413732"/>
    <w:rsid w:val="0041376C"/>
    <w:rsid w:val="004137E9"/>
    <w:rsid w:val="00413912"/>
    <w:rsid w:val="00413933"/>
    <w:rsid w:val="0041393C"/>
    <w:rsid w:val="00413966"/>
    <w:rsid w:val="00413985"/>
    <w:rsid w:val="004139A8"/>
    <w:rsid w:val="00413A24"/>
    <w:rsid w:val="00413C32"/>
    <w:rsid w:val="00413F06"/>
    <w:rsid w:val="00413F99"/>
    <w:rsid w:val="0041404D"/>
    <w:rsid w:val="00414098"/>
    <w:rsid w:val="0041445F"/>
    <w:rsid w:val="00414467"/>
    <w:rsid w:val="00414494"/>
    <w:rsid w:val="004144BC"/>
    <w:rsid w:val="00414543"/>
    <w:rsid w:val="0041459A"/>
    <w:rsid w:val="00414671"/>
    <w:rsid w:val="00414693"/>
    <w:rsid w:val="00414841"/>
    <w:rsid w:val="004148FB"/>
    <w:rsid w:val="00414A2C"/>
    <w:rsid w:val="00414A47"/>
    <w:rsid w:val="00414AB9"/>
    <w:rsid w:val="00414B77"/>
    <w:rsid w:val="00414C0D"/>
    <w:rsid w:val="00414C16"/>
    <w:rsid w:val="00414D6D"/>
    <w:rsid w:val="00414D78"/>
    <w:rsid w:val="00414DF4"/>
    <w:rsid w:val="00414F4D"/>
    <w:rsid w:val="00414FBE"/>
    <w:rsid w:val="00415015"/>
    <w:rsid w:val="004151FD"/>
    <w:rsid w:val="004152B0"/>
    <w:rsid w:val="0041539C"/>
    <w:rsid w:val="004153D2"/>
    <w:rsid w:val="004155CD"/>
    <w:rsid w:val="0041589E"/>
    <w:rsid w:val="00415948"/>
    <w:rsid w:val="00415A1D"/>
    <w:rsid w:val="00415B82"/>
    <w:rsid w:val="00415C41"/>
    <w:rsid w:val="00415C43"/>
    <w:rsid w:val="00415C50"/>
    <w:rsid w:val="00415C7E"/>
    <w:rsid w:val="00415CDB"/>
    <w:rsid w:val="00415DB9"/>
    <w:rsid w:val="00415E32"/>
    <w:rsid w:val="00415E3B"/>
    <w:rsid w:val="00416101"/>
    <w:rsid w:val="00416228"/>
    <w:rsid w:val="004164FD"/>
    <w:rsid w:val="00416532"/>
    <w:rsid w:val="0041673A"/>
    <w:rsid w:val="00416AF9"/>
    <w:rsid w:val="00416B9F"/>
    <w:rsid w:val="00416CF2"/>
    <w:rsid w:val="00416D16"/>
    <w:rsid w:val="00416E6C"/>
    <w:rsid w:val="00416E7B"/>
    <w:rsid w:val="00416FB5"/>
    <w:rsid w:val="00417030"/>
    <w:rsid w:val="0041703D"/>
    <w:rsid w:val="004170AF"/>
    <w:rsid w:val="0041731B"/>
    <w:rsid w:val="0041745B"/>
    <w:rsid w:val="004174B8"/>
    <w:rsid w:val="004174BB"/>
    <w:rsid w:val="0041751F"/>
    <w:rsid w:val="00417680"/>
    <w:rsid w:val="0041778D"/>
    <w:rsid w:val="00417802"/>
    <w:rsid w:val="004178A8"/>
    <w:rsid w:val="004179A2"/>
    <w:rsid w:val="00417A20"/>
    <w:rsid w:val="00417A4B"/>
    <w:rsid w:val="00417CB9"/>
    <w:rsid w:val="00417D78"/>
    <w:rsid w:val="00417E03"/>
    <w:rsid w:val="0041EBB2"/>
    <w:rsid w:val="004200B9"/>
    <w:rsid w:val="0042016E"/>
    <w:rsid w:val="004201C1"/>
    <w:rsid w:val="004201F7"/>
    <w:rsid w:val="0042029B"/>
    <w:rsid w:val="00420385"/>
    <w:rsid w:val="0042042F"/>
    <w:rsid w:val="0042067F"/>
    <w:rsid w:val="00420754"/>
    <w:rsid w:val="00420839"/>
    <w:rsid w:val="00420897"/>
    <w:rsid w:val="00420925"/>
    <w:rsid w:val="004209D1"/>
    <w:rsid w:val="004209D5"/>
    <w:rsid w:val="00420A5E"/>
    <w:rsid w:val="00420B9B"/>
    <w:rsid w:val="00420C6D"/>
    <w:rsid w:val="00420C99"/>
    <w:rsid w:val="00420D27"/>
    <w:rsid w:val="00420D31"/>
    <w:rsid w:val="00420DC0"/>
    <w:rsid w:val="00420DC6"/>
    <w:rsid w:val="00420DDF"/>
    <w:rsid w:val="00420E18"/>
    <w:rsid w:val="00420EB3"/>
    <w:rsid w:val="00420EBE"/>
    <w:rsid w:val="0042107B"/>
    <w:rsid w:val="0042116B"/>
    <w:rsid w:val="004211DA"/>
    <w:rsid w:val="00421225"/>
    <w:rsid w:val="004212A3"/>
    <w:rsid w:val="004213D8"/>
    <w:rsid w:val="00421596"/>
    <w:rsid w:val="00421638"/>
    <w:rsid w:val="004216E8"/>
    <w:rsid w:val="00421770"/>
    <w:rsid w:val="004217D3"/>
    <w:rsid w:val="0042191D"/>
    <w:rsid w:val="00421997"/>
    <w:rsid w:val="00421B36"/>
    <w:rsid w:val="00421B91"/>
    <w:rsid w:val="00421BA0"/>
    <w:rsid w:val="00421D04"/>
    <w:rsid w:val="00421E23"/>
    <w:rsid w:val="00421E26"/>
    <w:rsid w:val="00421FC8"/>
    <w:rsid w:val="00422067"/>
    <w:rsid w:val="004221DF"/>
    <w:rsid w:val="004221E8"/>
    <w:rsid w:val="0042232C"/>
    <w:rsid w:val="0042236E"/>
    <w:rsid w:val="004224FD"/>
    <w:rsid w:val="0042271A"/>
    <w:rsid w:val="0042274D"/>
    <w:rsid w:val="00422830"/>
    <w:rsid w:val="00422A89"/>
    <w:rsid w:val="00422B93"/>
    <w:rsid w:val="00422BAE"/>
    <w:rsid w:val="00422BB4"/>
    <w:rsid w:val="00422BDB"/>
    <w:rsid w:val="00422C02"/>
    <w:rsid w:val="00422C85"/>
    <w:rsid w:val="00422DFA"/>
    <w:rsid w:val="00422E5A"/>
    <w:rsid w:val="00422E6E"/>
    <w:rsid w:val="00422E92"/>
    <w:rsid w:val="00423054"/>
    <w:rsid w:val="00423197"/>
    <w:rsid w:val="004231DC"/>
    <w:rsid w:val="0042324F"/>
    <w:rsid w:val="004233C3"/>
    <w:rsid w:val="004233CD"/>
    <w:rsid w:val="004234F0"/>
    <w:rsid w:val="00423502"/>
    <w:rsid w:val="0042356D"/>
    <w:rsid w:val="00423643"/>
    <w:rsid w:val="00423650"/>
    <w:rsid w:val="004236A4"/>
    <w:rsid w:val="004236F4"/>
    <w:rsid w:val="0042374F"/>
    <w:rsid w:val="00423856"/>
    <w:rsid w:val="00423893"/>
    <w:rsid w:val="00423973"/>
    <w:rsid w:val="004239AC"/>
    <w:rsid w:val="004239BB"/>
    <w:rsid w:val="00423A14"/>
    <w:rsid w:val="00423B3C"/>
    <w:rsid w:val="00423B72"/>
    <w:rsid w:val="00423BA1"/>
    <w:rsid w:val="00423C59"/>
    <w:rsid w:val="00423CD7"/>
    <w:rsid w:val="00423D6D"/>
    <w:rsid w:val="00423D71"/>
    <w:rsid w:val="00423E3C"/>
    <w:rsid w:val="00423F9F"/>
    <w:rsid w:val="00424020"/>
    <w:rsid w:val="0042402B"/>
    <w:rsid w:val="0042429E"/>
    <w:rsid w:val="00424343"/>
    <w:rsid w:val="0042434A"/>
    <w:rsid w:val="004243BD"/>
    <w:rsid w:val="004243E6"/>
    <w:rsid w:val="0042441A"/>
    <w:rsid w:val="0042445E"/>
    <w:rsid w:val="0042448F"/>
    <w:rsid w:val="004244E9"/>
    <w:rsid w:val="0042452F"/>
    <w:rsid w:val="00424585"/>
    <w:rsid w:val="0042463B"/>
    <w:rsid w:val="0042475B"/>
    <w:rsid w:val="0042478B"/>
    <w:rsid w:val="0042495F"/>
    <w:rsid w:val="00424B32"/>
    <w:rsid w:val="00424B5E"/>
    <w:rsid w:val="00424BDE"/>
    <w:rsid w:val="00424C3B"/>
    <w:rsid w:val="00424C78"/>
    <w:rsid w:val="00424D6B"/>
    <w:rsid w:val="00424D85"/>
    <w:rsid w:val="00424D9C"/>
    <w:rsid w:val="00424F05"/>
    <w:rsid w:val="00424FE2"/>
    <w:rsid w:val="004251C5"/>
    <w:rsid w:val="004251CF"/>
    <w:rsid w:val="004251D6"/>
    <w:rsid w:val="00425265"/>
    <w:rsid w:val="004253E2"/>
    <w:rsid w:val="0042551E"/>
    <w:rsid w:val="0042563A"/>
    <w:rsid w:val="00425745"/>
    <w:rsid w:val="00425772"/>
    <w:rsid w:val="00425884"/>
    <w:rsid w:val="00425895"/>
    <w:rsid w:val="00425904"/>
    <w:rsid w:val="0042592F"/>
    <w:rsid w:val="00425961"/>
    <w:rsid w:val="00425978"/>
    <w:rsid w:val="004259A4"/>
    <w:rsid w:val="004259C5"/>
    <w:rsid w:val="004259DA"/>
    <w:rsid w:val="00425A1B"/>
    <w:rsid w:val="00425A23"/>
    <w:rsid w:val="00425A6F"/>
    <w:rsid w:val="00425BD9"/>
    <w:rsid w:val="00425C16"/>
    <w:rsid w:val="00425CA8"/>
    <w:rsid w:val="00425CB6"/>
    <w:rsid w:val="00425CF5"/>
    <w:rsid w:val="00425DA6"/>
    <w:rsid w:val="00425F58"/>
    <w:rsid w:val="00425F5E"/>
    <w:rsid w:val="00426084"/>
    <w:rsid w:val="00426140"/>
    <w:rsid w:val="004263A0"/>
    <w:rsid w:val="0042643D"/>
    <w:rsid w:val="0042651D"/>
    <w:rsid w:val="0042658E"/>
    <w:rsid w:val="004265E5"/>
    <w:rsid w:val="004266A9"/>
    <w:rsid w:val="004266AE"/>
    <w:rsid w:val="00426743"/>
    <w:rsid w:val="00426781"/>
    <w:rsid w:val="0042688C"/>
    <w:rsid w:val="00426949"/>
    <w:rsid w:val="00426ABD"/>
    <w:rsid w:val="00426B18"/>
    <w:rsid w:val="00426BD7"/>
    <w:rsid w:val="00426BDD"/>
    <w:rsid w:val="00426C42"/>
    <w:rsid w:val="00426C55"/>
    <w:rsid w:val="00426C70"/>
    <w:rsid w:val="00426D3C"/>
    <w:rsid w:val="00426D96"/>
    <w:rsid w:val="00426E4A"/>
    <w:rsid w:val="00426E6E"/>
    <w:rsid w:val="00426EE6"/>
    <w:rsid w:val="004270BB"/>
    <w:rsid w:val="00427152"/>
    <w:rsid w:val="00427177"/>
    <w:rsid w:val="004271B8"/>
    <w:rsid w:val="0042725E"/>
    <w:rsid w:val="004272DA"/>
    <w:rsid w:val="004272EA"/>
    <w:rsid w:val="004274BA"/>
    <w:rsid w:val="0042751E"/>
    <w:rsid w:val="00427589"/>
    <w:rsid w:val="0042769A"/>
    <w:rsid w:val="004276A9"/>
    <w:rsid w:val="004276B1"/>
    <w:rsid w:val="0042778D"/>
    <w:rsid w:val="00427886"/>
    <w:rsid w:val="00427A03"/>
    <w:rsid w:val="00427AAF"/>
    <w:rsid w:val="00427AFC"/>
    <w:rsid w:val="00427BE4"/>
    <w:rsid w:val="00427C5A"/>
    <w:rsid w:val="00427C7A"/>
    <w:rsid w:val="00427CE9"/>
    <w:rsid w:val="00427D8F"/>
    <w:rsid w:val="00427D9A"/>
    <w:rsid w:val="00427D9E"/>
    <w:rsid w:val="00427F0D"/>
    <w:rsid w:val="00430042"/>
    <w:rsid w:val="0043015B"/>
    <w:rsid w:val="00430302"/>
    <w:rsid w:val="004303E9"/>
    <w:rsid w:val="00430461"/>
    <w:rsid w:val="0043052A"/>
    <w:rsid w:val="004306B6"/>
    <w:rsid w:val="004307D0"/>
    <w:rsid w:val="004307DB"/>
    <w:rsid w:val="004308A6"/>
    <w:rsid w:val="004308DA"/>
    <w:rsid w:val="0043095D"/>
    <w:rsid w:val="004309A7"/>
    <w:rsid w:val="00430B89"/>
    <w:rsid w:val="00430D2C"/>
    <w:rsid w:val="00430E63"/>
    <w:rsid w:val="00430F90"/>
    <w:rsid w:val="00431100"/>
    <w:rsid w:val="00431345"/>
    <w:rsid w:val="0043139A"/>
    <w:rsid w:val="004313CA"/>
    <w:rsid w:val="004313F2"/>
    <w:rsid w:val="0043141A"/>
    <w:rsid w:val="00431524"/>
    <w:rsid w:val="004315A9"/>
    <w:rsid w:val="004315B7"/>
    <w:rsid w:val="004316C1"/>
    <w:rsid w:val="004316ED"/>
    <w:rsid w:val="00431711"/>
    <w:rsid w:val="004317C8"/>
    <w:rsid w:val="00431943"/>
    <w:rsid w:val="004319A5"/>
    <w:rsid w:val="004319BD"/>
    <w:rsid w:val="00431A30"/>
    <w:rsid w:val="00431AA9"/>
    <w:rsid w:val="00431AD0"/>
    <w:rsid w:val="00431AFB"/>
    <w:rsid w:val="00431B62"/>
    <w:rsid w:val="00431BB8"/>
    <w:rsid w:val="00431BDA"/>
    <w:rsid w:val="00431CE6"/>
    <w:rsid w:val="00431E54"/>
    <w:rsid w:val="00431F45"/>
    <w:rsid w:val="0043203F"/>
    <w:rsid w:val="0043210C"/>
    <w:rsid w:val="004321A3"/>
    <w:rsid w:val="0043221D"/>
    <w:rsid w:val="004322A4"/>
    <w:rsid w:val="004322BB"/>
    <w:rsid w:val="004323A9"/>
    <w:rsid w:val="00432437"/>
    <w:rsid w:val="0043273F"/>
    <w:rsid w:val="00432762"/>
    <w:rsid w:val="004327B4"/>
    <w:rsid w:val="004327E8"/>
    <w:rsid w:val="00432806"/>
    <w:rsid w:val="004329B6"/>
    <w:rsid w:val="004329DC"/>
    <w:rsid w:val="00432B22"/>
    <w:rsid w:val="00432B6F"/>
    <w:rsid w:val="00432C90"/>
    <w:rsid w:val="00432DA1"/>
    <w:rsid w:val="00432DBE"/>
    <w:rsid w:val="00432DD9"/>
    <w:rsid w:val="00432EA9"/>
    <w:rsid w:val="0043326B"/>
    <w:rsid w:val="00433381"/>
    <w:rsid w:val="004334E2"/>
    <w:rsid w:val="00433505"/>
    <w:rsid w:val="004335CA"/>
    <w:rsid w:val="004336B5"/>
    <w:rsid w:val="00433731"/>
    <w:rsid w:val="004337A8"/>
    <w:rsid w:val="00433AD8"/>
    <w:rsid w:val="00433B09"/>
    <w:rsid w:val="00433B44"/>
    <w:rsid w:val="00433D34"/>
    <w:rsid w:val="00433D50"/>
    <w:rsid w:val="0043401C"/>
    <w:rsid w:val="00434063"/>
    <w:rsid w:val="00434093"/>
    <w:rsid w:val="004340C4"/>
    <w:rsid w:val="00434494"/>
    <w:rsid w:val="004344A4"/>
    <w:rsid w:val="004344B4"/>
    <w:rsid w:val="004345C4"/>
    <w:rsid w:val="004345D1"/>
    <w:rsid w:val="00434606"/>
    <w:rsid w:val="0043481B"/>
    <w:rsid w:val="00434B82"/>
    <w:rsid w:val="00434CA6"/>
    <w:rsid w:val="00434CEE"/>
    <w:rsid w:val="00434E4F"/>
    <w:rsid w:val="0043510A"/>
    <w:rsid w:val="00435361"/>
    <w:rsid w:val="00435416"/>
    <w:rsid w:val="00435482"/>
    <w:rsid w:val="00435523"/>
    <w:rsid w:val="0043552C"/>
    <w:rsid w:val="004355E3"/>
    <w:rsid w:val="0043576D"/>
    <w:rsid w:val="004357CA"/>
    <w:rsid w:val="0043589C"/>
    <w:rsid w:val="004359DE"/>
    <w:rsid w:val="00435A34"/>
    <w:rsid w:val="00435A85"/>
    <w:rsid w:val="00435AE3"/>
    <w:rsid w:val="00435AFE"/>
    <w:rsid w:val="00435B62"/>
    <w:rsid w:val="00435BC7"/>
    <w:rsid w:val="00435C9E"/>
    <w:rsid w:val="00435D04"/>
    <w:rsid w:val="00435E1F"/>
    <w:rsid w:val="00436002"/>
    <w:rsid w:val="0043613F"/>
    <w:rsid w:val="00436140"/>
    <w:rsid w:val="00436214"/>
    <w:rsid w:val="00436289"/>
    <w:rsid w:val="00436296"/>
    <w:rsid w:val="00436307"/>
    <w:rsid w:val="00436392"/>
    <w:rsid w:val="004363BC"/>
    <w:rsid w:val="00436400"/>
    <w:rsid w:val="0043655A"/>
    <w:rsid w:val="00436643"/>
    <w:rsid w:val="00436681"/>
    <w:rsid w:val="0043674B"/>
    <w:rsid w:val="004367AE"/>
    <w:rsid w:val="004368C0"/>
    <w:rsid w:val="0043693D"/>
    <w:rsid w:val="00436A7F"/>
    <w:rsid w:val="00436B0B"/>
    <w:rsid w:val="00436B1B"/>
    <w:rsid w:val="00436B1C"/>
    <w:rsid w:val="00436C16"/>
    <w:rsid w:val="0043716B"/>
    <w:rsid w:val="004372B2"/>
    <w:rsid w:val="00437408"/>
    <w:rsid w:val="00437485"/>
    <w:rsid w:val="0043773B"/>
    <w:rsid w:val="0043774A"/>
    <w:rsid w:val="0043784A"/>
    <w:rsid w:val="004378B3"/>
    <w:rsid w:val="00437A53"/>
    <w:rsid w:val="00437A65"/>
    <w:rsid w:val="00437A85"/>
    <w:rsid w:val="00437ADE"/>
    <w:rsid w:val="00437B4B"/>
    <w:rsid w:val="00437C85"/>
    <w:rsid w:val="00437CC0"/>
    <w:rsid w:val="00437D72"/>
    <w:rsid w:val="00437F87"/>
    <w:rsid w:val="00437FD5"/>
    <w:rsid w:val="0044004A"/>
    <w:rsid w:val="004400AB"/>
    <w:rsid w:val="004400B3"/>
    <w:rsid w:val="004401D0"/>
    <w:rsid w:val="00440205"/>
    <w:rsid w:val="004403A2"/>
    <w:rsid w:val="00440452"/>
    <w:rsid w:val="00440467"/>
    <w:rsid w:val="004404AC"/>
    <w:rsid w:val="00440610"/>
    <w:rsid w:val="0044085D"/>
    <w:rsid w:val="0044093D"/>
    <w:rsid w:val="00440959"/>
    <w:rsid w:val="00440A49"/>
    <w:rsid w:val="00440A53"/>
    <w:rsid w:val="00440B6B"/>
    <w:rsid w:val="00440C16"/>
    <w:rsid w:val="00440D89"/>
    <w:rsid w:val="00440F63"/>
    <w:rsid w:val="0044106F"/>
    <w:rsid w:val="00441387"/>
    <w:rsid w:val="0044139D"/>
    <w:rsid w:val="00441404"/>
    <w:rsid w:val="004414F2"/>
    <w:rsid w:val="0044164E"/>
    <w:rsid w:val="0044175F"/>
    <w:rsid w:val="004417BD"/>
    <w:rsid w:val="004418EE"/>
    <w:rsid w:val="00441999"/>
    <w:rsid w:val="00441A33"/>
    <w:rsid w:val="00441A5E"/>
    <w:rsid w:val="00441B39"/>
    <w:rsid w:val="00441B4F"/>
    <w:rsid w:val="00441B61"/>
    <w:rsid w:val="00441CAA"/>
    <w:rsid w:val="00441D32"/>
    <w:rsid w:val="00441D90"/>
    <w:rsid w:val="00441DCA"/>
    <w:rsid w:val="00441E11"/>
    <w:rsid w:val="00441FCD"/>
    <w:rsid w:val="00442176"/>
    <w:rsid w:val="0044219E"/>
    <w:rsid w:val="004421A4"/>
    <w:rsid w:val="004423CC"/>
    <w:rsid w:val="0044248D"/>
    <w:rsid w:val="004424BE"/>
    <w:rsid w:val="00442536"/>
    <w:rsid w:val="004425C8"/>
    <w:rsid w:val="0044266B"/>
    <w:rsid w:val="00442A78"/>
    <w:rsid w:val="00442AAB"/>
    <w:rsid w:val="00442AF6"/>
    <w:rsid w:val="00442B12"/>
    <w:rsid w:val="00442BBB"/>
    <w:rsid w:val="00442D12"/>
    <w:rsid w:val="00442F99"/>
    <w:rsid w:val="00443064"/>
    <w:rsid w:val="0044322A"/>
    <w:rsid w:val="00443249"/>
    <w:rsid w:val="00443296"/>
    <w:rsid w:val="0044343E"/>
    <w:rsid w:val="0044366E"/>
    <w:rsid w:val="004439C6"/>
    <w:rsid w:val="00443B80"/>
    <w:rsid w:val="00443CC5"/>
    <w:rsid w:val="00443CE1"/>
    <w:rsid w:val="00443D25"/>
    <w:rsid w:val="00443D4C"/>
    <w:rsid w:val="00443E64"/>
    <w:rsid w:val="00443F5A"/>
    <w:rsid w:val="00443FAE"/>
    <w:rsid w:val="00444004"/>
    <w:rsid w:val="00444226"/>
    <w:rsid w:val="00444331"/>
    <w:rsid w:val="004443C6"/>
    <w:rsid w:val="0044443F"/>
    <w:rsid w:val="004444D7"/>
    <w:rsid w:val="004444FC"/>
    <w:rsid w:val="004445D3"/>
    <w:rsid w:val="0044460D"/>
    <w:rsid w:val="00444789"/>
    <w:rsid w:val="004447CA"/>
    <w:rsid w:val="004447CE"/>
    <w:rsid w:val="004447DE"/>
    <w:rsid w:val="004447EE"/>
    <w:rsid w:val="00444817"/>
    <w:rsid w:val="00444821"/>
    <w:rsid w:val="0044485B"/>
    <w:rsid w:val="0044488F"/>
    <w:rsid w:val="00444977"/>
    <w:rsid w:val="004449F7"/>
    <w:rsid w:val="004449FD"/>
    <w:rsid w:val="00444B4F"/>
    <w:rsid w:val="00444BFF"/>
    <w:rsid w:val="00444C2E"/>
    <w:rsid w:val="00444C91"/>
    <w:rsid w:val="00444C9B"/>
    <w:rsid w:val="00444CA7"/>
    <w:rsid w:val="0044504D"/>
    <w:rsid w:val="004450AF"/>
    <w:rsid w:val="00445259"/>
    <w:rsid w:val="004452F0"/>
    <w:rsid w:val="004452FB"/>
    <w:rsid w:val="0044537B"/>
    <w:rsid w:val="004454E3"/>
    <w:rsid w:val="004454F4"/>
    <w:rsid w:val="00445618"/>
    <w:rsid w:val="00445A3D"/>
    <w:rsid w:val="00445A6E"/>
    <w:rsid w:val="00445B0D"/>
    <w:rsid w:val="00445B9A"/>
    <w:rsid w:val="00445C66"/>
    <w:rsid w:val="00445DA3"/>
    <w:rsid w:val="00445EFF"/>
    <w:rsid w:val="004460A2"/>
    <w:rsid w:val="004460A9"/>
    <w:rsid w:val="00446184"/>
    <w:rsid w:val="004461A7"/>
    <w:rsid w:val="004461A9"/>
    <w:rsid w:val="004461F1"/>
    <w:rsid w:val="0044636B"/>
    <w:rsid w:val="004463F2"/>
    <w:rsid w:val="004463F8"/>
    <w:rsid w:val="0044652D"/>
    <w:rsid w:val="00446632"/>
    <w:rsid w:val="004466BF"/>
    <w:rsid w:val="00446889"/>
    <w:rsid w:val="00446910"/>
    <w:rsid w:val="00446A66"/>
    <w:rsid w:val="00446C0E"/>
    <w:rsid w:val="00446C26"/>
    <w:rsid w:val="00446DD3"/>
    <w:rsid w:val="00446DE6"/>
    <w:rsid w:val="00446E08"/>
    <w:rsid w:val="00446E5A"/>
    <w:rsid w:val="00446E5D"/>
    <w:rsid w:val="004470F3"/>
    <w:rsid w:val="004472A5"/>
    <w:rsid w:val="004472E8"/>
    <w:rsid w:val="0044735A"/>
    <w:rsid w:val="00447457"/>
    <w:rsid w:val="0044764A"/>
    <w:rsid w:val="0044765A"/>
    <w:rsid w:val="004476C2"/>
    <w:rsid w:val="00447744"/>
    <w:rsid w:val="00447786"/>
    <w:rsid w:val="00447A99"/>
    <w:rsid w:val="00447C7D"/>
    <w:rsid w:val="00447E3F"/>
    <w:rsid w:val="00447F33"/>
    <w:rsid w:val="004500D7"/>
    <w:rsid w:val="00450157"/>
    <w:rsid w:val="004501DF"/>
    <w:rsid w:val="004503C5"/>
    <w:rsid w:val="0045058B"/>
    <w:rsid w:val="00450616"/>
    <w:rsid w:val="004506E7"/>
    <w:rsid w:val="00450794"/>
    <w:rsid w:val="004507FB"/>
    <w:rsid w:val="00450A0F"/>
    <w:rsid w:val="00450AD3"/>
    <w:rsid w:val="00450B11"/>
    <w:rsid w:val="00450B37"/>
    <w:rsid w:val="00450B55"/>
    <w:rsid w:val="00450CA8"/>
    <w:rsid w:val="00450CCB"/>
    <w:rsid w:val="00450D0D"/>
    <w:rsid w:val="00450DD2"/>
    <w:rsid w:val="00450F21"/>
    <w:rsid w:val="00450FC3"/>
    <w:rsid w:val="0045114D"/>
    <w:rsid w:val="004511A8"/>
    <w:rsid w:val="0045122E"/>
    <w:rsid w:val="00451383"/>
    <w:rsid w:val="004514AB"/>
    <w:rsid w:val="0045157A"/>
    <w:rsid w:val="00451679"/>
    <w:rsid w:val="004516F4"/>
    <w:rsid w:val="004518DD"/>
    <w:rsid w:val="00451987"/>
    <w:rsid w:val="00451B46"/>
    <w:rsid w:val="00451BC5"/>
    <w:rsid w:val="00451D04"/>
    <w:rsid w:val="00451F18"/>
    <w:rsid w:val="00451F49"/>
    <w:rsid w:val="00452100"/>
    <w:rsid w:val="00452102"/>
    <w:rsid w:val="00452151"/>
    <w:rsid w:val="004521E2"/>
    <w:rsid w:val="0045253A"/>
    <w:rsid w:val="0045256B"/>
    <w:rsid w:val="00452A2F"/>
    <w:rsid w:val="00452A65"/>
    <w:rsid w:val="00452B09"/>
    <w:rsid w:val="00452C85"/>
    <w:rsid w:val="00452CA4"/>
    <w:rsid w:val="00452D42"/>
    <w:rsid w:val="00452E21"/>
    <w:rsid w:val="00452E56"/>
    <w:rsid w:val="00452EA7"/>
    <w:rsid w:val="00452ED4"/>
    <w:rsid w:val="00453055"/>
    <w:rsid w:val="00453091"/>
    <w:rsid w:val="004530C0"/>
    <w:rsid w:val="00453173"/>
    <w:rsid w:val="004531B3"/>
    <w:rsid w:val="00453227"/>
    <w:rsid w:val="00453480"/>
    <w:rsid w:val="004535BE"/>
    <w:rsid w:val="0045371F"/>
    <w:rsid w:val="0045378A"/>
    <w:rsid w:val="004537DC"/>
    <w:rsid w:val="00453898"/>
    <w:rsid w:val="00453B6C"/>
    <w:rsid w:val="00453C66"/>
    <w:rsid w:val="00453C7E"/>
    <w:rsid w:val="00453E15"/>
    <w:rsid w:val="00453EC7"/>
    <w:rsid w:val="00453ECB"/>
    <w:rsid w:val="00453FAA"/>
    <w:rsid w:val="0045405E"/>
    <w:rsid w:val="00454229"/>
    <w:rsid w:val="004542DE"/>
    <w:rsid w:val="00454318"/>
    <w:rsid w:val="004543E1"/>
    <w:rsid w:val="004543F1"/>
    <w:rsid w:val="004545A7"/>
    <w:rsid w:val="00454760"/>
    <w:rsid w:val="0045478A"/>
    <w:rsid w:val="00454A5D"/>
    <w:rsid w:val="00454B3E"/>
    <w:rsid w:val="00454BBF"/>
    <w:rsid w:val="00454C46"/>
    <w:rsid w:val="00454D2D"/>
    <w:rsid w:val="00454F30"/>
    <w:rsid w:val="00454FA9"/>
    <w:rsid w:val="00454FD5"/>
    <w:rsid w:val="00455049"/>
    <w:rsid w:val="0045520E"/>
    <w:rsid w:val="004552A0"/>
    <w:rsid w:val="004552A6"/>
    <w:rsid w:val="004552CF"/>
    <w:rsid w:val="0045535B"/>
    <w:rsid w:val="004553CE"/>
    <w:rsid w:val="0045565A"/>
    <w:rsid w:val="004556B6"/>
    <w:rsid w:val="00455760"/>
    <w:rsid w:val="00455830"/>
    <w:rsid w:val="004558B7"/>
    <w:rsid w:val="004558CC"/>
    <w:rsid w:val="0045598B"/>
    <w:rsid w:val="00455B60"/>
    <w:rsid w:val="00455C29"/>
    <w:rsid w:val="00455CB5"/>
    <w:rsid w:val="00455D0E"/>
    <w:rsid w:val="00455D58"/>
    <w:rsid w:val="00455E2B"/>
    <w:rsid w:val="00455F83"/>
    <w:rsid w:val="00455F9C"/>
    <w:rsid w:val="00456081"/>
    <w:rsid w:val="004560CC"/>
    <w:rsid w:val="0045618C"/>
    <w:rsid w:val="00456283"/>
    <w:rsid w:val="0045644C"/>
    <w:rsid w:val="0045656B"/>
    <w:rsid w:val="00456727"/>
    <w:rsid w:val="0045682E"/>
    <w:rsid w:val="004568AC"/>
    <w:rsid w:val="00456A1C"/>
    <w:rsid w:val="00456BCA"/>
    <w:rsid w:val="00456BE0"/>
    <w:rsid w:val="00456CA1"/>
    <w:rsid w:val="00456CA6"/>
    <w:rsid w:val="00456DAE"/>
    <w:rsid w:val="0045707C"/>
    <w:rsid w:val="004570BD"/>
    <w:rsid w:val="004570CA"/>
    <w:rsid w:val="00457129"/>
    <w:rsid w:val="00457155"/>
    <w:rsid w:val="00457194"/>
    <w:rsid w:val="0045719B"/>
    <w:rsid w:val="004572C9"/>
    <w:rsid w:val="004572D4"/>
    <w:rsid w:val="0045735D"/>
    <w:rsid w:val="004573D0"/>
    <w:rsid w:val="00457427"/>
    <w:rsid w:val="00457555"/>
    <w:rsid w:val="004576B4"/>
    <w:rsid w:val="0045771B"/>
    <w:rsid w:val="004578A3"/>
    <w:rsid w:val="00457B55"/>
    <w:rsid w:val="00457B8C"/>
    <w:rsid w:val="00457C24"/>
    <w:rsid w:val="00457D12"/>
    <w:rsid w:val="00457D3B"/>
    <w:rsid w:val="00457E34"/>
    <w:rsid w:val="00457F0A"/>
    <w:rsid w:val="00457F58"/>
    <w:rsid w:val="00460070"/>
    <w:rsid w:val="004600F2"/>
    <w:rsid w:val="00460180"/>
    <w:rsid w:val="004602A8"/>
    <w:rsid w:val="00460361"/>
    <w:rsid w:val="00460435"/>
    <w:rsid w:val="004604FC"/>
    <w:rsid w:val="004606C7"/>
    <w:rsid w:val="0046071D"/>
    <w:rsid w:val="004607DA"/>
    <w:rsid w:val="004607DD"/>
    <w:rsid w:val="004607DE"/>
    <w:rsid w:val="004607E4"/>
    <w:rsid w:val="0046087A"/>
    <w:rsid w:val="004608B2"/>
    <w:rsid w:val="00460935"/>
    <w:rsid w:val="004609B1"/>
    <w:rsid w:val="00460A83"/>
    <w:rsid w:val="00460B3F"/>
    <w:rsid w:val="00460CCF"/>
    <w:rsid w:val="00460D61"/>
    <w:rsid w:val="00460DBC"/>
    <w:rsid w:val="00460E44"/>
    <w:rsid w:val="00460FE9"/>
    <w:rsid w:val="00460FFA"/>
    <w:rsid w:val="00461067"/>
    <w:rsid w:val="0046113B"/>
    <w:rsid w:val="0046123F"/>
    <w:rsid w:val="00461446"/>
    <w:rsid w:val="004614E3"/>
    <w:rsid w:val="0046164A"/>
    <w:rsid w:val="004617B2"/>
    <w:rsid w:val="004617F5"/>
    <w:rsid w:val="0046184B"/>
    <w:rsid w:val="00461A39"/>
    <w:rsid w:val="00461B3F"/>
    <w:rsid w:val="00461CB8"/>
    <w:rsid w:val="00461DA4"/>
    <w:rsid w:val="00461DA8"/>
    <w:rsid w:val="00461EE7"/>
    <w:rsid w:val="00462092"/>
    <w:rsid w:val="00462144"/>
    <w:rsid w:val="00462154"/>
    <w:rsid w:val="0046225A"/>
    <w:rsid w:val="004622A6"/>
    <w:rsid w:val="00462442"/>
    <w:rsid w:val="004625DC"/>
    <w:rsid w:val="0046262E"/>
    <w:rsid w:val="0046268E"/>
    <w:rsid w:val="0046298C"/>
    <w:rsid w:val="00462BF9"/>
    <w:rsid w:val="00462C17"/>
    <w:rsid w:val="00462FBE"/>
    <w:rsid w:val="0046302B"/>
    <w:rsid w:val="004630CA"/>
    <w:rsid w:val="004630CE"/>
    <w:rsid w:val="00463132"/>
    <w:rsid w:val="0046326D"/>
    <w:rsid w:val="004632B0"/>
    <w:rsid w:val="004633B2"/>
    <w:rsid w:val="004633CE"/>
    <w:rsid w:val="004633E7"/>
    <w:rsid w:val="0046341E"/>
    <w:rsid w:val="00463491"/>
    <w:rsid w:val="004634FD"/>
    <w:rsid w:val="00463592"/>
    <w:rsid w:val="004636BA"/>
    <w:rsid w:val="00463728"/>
    <w:rsid w:val="00463742"/>
    <w:rsid w:val="00463743"/>
    <w:rsid w:val="004638A6"/>
    <w:rsid w:val="004638B7"/>
    <w:rsid w:val="00463950"/>
    <w:rsid w:val="004639CE"/>
    <w:rsid w:val="00463DCC"/>
    <w:rsid w:val="00463E4C"/>
    <w:rsid w:val="00463EDC"/>
    <w:rsid w:val="00463EF5"/>
    <w:rsid w:val="00463EFB"/>
    <w:rsid w:val="004642D6"/>
    <w:rsid w:val="004642F1"/>
    <w:rsid w:val="00464349"/>
    <w:rsid w:val="004643B8"/>
    <w:rsid w:val="004643F9"/>
    <w:rsid w:val="004644C0"/>
    <w:rsid w:val="0046451A"/>
    <w:rsid w:val="004646BF"/>
    <w:rsid w:val="00464752"/>
    <w:rsid w:val="004647EA"/>
    <w:rsid w:val="00464837"/>
    <w:rsid w:val="00464923"/>
    <w:rsid w:val="004649C4"/>
    <w:rsid w:val="004649CD"/>
    <w:rsid w:val="00464A12"/>
    <w:rsid w:val="00464A80"/>
    <w:rsid w:val="00464B85"/>
    <w:rsid w:val="00464DCB"/>
    <w:rsid w:val="00464DD7"/>
    <w:rsid w:val="00464DF2"/>
    <w:rsid w:val="00464E04"/>
    <w:rsid w:val="00464EFB"/>
    <w:rsid w:val="00464FA3"/>
    <w:rsid w:val="0046513E"/>
    <w:rsid w:val="00465152"/>
    <w:rsid w:val="004651AB"/>
    <w:rsid w:val="004651E9"/>
    <w:rsid w:val="004651FF"/>
    <w:rsid w:val="00465235"/>
    <w:rsid w:val="004652A3"/>
    <w:rsid w:val="00465444"/>
    <w:rsid w:val="0046544F"/>
    <w:rsid w:val="00465474"/>
    <w:rsid w:val="0046560A"/>
    <w:rsid w:val="0046568F"/>
    <w:rsid w:val="0046569B"/>
    <w:rsid w:val="00465819"/>
    <w:rsid w:val="00465A9E"/>
    <w:rsid w:val="00465BA7"/>
    <w:rsid w:val="00465E7A"/>
    <w:rsid w:val="00465EF0"/>
    <w:rsid w:val="00465F37"/>
    <w:rsid w:val="00465F4A"/>
    <w:rsid w:val="00465F70"/>
    <w:rsid w:val="00466012"/>
    <w:rsid w:val="00466028"/>
    <w:rsid w:val="00466084"/>
    <w:rsid w:val="004660AE"/>
    <w:rsid w:val="004662EB"/>
    <w:rsid w:val="004664A5"/>
    <w:rsid w:val="00466629"/>
    <w:rsid w:val="00466690"/>
    <w:rsid w:val="00466706"/>
    <w:rsid w:val="004669A6"/>
    <w:rsid w:val="00466AAA"/>
    <w:rsid w:val="00466AFF"/>
    <w:rsid w:val="00466B55"/>
    <w:rsid w:val="00466C6F"/>
    <w:rsid w:val="00466D66"/>
    <w:rsid w:val="00466EE1"/>
    <w:rsid w:val="00466EEA"/>
    <w:rsid w:val="00467001"/>
    <w:rsid w:val="00467046"/>
    <w:rsid w:val="0046704F"/>
    <w:rsid w:val="0046715C"/>
    <w:rsid w:val="0046717D"/>
    <w:rsid w:val="00467523"/>
    <w:rsid w:val="00467532"/>
    <w:rsid w:val="004676B6"/>
    <w:rsid w:val="0046774B"/>
    <w:rsid w:val="0046777E"/>
    <w:rsid w:val="004677C3"/>
    <w:rsid w:val="0046786F"/>
    <w:rsid w:val="004678EF"/>
    <w:rsid w:val="0046790E"/>
    <w:rsid w:val="00467939"/>
    <w:rsid w:val="00467954"/>
    <w:rsid w:val="00467A74"/>
    <w:rsid w:val="00467C9A"/>
    <w:rsid w:val="00467CE1"/>
    <w:rsid w:val="00467D3C"/>
    <w:rsid w:val="00467D51"/>
    <w:rsid w:val="00467DA1"/>
    <w:rsid w:val="00467DEE"/>
    <w:rsid w:val="0047004D"/>
    <w:rsid w:val="004701CB"/>
    <w:rsid w:val="0047029F"/>
    <w:rsid w:val="00470340"/>
    <w:rsid w:val="00470348"/>
    <w:rsid w:val="00470452"/>
    <w:rsid w:val="00470567"/>
    <w:rsid w:val="004705AB"/>
    <w:rsid w:val="0047062C"/>
    <w:rsid w:val="0047084D"/>
    <w:rsid w:val="00470885"/>
    <w:rsid w:val="004708B8"/>
    <w:rsid w:val="00470BFB"/>
    <w:rsid w:val="00470D0A"/>
    <w:rsid w:val="00470D15"/>
    <w:rsid w:val="00470D56"/>
    <w:rsid w:val="00470D6C"/>
    <w:rsid w:val="00470E7A"/>
    <w:rsid w:val="00470F64"/>
    <w:rsid w:val="0047122F"/>
    <w:rsid w:val="00471256"/>
    <w:rsid w:val="004713AC"/>
    <w:rsid w:val="004713F5"/>
    <w:rsid w:val="004714AE"/>
    <w:rsid w:val="0047159D"/>
    <w:rsid w:val="00471648"/>
    <w:rsid w:val="004716D8"/>
    <w:rsid w:val="0047173E"/>
    <w:rsid w:val="004717CB"/>
    <w:rsid w:val="00471825"/>
    <w:rsid w:val="004719E6"/>
    <w:rsid w:val="00471B51"/>
    <w:rsid w:val="00471C2C"/>
    <w:rsid w:val="00471CA2"/>
    <w:rsid w:val="00471D86"/>
    <w:rsid w:val="00471EB0"/>
    <w:rsid w:val="00471FC6"/>
    <w:rsid w:val="0047204F"/>
    <w:rsid w:val="00472102"/>
    <w:rsid w:val="00472213"/>
    <w:rsid w:val="004722EF"/>
    <w:rsid w:val="004723FD"/>
    <w:rsid w:val="00472428"/>
    <w:rsid w:val="0047246D"/>
    <w:rsid w:val="0047253C"/>
    <w:rsid w:val="00472642"/>
    <w:rsid w:val="00472704"/>
    <w:rsid w:val="00472778"/>
    <w:rsid w:val="00472788"/>
    <w:rsid w:val="004728B9"/>
    <w:rsid w:val="004729D6"/>
    <w:rsid w:val="00472A1E"/>
    <w:rsid w:val="00472A55"/>
    <w:rsid w:val="00472C3C"/>
    <w:rsid w:val="00472C77"/>
    <w:rsid w:val="00472F63"/>
    <w:rsid w:val="004730F9"/>
    <w:rsid w:val="00473194"/>
    <w:rsid w:val="004731FE"/>
    <w:rsid w:val="0047335A"/>
    <w:rsid w:val="00473411"/>
    <w:rsid w:val="00473505"/>
    <w:rsid w:val="00473579"/>
    <w:rsid w:val="004736B9"/>
    <w:rsid w:val="004736C5"/>
    <w:rsid w:val="004739C5"/>
    <w:rsid w:val="00473A66"/>
    <w:rsid w:val="00473A88"/>
    <w:rsid w:val="00473DEC"/>
    <w:rsid w:val="00473F4F"/>
    <w:rsid w:val="0047404C"/>
    <w:rsid w:val="00474062"/>
    <w:rsid w:val="00474080"/>
    <w:rsid w:val="00474101"/>
    <w:rsid w:val="0047411B"/>
    <w:rsid w:val="004741E4"/>
    <w:rsid w:val="004742DD"/>
    <w:rsid w:val="004743A2"/>
    <w:rsid w:val="0047442D"/>
    <w:rsid w:val="0047443A"/>
    <w:rsid w:val="004744F0"/>
    <w:rsid w:val="00474678"/>
    <w:rsid w:val="004746BA"/>
    <w:rsid w:val="004746BC"/>
    <w:rsid w:val="00474899"/>
    <w:rsid w:val="0047495D"/>
    <w:rsid w:val="00474C66"/>
    <w:rsid w:val="00474FA5"/>
    <w:rsid w:val="00474FF6"/>
    <w:rsid w:val="0047516E"/>
    <w:rsid w:val="00475180"/>
    <w:rsid w:val="004751CB"/>
    <w:rsid w:val="004751E9"/>
    <w:rsid w:val="004752A5"/>
    <w:rsid w:val="004752AD"/>
    <w:rsid w:val="0047541A"/>
    <w:rsid w:val="0047541F"/>
    <w:rsid w:val="004755AE"/>
    <w:rsid w:val="004757A2"/>
    <w:rsid w:val="004757E1"/>
    <w:rsid w:val="004759B3"/>
    <w:rsid w:val="004759FD"/>
    <w:rsid w:val="00475AA4"/>
    <w:rsid w:val="00475C8E"/>
    <w:rsid w:val="00475C95"/>
    <w:rsid w:val="00475CAC"/>
    <w:rsid w:val="00475CCB"/>
    <w:rsid w:val="00475CDE"/>
    <w:rsid w:val="00475F11"/>
    <w:rsid w:val="00475F44"/>
    <w:rsid w:val="00476068"/>
    <w:rsid w:val="004760F7"/>
    <w:rsid w:val="00476101"/>
    <w:rsid w:val="00476113"/>
    <w:rsid w:val="00476343"/>
    <w:rsid w:val="004763B3"/>
    <w:rsid w:val="004763C2"/>
    <w:rsid w:val="00476487"/>
    <w:rsid w:val="004764F3"/>
    <w:rsid w:val="00476541"/>
    <w:rsid w:val="0047654B"/>
    <w:rsid w:val="00476650"/>
    <w:rsid w:val="004767DC"/>
    <w:rsid w:val="00476913"/>
    <w:rsid w:val="0047693D"/>
    <w:rsid w:val="00476961"/>
    <w:rsid w:val="00476A78"/>
    <w:rsid w:val="00476AA2"/>
    <w:rsid w:val="00476AFA"/>
    <w:rsid w:val="00476B64"/>
    <w:rsid w:val="00476C7E"/>
    <w:rsid w:val="00476CE0"/>
    <w:rsid w:val="00476D4E"/>
    <w:rsid w:val="00476D70"/>
    <w:rsid w:val="00476E1A"/>
    <w:rsid w:val="00476E60"/>
    <w:rsid w:val="004771D1"/>
    <w:rsid w:val="00477337"/>
    <w:rsid w:val="0047734A"/>
    <w:rsid w:val="00477541"/>
    <w:rsid w:val="00477619"/>
    <w:rsid w:val="00477650"/>
    <w:rsid w:val="00477667"/>
    <w:rsid w:val="004776C9"/>
    <w:rsid w:val="00477718"/>
    <w:rsid w:val="00477807"/>
    <w:rsid w:val="00477932"/>
    <w:rsid w:val="00477978"/>
    <w:rsid w:val="00477A6A"/>
    <w:rsid w:val="00477A98"/>
    <w:rsid w:val="00477BFE"/>
    <w:rsid w:val="00477C65"/>
    <w:rsid w:val="00477C9A"/>
    <w:rsid w:val="00477CD1"/>
    <w:rsid w:val="00477CF7"/>
    <w:rsid w:val="00477D1C"/>
    <w:rsid w:val="00477D79"/>
    <w:rsid w:val="004800AE"/>
    <w:rsid w:val="004800B5"/>
    <w:rsid w:val="0048010C"/>
    <w:rsid w:val="00480155"/>
    <w:rsid w:val="0048015A"/>
    <w:rsid w:val="0048028D"/>
    <w:rsid w:val="004804E3"/>
    <w:rsid w:val="00480715"/>
    <w:rsid w:val="00480837"/>
    <w:rsid w:val="004808CD"/>
    <w:rsid w:val="00480A17"/>
    <w:rsid w:val="00480BC4"/>
    <w:rsid w:val="00480D12"/>
    <w:rsid w:val="00480DAD"/>
    <w:rsid w:val="00480E26"/>
    <w:rsid w:val="00480E49"/>
    <w:rsid w:val="00480E96"/>
    <w:rsid w:val="00480F47"/>
    <w:rsid w:val="00481198"/>
    <w:rsid w:val="0048129D"/>
    <w:rsid w:val="00481428"/>
    <w:rsid w:val="004814BD"/>
    <w:rsid w:val="0048155E"/>
    <w:rsid w:val="004815AC"/>
    <w:rsid w:val="00481669"/>
    <w:rsid w:val="0048166D"/>
    <w:rsid w:val="00481731"/>
    <w:rsid w:val="004818BA"/>
    <w:rsid w:val="00481916"/>
    <w:rsid w:val="00481955"/>
    <w:rsid w:val="00481A8A"/>
    <w:rsid w:val="00481CE9"/>
    <w:rsid w:val="00481DED"/>
    <w:rsid w:val="00481F16"/>
    <w:rsid w:val="00482021"/>
    <w:rsid w:val="00482268"/>
    <w:rsid w:val="0048238A"/>
    <w:rsid w:val="00482496"/>
    <w:rsid w:val="004824F6"/>
    <w:rsid w:val="00482582"/>
    <w:rsid w:val="0048269B"/>
    <w:rsid w:val="004827FB"/>
    <w:rsid w:val="0048283A"/>
    <w:rsid w:val="00482880"/>
    <w:rsid w:val="00482888"/>
    <w:rsid w:val="004829C5"/>
    <w:rsid w:val="00482A04"/>
    <w:rsid w:val="00482A17"/>
    <w:rsid w:val="00482C59"/>
    <w:rsid w:val="00482C64"/>
    <w:rsid w:val="00482C7F"/>
    <w:rsid w:val="00482C87"/>
    <w:rsid w:val="00482D21"/>
    <w:rsid w:val="00483024"/>
    <w:rsid w:val="0048303E"/>
    <w:rsid w:val="00483197"/>
    <w:rsid w:val="0048334E"/>
    <w:rsid w:val="004834B0"/>
    <w:rsid w:val="00483502"/>
    <w:rsid w:val="00483658"/>
    <w:rsid w:val="00483788"/>
    <w:rsid w:val="00483805"/>
    <w:rsid w:val="004838B2"/>
    <w:rsid w:val="004839A2"/>
    <w:rsid w:val="004839D8"/>
    <w:rsid w:val="004839DE"/>
    <w:rsid w:val="004839EC"/>
    <w:rsid w:val="00483A4B"/>
    <w:rsid w:val="00483A54"/>
    <w:rsid w:val="00483A6D"/>
    <w:rsid w:val="00483B56"/>
    <w:rsid w:val="00483C1C"/>
    <w:rsid w:val="00483CD0"/>
    <w:rsid w:val="00483D2A"/>
    <w:rsid w:val="00483E70"/>
    <w:rsid w:val="0048407E"/>
    <w:rsid w:val="00484304"/>
    <w:rsid w:val="004843AC"/>
    <w:rsid w:val="004844D5"/>
    <w:rsid w:val="004844FC"/>
    <w:rsid w:val="00484881"/>
    <w:rsid w:val="004848F0"/>
    <w:rsid w:val="00484990"/>
    <w:rsid w:val="004849F1"/>
    <w:rsid w:val="00484A5C"/>
    <w:rsid w:val="00484BF0"/>
    <w:rsid w:val="00484EFC"/>
    <w:rsid w:val="00484FC4"/>
    <w:rsid w:val="00485237"/>
    <w:rsid w:val="0048524F"/>
    <w:rsid w:val="0048535E"/>
    <w:rsid w:val="00485537"/>
    <w:rsid w:val="00485A05"/>
    <w:rsid w:val="00485CC6"/>
    <w:rsid w:val="00485D9A"/>
    <w:rsid w:val="00485E26"/>
    <w:rsid w:val="00485E61"/>
    <w:rsid w:val="00485E79"/>
    <w:rsid w:val="00486088"/>
    <w:rsid w:val="004860B1"/>
    <w:rsid w:val="004861CA"/>
    <w:rsid w:val="00486240"/>
    <w:rsid w:val="00486259"/>
    <w:rsid w:val="00486365"/>
    <w:rsid w:val="004864DB"/>
    <w:rsid w:val="004866BE"/>
    <w:rsid w:val="004866D3"/>
    <w:rsid w:val="00486760"/>
    <w:rsid w:val="00486902"/>
    <w:rsid w:val="00486A37"/>
    <w:rsid w:val="00486A78"/>
    <w:rsid w:val="00486AA7"/>
    <w:rsid w:val="00486AE0"/>
    <w:rsid w:val="00486B68"/>
    <w:rsid w:val="00486D05"/>
    <w:rsid w:val="00486DE5"/>
    <w:rsid w:val="00486E6E"/>
    <w:rsid w:val="0048708E"/>
    <w:rsid w:val="004870BE"/>
    <w:rsid w:val="004871CA"/>
    <w:rsid w:val="00487282"/>
    <w:rsid w:val="00487563"/>
    <w:rsid w:val="00487566"/>
    <w:rsid w:val="004875DF"/>
    <w:rsid w:val="0048774C"/>
    <w:rsid w:val="00487839"/>
    <w:rsid w:val="0048784F"/>
    <w:rsid w:val="00487A0A"/>
    <w:rsid w:val="00487C1D"/>
    <w:rsid w:val="00487C50"/>
    <w:rsid w:val="00487D5B"/>
    <w:rsid w:val="00487D75"/>
    <w:rsid w:val="00487E58"/>
    <w:rsid w:val="00487F2B"/>
    <w:rsid w:val="00487F7D"/>
    <w:rsid w:val="00490036"/>
    <w:rsid w:val="0049017A"/>
    <w:rsid w:val="0049021B"/>
    <w:rsid w:val="00490321"/>
    <w:rsid w:val="00490385"/>
    <w:rsid w:val="004903AF"/>
    <w:rsid w:val="00490590"/>
    <w:rsid w:val="00490698"/>
    <w:rsid w:val="004907BA"/>
    <w:rsid w:val="004907C8"/>
    <w:rsid w:val="00490897"/>
    <w:rsid w:val="004908A2"/>
    <w:rsid w:val="004908B9"/>
    <w:rsid w:val="00490956"/>
    <w:rsid w:val="00490AF8"/>
    <w:rsid w:val="00490C4E"/>
    <w:rsid w:val="00490C4F"/>
    <w:rsid w:val="00490C5C"/>
    <w:rsid w:val="00490F65"/>
    <w:rsid w:val="004910C6"/>
    <w:rsid w:val="004910CC"/>
    <w:rsid w:val="00491130"/>
    <w:rsid w:val="0049128C"/>
    <w:rsid w:val="004913F4"/>
    <w:rsid w:val="004916C9"/>
    <w:rsid w:val="004918EA"/>
    <w:rsid w:val="0049199B"/>
    <w:rsid w:val="004919AB"/>
    <w:rsid w:val="004919C1"/>
    <w:rsid w:val="00491C66"/>
    <w:rsid w:val="00491CA9"/>
    <w:rsid w:val="00491CC6"/>
    <w:rsid w:val="00491CDD"/>
    <w:rsid w:val="00491ED7"/>
    <w:rsid w:val="00491F8C"/>
    <w:rsid w:val="00492025"/>
    <w:rsid w:val="00492026"/>
    <w:rsid w:val="00492114"/>
    <w:rsid w:val="00492337"/>
    <w:rsid w:val="0049234D"/>
    <w:rsid w:val="0049256C"/>
    <w:rsid w:val="0049290B"/>
    <w:rsid w:val="00492A19"/>
    <w:rsid w:val="00492A70"/>
    <w:rsid w:val="00492C28"/>
    <w:rsid w:val="00492C4E"/>
    <w:rsid w:val="00492CE1"/>
    <w:rsid w:val="00492E13"/>
    <w:rsid w:val="00492EB4"/>
    <w:rsid w:val="00492F8E"/>
    <w:rsid w:val="0049306D"/>
    <w:rsid w:val="00493155"/>
    <w:rsid w:val="0049318D"/>
    <w:rsid w:val="00493257"/>
    <w:rsid w:val="0049340D"/>
    <w:rsid w:val="00493572"/>
    <w:rsid w:val="004935D5"/>
    <w:rsid w:val="00493818"/>
    <w:rsid w:val="004938EC"/>
    <w:rsid w:val="00493938"/>
    <w:rsid w:val="00493942"/>
    <w:rsid w:val="00493959"/>
    <w:rsid w:val="00493B84"/>
    <w:rsid w:val="00493C40"/>
    <w:rsid w:val="00493CAE"/>
    <w:rsid w:val="00493CC2"/>
    <w:rsid w:val="00493D8D"/>
    <w:rsid w:val="0049400C"/>
    <w:rsid w:val="00494014"/>
    <w:rsid w:val="0049405E"/>
    <w:rsid w:val="00494202"/>
    <w:rsid w:val="004942A0"/>
    <w:rsid w:val="00494438"/>
    <w:rsid w:val="0049446C"/>
    <w:rsid w:val="0049456C"/>
    <w:rsid w:val="004946FF"/>
    <w:rsid w:val="004948BF"/>
    <w:rsid w:val="00494AC7"/>
    <w:rsid w:val="00494AF1"/>
    <w:rsid w:val="00494C6F"/>
    <w:rsid w:val="004950D6"/>
    <w:rsid w:val="0049515B"/>
    <w:rsid w:val="0049524B"/>
    <w:rsid w:val="0049536F"/>
    <w:rsid w:val="0049545D"/>
    <w:rsid w:val="004958D4"/>
    <w:rsid w:val="004958D7"/>
    <w:rsid w:val="00495BF6"/>
    <w:rsid w:val="00495C25"/>
    <w:rsid w:val="00495C33"/>
    <w:rsid w:val="00495F0D"/>
    <w:rsid w:val="00495F1A"/>
    <w:rsid w:val="00495FB6"/>
    <w:rsid w:val="00495FC4"/>
    <w:rsid w:val="00495FDC"/>
    <w:rsid w:val="00496019"/>
    <w:rsid w:val="0049605C"/>
    <w:rsid w:val="00496061"/>
    <w:rsid w:val="004960B6"/>
    <w:rsid w:val="004960CB"/>
    <w:rsid w:val="0049612D"/>
    <w:rsid w:val="00496327"/>
    <w:rsid w:val="0049635C"/>
    <w:rsid w:val="004963B0"/>
    <w:rsid w:val="0049651C"/>
    <w:rsid w:val="004965C2"/>
    <w:rsid w:val="004967F1"/>
    <w:rsid w:val="004968E1"/>
    <w:rsid w:val="00496AF2"/>
    <w:rsid w:val="00496B3D"/>
    <w:rsid w:val="00496CE4"/>
    <w:rsid w:val="00496D60"/>
    <w:rsid w:val="00496E7A"/>
    <w:rsid w:val="0049703A"/>
    <w:rsid w:val="00497097"/>
    <w:rsid w:val="00497306"/>
    <w:rsid w:val="00497309"/>
    <w:rsid w:val="00497328"/>
    <w:rsid w:val="00497331"/>
    <w:rsid w:val="00497493"/>
    <w:rsid w:val="0049754A"/>
    <w:rsid w:val="004975AA"/>
    <w:rsid w:val="004977E1"/>
    <w:rsid w:val="00497826"/>
    <w:rsid w:val="004978DA"/>
    <w:rsid w:val="00497943"/>
    <w:rsid w:val="0049796B"/>
    <w:rsid w:val="004979A5"/>
    <w:rsid w:val="004979C4"/>
    <w:rsid w:val="00497A61"/>
    <w:rsid w:val="00497ADB"/>
    <w:rsid w:val="00497B3C"/>
    <w:rsid w:val="00497BC3"/>
    <w:rsid w:val="00497BE3"/>
    <w:rsid w:val="00497C3D"/>
    <w:rsid w:val="00497C4D"/>
    <w:rsid w:val="00497D40"/>
    <w:rsid w:val="00497D57"/>
    <w:rsid w:val="00497EBC"/>
    <w:rsid w:val="00497ECC"/>
    <w:rsid w:val="00497EDD"/>
    <w:rsid w:val="004A0080"/>
    <w:rsid w:val="004A00C0"/>
    <w:rsid w:val="004A00F6"/>
    <w:rsid w:val="004A0212"/>
    <w:rsid w:val="004A0369"/>
    <w:rsid w:val="004A0427"/>
    <w:rsid w:val="004A0498"/>
    <w:rsid w:val="004A074D"/>
    <w:rsid w:val="004A07AE"/>
    <w:rsid w:val="004A080F"/>
    <w:rsid w:val="004A09DC"/>
    <w:rsid w:val="004A0AE0"/>
    <w:rsid w:val="004A0B9F"/>
    <w:rsid w:val="004A0C21"/>
    <w:rsid w:val="004A0C33"/>
    <w:rsid w:val="004A0DB4"/>
    <w:rsid w:val="004A0DB5"/>
    <w:rsid w:val="004A0F63"/>
    <w:rsid w:val="004A105D"/>
    <w:rsid w:val="004A10BB"/>
    <w:rsid w:val="004A10C1"/>
    <w:rsid w:val="004A11F7"/>
    <w:rsid w:val="004A1269"/>
    <w:rsid w:val="004A12F1"/>
    <w:rsid w:val="004A13E8"/>
    <w:rsid w:val="004A1595"/>
    <w:rsid w:val="004A1625"/>
    <w:rsid w:val="004A1644"/>
    <w:rsid w:val="004A1743"/>
    <w:rsid w:val="004A1771"/>
    <w:rsid w:val="004A188C"/>
    <w:rsid w:val="004A18BC"/>
    <w:rsid w:val="004A1A0D"/>
    <w:rsid w:val="004A1A19"/>
    <w:rsid w:val="004A1A8C"/>
    <w:rsid w:val="004A1AA7"/>
    <w:rsid w:val="004A1B48"/>
    <w:rsid w:val="004A1BC7"/>
    <w:rsid w:val="004A1C5D"/>
    <w:rsid w:val="004A1DAF"/>
    <w:rsid w:val="004A1DC7"/>
    <w:rsid w:val="004A1E50"/>
    <w:rsid w:val="004A2157"/>
    <w:rsid w:val="004A258B"/>
    <w:rsid w:val="004A26A5"/>
    <w:rsid w:val="004A2735"/>
    <w:rsid w:val="004A277B"/>
    <w:rsid w:val="004A28A3"/>
    <w:rsid w:val="004A29A5"/>
    <w:rsid w:val="004A2A94"/>
    <w:rsid w:val="004A2B46"/>
    <w:rsid w:val="004A2B66"/>
    <w:rsid w:val="004A2CEC"/>
    <w:rsid w:val="004A2D1E"/>
    <w:rsid w:val="004A2E03"/>
    <w:rsid w:val="004A2ED8"/>
    <w:rsid w:val="004A2F05"/>
    <w:rsid w:val="004A30C7"/>
    <w:rsid w:val="004A30F3"/>
    <w:rsid w:val="004A3254"/>
    <w:rsid w:val="004A3290"/>
    <w:rsid w:val="004A32AC"/>
    <w:rsid w:val="004A32E8"/>
    <w:rsid w:val="004A3401"/>
    <w:rsid w:val="004A3456"/>
    <w:rsid w:val="004A345E"/>
    <w:rsid w:val="004A3475"/>
    <w:rsid w:val="004A34B3"/>
    <w:rsid w:val="004A34E4"/>
    <w:rsid w:val="004A3549"/>
    <w:rsid w:val="004A35D9"/>
    <w:rsid w:val="004A3688"/>
    <w:rsid w:val="004A37DA"/>
    <w:rsid w:val="004A390A"/>
    <w:rsid w:val="004A3B4A"/>
    <w:rsid w:val="004A3C82"/>
    <w:rsid w:val="004A3D9A"/>
    <w:rsid w:val="004A3DAA"/>
    <w:rsid w:val="004A3DFB"/>
    <w:rsid w:val="004A3E94"/>
    <w:rsid w:val="004A4020"/>
    <w:rsid w:val="004A40FD"/>
    <w:rsid w:val="004A425C"/>
    <w:rsid w:val="004A430C"/>
    <w:rsid w:val="004A43CD"/>
    <w:rsid w:val="004A43FF"/>
    <w:rsid w:val="004A4454"/>
    <w:rsid w:val="004A4636"/>
    <w:rsid w:val="004A4645"/>
    <w:rsid w:val="004A4856"/>
    <w:rsid w:val="004A4919"/>
    <w:rsid w:val="004A4926"/>
    <w:rsid w:val="004A49D5"/>
    <w:rsid w:val="004A4A78"/>
    <w:rsid w:val="004A4B77"/>
    <w:rsid w:val="004A4B81"/>
    <w:rsid w:val="004A4CB0"/>
    <w:rsid w:val="004A4F49"/>
    <w:rsid w:val="004A5063"/>
    <w:rsid w:val="004A52DF"/>
    <w:rsid w:val="004A5330"/>
    <w:rsid w:val="004A5373"/>
    <w:rsid w:val="004A54DC"/>
    <w:rsid w:val="004A5607"/>
    <w:rsid w:val="004A5651"/>
    <w:rsid w:val="004A5667"/>
    <w:rsid w:val="004A5704"/>
    <w:rsid w:val="004A57FC"/>
    <w:rsid w:val="004A5823"/>
    <w:rsid w:val="004A58BF"/>
    <w:rsid w:val="004A5964"/>
    <w:rsid w:val="004A59EC"/>
    <w:rsid w:val="004A5A7D"/>
    <w:rsid w:val="004A5B6F"/>
    <w:rsid w:val="004A5C36"/>
    <w:rsid w:val="004A5C6A"/>
    <w:rsid w:val="004A5CD9"/>
    <w:rsid w:val="004A5D11"/>
    <w:rsid w:val="004A5E1B"/>
    <w:rsid w:val="004A5EBC"/>
    <w:rsid w:val="004A5F33"/>
    <w:rsid w:val="004A5FA4"/>
    <w:rsid w:val="004A607F"/>
    <w:rsid w:val="004A61DC"/>
    <w:rsid w:val="004A6251"/>
    <w:rsid w:val="004A6264"/>
    <w:rsid w:val="004A631C"/>
    <w:rsid w:val="004A6350"/>
    <w:rsid w:val="004A6465"/>
    <w:rsid w:val="004A6584"/>
    <w:rsid w:val="004A658E"/>
    <w:rsid w:val="004A697B"/>
    <w:rsid w:val="004A6A83"/>
    <w:rsid w:val="004A6BF3"/>
    <w:rsid w:val="004A6D33"/>
    <w:rsid w:val="004A6D73"/>
    <w:rsid w:val="004A6E1C"/>
    <w:rsid w:val="004A6E3B"/>
    <w:rsid w:val="004A6E6F"/>
    <w:rsid w:val="004A7315"/>
    <w:rsid w:val="004A7841"/>
    <w:rsid w:val="004A7961"/>
    <w:rsid w:val="004A7A62"/>
    <w:rsid w:val="004A7AAB"/>
    <w:rsid w:val="004A7AEC"/>
    <w:rsid w:val="004A7C52"/>
    <w:rsid w:val="004A7C56"/>
    <w:rsid w:val="004A7C8F"/>
    <w:rsid w:val="004A7DF6"/>
    <w:rsid w:val="004A7E3C"/>
    <w:rsid w:val="004A7E82"/>
    <w:rsid w:val="004A7EC5"/>
    <w:rsid w:val="004A7EEF"/>
    <w:rsid w:val="004B0057"/>
    <w:rsid w:val="004B0070"/>
    <w:rsid w:val="004B00DB"/>
    <w:rsid w:val="004B0229"/>
    <w:rsid w:val="004B033A"/>
    <w:rsid w:val="004B03A4"/>
    <w:rsid w:val="004B0422"/>
    <w:rsid w:val="004B0647"/>
    <w:rsid w:val="004B07BC"/>
    <w:rsid w:val="004B087F"/>
    <w:rsid w:val="004B0986"/>
    <w:rsid w:val="004B0AAF"/>
    <w:rsid w:val="004B0B4C"/>
    <w:rsid w:val="004B0B66"/>
    <w:rsid w:val="004B0D5F"/>
    <w:rsid w:val="004B0D98"/>
    <w:rsid w:val="004B0FB7"/>
    <w:rsid w:val="004B0FDC"/>
    <w:rsid w:val="004B1058"/>
    <w:rsid w:val="004B11AB"/>
    <w:rsid w:val="004B12F3"/>
    <w:rsid w:val="004B13AB"/>
    <w:rsid w:val="004B13E2"/>
    <w:rsid w:val="004B1452"/>
    <w:rsid w:val="004B1464"/>
    <w:rsid w:val="004B14A0"/>
    <w:rsid w:val="004B1624"/>
    <w:rsid w:val="004B18CC"/>
    <w:rsid w:val="004B19DA"/>
    <w:rsid w:val="004B1A3D"/>
    <w:rsid w:val="004B1C62"/>
    <w:rsid w:val="004B1CF7"/>
    <w:rsid w:val="004B1D58"/>
    <w:rsid w:val="004B1D9F"/>
    <w:rsid w:val="004B1F7C"/>
    <w:rsid w:val="004B20D9"/>
    <w:rsid w:val="004B214C"/>
    <w:rsid w:val="004B21C4"/>
    <w:rsid w:val="004B2225"/>
    <w:rsid w:val="004B2324"/>
    <w:rsid w:val="004B237E"/>
    <w:rsid w:val="004B2412"/>
    <w:rsid w:val="004B25EE"/>
    <w:rsid w:val="004B263A"/>
    <w:rsid w:val="004B2687"/>
    <w:rsid w:val="004B2714"/>
    <w:rsid w:val="004B2763"/>
    <w:rsid w:val="004B279E"/>
    <w:rsid w:val="004B27F5"/>
    <w:rsid w:val="004B29F4"/>
    <w:rsid w:val="004B2B84"/>
    <w:rsid w:val="004B2C65"/>
    <w:rsid w:val="004B2D5C"/>
    <w:rsid w:val="004B2D69"/>
    <w:rsid w:val="004B2DDA"/>
    <w:rsid w:val="004B2DFE"/>
    <w:rsid w:val="004B2EF9"/>
    <w:rsid w:val="004B2F32"/>
    <w:rsid w:val="004B2FD6"/>
    <w:rsid w:val="004B314A"/>
    <w:rsid w:val="004B3200"/>
    <w:rsid w:val="004B3233"/>
    <w:rsid w:val="004B33A3"/>
    <w:rsid w:val="004B370F"/>
    <w:rsid w:val="004B374F"/>
    <w:rsid w:val="004B3903"/>
    <w:rsid w:val="004B3924"/>
    <w:rsid w:val="004B3961"/>
    <w:rsid w:val="004B3AA4"/>
    <w:rsid w:val="004B3AFB"/>
    <w:rsid w:val="004B3B0A"/>
    <w:rsid w:val="004B3BAD"/>
    <w:rsid w:val="004B3C4C"/>
    <w:rsid w:val="004B3D8B"/>
    <w:rsid w:val="004B3E3D"/>
    <w:rsid w:val="004B3F95"/>
    <w:rsid w:val="004B3FD7"/>
    <w:rsid w:val="004B4157"/>
    <w:rsid w:val="004B41D3"/>
    <w:rsid w:val="004B433E"/>
    <w:rsid w:val="004B455A"/>
    <w:rsid w:val="004B45E0"/>
    <w:rsid w:val="004B4851"/>
    <w:rsid w:val="004B485F"/>
    <w:rsid w:val="004B48CB"/>
    <w:rsid w:val="004B4A2A"/>
    <w:rsid w:val="004B4A5C"/>
    <w:rsid w:val="004B4AA5"/>
    <w:rsid w:val="004B4BDA"/>
    <w:rsid w:val="004B4D7E"/>
    <w:rsid w:val="004B4E39"/>
    <w:rsid w:val="004B4E75"/>
    <w:rsid w:val="004B4EA1"/>
    <w:rsid w:val="004B518B"/>
    <w:rsid w:val="004B539A"/>
    <w:rsid w:val="004B53DB"/>
    <w:rsid w:val="004B5418"/>
    <w:rsid w:val="004B5463"/>
    <w:rsid w:val="004B5498"/>
    <w:rsid w:val="004B56B4"/>
    <w:rsid w:val="004B56DC"/>
    <w:rsid w:val="004B572E"/>
    <w:rsid w:val="004B5774"/>
    <w:rsid w:val="004B578E"/>
    <w:rsid w:val="004B5807"/>
    <w:rsid w:val="004B5A1C"/>
    <w:rsid w:val="004B5ABD"/>
    <w:rsid w:val="004B5B0F"/>
    <w:rsid w:val="004B5BE6"/>
    <w:rsid w:val="004B5C46"/>
    <w:rsid w:val="004B5C8C"/>
    <w:rsid w:val="004B5E3C"/>
    <w:rsid w:val="004B607B"/>
    <w:rsid w:val="004B631C"/>
    <w:rsid w:val="004B6369"/>
    <w:rsid w:val="004B6448"/>
    <w:rsid w:val="004B646C"/>
    <w:rsid w:val="004B652C"/>
    <w:rsid w:val="004B6580"/>
    <w:rsid w:val="004B674A"/>
    <w:rsid w:val="004B68E2"/>
    <w:rsid w:val="004B6903"/>
    <w:rsid w:val="004B6941"/>
    <w:rsid w:val="004B69C7"/>
    <w:rsid w:val="004B6ACF"/>
    <w:rsid w:val="004B6AD4"/>
    <w:rsid w:val="004B6BB4"/>
    <w:rsid w:val="004B6C62"/>
    <w:rsid w:val="004B6C8F"/>
    <w:rsid w:val="004B6D18"/>
    <w:rsid w:val="004B6D5C"/>
    <w:rsid w:val="004B6DC8"/>
    <w:rsid w:val="004B6FAC"/>
    <w:rsid w:val="004B6FE5"/>
    <w:rsid w:val="004B703A"/>
    <w:rsid w:val="004B710D"/>
    <w:rsid w:val="004B716A"/>
    <w:rsid w:val="004B71FE"/>
    <w:rsid w:val="004B728C"/>
    <w:rsid w:val="004B734A"/>
    <w:rsid w:val="004B74B0"/>
    <w:rsid w:val="004B74BD"/>
    <w:rsid w:val="004B74D2"/>
    <w:rsid w:val="004B76A4"/>
    <w:rsid w:val="004B78E2"/>
    <w:rsid w:val="004B78EE"/>
    <w:rsid w:val="004B79FB"/>
    <w:rsid w:val="004B7A62"/>
    <w:rsid w:val="004B7C33"/>
    <w:rsid w:val="004B7C43"/>
    <w:rsid w:val="004B7DA0"/>
    <w:rsid w:val="004B7DAA"/>
    <w:rsid w:val="004B7DAE"/>
    <w:rsid w:val="004B7EB8"/>
    <w:rsid w:val="004B7ED5"/>
    <w:rsid w:val="004C01C2"/>
    <w:rsid w:val="004C02A3"/>
    <w:rsid w:val="004C03A4"/>
    <w:rsid w:val="004C0455"/>
    <w:rsid w:val="004C04D1"/>
    <w:rsid w:val="004C04D4"/>
    <w:rsid w:val="004C04F6"/>
    <w:rsid w:val="004C057E"/>
    <w:rsid w:val="004C05A8"/>
    <w:rsid w:val="004C064E"/>
    <w:rsid w:val="004C0C24"/>
    <w:rsid w:val="004C0CF8"/>
    <w:rsid w:val="004C0E76"/>
    <w:rsid w:val="004C0EEA"/>
    <w:rsid w:val="004C106C"/>
    <w:rsid w:val="004C1167"/>
    <w:rsid w:val="004C120C"/>
    <w:rsid w:val="004C1345"/>
    <w:rsid w:val="004C1395"/>
    <w:rsid w:val="004C13D2"/>
    <w:rsid w:val="004C1410"/>
    <w:rsid w:val="004C14D7"/>
    <w:rsid w:val="004C1554"/>
    <w:rsid w:val="004C160F"/>
    <w:rsid w:val="004C1725"/>
    <w:rsid w:val="004C1848"/>
    <w:rsid w:val="004C18AB"/>
    <w:rsid w:val="004C19AA"/>
    <w:rsid w:val="004C19CE"/>
    <w:rsid w:val="004C1B77"/>
    <w:rsid w:val="004C1D16"/>
    <w:rsid w:val="004C1DC5"/>
    <w:rsid w:val="004C1E4D"/>
    <w:rsid w:val="004C1F95"/>
    <w:rsid w:val="004C1FE3"/>
    <w:rsid w:val="004C20BA"/>
    <w:rsid w:val="004C20DA"/>
    <w:rsid w:val="004C2447"/>
    <w:rsid w:val="004C2472"/>
    <w:rsid w:val="004C24F2"/>
    <w:rsid w:val="004C2579"/>
    <w:rsid w:val="004C2612"/>
    <w:rsid w:val="004C26DF"/>
    <w:rsid w:val="004C2713"/>
    <w:rsid w:val="004C2806"/>
    <w:rsid w:val="004C28AB"/>
    <w:rsid w:val="004C28B7"/>
    <w:rsid w:val="004C29A2"/>
    <w:rsid w:val="004C2B1A"/>
    <w:rsid w:val="004C2B57"/>
    <w:rsid w:val="004C2C78"/>
    <w:rsid w:val="004C3023"/>
    <w:rsid w:val="004C3091"/>
    <w:rsid w:val="004C30A2"/>
    <w:rsid w:val="004C311B"/>
    <w:rsid w:val="004C314C"/>
    <w:rsid w:val="004C32DD"/>
    <w:rsid w:val="004C34CC"/>
    <w:rsid w:val="004C3520"/>
    <w:rsid w:val="004C3532"/>
    <w:rsid w:val="004C35AA"/>
    <w:rsid w:val="004C36F8"/>
    <w:rsid w:val="004C3757"/>
    <w:rsid w:val="004C375F"/>
    <w:rsid w:val="004C3795"/>
    <w:rsid w:val="004C38ED"/>
    <w:rsid w:val="004C3995"/>
    <w:rsid w:val="004C39E9"/>
    <w:rsid w:val="004C39F2"/>
    <w:rsid w:val="004C3C3D"/>
    <w:rsid w:val="004C3C60"/>
    <w:rsid w:val="004C3CE5"/>
    <w:rsid w:val="004C3DAA"/>
    <w:rsid w:val="004C3DFE"/>
    <w:rsid w:val="004C3FFC"/>
    <w:rsid w:val="004C42C5"/>
    <w:rsid w:val="004C42E2"/>
    <w:rsid w:val="004C4487"/>
    <w:rsid w:val="004C47F2"/>
    <w:rsid w:val="004C4826"/>
    <w:rsid w:val="004C4A26"/>
    <w:rsid w:val="004C4AE6"/>
    <w:rsid w:val="004C4B0D"/>
    <w:rsid w:val="004C4BF7"/>
    <w:rsid w:val="004C4C06"/>
    <w:rsid w:val="004C4C97"/>
    <w:rsid w:val="004C4DDD"/>
    <w:rsid w:val="004C5071"/>
    <w:rsid w:val="004C50CD"/>
    <w:rsid w:val="004C510B"/>
    <w:rsid w:val="004C5284"/>
    <w:rsid w:val="004C5324"/>
    <w:rsid w:val="004C5365"/>
    <w:rsid w:val="004C5367"/>
    <w:rsid w:val="004C5382"/>
    <w:rsid w:val="004C5427"/>
    <w:rsid w:val="004C5450"/>
    <w:rsid w:val="004C55F9"/>
    <w:rsid w:val="004C57E3"/>
    <w:rsid w:val="004C5B7E"/>
    <w:rsid w:val="004C5C29"/>
    <w:rsid w:val="004C5DCF"/>
    <w:rsid w:val="004C5DEA"/>
    <w:rsid w:val="004C5E60"/>
    <w:rsid w:val="004C5F39"/>
    <w:rsid w:val="004C5F40"/>
    <w:rsid w:val="004C5F45"/>
    <w:rsid w:val="004C6041"/>
    <w:rsid w:val="004C62F5"/>
    <w:rsid w:val="004C635E"/>
    <w:rsid w:val="004C646D"/>
    <w:rsid w:val="004C655C"/>
    <w:rsid w:val="004C6567"/>
    <w:rsid w:val="004C65E9"/>
    <w:rsid w:val="004C66A5"/>
    <w:rsid w:val="004C6773"/>
    <w:rsid w:val="004C6892"/>
    <w:rsid w:val="004C68C3"/>
    <w:rsid w:val="004C6953"/>
    <w:rsid w:val="004C6956"/>
    <w:rsid w:val="004C6A34"/>
    <w:rsid w:val="004C6ABD"/>
    <w:rsid w:val="004C6BB3"/>
    <w:rsid w:val="004C6C77"/>
    <w:rsid w:val="004C6D05"/>
    <w:rsid w:val="004C6DAD"/>
    <w:rsid w:val="004C6EB0"/>
    <w:rsid w:val="004C6ED0"/>
    <w:rsid w:val="004C6F4F"/>
    <w:rsid w:val="004C6F96"/>
    <w:rsid w:val="004C6FCA"/>
    <w:rsid w:val="004C7001"/>
    <w:rsid w:val="004C7009"/>
    <w:rsid w:val="004C7073"/>
    <w:rsid w:val="004C7244"/>
    <w:rsid w:val="004C7256"/>
    <w:rsid w:val="004C7286"/>
    <w:rsid w:val="004C73A1"/>
    <w:rsid w:val="004C7470"/>
    <w:rsid w:val="004C748E"/>
    <w:rsid w:val="004C76C3"/>
    <w:rsid w:val="004C7899"/>
    <w:rsid w:val="004C78C5"/>
    <w:rsid w:val="004C7A9F"/>
    <w:rsid w:val="004C7C22"/>
    <w:rsid w:val="004C7D51"/>
    <w:rsid w:val="004C7FC5"/>
    <w:rsid w:val="004D0249"/>
    <w:rsid w:val="004D03D0"/>
    <w:rsid w:val="004D0639"/>
    <w:rsid w:val="004D0668"/>
    <w:rsid w:val="004D06F8"/>
    <w:rsid w:val="004D0903"/>
    <w:rsid w:val="004D0905"/>
    <w:rsid w:val="004D099E"/>
    <w:rsid w:val="004D0B69"/>
    <w:rsid w:val="004D0BCD"/>
    <w:rsid w:val="004D0BDE"/>
    <w:rsid w:val="004D0DAE"/>
    <w:rsid w:val="004D0EAD"/>
    <w:rsid w:val="004D0EF6"/>
    <w:rsid w:val="004D0F91"/>
    <w:rsid w:val="004D1005"/>
    <w:rsid w:val="004D101C"/>
    <w:rsid w:val="004D1030"/>
    <w:rsid w:val="004D1061"/>
    <w:rsid w:val="004D10E8"/>
    <w:rsid w:val="004D110A"/>
    <w:rsid w:val="004D11C7"/>
    <w:rsid w:val="004D1276"/>
    <w:rsid w:val="004D12CB"/>
    <w:rsid w:val="004D12F8"/>
    <w:rsid w:val="004D13AD"/>
    <w:rsid w:val="004D1458"/>
    <w:rsid w:val="004D14C2"/>
    <w:rsid w:val="004D150B"/>
    <w:rsid w:val="004D16D6"/>
    <w:rsid w:val="004D1706"/>
    <w:rsid w:val="004D1717"/>
    <w:rsid w:val="004D1738"/>
    <w:rsid w:val="004D19A2"/>
    <w:rsid w:val="004D1B27"/>
    <w:rsid w:val="004D1E03"/>
    <w:rsid w:val="004D1E1D"/>
    <w:rsid w:val="004D1EA6"/>
    <w:rsid w:val="004D1EB6"/>
    <w:rsid w:val="004D1EC6"/>
    <w:rsid w:val="004D1FD0"/>
    <w:rsid w:val="004D214E"/>
    <w:rsid w:val="004D2263"/>
    <w:rsid w:val="004D234A"/>
    <w:rsid w:val="004D23D7"/>
    <w:rsid w:val="004D23EE"/>
    <w:rsid w:val="004D243F"/>
    <w:rsid w:val="004D2483"/>
    <w:rsid w:val="004D25C5"/>
    <w:rsid w:val="004D263D"/>
    <w:rsid w:val="004D26D1"/>
    <w:rsid w:val="004D271A"/>
    <w:rsid w:val="004D27E0"/>
    <w:rsid w:val="004D27F0"/>
    <w:rsid w:val="004D28DF"/>
    <w:rsid w:val="004D28E7"/>
    <w:rsid w:val="004D291D"/>
    <w:rsid w:val="004D2964"/>
    <w:rsid w:val="004D2976"/>
    <w:rsid w:val="004D2A9A"/>
    <w:rsid w:val="004D2AB0"/>
    <w:rsid w:val="004D2AB3"/>
    <w:rsid w:val="004D2B9D"/>
    <w:rsid w:val="004D2BA3"/>
    <w:rsid w:val="004D2C17"/>
    <w:rsid w:val="004D2C37"/>
    <w:rsid w:val="004D2C6E"/>
    <w:rsid w:val="004D2CAD"/>
    <w:rsid w:val="004D2D11"/>
    <w:rsid w:val="004D2E72"/>
    <w:rsid w:val="004D30D5"/>
    <w:rsid w:val="004D3239"/>
    <w:rsid w:val="004D3323"/>
    <w:rsid w:val="004D34F6"/>
    <w:rsid w:val="004D3521"/>
    <w:rsid w:val="004D3597"/>
    <w:rsid w:val="004D35D5"/>
    <w:rsid w:val="004D3650"/>
    <w:rsid w:val="004D36A5"/>
    <w:rsid w:val="004D384E"/>
    <w:rsid w:val="004D3868"/>
    <w:rsid w:val="004D3955"/>
    <w:rsid w:val="004D3AB3"/>
    <w:rsid w:val="004D3AC2"/>
    <w:rsid w:val="004D3B0D"/>
    <w:rsid w:val="004D3C2D"/>
    <w:rsid w:val="004D3C3C"/>
    <w:rsid w:val="004D3C96"/>
    <w:rsid w:val="004D3C9F"/>
    <w:rsid w:val="004D3DB2"/>
    <w:rsid w:val="004D3E2C"/>
    <w:rsid w:val="004D3EF3"/>
    <w:rsid w:val="004D3F7C"/>
    <w:rsid w:val="004D4185"/>
    <w:rsid w:val="004D435D"/>
    <w:rsid w:val="004D464C"/>
    <w:rsid w:val="004D473F"/>
    <w:rsid w:val="004D4AA6"/>
    <w:rsid w:val="004D4AEE"/>
    <w:rsid w:val="004D4CA7"/>
    <w:rsid w:val="004D4D1D"/>
    <w:rsid w:val="004D4D24"/>
    <w:rsid w:val="004D4D55"/>
    <w:rsid w:val="004D4D66"/>
    <w:rsid w:val="004D4DAC"/>
    <w:rsid w:val="004D4DCF"/>
    <w:rsid w:val="004D4E69"/>
    <w:rsid w:val="004D4E72"/>
    <w:rsid w:val="004D4E7D"/>
    <w:rsid w:val="004D4EB2"/>
    <w:rsid w:val="004D4EF9"/>
    <w:rsid w:val="004D50B2"/>
    <w:rsid w:val="004D510F"/>
    <w:rsid w:val="004D51B2"/>
    <w:rsid w:val="004D5338"/>
    <w:rsid w:val="004D53A5"/>
    <w:rsid w:val="004D53CF"/>
    <w:rsid w:val="004D551D"/>
    <w:rsid w:val="004D5745"/>
    <w:rsid w:val="004D5966"/>
    <w:rsid w:val="004D5968"/>
    <w:rsid w:val="004D59DB"/>
    <w:rsid w:val="004D5A01"/>
    <w:rsid w:val="004D5A0E"/>
    <w:rsid w:val="004D5A41"/>
    <w:rsid w:val="004D5CD8"/>
    <w:rsid w:val="004D5CF5"/>
    <w:rsid w:val="004D5FE8"/>
    <w:rsid w:val="004D60A6"/>
    <w:rsid w:val="004D60F7"/>
    <w:rsid w:val="004D6116"/>
    <w:rsid w:val="004D6181"/>
    <w:rsid w:val="004D61E3"/>
    <w:rsid w:val="004D6254"/>
    <w:rsid w:val="004D6419"/>
    <w:rsid w:val="004D64CA"/>
    <w:rsid w:val="004D6582"/>
    <w:rsid w:val="004D6649"/>
    <w:rsid w:val="004D6B01"/>
    <w:rsid w:val="004D6B2E"/>
    <w:rsid w:val="004D6B40"/>
    <w:rsid w:val="004D6B60"/>
    <w:rsid w:val="004D6C2D"/>
    <w:rsid w:val="004D6C9F"/>
    <w:rsid w:val="004D6D48"/>
    <w:rsid w:val="004D6D9E"/>
    <w:rsid w:val="004D6E8F"/>
    <w:rsid w:val="004D6FEF"/>
    <w:rsid w:val="004D708D"/>
    <w:rsid w:val="004D70FD"/>
    <w:rsid w:val="004D7121"/>
    <w:rsid w:val="004D72EE"/>
    <w:rsid w:val="004D7361"/>
    <w:rsid w:val="004D7395"/>
    <w:rsid w:val="004D7473"/>
    <w:rsid w:val="004D74C0"/>
    <w:rsid w:val="004D7620"/>
    <w:rsid w:val="004D7722"/>
    <w:rsid w:val="004D78A1"/>
    <w:rsid w:val="004D790C"/>
    <w:rsid w:val="004D792D"/>
    <w:rsid w:val="004D7A12"/>
    <w:rsid w:val="004D7AED"/>
    <w:rsid w:val="004D7D07"/>
    <w:rsid w:val="004D7E17"/>
    <w:rsid w:val="004D7EF3"/>
    <w:rsid w:val="004E0050"/>
    <w:rsid w:val="004E00F6"/>
    <w:rsid w:val="004E0136"/>
    <w:rsid w:val="004E0281"/>
    <w:rsid w:val="004E03EC"/>
    <w:rsid w:val="004E045E"/>
    <w:rsid w:val="004E0492"/>
    <w:rsid w:val="004E0493"/>
    <w:rsid w:val="004E05B4"/>
    <w:rsid w:val="004E05E7"/>
    <w:rsid w:val="004E05ED"/>
    <w:rsid w:val="004E064D"/>
    <w:rsid w:val="004E0661"/>
    <w:rsid w:val="004E0832"/>
    <w:rsid w:val="004E093E"/>
    <w:rsid w:val="004E0BB1"/>
    <w:rsid w:val="004E0C22"/>
    <w:rsid w:val="004E0C52"/>
    <w:rsid w:val="004E0C54"/>
    <w:rsid w:val="004E0C85"/>
    <w:rsid w:val="004E0D54"/>
    <w:rsid w:val="004E0DD3"/>
    <w:rsid w:val="004E0FA6"/>
    <w:rsid w:val="004E11DB"/>
    <w:rsid w:val="004E1407"/>
    <w:rsid w:val="004E165C"/>
    <w:rsid w:val="004E1763"/>
    <w:rsid w:val="004E19DB"/>
    <w:rsid w:val="004E1A79"/>
    <w:rsid w:val="004E1D8B"/>
    <w:rsid w:val="004E1DE8"/>
    <w:rsid w:val="004E1F4D"/>
    <w:rsid w:val="004E203F"/>
    <w:rsid w:val="004E220E"/>
    <w:rsid w:val="004E2273"/>
    <w:rsid w:val="004E22D2"/>
    <w:rsid w:val="004E237C"/>
    <w:rsid w:val="004E24AC"/>
    <w:rsid w:val="004E2582"/>
    <w:rsid w:val="004E268A"/>
    <w:rsid w:val="004E26B1"/>
    <w:rsid w:val="004E2842"/>
    <w:rsid w:val="004E2983"/>
    <w:rsid w:val="004E29B0"/>
    <w:rsid w:val="004E2BBB"/>
    <w:rsid w:val="004E2C21"/>
    <w:rsid w:val="004E2C73"/>
    <w:rsid w:val="004E2EC4"/>
    <w:rsid w:val="004E2FB5"/>
    <w:rsid w:val="004E332B"/>
    <w:rsid w:val="004E3384"/>
    <w:rsid w:val="004E33AA"/>
    <w:rsid w:val="004E33DC"/>
    <w:rsid w:val="004E3489"/>
    <w:rsid w:val="004E358C"/>
    <w:rsid w:val="004E3683"/>
    <w:rsid w:val="004E36B5"/>
    <w:rsid w:val="004E36E9"/>
    <w:rsid w:val="004E3781"/>
    <w:rsid w:val="004E378E"/>
    <w:rsid w:val="004E38C4"/>
    <w:rsid w:val="004E38EB"/>
    <w:rsid w:val="004E3BBF"/>
    <w:rsid w:val="004E3DCE"/>
    <w:rsid w:val="004E3F30"/>
    <w:rsid w:val="004E3F9C"/>
    <w:rsid w:val="004E405A"/>
    <w:rsid w:val="004E4097"/>
    <w:rsid w:val="004E4144"/>
    <w:rsid w:val="004E4496"/>
    <w:rsid w:val="004E44A4"/>
    <w:rsid w:val="004E44FB"/>
    <w:rsid w:val="004E4520"/>
    <w:rsid w:val="004E4756"/>
    <w:rsid w:val="004E4ADD"/>
    <w:rsid w:val="004E4AF5"/>
    <w:rsid w:val="004E4B6F"/>
    <w:rsid w:val="004E4D58"/>
    <w:rsid w:val="004E4E33"/>
    <w:rsid w:val="004E4FB4"/>
    <w:rsid w:val="004E52BB"/>
    <w:rsid w:val="004E52D7"/>
    <w:rsid w:val="004E559A"/>
    <w:rsid w:val="004E56D9"/>
    <w:rsid w:val="004E5705"/>
    <w:rsid w:val="004E574C"/>
    <w:rsid w:val="004E5A36"/>
    <w:rsid w:val="004E5A85"/>
    <w:rsid w:val="004E5BE3"/>
    <w:rsid w:val="004E5C67"/>
    <w:rsid w:val="004E5C9D"/>
    <w:rsid w:val="004E5CAB"/>
    <w:rsid w:val="004E5D06"/>
    <w:rsid w:val="004E5D26"/>
    <w:rsid w:val="004E5DDA"/>
    <w:rsid w:val="004E5F24"/>
    <w:rsid w:val="004E60AE"/>
    <w:rsid w:val="004E6118"/>
    <w:rsid w:val="004E61BD"/>
    <w:rsid w:val="004E6308"/>
    <w:rsid w:val="004E6330"/>
    <w:rsid w:val="004E6399"/>
    <w:rsid w:val="004E63EF"/>
    <w:rsid w:val="004E674D"/>
    <w:rsid w:val="004E6793"/>
    <w:rsid w:val="004E683B"/>
    <w:rsid w:val="004E694A"/>
    <w:rsid w:val="004E6993"/>
    <w:rsid w:val="004E699F"/>
    <w:rsid w:val="004E6B67"/>
    <w:rsid w:val="004E6B6A"/>
    <w:rsid w:val="004E6BED"/>
    <w:rsid w:val="004E6C81"/>
    <w:rsid w:val="004E6CDF"/>
    <w:rsid w:val="004E6F1C"/>
    <w:rsid w:val="004E7043"/>
    <w:rsid w:val="004E714B"/>
    <w:rsid w:val="004E7262"/>
    <w:rsid w:val="004E736B"/>
    <w:rsid w:val="004E73CE"/>
    <w:rsid w:val="004E746B"/>
    <w:rsid w:val="004E7584"/>
    <w:rsid w:val="004E7594"/>
    <w:rsid w:val="004E7775"/>
    <w:rsid w:val="004E7E2F"/>
    <w:rsid w:val="004E7ECE"/>
    <w:rsid w:val="004E7FA8"/>
    <w:rsid w:val="004F003B"/>
    <w:rsid w:val="004F00E5"/>
    <w:rsid w:val="004F012D"/>
    <w:rsid w:val="004F013A"/>
    <w:rsid w:val="004F0198"/>
    <w:rsid w:val="004F01D8"/>
    <w:rsid w:val="004F021B"/>
    <w:rsid w:val="004F032F"/>
    <w:rsid w:val="004F04DD"/>
    <w:rsid w:val="004F0515"/>
    <w:rsid w:val="004F05DC"/>
    <w:rsid w:val="004F062C"/>
    <w:rsid w:val="004F0670"/>
    <w:rsid w:val="004F07B9"/>
    <w:rsid w:val="004F080E"/>
    <w:rsid w:val="004F083C"/>
    <w:rsid w:val="004F08FF"/>
    <w:rsid w:val="004F0B4F"/>
    <w:rsid w:val="004F0BD0"/>
    <w:rsid w:val="004F0D11"/>
    <w:rsid w:val="004F0D7B"/>
    <w:rsid w:val="004F0E4A"/>
    <w:rsid w:val="004F0E94"/>
    <w:rsid w:val="004F0F76"/>
    <w:rsid w:val="004F1052"/>
    <w:rsid w:val="004F1065"/>
    <w:rsid w:val="004F11E8"/>
    <w:rsid w:val="004F1223"/>
    <w:rsid w:val="004F127F"/>
    <w:rsid w:val="004F129D"/>
    <w:rsid w:val="004F12FE"/>
    <w:rsid w:val="004F136F"/>
    <w:rsid w:val="004F1370"/>
    <w:rsid w:val="004F13E1"/>
    <w:rsid w:val="004F153D"/>
    <w:rsid w:val="004F155D"/>
    <w:rsid w:val="004F158D"/>
    <w:rsid w:val="004F16EA"/>
    <w:rsid w:val="004F17CC"/>
    <w:rsid w:val="004F18DF"/>
    <w:rsid w:val="004F18E6"/>
    <w:rsid w:val="004F1A08"/>
    <w:rsid w:val="004F1A8A"/>
    <w:rsid w:val="004F1B3B"/>
    <w:rsid w:val="004F1B7C"/>
    <w:rsid w:val="004F1C8B"/>
    <w:rsid w:val="004F1E1C"/>
    <w:rsid w:val="004F1E5A"/>
    <w:rsid w:val="004F1EB1"/>
    <w:rsid w:val="004F20AF"/>
    <w:rsid w:val="004F20B8"/>
    <w:rsid w:val="004F2324"/>
    <w:rsid w:val="004F2448"/>
    <w:rsid w:val="004F249D"/>
    <w:rsid w:val="004F2609"/>
    <w:rsid w:val="004F2716"/>
    <w:rsid w:val="004F276A"/>
    <w:rsid w:val="004F276B"/>
    <w:rsid w:val="004F27AD"/>
    <w:rsid w:val="004F2827"/>
    <w:rsid w:val="004F2878"/>
    <w:rsid w:val="004F2968"/>
    <w:rsid w:val="004F2C65"/>
    <w:rsid w:val="004F2C6E"/>
    <w:rsid w:val="004F2D16"/>
    <w:rsid w:val="004F2D3A"/>
    <w:rsid w:val="004F2D41"/>
    <w:rsid w:val="004F2D48"/>
    <w:rsid w:val="004F2D55"/>
    <w:rsid w:val="004F2D64"/>
    <w:rsid w:val="004F2DDD"/>
    <w:rsid w:val="004F2E39"/>
    <w:rsid w:val="004F2E4C"/>
    <w:rsid w:val="004F2E8A"/>
    <w:rsid w:val="004F2ED7"/>
    <w:rsid w:val="004F2FA5"/>
    <w:rsid w:val="004F3036"/>
    <w:rsid w:val="004F31C2"/>
    <w:rsid w:val="004F337A"/>
    <w:rsid w:val="004F343C"/>
    <w:rsid w:val="004F347E"/>
    <w:rsid w:val="004F34B2"/>
    <w:rsid w:val="004F34B4"/>
    <w:rsid w:val="004F369C"/>
    <w:rsid w:val="004F370A"/>
    <w:rsid w:val="004F3772"/>
    <w:rsid w:val="004F38C3"/>
    <w:rsid w:val="004F3921"/>
    <w:rsid w:val="004F39E3"/>
    <w:rsid w:val="004F3A9D"/>
    <w:rsid w:val="004F3ADD"/>
    <w:rsid w:val="004F3C76"/>
    <w:rsid w:val="004F3C82"/>
    <w:rsid w:val="004F3D37"/>
    <w:rsid w:val="004F3E13"/>
    <w:rsid w:val="004F3F36"/>
    <w:rsid w:val="004F3F99"/>
    <w:rsid w:val="004F3FA9"/>
    <w:rsid w:val="004F422A"/>
    <w:rsid w:val="004F4284"/>
    <w:rsid w:val="004F42B2"/>
    <w:rsid w:val="004F4376"/>
    <w:rsid w:val="004F43A3"/>
    <w:rsid w:val="004F44FF"/>
    <w:rsid w:val="004F45FD"/>
    <w:rsid w:val="004F488A"/>
    <w:rsid w:val="004F4895"/>
    <w:rsid w:val="004F4B37"/>
    <w:rsid w:val="004F4D26"/>
    <w:rsid w:val="004F4D3E"/>
    <w:rsid w:val="004F4F03"/>
    <w:rsid w:val="004F4F56"/>
    <w:rsid w:val="004F500D"/>
    <w:rsid w:val="004F5033"/>
    <w:rsid w:val="004F50C0"/>
    <w:rsid w:val="004F50D7"/>
    <w:rsid w:val="004F5209"/>
    <w:rsid w:val="004F52A4"/>
    <w:rsid w:val="004F53E7"/>
    <w:rsid w:val="004F55E1"/>
    <w:rsid w:val="004F572A"/>
    <w:rsid w:val="004F589F"/>
    <w:rsid w:val="004F5A3E"/>
    <w:rsid w:val="004F5A4F"/>
    <w:rsid w:val="004F5C83"/>
    <w:rsid w:val="004F5C95"/>
    <w:rsid w:val="004F5E72"/>
    <w:rsid w:val="004F6079"/>
    <w:rsid w:val="004F61E2"/>
    <w:rsid w:val="004F6579"/>
    <w:rsid w:val="004F65AA"/>
    <w:rsid w:val="004F6667"/>
    <w:rsid w:val="004F6844"/>
    <w:rsid w:val="004F696B"/>
    <w:rsid w:val="004F69C8"/>
    <w:rsid w:val="004F6BC3"/>
    <w:rsid w:val="004F6C67"/>
    <w:rsid w:val="004F6D17"/>
    <w:rsid w:val="004F6DD2"/>
    <w:rsid w:val="004F6DFD"/>
    <w:rsid w:val="004F6EFE"/>
    <w:rsid w:val="004F6F9E"/>
    <w:rsid w:val="004F71F7"/>
    <w:rsid w:val="004F7268"/>
    <w:rsid w:val="004F73E1"/>
    <w:rsid w:val="004F7586"/>
    <w:rsid w:val="004F7594"/>
    <w:rsid w:val="004F77BF"/>
    <w:rsid w:val="004F79DB"/>
    <w:rsid w:val="004F7ABA"/>
    <w:rsid w:val="004F7C0C"/>
    <w:rsid w:val="004F7CC7"/>
    <w:rsid w:val="004F7CCA"/>
    <w:rsid w:val="004F7D4E"/>
    <w:rsid w:val="004F7D7C"/>
    <w:rsid w:val="004F7D8C"/>
    <w:rsid w:val="004F7EA4"/>
    <w:rsid w:val="004F7F6F"/>
    <w:rsid w:val="004F7FDA"/>
    <w:rsid w:val="00500004"/>
    <w:rsid w:val="00500016"/>
    <w:rsid w:val="00500071"/>
    <w:rsid w:val="005000EB"/>
    <w:rsid w:val="00500145"/>
    <w:rsid w:val="0050016F"/>
    <w:rsid w:val="00500172"/>
    <w:rsid w:val="0050019C"/>
    <w:rsid w:val="005003AF"/>
    <w:rsid w:val="00500413"/>
    <w:rsid w:val="00500471"/>
    <w:rsid w:val="005004A3"/>
    <w:rsid w:val="005005D3"/>
    <w:rsid w:val="005005E1"/>
    <w:rsid w:val="0050064B"/>
    <w:rsid w:val="00500675"/>
    <w:rsid w:val="00500747"/>
    <w:rsid w:val="005007EB"/>
    <w:rsid w:val="00500980"/>
    <w:rsid w:val="00500A85"/>
    <w:rsid w:val="00500B48"/>
    <w:rsid w:val="00500CB1"/>
    <w:rsid w:val="00500EE9"/>
    <w:rsid w:val="00500EF7"/>
    <w:rsid w:val="00500F34"/>
    <w:rsid w:val="00500FF1"/>
    <w:rsid w:val="0050111E"/>
    <w:rsid w:val="005011BE"/>
    <w:rsid w:val="00501241"/>
    <w:rsid w:val="005012B9"/>
    <w:rsid w:val="0050147C"/>
    <w:rsid w:val="005014D9"/>
    <w:rsid w:val="00501572"/>
    <w:rsid w:val="0050159E"/>
    <w:rsid w:val="0050189C"/>
    <w:rsid w:val="0050190B"/>
    <w:rsid w:val="0050194D"/>
    <w:rsid w:val="0050197E"/>
    <w:rsid w:val="005019A0"/>
    <w:rsid w:val="00501C4B"/>
    <w:rsid w:val="00501CA3"/>
    <w:rsid w:val="0050203E"/>
    <w:rsid w:val="00502055"/>
    <w:rsid w:val="0050207E"/>
    <w:rsid w:val="005020C4"/>
    <w:rsid w:val="00502126"/>
    <w:rsid w:val="005021E4"/>
    <w:rsid w:val="005021F7"/>
    <w:rsid w:val="00502273"/>
    <w:rsid w:val="00502512"/>
    <w:rsid w:val="00502556"/>
    <w:rsid w:val="005025A0"/>
    <w:rsid w:val="005025FF"/>
    <w:rsid w:val="005028A7"/>
    <w:rsid w:val="00502A3B"/>
    <w:rsid w:val="00502A7B"/>
    <w:rsid w:val="00502A8E"/>
    <w:rsid w:val="00502B6A"/>
    <w:rsid w:val="00502CF8"/>
    <w:rsid w:val="00502DF7"/>
    <w:rsid w:val="00502EAF"/>
    <w:rsid w:val="00502F51"/>
    <w:rsid w:val="0050301B"/>
    <w:rsid w:val="005030E6"/>
    <w:rsid w:val="0050318E"/>
    <w:rsid w:val="00503206"/>
    <w:rsid w:val="005033F4"/>
    <w:rsid w:val="0050357A"/>
    <w:rsid w:val="00503643"/>
    <w:rsid w:val="00503693"/>
    <w:rsid w:val="00503865"/>
    <w:rsid w:val="00503884"/>
    <w:rsid w:val="00503951"/>
    <w:rsid w:val="00503C1D"/>
    <w:rsid w:val="00503CC7"/>
    <w:rsid w:val="00503D68"/>
    <w:rsid w:val="00503DBD"/>
    <w:rsid w:val="00503DC6"/>
    <w:rsid w:val="00503DC8"/>
    <w:rsid w:val="00503F42"/>
    <w:rsid w:val="00503FA2"/>
    <w:rsid w:val="00503FA8"/>
    <w:rsid w:val="0050404A"/>
    <w:rsid w:val="00504153"/>
    <w:rsid w:val="00504170"/>
    <w:rsid w:val="0050417F"/>
    <w:rsid w:val="00504407"/>
    <w:rsid w:val="0050452F"/>
    <w:rsid w:val="0050454B"/>
    <w:rsid w:val="005045D9"/>
    <w:rsid w:val="00504680"/>
    <w:rsid w:val="005046FC"/>
    <w:rsid w:val="0050487C"/>
    <w:rsid w:val="005048A8"/>
    <w:rsid w:val="005048FE"/>
    <w:rsid w:val="00504925"/>
    <w:rsid w:val="00504C39"/>
    <w:rsid w:val="00505068"/>
    <w:rsid w:val="005050AE"/>
    <w:rsid w:val="00505158"/>
    <w:rsid w:val="005054F0"/>
    <w:rsid w:val="0050559B"/>
    <w:rsid w:val="00505642"/>
    <w:rsid w:val="00505669"/>
    <w:rsid w:val="005057C3"/>
    <w:rsid w:val="005058ED"/>
    <w:rsid w:val="00505AD2"/>
    <w:rsid w:val="00505D3E"/>
    <w:rsid w:val="00505DD6"/>
    <w:rsid w:val="00505DE2"/>
    <w:rsid w:val="00505DED"/>
    <w:rsid w:val="00505DF4"/>
    <w:rsid w:val="00505E5C"/>
    <w:rsid w:val="00505EE4"/>
    <w:rsid w:val="00505F16"/>
    <w:rsid w:val="00505FC8"/>
    <w:rsid w:val="00506063"/>
    <w:rsid w:val="0050606F"/>
    <w:rsid w:val="0050617C"/>
    <w:rsid w:val="005061C9"/>
    <w:rsid w:val="00506283"/>
    <w:rsid w:val="005062B0"/>
    <w:rsid w:val="00506382"/>
    <w:rsid w:val="005063D1"/>
    <w:rsid w:val="00506441"/>
    <w:rsid w:val="0050646F"/>
    <w:rsid w:val="00506543"/>
    <w:rsid w:val="00506556"/>
    <w:rsid w:val="0050666D"/>
    <w:rsid w:val="0050667D"/>
    <w:rsid w:val="005066A1"/>
    <w:rsid w:val="005067B2"/>
    <w:rsid w:val="00506878"/>
    <w:rsid w:val="00506A6E"/>
    <w:rsid w:val="00506ACA"/>
    <w:rsid w:val="00506B37"/>
    <w:rsid w:val="00506C04"/>
    <w:rsid w:val="00506C95"/>
    <w:rsid w:val="00506CAF"/>
    <w:rsid w:val="00506D87"/>
    <w:rsid w:val="00506E6C"/>
    <w:rsid w:val="005073BF"/>
    <w:rsid w:val="005074E0"/>
    <w:rsid w:val="00507570"/>
    <w:rsid w:val="005075FE"/>
    <w:rsid w:val="00507628"/>
    <w:rsid w:val="0050770C"/>
    <w:rsid w:val="00507749"/>
    <w:rsid w:val="00507752"/>
    <w:rsid w:val="005078B7"/>
    <w:rsid w:val="005078D4"/>
    <w:rsid w:val="0050793A"/>
    <w:rsid w:val="00507975"/>
    <w:rsid w:val="005079E0"/>
    <w:rsid w:val="00507A28"/>
    <w:rsid w:val="00507AC6"/>
    <w:rsid w:val="00507AE2"/>
    <w:rsid w:val="00507B30"/>
    <w:rsid w:val="00507C7F"/>
    <w:rsid w:val="00507DC8"/>
    <w:rsid w:val="00507F92"/>
    <w:rsid w:val="00507FE4"/>
    <w:rsid w:val="0051004B"/>
    <w:rsid w:val="0051017D"/>
    <w:rsid w:val="0051022D"/>
    <w:rsid w:val="0051022E"/>
    <w:rsid w:val="0051035E"/>
    <w:rsid w:val="00510518"/>
    <w:rsid w:val="0051051C"/>
    <w:rsid w:val="00510533"/>
    <w:rsid w:val="005105C7"/>
    <w:rsid w:val="005107CE"/>
    <w:rsid w:val="00510815"/>
    <w:rsid w:val="005108D0"/>
    <w:rsid w:val="00510A81"/>
    <w:rsid w:val="00510A92"/>
    <w:rsid w:val="00510AF2"/>
    <w:rsid w:val="00510B87"/>
    <w:rsid w:val="00510D5C"/>
    <w:rsid w:val="00510D73"/>
    <w:rsid w:val="00510DB3"/>
    <w:rsid w:val="00510E17"/>
    <w:rsid w:val="00510E89"/>
    <w:rsid w:val="00510EA1"/>
    <w:rsid w:val="00511137"/>
    <w:rsid w:val="005111A5"/>
    <w:rsid w:val="00511233"/>
    <w:rsid w:val="00511314"/>
    <w:rsid w:val="0051148A"/>
    <w:rsid w:val="005114D2"/>
    <w:rsid w:val="005115B8"/>
    <w:rsid w:val="005115E2"/>
    <w:rsid w:val="005115F3"/>
    <w:rsid w:val="00511626"/>
    <w:rsid w:val="005116AD"/>
    <w:rsid w:val="00511747"/>
    <w:rsid w:val="00511767"/>
    <w:rsid w:val="005118CB"/>
    <w:rsid w:val="0051198A"/>
    <w:rsid w:val="005119FE"/>
    <w:rsid w:val="00511A12"/>
    <w:rsid w:val="00511A1D"/>
    <w:rsid w:val="00511A65"/>
    <w:rsid w:val="00511B54"/>
    <w:rsid w:val="00511E31"/>
    <w:rsid w:val="00511EA2"/>
    <w:rsid w:val="00511ED8"/>
    <w:rsid w:val="00511F55"/>
    <w:rsid w:val="005120A8"/>
    <w:rsid w:val="005120E0"/>
    <w:rsid w:val="0051219F"/>
    <w:rsid w:val="005123FD"/>
    <w:rsid w:val="00512463"/>
    <w:rsid w:val="00512473"/>
    <w:rsid w:val="005124E7"/>
    <w:rsid w:val="005126E2"/>
    <w:rsid w:val="00512748"/>
    <w:rsid w:val="00512770"/>
    <w:rsid w:val="005127C8"/>
    <w:rsid w:val="005127ED"/>
    <w:rsid w:val="00512929"/>
    <w:rsid w:val="00512995"/>
    <w:rsid w:val="005129BB"/>
    <w:rsid w:val="00512ACB"/>
    <w:rsid w:val="00512B95"/>
    <w:rsid w:val="00513248"/>
    <w:rsid w:val="00513424"/>
    <w:rsid w:val="0051342B"/>
    <w:rsid w:val="005134C5"/>
    <w:rsid w:val="00513523"/>
    <w:rsid w:val="005136BB"/>
    <w:rsid w:val="00513747"/>
    <w:rsid w:val="0051377D"/>
    <w:rsid w:val="0051385E"/>
    <w:rsid w:val="00513883"/>
    <w:rsid w:val="005138F8"/>
    <w:rsid w:val="005139BF"/>
    <w:rsid w:val="005139C7"/>
    <w:rsid w:val="005139D5"/>
    <w:rsid w:val="00513A8A"/>
    <w:rsid w:val="00513AC0"/>
    <w:rsid w:val="00513AFC"/>
    <w:rsid w:val="00513B82"/>
    <w:rsid w:val="00513B88"/>
    <w:rsid w:val="00513BE8"/>
    <w:rsid w:val="00513C8D"/>
    <w:rsid w:val="00513CF9"/>
    <w:rsid w:val="00513D8D"/>
    <w:rsid w:val="00513E03"/>
    <w:rsid w:val="00513E90"/>
    <w:rsid w:val="00514046"/>
    <w:rsid w:val="0051408E"/>
    <w:rsid w:val="005141B3"/>
    <w:rsid w:val="005141F8"/>
    <w:rsid w:val="0051423F"/>
    <w:rsid w:val="00514268"/>
    <w:rsid w:val="00514286"/>
    <w:rsid w:val="00514386"/>
    <w:rsid w:val="005143DE"/>
    <w:rsid w:val="005145EF"/>
    <w:rsid w:val="0051464E"/>
    <w:rsid w:val="00514752"/>
    <w:rsid w:val="0051484D"/>
    <w:rsid w:val="0051490F"/>
    <w:rsid w:val="00514A9D"/>
    <w:rsid w:val="00514B33"/>
    <w:rsid w:val="00514CDD"/>
    <w:rsid w:val="00514E35"/>
    <w:rsid w:val="00514EB3"/>
    <w:rsid w:val="00514EEE"/>
    <w:rsid w:val="00514F99"/>
    <w:rsid w:val="00515028"/>
    <w:rsid w:val="0051509E"/>
    <w:rsid w:val="00515112"/>
    <w:rsid w:val="00515196"/>
    <w:rsid w:val="005151E4"/>
    <w:rsid w:val="0051526C"/>
    <w:rsid w:val="00515364"/>
    <w:rsid w:val="005153CF"/>
    <w:rsid w:val="005153E9"/>
    <w:rsid w:val="0051559B"/>
    <w:rsid w:val="00515627"/>
    <w:rsid w:val="0051572D"/>
    <w:rsid w:val="00515775"/>
    <w:rsid w:val="0051584F"/>
    <w:rsid w:val="00515865"/>
    <w:rsid w:val="005158B2"/>
    <w:rsid w:val="00515A18"/>
    <w:rsid w:val="00515A73"/>
    <w:rsid w:val="00515B32"/>
    <w:rsid w:val="00515CA3"/>
    <w:rsid w:val="00515CCA"/>
    <w:rsid w:val="00515CD1"/>
    <w:rsid w:val="00515D42"/>
    <w:rsid w:val="00515D9C"/>
    <w:rsid w:val="00515F03"/>
    <w:rsid w:val="00515FA7"/>
    <w:rsid w:val="005160EE"/>
    <w:rsid w:val="005162C4"/>
    <w:rsid w:val="0051642D"/>
    <w:rsid w:val="00516567"/>
    <w:rsid w:val="005166EA"/>
    <w:rsid w:val="0051679F"/>
    <w:rsid w:val="00516946"/>
    <w:rsid w:val="0051694C"/>
    <w:rsid w:val="00516A40"/>
    <w:rsid w:val="00516AD7"/>
    <w:rsid w:val="00516C2A"/>
    <w:rsid w:val="00516D36"/>
    <w:rsid w:val="00516D3F"/>
    <w:rsid w:val="00516D67"/>
    <w:rsid w:val="00516E1F"/>
    <w:rsid w:val="00516E78"/>
    <w:rsid w:val="00516EEB"/>
    <w:rsid w:val="00516EEF"/>
    <w:rsid w:val="00516F6E"/>
    <w:rsid w:val="00516F82"/>
    <w:rsid w:val="00517095"/>
    <w:rsid w:val="005171F8"/>
    <w:rsid w:val="00517251"/>
    <w:rsid w:val="0051732E"/>
    <w:rsid w:val="005173DB"/>
    <w:rsid w:val="00517509"/>
    <w:rsid w:val="00517528"/>
    <w:rsid w:val="00517592"/>
    <w:rsid w:val="005175C7"/>
    <w:rsid w:val="005176B8"/>
    <w:rsid w:val="005176C6"/>
    <w:rsid w:val="00517709"/>
    <w:rsid w:val="00517730"/>
    <w:rsid w:val="005179C3"/>
    <w:rsid w:val="00517AA1"/>
    <w:rsid w:val="00517B0A"/>
    <w:rsid w:val="00517B9D"/>
    <w:rsid w:val="00517BB1"/>
    <w:rsid w:val="00517CA5"/>
    <w:rsid w:val="00517E4C"/>
    <w:rsid w:val="00517E8C"/>
    <w:rsid w:val="00520268"/>
    <w:rsid w:val="00520381"/>
    <w:rsid w:val="005203B8"/>
    <w:rsid w:val="005203C1"/>
    <w:rsid w:val="005203D3"/>
    <w:rsid w:val="005204B5"/>
    <w:rsid w:val="00520581"/>
    <w:rsid w:val="005205A7"/>
    <w:rsid w:val="005206A5"/>
    <w:rsid w:val="005207E8"/>
    <w:rsid w:val="0052080B"/>
    <w:rsid w:val="0052094D"/>
    <w:rsid w:val="005209E5"/>
    <w:rsid w:val="00520AE1"/>
    <w:rsid w:val="00520C10"/>
    <w:rsid w:val="00520D0C"/>
    <w:rsid w:val="00520D4E"/>
    <w:rsid w:val="00520E6B"/>
    <w:rsid w:val="00520F12"/>
    <w:rsid w:val="00520F24"/>
    <w:rsid w:val="00520FC4"/>
    <w:rsid w:val="00521091"/>
    <w:rsid w:val="00521102"/>
    <w:rsid w:val="00521244"/>
    <w:rsid w:val="00521290"/>
    <w:rsid w:val="00521347"/>
    <w:rsid w:val="0052145A"/>
    <w:rsid w:val="00521487"/>
    <w:rsid w:val="005215F2"/>
    <w:rsid w:val="00521692"/>
    <w:rsid w:val="005216AC"/>
    <w:rsid w:val="00521776"/>
    <w:rsid w:val="005219D0"/>
    <w:rsid w:val="00521AF6"/>
    <w:rsid w:val="00521BB9"/>
    <w:rsid w:val="00521C50"/>
    <w:rsid w:val="00521E60"/>
    <w:rsid w:val="00521E7B"/>
    <w:rsid w:val="00521F6D"/>
    <w:rsid w:val="00521FB7"/>
    <w:rsid w:val="0052216D"/>
    <w:rsid w:val="00522471"/>
    <w:rsid w:val="00522635"/>
    <w:rsid w:val="00522685"/>
    <w:rsid w:val="00522693"/>
    <w:rsid w:val="005226B2"/>
    <w:rsid w:val="00522836"/>
    <w:rsid w:val="00522A22"/>
    <w:rsid w:val="00522A36"/>
    <w:rsid w:val="00522A66"/>
    <w:rsid w:val="00522B40"/>
    <w:rsid w:val="00522CE6"/>
    <w:rsid w:val="00522E4D"/>
    <w:rsid w:val="00522FC6"/>
    <w:rsid w:val="00522FDF"/>
    <w:rsid w:val="00522FEE"/>
    <w:rsid w:val="00523187"/>
    <w:rsid w:val="00523419"/>
    <w:rsid w:val="00523617"/>
    <w:rsid w:val="00523739"/>
    <w:rsid w:val="00523812"/>
    <w:rsid w:val="00523856"/>
    <w:rsid w:val="005238DF"/>
    <w:rsid w:val="005238E2"/>
    <w:rsid w:val="0052396D"/>
    <w:rsid w:val="005239BB"/>
    <w:rsid w:val="00523B81"/>
    <w:rsid w:val="00523F8E"/>
    <w:rsid w:val="0052402A"/>
    <w:rsid w:val="00524039"/>
    <w:rsid w:val="005243CA"/>
    <w:rsid w:val="00524401"/>
    <w:rsid w:val="0052445E"/>
    <w:rsid w:val="00524517"/>
    <w:rsid w:val="005248F8"/>
    <w:rsid w:val="00524951"/>
    <w:rsid w:val="00524A6F"/>
    <w:rsid w:val="00524A94"/>
    <w:rsid w:val="00524B4B"/>
    <w:rsid w:val="0052510F"/>
    <w:rsid w:val="00525212"/>
    <w:rsid w:val="0052523D"/>
    <w:rsid w:val="005252A8"/>
    <w:rsid w:val="00525343"/>
    <w:rsid w:val="0052540C"/>
    <w:rsid w:val="0052543C"/>
    <w:rsid w:val="0052553E"/>
    <w:rsid w:val="0052553F"/>
    <w:rsid w:val="0052569F"/>
    <w:rsid w:val="0052574F"/>
    <w:rsid w:val="005258FC"/>
    <w:rsid w:val="0052593A"/>
    <w:rsid w:val="00525AAC"/>
    <w:rsid w:val="00525AFA"/>
    <w:rsid w:val="00525B03"/>
    <w:rsid w:val="00525B0F"/>
    <w:rsid w:val="00525C9E"/>
    <w:rsid w:val="00525CAE"/>
    <w:rsid w:val="00525CBE"/>
    <w:rsid w:val="00525D1A"/>
    <w:rsid w:val="00525D20"/>
    <w:rsid w:val="00525D67"/>
    <w:rsid w:val="00525E38"/>
    <w:rsid w:val="00525ECD"/>
    <w:rsid w:val="00525EFD"/>
    <w:rsid w:val="00525F00"/>
    <w:rsid w:val="00526115"/>
    <w:rsid w:val="00526131"/>
    <w:rsid w:val="00526172"/>
    <w:rsid w:val="0052627B"/>
    <w:rsid w:val="00526473"/>
    <w:rsid w:val="00526556"/>
    <w:rsid w:val="00526776"/>
    <w:rsid w:val="005267F1"/>
    <w:rsid w:val="00526850"/>
    <w:rsid w:val="00526A21"/>
    <w:rsid w:val="00526BE8"/>
    <w:rsid w:val="00526C21"/>
    <w:rsid w:val="00526CE1"/>
    <w:rsid w:val="00526D11"/>
    <w:rsid w:val="00526E52"/>
    <w:rsid w:val="00526ED1"/>
    <w:rsid w:val="00527047"/>
    <w:rsid w:val="005270F7"/>
    <w:rsid w:val="00527101"/>
    <w:rsid w:val="0052713E"/>
    <w:rsid w:val="005272F0"/>
    <w:rsid w:val="005273AC"/>
    <w:rsid w:val="005273EB"/>
    <w:rsid w:val="005274B2"/>
    <w:rsid w:val="00527608"/>
    <w:rsid w:val="0052775F"/>
    <w:rsid w:val="00527792"/>
    <w:rsid w:val="005278DB"/>
    <w:rsid w:val="005279BE"/>
    <w:rsid w:val="005279CA"/>
    <w:rsid w:val="00527C93"/>
    <w:rsid w:val="00527D04"/>
    <w:rsid w:val="00527DC6"/>
    <w:rsid w:val="00527E3B"/>
    <w:rsid w:val="00527EF6"/>
    <w:rsid w:val="00527FEE"/>
    <w:rsid w:val="00530040"/>
    <w:rsid w:val="0053009C"/>
    <w:rsid w:val="005300FD"/>
    <w:rsid w:val="0053016E"/>
    <w:rsid w:val="005302E0"/>
    <w:rsid w:val="0053059D"/>
    <w:rsid w:val="00530762"/>
    <w:rsid w:val="005307FF"/>
    <w:rsid w:val="00530997"/>
    <w:rsid w:val="00530A16"/>
    <w:rsid w:val="00530A49"/>
    <w:rsid w:val="00530B46"/>
    <w:rsid w:val="00530C01"/>
    <w:rsid w:val="00530C14"/>
    <w:rsid w:val="00530C78"/>
    <w:rsid w:val="00530C96"/>
    <w:rsid w:val="00530C97"/>
    <w:rsid w:val="00530D2D"/>
    <w:rsid w:val="00530D38"/>
    <w:rsid w:val="00530D5E"/>
    <w:rsid w:val="00530E02"/>
    <w:rsid w:val="00530E94"/>
    <w:rsid w:val="00530ED5"/>
    <w:rsid w:val="00530FE5"/>
    <w:rsid w:val="0053100C"/>
    <w:rsid w:val="0053129D"/>
    <w:rsid w:val="005313B8"/>
    <w:rsid w:val="005313FE"/>
    <w:rsid w:val="005314F1"/>
    <w:rsid w:val="005315A9"/>
    <w:rsid w:val="0053161C"/>
    <w:rsid w:val="005317FB"/>
    <w:rsid w:val="00531823"/>
    <w:rsid w:val="005318BD"/>
    <w:rsid w:val="005319C1"/>
    <w:rsid w:val="00531C91"/>
    <w:rsid w:val="00531D6D"/>
    <w:rsid w:val="00531EA2"/>
    <w:rsid w:val="00531FD2"/>
    <w:rsid w:val="00532044"/>
    <w:rsid w:val="00532212"/>
    <w:rsid w:val="00532444"/>
    <w:rsid w:val="00532523"/>
    <w:rsid w:val="0053252F"/>
    <w:rsid w:val="00532567"/>
    <w:rsid w:val="00532586"/>
    <w:rsid w:val="005326AC"/>
    <w:rsid w:val="0053270B"/>
    <w:rsid w:val="005327C3"/>
    <w:rsid w:val="005327ED"/>
    <w:rsid w:val="00532861"/>
    <w:rsid w:val="00532BFE"/>
    <w:rsid w:val="00532C17"/>
    <w:rsid w:val="00532C6D"/>
    <w:rsid w:val="00532C98"/>
    <w:rsid w:val="00532CAF"/>
    <w:rsid w:val="00532D04"/>
    <w:rsid w:val="00532D76"/>
    <w:rsid w:val="00532D81"/>
    <w:rsid w:val="00532F0D"/>
    <w:rsid w:val="00532F69"/>
    <w:rsid w:val="00532F9E"/>
    <w:rsid w:val="00532FE7"/>
    <w:rsid w:val="00533104"/>
    <w:rsid w:val="005334DC"/>
    <w:rsid w:val="005334F1"/>
    <w:rsid w:val="00533574"/>
    <w:rsid w:val="005336AE"/>
    <w:rsid w:val="005336B8"/>
    <w:rsid w:val="00533799"/>
    <w:rsid w:val="005337F6"/>
    <w:rsid w:val="00533955"/>
    <w:rsid w:val="00533996"/>
    <w:rsid w:val="00533A4F"/>
    <w:rsid w:val="00533A68"/>
    <w:rsid w:val="00533B89"/>
    <w:rsid w:val="00533FA5"/>
    <w:rsid w:val="00533FAF"/>
    <w:rsid w:val="005341EB"/>
    <w:rsid w:val="00534259"/>
    <w:rsid w:val="005342B6"/>
    <w:rsid w:val="00534352"/>
    <w:rsid w:val="005343C9"/>
    <w:rsid w:val="005346A7"/>
    <w:rsid w:val="005347DC"/>
    <w:rsid w:val="0053484B"/>
    <w:rsid w:val="00534915"/>
    <w:rsid w:val="00534A1D"/>
    <w:rsid w:val="00534A83"/>
    <w:rsid w:val="00534C5F"/>
    <w:rsid w:val="00534CE0"/>
    <w:rsid w:val="00534CEB"/>
    <w:rsid w:val="00534D1B"/>
    <w:rsid w:val="00534EA2"/>
    <w:rsid w:val="00534F5C"/>
    <w:rsid w:val="00534F7F"/>
    <w:rsid w:val="00535315"/>
    <w:rsid w:val="00535359"/>
    <w:rsid w:val="0053543D"/>
    <w:rsid w:val="005354BE"/>
    <w:rsid w:val="005355EF"/>
    <w:rsid w:val="00535610"/>
    <w:rsid w:val="00535717"/>
    <w:rsid w:val="00535787"/>
    <w:rsid w:val="00535793"/>
    <w:rsid w:val="005357F0"/>
    <w:rsid w:val="00535889"/>
    <w:rsid w:val="0053588B"/>
    <w:rsid w:val="00535900"/>
    <w:rsid w:val="005359FF"/>
    <w:rsid w:val="00535A44"/>
    <w:rsid w:val="00535A87"/>
    <w:rsid w:val="00535B4A"/>
    <w:rsid w:val="00535C24"/>
    <w:rsid w:val="00535C47"/>
    <w:rsid w:val="00535CD5"/>
    <w:rsid w:val="00535E37"/>
    <w:rsid w:val="00535FDD"/>
    <w:rsid w:val="0053604E"/>
    <w:rsid w:val="0053607A"/>
    <w:rsid w:val="00536107"/>
    <w:rsid w:val="00536165"/>
    <w:rsid w:val="0053624E"/>
    <w:rsid w:val="00536276"/>
    <w:rsid w:val="005363D4"/>
    <w:rsid w:val="005366B6"/>
    <w:rsid w:val="00536873"/>
    <w:rsid w:val="00536929"/>
    <w:rsid w:val="005369E0"/>
    <w:rsid w:val="00536B3D"/>
    <w:rsid w:val="00536C9C"/>
    <w:rsid w:val="00536E67"/>
    <w:rsid w:val="00536E9D"/>
    <w:rsid w:val="00536EAC"/>
    <w:rsid w:val="00536F65"/>
    <w:rsid w:val="00537101"/>
    <w:rsid w:val="005372F3"/>
    <w:rsid w:val="00537389"/>
    <w:rsid w:val="0053742C"/>
    <w:rsid w:val="00537464"/>
    <w:rsid w:val="00537615"/>
    <w:rsid w:val="00537705"/>
    <w:rsid w:val="00537832"/>
    <w:rsid w:val="00537B8A"/>
    <w:rsid w:val="00537C75"/>
    <w:rsid w:val="00537EFC"/>
    <w:rsid w:val="00540065"/>
    <w:rsid w:val="005401C2"/>
    <w:rsid w:val="00540238"/>
    <w:rsid w:val="005402AF"/>
    <w:rsid w:val="005402F4"/>
    <w:rsid w:val="00540394"/>
    <w:rsid w:val="005405F9"/>
    <w:rsid w:val="005407A9"/>
    <w:rsid w:val="00540846"/>
    <w:rsid w:val="00540847"/>
    <w:rsid w:val="005409AE"/>
    <w:rsid w:val="00540C4B"/>
    <w:rsid w:val="00540CBD"/>
    <w:rsid w:val="00540D56"/>
    <w:rsid w:val="00540D6D"/>
    <w:rsid w:val="00540E64"/>
    <w:rsid w:val="005410BF"/>
    <w:rsid w:val="005412AD"/>
    <w:rsid w:val="005413DB"/>
    <w:rsid w:val="005413DE"/>
    <w:rsid w:val="005413F0"/>
    <w:rsid w:val="005413F8"/>
    <w:rsid w:val="00541412"/>
    <w:rsid w:val="0054147B"/>
    <w:rsid w:val="0054156D"/>
    <w:rsid w:val="0054159F"/>
    <w:rsid w:val="005415A8"/>
    <w:rsid w:val="0054161E"/>
    <w:rsid w:val="005416D9"/>
    <w:rsid w:val="00541737"/>
    <w:rsid w:val="005417E5"/>
    <w:rsid w:val="00541820"/>
    <w:rsid w:val="00541977"/>
    <w:rsid w:val="00541AA5"/>
    <w:rsid w:val="00541C7E"/>
    <w:rsid w:val="00541C90"/>
    <w:rsid w:val="00541D9D"/>
    <w:rsid w:val="00541E34"/>
    <w:rsid w:val="00541E4E"/>
    <w:rsid w:val="00541EA8"/>
    <w:rsid w:val="00541EC6"/>
    <w:rsid w:val="00541F35"/>
    <w:rsid w:val="00542040"/>
    <w:rsid w:val="00542175"/>
    <w:rsid w:val="005421A2"/>
    <w:rsid w:val="005421FA"/>
    <w:rsid w:val="005421FC"/>
    <w:rsid w:val="00542202"/>
    <w:rsid w:val="00542250"/>
    <w:rsid w:val="005423E8"/>
    <w:rsid w:val="0054243B"/>
    <w:rsid w:val="0054247A"/>
    <w:rsid w:val="005426E8"/>
    <w:rsid w:val="005427DE"/>
    <w:rsid w:val="005428EE"/>
    <w:rsid w:val="005429A0"/>
    <w:rsid w:val="005429B5"/>
    <w:rsid w:val="005429C7"/>
    <w:rsid w:val="00542A03"/>
    <w:rsid w:val="00542A2D"/>
    <w:rsid w:val="00542B49"/>
    <w:rsid w:val="00542C29"/>
    <w:rsid w:val="00542C99"/>
    <w:rsid w:val="00542D28"/>
    <w:rsid w:val="00542E47"/>
    <w:rsid w:val="00542E77"/>
    <w:rsid w:val="00542E92"/>
    <w:rsid w:val="00542EDB"/>
    <w:rsid w:val="005430CD"/>
    <w:rsid w:val="005430FA"/>
    <w:rsid w:val="00543230"/>
    <w:rsid w:val="00543308"/>
    <w:rsid w:val="0054338A"/>
    <w:rsid w:val="00543421"/>
    <w:rsid w:val="0054347B"/>
    <w:rsid w:val="0054355E"/>
    <w:rsid w:val="005435A3"/>
    <w:rsid w:val="005435B7"/>
    <w:rsid w:val="00543619"/>
    <w:rsid w:val="0054362B"/>
    <w:rsid w:val="0054365C"/>
    <w:rsid w:val="0054375D"/>
    <w:rsid w:val="005437BF"/>
    <w:rsid w:val="005437FE"/>
    <w:rsid w:val="005438A6"/>
    <w:rsid w:val="005439F1"/>
    <w:rsid w:val="00543A65"/>
    <w:rsid w:val="00543B2E"/>
    <w:rsid w:val="00543BA1"/>
    <w:rsid w:val="00543BA4"/>
    <w:rsid w:val="00543C97"/>
    <w:rsid w:val="00543D12"/>
    <w:rsid w:val="00543D51"/>
    <w:rsid w:val="00543E64"/>
    <w:rsid w:val="00543EE2"/>
    <w:rsid w:val="00543FFF"/>
    <w:rsid w:val="005440A3"/>
    <w:rsid w:val="00544143"/>
    <w:rsid w:val="005443B5"/>
    <w:rsid w:val="005443E9"/>
    <w:rsid w:val="00544668"/>
    <w:rsid w:val="00544769"/>
    <w:rsid w:val="005448E7"/>
    <w:rsid w:val="005449A9"/>
    <w:rsid w:val="00544AC2"/>
    <w:rsid w:val="00544B01"/>
    <w:rsid w:val="00544C09"/>
    <w:rsid w:val="00544C1E"/>
    <w:rsid w:val="00544D60"/>
    <w:rsid w:val="00544F5A"/>
    <w:rsid w:val="00544F6E"/>
    <w:rsid w:val="00545005"/>
    <w:rsid w:val="005452DD"/>
    <w:rsid w:val="0054532F"/>
    <w:rsid w:val="00545432"/>
    <w:rsid w:val="00545547"/>
    <w:rsid w:val="00545617"/>
    <w:rsid w:val="005456B4"/>
    <w:rsid w:val="005456E7"/>
    <w:rsid w:val="0054570A"/>
    <w:rsid w:val="00545861"/>
    <w:rsid w:val="00545945"/>
    <w:rsid w:val="00545960"/>
    <w:rsid w:val="00545A31"/>
    <w:rsid w:val="00545A36"/>
    <w:rsid w:val="00545BA6"/>
    <w:rsid w:val="00545C63"/>
    <w:rsid w:val="00545CE1"/>
    <w:rsid w:val="00545D23"/>
    <w:rsid w:val="00545D30"/>
    <w:rsid w:val="00545D81"/>
    <w:rsid w:val="00545DA7"/>
    <w:rsid w:val="00546021"/>
    <w:rsid w:val="0054608E"/>
    <w:rsid w:val="0054609E"/>
    <w:rsid w:val="005461C6"/>
    <w:rsid w:val="005462FC"/>
    <w:rsid w:val="00546377"/>
    <w:rsid w:val="00546776"/>
    <w:rsid w:val="00546997"/>
    <w:rsid w:val="00546A0F"/>
    <w:rsid w:val="00546A2A"/>
    <w:rsid w:val="00546A37"/>
    <w:rsid w:val="00546A4A"/>
    <w:rsid w:val="00546B38"/>
    <w:rsid w:val="00546BEC"/>
    <w:rsid w:val="00546C23"/>
    <w:rsid w:val="00546D2F"/>
    <w:rsid w:val="00546D56"/>
    <w:rsid w:val="00546F00"/>
    <w:rsid w:val="00546F27"/>
    <w:rsid w:val="0054709D"/>
    <w:rsid w:val="005470F5"/>
    <w:rsid w:val="00547138"/>
    <w:rsid w:val="005472B9"/>
    <w:rsid w:val="005474D9"/>
    <w:rsid w:val="005475EC"/>
    <w:rsid w:val="005476EE"/>
    <w:rsid w:val="0054771E"/>
    <w:rsid w:val="005477BB"/>
    <w:rsid w:val="00547847"/>
    <w:rsid w:val="0054787A"/>
    <w:rsid w:val="005478CD"/>
    <w:rsid w:val="005478F5"/>
    <w:rsid w:val="00547AD6"/>
    <w:rsid w:val="00547BD3"/>
    <w:rsid w:val="00547C26"/>
    <w:rsid w:val="00547C66"/>
    <w:rsid w:val="00547D52"/>
    <w:rsid w:val="00547E05"/>
    <w:rsid w:val="00547E44"/>
    <w:rsid w:val="00547F0F"/>
    <w:rsid w:val="00547F5B"/>
    <w:rsid w:val="00547F71"/>
    <w:rsid w:val="00550066"/>
    <w:rsid w:val="005500F0"/>
    <w:rsid w:val="00550362"/>
    <w:rsid w:val="005503B5"/>
    <w:rsid w:val="00550553"/>
    <w:rsid w:val="0055061C"/>
    <w:rsid w:val="00550739"/>
    <w:rsid w:val="00550785"/>
    <w:rsid w:val="0055078C"/>
    <w:rsid w:val="005509F8"/>
    <w:rsid w:val="00550A65"/>
    <w:rsid w:val="00550AB5"/>
    <w:rsid w:val="00550AE1"/>
    <w:rsid w:val="00550B38"/>
    <w:rsid w:val="00550BE6"/>
    <w:rsid w:val="00550C01"/>
    <w:rsid w:val="00550D10"/>
    <w:rsid w:val="00550D14"/>
    <w:rsid w:val="00550D7A"/>
    <w:rsid w:val="00550DC7"/>
    <w:rsid w:val="00550EAD"/>
    <w:rsid w:val="00550EB4"/>
    <w:rsid w:val="00550F46"/>
    <w:rsid w:val="00550F86"/>
    <w:rsid w:val="00550FBB"/>
    <w:rsid w:val="00551095"/>
    <w:rsid w:val="00551153"/>
    <w:rsid w:val="00551177"/>
    <w:rsid w:val="00551255"/>
    <w:rsid w:val="005512B2"/>
    <w:rsid w:val="005513AB"/>
    <w:rsid w:val="005513C7"/>
    <w:rsid w:val="00551417"/>
    <w:rsid w:val="00551623"/>
    <w:rsid w:val="005518A0"/>
    <w:rsid w:val="005518AA"/>
    <w:rsid w:val="00551B21"/>
    <w:rsid w:val="00551B3D"/>
    <w:rsid w:val="00551B85"/>
    <w:rsid w:val="00551DCE"/>
    <w:rsid w:val="00551E5C"/>
    <w:rsid w:val="00551EE9"/>
    <w:rsid w:val="00551F27"/>
    <w:rsid w:val="00552023"/>
    <w:rsid w:val="00552257"/>
    <w:rsid w:val="0055225E"/>
    <w:rsid w:val="0055230B"/>
    <w:rsid w:val="00552336"/>
    <w:rsid w:val="005523F7"/>
    <w:rsid w:val="00552471"/>
    <w:rsid w:val="005524C5"/>
    <w:rsid w:val="00552561"/>
    <w:rsid w:val="0055270D"/>
    <w:rsid w:val="005527A5"/>
    <w:rsid w:val="005527D5"/>
    <w:rsid w:val="00552BDC"/>
    <w:rsid w:val="00552CA2"/>
    <w:rsid w:val="00552D4F"/>
    <w:rsid w:val="00552D7E"/>
    <w:rsid w:val="00552D8B"/>
    <w:rsid w:val="00552FD0"/>
    <w:rsid w:val="0055301A"/>
    <w:rsid w:val="0055310B"/>
    <w:rsid w:val="00553235"/>
    <w:rsid w:val="00553425"/>
    <w:rsid w:val="00553523"/>
    <w:rsid w:val="00553868"/>
    <w:rsid w:val="00553991"/>
    <w:rsid w:val="00553AA3"/>
    <w:rsid w:val="00553E4B"/>
    <w:rsid w:val="00553F72"/>
    <w:rsid w:val="00553F9B"/>
    <w:rsid w:val="00554023"/>
    <w:rsid w:val="005540C8"/>
    <w:rsid w:val="00554154"/>
    <w:rsid w:val="005541C8"/>
    <w:rsid w:val="005541E0"/>
    <w:rsid w:val="00554250"/>
    <w:rsid w:val="00554368"/>
    <w:rsid w:val="005543DE"/>
    <w:rsid w:val="00554407"/>
    <w:rsid w:val="00554421"/>
    <w:rsid w:val="00554422"/>
    <w:rsid w:val="005546C4"/>
    <w:rsid w:val="00554ABE"/>
    <w:rsid w:val="00554B01"/>
    <w:rsid w:val="00554B45"/>
    <w:rsid w:val="00554BCD"/>
    <w:rsid w:val="00554D9E"/>
    <w:rsid w:val="00554DCA"/>
    <w:rsid w:val="00554F3E"/>
    <w:rsid w:val="00554FA5"/>
    <w:rsid w:val="00554FEF"/>
    <w:rsid w:val="00555016"/>
    <w:rsid w:val="005552C0"/>
    <w:rsid w:val="005552ED"/>
    <w:rsid w:val="00555354"/>
    <w:rsid w:val="005553CB"/>
    <w:rsid w:val="00555488"/>
    <w:rsid w:val="0055558F"/>
    <w:rsid w:val="00555662"/>
    <w:rsid w:val="0055567D"/>
    <w:rsid w:val="00555746"/>
    <w:rsid w:val="005559E9"/>
    <w:rsid w:val="00555C06"/>
    <w:rsid w:val="00555C94"/>
    <w:rsid w:val="00555C9F"/>
    <w:rsid w:val="00555DA7"/>
    <w:rsid w:val="00555F49"/>
    <w:rsid w:val="00555F60"/>
    <w:rsid w:val="0055600B"/>
    <w:rsid w:val="005561CE"/>
    <w:rsid w:val="005562C0"/>
    <w:rsid w:val="005562FB"/>
    <w:rsid w:val="0055637E"/>
    <w:rsid w:val="005563AE"/>
    <w:rsid w:val="00556493"/>
    <w:rsid w:val="005564B4"/>
    <w:rsid w:val="005566B8"/>
    <w:rsid w:val="00556716"/>
    <w:rsid w:val="0055682E"/>
    <w:rsid w:val="00556834"/>
    <w:rsid w:val="00556929"/>
    <w:rsid w:val="005569BA"/>
    <w:rsid w:val="005569E4"/>
    <w:rsid w:val="00556A0E"/>
    <w:rsid w:val="00556A41"/>
    <w:rsid w:val="00556B2F"/>
    <w:rsid w:val="00556B44"/>
    <w:rsid w:val="00556C23"/>
    <w:rsid w:val="00556D6C"/>
    <w:rsid w:val="00556D9A"/>
    <w:rsid w:val="00556E2A"/>
    <w:rsid w:val="00556EB3"/>
    <w:rsid w:val="00557042"/>
    <w:rsid w:val="005570E4"/>
    <w:rsid w:val="00557277"/>
    <w:rsid w:val="005572DC"/>
    <w:rsid w:val="005573B8"/>
    <w:rsid w:val="005573C4"/>
    <w:rsid w:val="005575FF"/>
    <w:rsid w:val="00557776"/>
    <w:rsid w:val="00557807"/>
    <w:rsid w:val="0055794F"/>
    <w:rsid w:val="00557A55"/>
    <w:rsid w:val="00557AB4"/>
    <w:rsid w:val="00557AB7"/>
    <w:rsid w:val="00557B18"/>
    <w:rsid w:val="00557B59"/>
    <w:rsid w:val="00557E92"/>
    <w:rsid w:val="00557EE9"/>
    <w:rsid w:val="00557F27"/>
    <w:rsid w:val="005601A4"/>
    <w:rsid w:val="00560346"/>
    <w:rsid w:val="005603C2"/>
    <w:rsid w:val="005603F2"/>
    <w:rsid w:val="0056043D"/>
    <w:rsid w:val="0056046B"/>
    <w:rsid w:val="005604AD"/>
    <w:rsid w:val="00560500"/>
    <w:rsid w:val="00560589"/>
    <w:rsid w:val="005605A5"/>
    <w:rsid w:val="00560655"/>
    <w:rsid w:val="00560685"/>
    <w:rsid w:val="00560750"/>
    <w:rsid w:val="0056083B"/>
    <w:rsid w:val="00560901"/>
    <w:rsid w:val="00560B3C"/>
    <w:rsid w:val="00560B6A"/>
    <w:rsid w:val="00560BD2"/>
    <w:rsid w:val="00560BE0"/>
    <w:rsid w:val="00560BFC"/>
    <w:rsid w:val="00560C74"/>
    <w:rsid w:val="00560CAF"/>
    <w:rsid w:val="00560D1D"/>
    <w:rsid w:val="00561053"/>
    <w:rsid w:val="005610A8"/>
    <w:rsid w:val="005610AE"/>
    <w:rsid w:val="005610FF"/>
    <w:rsid w:val="0056127D"/>
    <w:rsid w:val="005612F6"/>
    <w:rsid w:val="00561530"/>
    <w:rsid w:val="005615D5"/>
    <w:rsid w:val="00561619"/>
    <w:rsid w:val="005616D0"/>
    <w:rsid w:val="00561895"/>
    <w:rsid w:val="005618C2"/>
    <w:rsid w:val="005619C2"/>
    <w:rsid w:val="00561A97"/>
    <w:rsid w:val="00561CD5"/>
    <w:rsid w:val="00561E89"/>
    <w:rsid w:val="00561F6C"/>
    <w:rsid w:val="00561F7F"/>
    <w:rsid w:val="00561FAE"/>
    <w:rsid w:val="00562082"/>
    <w:rsid w:val="00562111"/>
    <w:rsid w:val="005621F1"/>
    <w:rsid w:val="005623BD"/>
    <w:rsid w:val="00562441"/>
    <w:rsid w:val="00562447"/>
    <w:rsid w:val="00562471"/>
    <w:rsid w:val="00562625"/>
    <w:rsid w:val="005626B8"/>
    <w:rsid w:val="00562701"/>
    <w:rsid w:val="005628C1"/>
    <w:rsid w:val="00562963"/>
    <w:rsid w:val="005629CC"/>
    <w:rsid w:val="005629E9"/>
    <w:rsid w:val="00562BAD"/>
    <w:rsid w:val="00562C22"/>
    <w:rsid w:val="00562DA0"/>
    <w:rsid w:val="00563077"/>
    <w:rsid w:val="005630CF"/>
    <w:rsid w:val="005630EB"/>
    <w:rsid w:val="00563293"/>
    <w:rsid w:val="0056344E"/>
    <w:rsid w:val="00563652"/>
    <w:rsid w:val="00563662"/>
    <w:rsid w:val="005636F5"/>
    <w:rsid w:val="00563A0C"/>
    <w:rsid w:val="00563B4D"/>
    <w:rsid w:val="00563B87"/>
    <w:rsid w:val="00563BFB"/>
    <w:rsid w:val="00563C69"/>
    <w:rsid w:val="00563CD9"/>
    <w:rsid w:val="00563DAC"/>
    <w:rsid w:val="00563E2B"/>
    <w:rsid w:val="00563EE9"/>
    <w:rsid w:val="00563F7E"/>
    <w:rsid w:val="00563FC0"/>
    <w:rsid w:val="00563FF2"/>
    <w:rsid w:val="0056411B"/>
    <w:rsid w:val="0056421C"/>
    <w:rsid w:val="005644A8"/>
    <w:rsid w:val="00564509"/>
    <w:rsid w:val="0056450A"/>
    <w:rsid w:val="00564580"/>
    <w:rsid w:val="005645C9"/>
    <w:rsid w:val="00564623"/>
    <w:rsid w:val="0056463C"/>
    <w:rsid w:val="00564824"/>
    <w:rsid w:val="00564851"/>
    <w:rsid w:val="005649E3"/>
    <w:rsid w:val="00564AD5"/>
    <w:rsid w:val="00564AEF"/>
    <w:rsid w:val="00564B98"/>
    <w:rsid w:val="00564C62"/>
    <w:rsid w:val="00564F9B"/>
    <w:rsid w:val="00565039"/>
    <w:rsid w:val="00565050"/>
    <w:rsid w:val="00565068"/>
    <w:rsid w:val="005650F7"/>
    <w:rsid w:val="00565126"/>
    <w:rsid w:val="00565175"/>
    <w:rsid w:val="0056525C"/>
    <w:rsid w:val="005652B7"/>
    <w:rsid w:val="005652FA"/>
    <w:rsid w:val="0056531C"/>
    <w:rsid w:val="005653DE"/>
    <w:rsid w:val="0056540D"/>
    <w:rsid w:val="00565565"/>
    <w:rsid w:val="005655C1"/>
    <w:rsid w:val="00565605"/>
    <w:rsid w:val="0056566D"/>
    <w:rsid w:val="005656F8"/>
    <w:rsid w:val="00565883"/>
    <w:rsid w:val="0056589E"/>
    <w:rsid w:val="005658AE"/>
    <w:rsid w:val="00565A22"/>
    <w:rsid w:val="00565CC2"/>
    <w:rsid w:val="00565D88"/>
    <w:rsid w:val="00565DBB"/>
    <w:rsid w:val="00565E6B"/>
    <w:rsid w:val="00565E87"/>
    <w:rsid w:val="00565F70"/>
    <w:rsid w:val="00565F93"/>
    <w:rsid w:val="005660AA"/>
    <w:rsid w:val="00566165"/>
    <w:rsid w:val="005662BF"/>
    <w:rsid w:val="00566323"/>
    <w:rsid w:val="0056637B"/>
    <w:rsid w:val="0056675C"/>
    <w:rsid w:val="005667A6"/>
    <w:rsid w:val="0056682E"/>
    <w:rsid w:val="00566925"/>
    <w:rsid w:val="005669CD"/>
    <w:rsid w:val="00566A00"/>
    <w:rsid w:val="00566A28"/>
    <w:rsid w:val="00566A32"/>
    <w:rsid w:val="00566BAC"/>
    <w:rsid w:val="00566CC4"/>
    <w:rsid w:val="00566D2A"/>
    <w:rsid w:val="00566D3A"/>
    <w:rsid w:val="00566E4E"/>
    <w:rsid w:val="00566F10"/>
    <w:rsid w:val="00566F6A"/>
    <w:rsid w:val="00566FEF"/>
    <w:rsid w:val="00567221"/>
    <w:rsid w:val="005672B4"/>
    <w:rsid w:val="00567329"/>
    <w:rsid w:val="00567546"/>
    <w:rsid w:val="00567547"/>
    <w:rsid w:val="005675A9"/>
    <w:rsid w:val="005675D0"/>
    <w:rsid w:val="005675E0"/>
    <w:rsid w:val="00567694"/>
    <w:rsid w:val="0056776B"/>
    <w:rsid w:val="00567A61"/>
    <w:rsid w:val="00567BB3"/>
    <w:rsid w:val="00567BB8"/>
    <w:rsid w:val="00567DF0"/>
    <w:rsid w:val="00567EAB"/>
    <w:rsid w:val="0057009F"/>
    <w:rsid w:val="0057010B"/>
    <w:rsid w:val="00570276"/>
    <w:rsid w:val="0057029D"/>
    <w:rsid w:val="005703C6"/>
    <w:rsid w:val="00570423"/>
    <w:rsid w:val="0057056C"/>
    <w:rsid w:val="00570835"/>
    <w:rsid w:val="005708B0"/>
    <w:rsid w:val="00570950"/>
    <w:rsid w:val="0057097C"/>
    <w:rsid w:val="00570A10"/>
    <w:rsid w:val="00570A3B"/>
    <w:rsid w:val="00570A71"/>
    <w:rsid w:val="00570C00"/>
    <w:rsid w:val="00570D49"/>
    <w:rsid w:val="00570E01"/>
    <w:rsid w:val="00570F38"/>
    <w:rsid w:val="00570F57"/>
    <w:rsid w:val="0057105A"/>
    <w:rsid w:val="00571294"/>
    <w:rsid w:val="005713CE"/>
    <w:rsid w:val="00571404"/>
    <w:rsid w:val="00571515"/>
    <w:rsid w:val="00571526"/>
    <w:rsid w:val="005715C1"/>
    <w:rsid w:val="005715EE"/>
    <w:rsid w:val="005718E4"/>
    <w:rsid w:val="00571A44"/>
    <w:rsid w:val="00571B92"/>
    <w:rsid w:val="00571C31"/>
    <w:rsid w:val="00571C41"/>
    <w:rsid w:val="00571C7C"/>
    <w:rsid w:val="00571E94"/>
    <w:rsid w:val="00571F37"/>
    <w:rsid w:val="0057202F"/>
    <w:rsid w:val="00572047"/>
    <w:rsid w:val="00572098"/>
    <w:rsid w:val="005720A2"/>
    <w:rsid w:val="0057227A"/>
    <w:rsid w:val="00572296"/>
    <w:rsid w:val="00572341"/>
    <w:rsid w:val="005723C6"/>
    <w:rsid w:val="00572409"/>
    <w:rsid w:val="00572489"/>
    <w:rsid w:val="00572506"/>
    <w:rsid w:val="00572598"/>
    <w:rsid w:val="00572824"/>
    <w:rsid w:val="00572846"/>
    <w:rsid w:val="005728B7"/>
    <w:rsid w:val="00572939"/>
    <w:rsid w:val="00572AA1"/>
    <w:rsid w:val="00572ABB"/>
    <w:rsid w:val="00572B25"/>
    <w:rsid w:val="00572C33"/>
    <w:rsid w:val="00572D01"/>
    <w:rsid w:val="00572E42"/>
    <w:rsid w:val="00572E84"/>
    <w:rsid w:val="00572F71"/>
    <w:rsid w:val="005730CE"/>
    <w:rsid w:val="0057310B"/>
    <w:rsid w:val="005731C6"/>
    <w:rsid w:val="005732F0"/>
    <w:rsid w:val="0057335E"/>
    <w:rsid w:val="00573408"/>
    <w:rsid w:val="005734A0"/>
    <w:rsid w:val="005734C9"/>
    <w:rsid w:val="0057352D"/>
    <w:rsid w:val="005735C9"/>
    <w:rsid w:val="005738FD"/>
    <w:rsid w:val="0057391B"/>
    <w:rsid w:val="00573A34"/>
    <w:rsid w:val="00573A3F"/>
    <w:rsid w:val="00573AA0"/>
    <w:rsid w:val="00573B66"/>
    <w:rsid w:val="00573BE9"/>
    <w:rsid w:val="00573C70"/>
    <w:rsid w:val="00573D35"/>
    <w:rsid w:val="00573DB3"/>
    <w:rsid w:val="00573DBD"/>
    <w:rsid w:val="0057429B"/>
    <w:rsid w:val="0057438B"/>
    <w:rsid w:val="005743AF"/>
    <w:rsid w:val="005743BA"/>
    <w:rsid w:val="00574429"/>
    <w:rsid w:val="0057455C"/>
    <w:rsid w:val="00574730"/>
    <w:rsid w:val="0057475F"/>
    <w:rsid w:val="00574783"/>
    <w:rsid w:val="00574808"/>
    <w:rsid w:val="005748A2"/>
    <w:rsid w:val="005749B6"/>
    <w:rsid w:val="005749C1"/>
    <w:rsid w:val="00574B9C"/>
    <w:rsid w:val="00574BF9"/>
    <w:rsid w:val="00574BFB"/>
    <w:rsid w:val="00574BFC"/>
    <w:rsid w:val="00574C68"/>
    <w:rsid w:val="00574C7A"/>
    <w:rsid w:val="00574DB1"/>
    <w:rsid w:val="00574DC5"/>
    <w:rsid w:val="00574DFE"/>
    <w:rsid w:val="00575098"/>
    <w:rsid w:val="005750DB"/>
    <w:rsid w:val="005751C1"/>
    <w:rsid w:val="00575244"/>
    <w:rsid w:val="00575264"/>
    <w:rsid w:val="005752DF"/>
    <w:rsid w:val="005752F0"/>
    <w:rsid w:val="0057530E"/>
    <w:rsid w:val="00575334"/>
    <w:rsid w:val="0057553D"/>
    <w:rsid w:val="0057570C"/>
    <w:rsid w:val="00575787"/>
    <w:rsid w:val="00575A5D"/>
    <w:rsid w:val="00575A78"/>
    <w:rsid w:val="00575C36"/>
    <w:rsid w:val="00575CEF"/>
    <w:rsid w:val="00575D49"/>
    <w:rsid w:val="00575DC3"/>
    <w:rsid w:val="00575EDE"/>
    <w:rsid w:val="00575F59"/>
    <w:rsid w:val="00575FB0"/>
    <w:rsid w:val="005761CB"/>
    <w:rsid w:val="00576242"/>
    <w:rsid w:val="00576315"/>
    <w:rsid w:val="00576331"/>
    <w:rsid w:val="005764D0"/>
    <w:rsid w:val="005764DD"/>
    <w:rsid w:val="00576552"/>
    <w:rsid w:val="0057658E"/>
    <w:rsid w:val="005766ED"/>
    <w:rsid w:val="00576A05"/>
    <w:rsid w:val="00576A2E"/>
    <w:rsid w:val="00576A8A"/>
    <w:rsid w:val="00576A8B"/>
    <w:rsid w:val="00576AAA"/>
    <w:rsid w:val="00576B34"/>
    <w:rsid w:val="00576BE8"/>
    <w:rsid w:val="00576C46"/>
    <w:rsid w:val="00576E92"/>
    <w:rsid w:val="00576F1C"/>
    <w:rsid w:val="00577012"/>
    <w:rsid w:val="00577040"/>
    <w:rsid w:val="005770A3"/>
    <w:rsid w:val="005770D6"/>
    <w:rsid w:val="00577119"/>
    <w:rsid w:val="00577143"/>
    <w:rsid w:val="005772E7"/>
    <w:rsid w:val="005772F3"/>
    <w:rsid w:val="005773B8"/>
    <w:rsid w:val="00577546"/>
    <w:rsid w:val="005775DA"/>
    <w:rsid w:val="005776D7"/>
    <w:rsid w:val="005778F9"/>
    <w:rsid w:val="00577B04"/>
    <w:rsid w:val="00577B57"/>
    <w:rsid w:val="00577BDB"/>
    <w:rsid w:val="00577DDC"/>
    <w:rsid w:val="00577E27"/>
    <w:rsid w:val="00577F1C"/>
    <w:rsid w:val="0058008A"/>
    <w:rsid w:val="0058015C"/>
    <w:rsid w:val="00580167"/>
    <w:rsid w:val="0058025A"/>
    <w:rsid w:val="00580539"/>
    <w:rsid w:val="00580546"/>
    <w:rsid w:val="0058058F"/>
    <w:rsid w:val="00580658"/>
    <w:rsid w:val="0058069B"/>
    <w:rsid w:val="00580754"/>
    <w:rsid w:val="00580910"/>
    <w:rsid w:val="00580A21"/>
    <w:rsid w:val="00580B3F"/>
    <w:rsid w:val="00580B89"/>
    <w:rsid w:val="00580BCA"/>
    <w:rsid w:val="00580BEE"/>
    <w:rsid w:val="00580CB0"/>
    <w:rsid w:val="00580CEA"/>
    <w:rsid w:val="00580E3D"/>
    <w:rsid w:val="00580EDA"/>
    <w:rsid w:val="00580FC8"/>
    <w:rsid w:val="00580FF6"/>
    <w:rsid w:val="00581040"/>
    <w:rsid w:val="00581095"/>
    <w:rsid w:val="0058114A"/>
    <w:rsid w:val="0058114F"/>
    <w:rsid w:val="0058127E"/>
    <w:rsid w:val="005812A5"/>
    <w:rsid w:val="005814E6"/>
    <w:rsid w:val="00581536"/>
    <w:rsid w:val="0058156B"/>
    <w:rsid w:val="005815CC"/>
    <w:rsid w:val="005816E7"/>
    <w:rsid w:val="00581832"/>
    <w:rsid w:val="0058187C"/>
    <w:rsid w:val="0058189F"/>
    <w:rsid w:val="005818D0"/>
    <w:rsid w:val="00581904"/>
    <w:rsid w:val="00581AA0"/>
    <w:rsid w:val="00581B48"/>
    <w:rsid w:val="00581B8D"/>
    <w:rsid w:val="00581C34"/>
    <w:rsid w:val="00581D17"/>
    <w:rsid w:val="00581D4A"/>
    <w:rsid w:val="00581EE6"/>
    <w:rsid w:val="00581F4B"/>
    <w:rsid w:val="00581F5D"/>
    <w:rsid w:val="00581FC0"/>
    <w:rsid w:val="00581FE8"/>
    <w:rsid w:val="0058206B"/>
    <w:rsid w:val="005820F9"/>
    <w:rsid w:val="00582130"/>
    <w:rsid w:val="00582261"/>
    <w:rsid w:val="0058229C"/>
    <w:rsid w:val="005822FD"/>
    <w:rsid w:val="00582395"/>
    <w:rsid w:val="00582471"/>
    <w:rsid w:val="0058263D"/>
    <w:rsid w:val="00582657"/>
    <w:rsid w:val="005826CD"/>
    <w:rsid w:val="00582835"/>
    <w:rsid w:val="005828E4"/>
    <w:rsid w:val="00582942"/>
    <w:rsid w:val="005829B1"/>
    <w:rsid w:val="00582A0E"/>
    <w:rsid w:val="00582A14"/>
    <w:rsid w:val="00582F90"/>
    <w:rsid w:val="00582FA4"/>
    <w:rsid w:val="005830E0"/>
    <w:rsid w:val="00583192"/>
    <w:rsid w:val="00583332"/>
    <w:rsid w:val="00583355"/>
    <w:rsid w:val="0058338C"/>
    <w:rsid w:val="005833E2"/>
    <w:rsid w:val="00583493"/>
    <w:rsid w:val="00583518"/>
    <w:rsid w:val="00583570"/>
    <w:rsid w:val="005835C1"/>
    <w:rsid w:val="00583909"/>
    <w:rsid w:val="0058397E"/>
    <w:rsid w:val="00583A08"/>
    <w:rsid w:val="00583D45"/>
    <w:rsid w:val="00583F19"/>
    <w:rsid w:val="00583F1D"/>
    <w:rsid w:val="00583F52"/>
    <w:rsid w:val="00583FBC"/>
    <w:rsid w:val="00584310"/>
    <w:rsid w:val="005843C2"/>
    <w:rsid w:val="00584542"/>
    <w:rsid w:val="005845BE"/>
    <w:rsid w:val="00584640"/>
    <w:rsid w:val="005846F5"/>
    <w:rsid w:val="0058477D"/>
    <w:rsid w:val="005849BD"/>
    <w:rsid w:val="00584C30"/>
    <w:rsid w:val="00584D4D"/>
    <w:rsid w:val="00584D54"/>
    <w:rsid w:val="00584E09"/>
    <w:rsid w:val="00584E57"/>
    <w:rsid w:val="00584EC4"/>
    <w:rsid w:val="00584F60"/>
    <w:rsid w:val="00585004"/>
    <w:rsid w:val="0058503C"/>
    <w:rsid w:val="005852C6"/>
    <w:rsid w:val="005853D4"/>
    <w:rsid w:val="005853D8"/>
    <w:rsid w:val="00585431"/>
    <w:rsid w:val="00585604"/>
    <w:rsid w:val="00585657"/>
    <w:rsid w:val="00585690"/>
    <w:rsid w:val="00585777"/>
    <w:rsid w:val="00585825"/>
    <w:rsid w:val="00585892"/>
    <w:rsid w:val="005858C8"/>
    <w:rsid w:val="00585AEF"/>
    <w:rsid w:val="00585C06"/>
    <w:rsid w:val="00585C8D"/>
    <w:rsid w:val="00585D84"/>
    <w:rsid w:val="0058609E"/>
    <w:rsid w:val="005860C0"/>
    <w:rsid w:val="00586157"/>
    <w:rsid w:val="00586286"/>
    <w:rsid w:val="005862F8"/>
    <w:rsid w:val="00586316"/>
    <w:rsid w:val="00586456"/>
    <w:rsid w:val="005864F8"/>
    <w:rsid w:val="0058689D"/>
    <w:rsid w:val="0058689E"/>
    <w:rsid w:val="00586A22"/>
    <w:rsid w:val="00586B14"/>
    <w:rsid w:val="00586B4B"/>
    <w:rsid w:val="00586C7E"/>
    <w:rsid w:val="00586E31"/>
    <w:rsid w:val="00586F1C"/>
    <w:rsid w:val="005871A0"/>
    <w:rsid w:val="005871A8"/>
    <w:rsid w:val="005873C8"/>
    <w:rsid w:val="00587440"/>
    <w:rsid w:val="00587479"/>
    <w:rsid w:val="005875F5"/>
    <w:rsid w:val="0058761D"/>
    <w:rsid w:val="005876BF"/>
    <w:rsid w:val="005876F5"/>
    <w:rsid w:val="005877FF"/>
    <w:rsid w:val="005878D0"/>
    <w:rsid w:val="0058790C"/>
    <w:rsid w:val="00587A37"/>
    <w:rsid w:val="00587A3C"/>
    <w:rsid w:val="00587A47"/>
    <w:rsid w:val="00587A6B"/>
    <w:rsid w:val="00587BC2"/>
    <w:rsid w:val="00587C18"/>
    <w:rsid w:val="00587C47"/>
    <w:rsid w:val="00587E7A"/>
    <w:rsid w:val="00587E9C"/>
    <w:rsid w:val="00587EAB"/>
    <w:rsid w:val="00587F84"/>
    <w:rsid w:val="0058D5CF"/>
    <w:rsid w:val="00590015"/>
    <w:rsid w:val="0059003A"/>
    <w:rsid w:val="00590050"/>
    <w:rsid w:val="00590087"/>
    <w:rsid w:val="00590313"/>
    <w:rsid w:val="005903F7"/>
    <w:rsid w:val="005904EE"/>
    <w:rsid w:val="0059063F"/>
    <w:rsid w:val="005906A6"/>
    <w:rsid w:val="0059070E"/>
    <w:rsid w:val="0059079B"/>
    <w:rsid w:val="005907FC"/>
    <w:rsid w:val="00590868"/>
    <w:rsid w:val="00590894"/>
    <w:rsid w:val="005909FF"/>
    <w:rsid w:val="00590A73"/>
    <w:rsid w:val="00590A7D"/>
    <w:rsid w:val="00590C8D"/>
    <w:rsid w:val="00590CB3"/>
    <w:rsid w:val="00590CC7"/>
    <w:rsid w:val="00590E4D"/>
    <w:rsid w:val="00590E4E"/>
    <w:rsid w:val="005910A9"/>
    <w:rsid w:val="00591189"/>
    <w:rsid w:val="005911A5"/>
    <w:rsid w:val="005912C1"/>
    <w:rsid w:val="0059148D"/>
    <w:rsid w:val="005914D7"/>
    <w:rsid w:val="00591582"/>
    <w:rsid w:val="005915BE"/>
    <w:rsid w:val="00591703"/>
    <w:rsid w:val="005917EF"/>
    <w:rsid w:val="00591968"/>
    <w:rsid w:val="00591BC2"/>
    <w:rsid w:val="00591BDC"/>
    <w:rsid w:val="00591BE4"/>
    <w:rsid w:val="00591D12"/>
    <w:rsid w:val="00591D57"/>
    <w:rsid w:val="00591DE1"/>
    <w:rsid w:val="00591EE1"/>
    <w:rsid w:val="00591F43"/>
    <w:rsid w:val="00591F5F"/>
    <w:rsid w:val="00591FD0"/>
    <w:rsid w:val="00592059"/>
    <w:rsid w:val="00592229"/>
    <w:rsid w:val="00592291"/>
    <w:rsid w:val="00592346"/>
    <w:rsid w:val="0059238C"/>
    <w:rsid w:val="005923B5"/>
    <w:rsid w:val="005924AA"/>
    <w:rsid w:val="0059253B"/>
    <w:rsid w:val="0059255D"/>
    <w:rsid w:val="0059263C"/>
    <w:rsid w:val="005928C2"/>
    <w:rsid w:val="005929BE"/>
    <w:rsid w:val="00592AD6"/>
    <w:rsid w:val="00592AE6"/>
    <w:rsid w:val="00592D39"/>
    <w:rsid w:val="00592D7C"/>
    <w:rsid w:val="00592DA3"/>
    <w:rsid w:val="00592F99"/>
    <w:rsid w:val="005931AB"/>
    <w:rsid w:val="005932D3"/>
    <w:rsid w:val="00593381"/>
    <w:rsid w:val="0059351E"/>
    <w:rsid w:val="0059356A"/>
    <w:rsid w:val="00593664"/>
    <w:rsid w:val="0059371D"/>
    <w:rsid w:val="00593766"/>
    <w:rsid w:val="0059391C"/>
    <w:rsid w:val="00593B8C"/>
    <w:rsid w:val="00593B93"/>
    <w:rsid w:val="00593BC2"/>
    <w:rsid w:val="00593C87"/>
    <w:rsid w:val="00593D91"/>
    <w:rsid w:val="00593DCE"/>
    <w:rsid w:val="00593EFC"/>
    <w:rsid w:val="005940A7"/>
    <w:rsid w:val="005942A6"/>
    <w:rsid w:val="00594458"/>
    <w:rsid w:val="005944A9"/>
    <w:rsid w:val="00594575"/>
    <w:rsid w:val="005945F8"/>
    <w:rsid w:val="00594839"/>
    <w:rsid w:val="00594843"/>
    <w:rsid w:val="0059490A"/>
    <w:rsid w:val="00594922"/>
    <w:rsid w:val="005949C2"/>
    <w:rsid w:val="00594AAA"/>
    <w:rsid w:val="00594C8A"/>
    <w:rsid w:val="00594CAC"/>
    <w:rsid w:val="00594E6F"/>
    <w:rsid w:val="00594ECD"/>
    <w:rsid w:val="00594F8A"/>
    <w:rsid w:val="00595041"/>
    <w:rsid w:val="005952D0"/>
    <w:rsid w:val="00595308"/>
    <w:rsid w:val="0059540B"/>
    <w:rsid w:val="00595649"/>
    <w:rsid w:val="00595675"/>
    <w:rsid w:val="005956CA"/>
    <w:rsid w:val="005956FB"/>
    <w:rsid w:val="00595729"/>
    <w:rsid w:val="00595765"/>
    <w:rsid w:val="00595857"/>
    <w:rsid w:val="005958B5"/>
    <w:rsid w:val="00595977"/>
    <w:rsid w:val="00595993"/>
    <w:rsid w:val="005959F5"/>
    <w:rsid w:val="00595A7A"/>
    <w:rsid w:val="00595AF3"/>
    <w:rsid w:val="00595B33"/>
    <w:rsid w:val="00595BEF"/>
    <w:rsid w:val="00595E11"/>
    <w:rsid w:val="00595E82"/>
    <w:rsid w:val="00595EA3"/>
    <w:rsid w:val="00596008"/>
    <w:rsid w:val="00596057"/>
    <w:rsid w:val="0059631C"/>
    <w:rsid w:val="00596328"/>
    <w:rsid w:val="0059639A"/>
    <w:rsid w:val="005963C5"/>
    <w:rsid w:val="005965C4"/>
    <w:rsid w:val="0059662F"/>
    <w:rsid w:val="005966D4"/>
    <w:rsid w:val="0059686E"/>
    <w:rsid w:val="00596B4C"/>
    <w:rsid w:val="00596BA0"/>
    <w:rsid w:val="00596BFC"/>
    <w:rsid w:val="00596CC3"/>
    <w:rsid w:val="00596DA9"/>
    <w:rsid w:val="00596E99"/>
    <w:rsid w:val="00596FBC"/>
    <w:rsid w:val="00596FC6"/>
    <w:rsid w:val="00597039"/>
    <w:rsid w:val="00597202"/>
    <w:rsid w:val="005973B0"/>
    <w:rsid w:val="005973C7"/>
    <w:rsid w:val="005974D3"/>
    <w:rsid w:val="005974FB"/>
    <w:rsid w:val="00597559"/>
    <w:rsid w:val="005975B4"/>
    <w:rsid w:val="0059771E"/>
    <w:rsid w:val="00597865"/>
    <w:rsid w:val="0059793D"/>
    <w:rsid w:val="00597B2E"/>
    <w:rsid w:val="00597CF7"/>
    <w:rsid w:val="00597DF5"/>
    <w:rsid w:val="00597F45"/>
    <w:rsid w:val="0059D863"/>
    <w:rsid w:val="005A04C4"/>
    <w:rsid w:val="005A0555"/>
    <w:rsid w:val="005A0580"/>
    <w:rsid w:val="005A06B3"/>
    <w:rsid w:val="005A0747"/>
    <w:rsid w:val="005A0829"/>
    <w:rsid w:val="005A08AD"/>
    <w:rsid w:val="005A0AAB"/>
    <w:rsid w:val="005A0B32"/>
    <w:rsid w:val="005A0B70"/>
    <w:rsid w:val="005A0BF8"/>
    <w:rsid w:val="005A0C6C"/>
    <w:rsid w:val="005A0CDC"/>
    <w:rsid w:val="005A0DC5"/>
    <w:rsid w:val="005A0F09"/>
    <w:rsid w:val="005A0F0F"/>
    <w:rsid w:val="005A103C"/>
    <w:rsid w:val="005A1199"/>
    <w:rsid w:val="005A11DF"/>
    <w:rsid w:val="005A1261"/>
    <w:rsid w:val="005A14FC"/>
    <w:rsid w:val="005A1502"/>
    <w:rsid w:val="005A151D"/>
    <w:rsid w:val="005A1599"/>
    <w:rsid w:val="005A159F"/>
    <w:rsid w:val="005A1675"/>
    <w:rsid w:val="005A179B"/>
    <w:rsid w:val="005A1881"/>
    <w:rsid w:val="005A18AC"/>
    <w:rsid w:val="005A1A56"/>
    <w:rsid w:val="005A1BB2"/>
    <w:rsid w:val="005A1BFE"/>
    <w:rsid w:val="005A1C9A"/>
    <w:rsid w:val="005A1EF7"/>
    <w:rsid w:val="005A208C"/>
    <w:rsid w:val="005A21EA"/>
    <w:rsid w:val="005A21ED"/>
    <w:rsid w:val="005A2491"/>
    <w:rsid w:val="005A2549"/>
    <w:rsid w:val="005A2551"/>
    <w:rsid w:val="005A25A0"/>
    <w:rsid w:val="005A2788"/>
    <w:rsid w:val="005A27D3"/>
    <w:rsid w:val="005A280B"/>
    <w:rsid w:val="005A28E2"/>
    <w:rsid w:val="005A2934"/>
    <w:rsid w:val="005A2936"/>
    <w:rsid w:val="005A29AB"/>
    <w:rsid w:val="005A2B43"/>
    <w:rsid w:val="005A2B51"/>
    <w:rsid w:val="005A2CD4"/>
    <w:rsid w:val="005A2E3B"/>
    <w:rsid w:val="005A2F59"/>
    <w:rsid w:val="005A2FF1"/>
    <w:rsid w:val="005A306F"/>
    <w:rsid w:val="005A308D"/>
    <w:rsid w:val="005A3116"/>
    <w:rsid w:val="005A31BF"/>
    <w:rsid w:val="005A32B1"/>
    <w:rsid w:val="005A3320"/>
    <w:rsid w:val="005A3366"/>
    <w:rsid w:val="005A3398"/>
    <w:rsid w:val="005A3482"/>
    <w:rsid w:val="005A34AC"/>
    <w:rsid w:val="005A34BC"/>
    <w:rsid w:val="005A34DC"/>
    <w:rsid w:val="005A35EE"/>
    <w:rsid w:val="005A37B6"/>
    <w:rsid w:val="005A3864"/>
    <w:rsid w:val="005A3C26"/>
    <w:rsid w:val="005A3CEA"/>
    <w:rsid w:val="005A3E9C"/>
    <w:rsid w:val="005A406C"/>
    <w:rsid w:val="005A411D"/>
    <w:rsid w:val="005A424A"/>
    <w:rsid w:val="005A42E8"/>
    <w:rsid w:val="005A43C9"/>
    <w:rsid w:val="005A4434"/>
    <w:rsid w:val="005A465A"/>
    <w:rsid w:val="005A46E2"/>
    <w:rsid w:val="005A4803"/>
    <w:rsid w:val="005A4898"/>
    <w:rsid w:val="005A48D3"/>
    <w:rsid w:val="005A4A21"/>
    <w:rsid w:val="005A4A22"/>
    <w:rsid w:val="005A4AF6"/>
    <w:rsid w:val="005A4D03"/>
    <w:rsid w:val="005A4D59"/>
    <w:rsid w:val="005A4D60"/>
    <w:rsid w:val="005A4FC2"/>
    <w:rsid w:val="005A50EA"/>
    <w:rsid w:val="005A50F2"/>
    <w:rsid w:val="005A5134"/>
    <w:rsid w:val="005A514D"/>
    <w:rsid w:val="005A5189"/>
    <w:rsid w:val="005A5347"/>
    <w:rsid w:val="005A55AC"/>
    <w:rsid w:val="005A55E8"/>
    <w:rsid w:val="005A5618"/>
    <w:rsid w:val="005A562F"/>
    <w:rsid w:val="005A5632"/>
    <w:rsid w:val="005A569B"/>
    <w:rsid w:val="005A56CE"/>
    <w:rsid w:val="005A5962"/>
    <w:rsid w:val="005A59C4"/>
    <w:rsid w:val="005A5AD1"/>
    <w:rsid w:val="005A5B19"/>
    <w:rsid w:val="005A5D5F"/>
    <w:rsid w:val="005A5E88"/>
    <w:rsid w:val="005A5FCC"/>
    <w:rsid w:val="005A62E0"/>
    <w:rsid w:val="005A6494"/>
    <w:rsid w:val="005A6641"/>
    <w:rsid w:val="005A6840"/>
    <w:rsid w:val="005A69FF"/>
    <w:rsid w:val="005A6A36"/>
    <w:rsid w:val="005A6AE7"/>
    <w:rsid w:val="005A6C73"/>
    <w:rsid w:val="005A6D66"/>
    <w:rsid w:val="005A6D9D"/>
    <w:rsid w:val="005A6ED6"/>
    <w:rsid w:val="005A6EFE"/>
    <w:rsid w:val="005A7132"/>
    <w:rsid w:val="005A7231"/>
    <w:rsid w:val="005A72A3"/>
    <w:rsid w:val="005A72FD"/>
    <w:rsid w:val="005A7344"/>
    <w:rsid w:val="005A7387"/>
    <w:rsid w:val="005A74A0"/>
    <w:rsid w:val="005A74A1"/>
    <w:rsid w:val="005A74D6"/>
    <w:rsid w:val="005A7552"/>
    <w:rsid w:val="005A765C"/>
    <w:rsid w:val="005A76D0"/>
    <w:rsid w:val="005A7769"/>
    <w:rsid w:val="005A77AE"/>
    <w:rsid w:val="005A77CE"/>
    <w:rsid w:val="005A7918"/>
    <w:rsid w:val="005A7A3E"/>
    <w:rsid w:val="005A7A92"/>
    <w:rsid w:val="005A7B12"/>
    <w:rsid w:val="005A7BAD"/>
    <w:rsid w:val="005A7CB4"/>
    <w:rsid w:val="005A7D30"/>
    <w:rsid w:val="005A7F11"/>
    <w:rsid w:val="005A7F98"/>
    <w:rsid w:val="005A7FB6"/>
    <w:rsid w:val="005B0000"/>
    <w:rsid w:val="005B00FB"/>
    <w:rsid w:val="005B0296"/>
    <w:rsid w:val="005B03EE"/>
    <w:rsid w:val="005B041B"/>
    <w:rsid w:val="005B0484"/>
    <w:rsid w:val="005B06A0"/>
    <w:rsid w:val="005B07A1"/>
    <w:rsid w:val="005B0803"/>
    <w:rsid w:val="005B087D"/>
    <w:rsid w:val="005B09B9"/>
    <w:rsid w:val="005B09DB"/>
    <w:rsid w:val="005B0CC0"/>
    <w:rsid w:val="005B0D03"/>
    <w:rsid w:val="005B0EFE"/>
    <w:rsid w:val="005B0F0D"/>
    <w:rsid w:val="005B0F6F"/>
    <w:rsid w:val="005B1132"/>
    <w:rsid w:val="005B117E"/>
    <w:rsid w:val="005B11EE"/>
    <w:rsid w:val="005B1229"/>
    <w:rsid w:val="005B12D0"/>
    <w:rsid w:val="005B12E8"/>
    <w:rsid w:val="005B12F9"/>
    <w:rsid w:val="005B1570"/>
    <w:rsid w:val="005B1584"/>
    <w:rsid w:val="005B1629"/>
    <w:rsid w:val="005B1641"/>
    <w:rsid w:val="005B17BB"/>
    <w:rsid w:val="005B18A7"/>
    <w:rsid w:val="005B1B00"/>
    <w:rsid w:val="005B1B5C"/>
    <w:rsid w:val="005B1C67"/>
    <w:rsid w:val="005B1CD9"/>
    <w:rsid w:val="005B1DBF"/>
    <w:rsid w:val="005B1E4A"/>
    <w:rsid w:val="005B1E91"/>
    <w:rsid w:val="005B1F24"/>
    <w:rsid w:val="005B1F94"/>
    <w:rsid w:val="005B206E"/>
    <w:rsid w:val="005B21B4"/>
    <w:rsid w:val="005B223C"/>
    <w:rsid w:val="005B2265"/>
    <w:rsid w:val="005B226C"/>
    <w:rsid w:val="005B22CF"/>
    <w:rsid w:val="005B22DB"/>
    <w:rsid w:val="005B24B2"/>
    <w:rsid w:val="005B24CD"/>
    <w:rsid w:val="005B25DC"/>
    <w:rsid w:val="005B26C4"/>
    <w:rsid w:val="005B2711"/>
    <w:rsid w:val="005B2827"/>
    <w:rsid w:val="005B283A"/>
    <w:rsid w:val="005B29C7"/>
    <w:rsid w:val="005B2ACF"/>
    <w:rsid w:val="005B2B36"/>
    <w:rsid w:val="005B2B92"/>
    <w:rsid w:val="005B2C32"/>
    <w:rsid w:val="005B2C3C"/>
    <w:rsid w:val="005B2C53"/>
    <w:rsid w:val="005B2C88"/>
    <w:rsid w:val="005B2D73"/>
    <w:rsid w:val="005B2D99"/>
    <w:rsid w:val="005B2E2D"/>
    <w:rsid w:val="005B2E87"/>
    <w:rsid w:val="005B2F48"/>
    <w:rsid w:val="005B2F84"/>
    <w:rsid w:val="005B30EF"/>
    <w:rsid w:val="005B31E8"/>
    <w:rsid w:val="005B3295"/>
    <w:rsid w:val="005B33E3"/>
    <w:rsid w:val="005B3422"/>
    <w:rsid w:val="005B3652"/>
    <w:rsid w:val="005B3796"/>
    <w:rsid w:val="005B37C6"/>
    <w:rsid w:val="005B38C7"/>
    <w:rsid w:val="005B3943"/>
    <w:rsid w:val="005B3963"/>
    <w:rsid w:val="005B3A28"/>
    <w:rsid w:val="005B3D72"/>
    <w:rsid w:val="005B4008"/>
    <w:rsid w:val="005B40C4"/>
    <w:rsid w:val="005B40CE"/>
    <w:rsid w:val="005B40DB"/>
    <w:rsid w:val="005B410B"/>
    <w:rsid w:val="005B4243"/>
    <w:rsid w:val="005B42B2"/>
    <w:rsid w:val="005B42F0"/>
    <w:rsid w:val="005B44F2"/>
    <w:rsid w:val="005B45AC"/>
    <w:rsid w:val="005B4747"/>
    <w:rsid w:val="005B477C"/>
    <w:rsid w:val="005B47F6"/>
    <w:rsid w:val="005B49A5"/>
    <w:rsid w:val="005B4A2C"/>
    <w:rsid w:val="005B4B2E"/>
    <w:rsid w:val="005B4BCE"/>
    <w:rsid w:val="005B4D34"/>
    <w:rsid w:val="005B4E23"/>
    <w:rsid w:val="005B4EF0"/>
    <w:rsid w:val="005B4F14"/>
    <w:rsid w:val="005B4F38"/>
    <w:rsid w:val="005B500D"/>
    <w:rsid w:val="005B50D2"/>
    <w:rsid w:val="005B5158"/>
    <w:rsid w:val="005B5229"/>
    <w:rsid w:val="005B527D"/>
    <w:rsid w:val="005B5357"/>
    <w:rsid w:val="005B5444"/>
    <w:rsid w:val="005B547C"/>
    <w:rsid w:val="005B54FF"/>
    <w:rsid w:val="005B5782"/>
    <w:rsid w:val="005B5790"/>
    <w:rsid w:val="005B584F"/>
    <w:rsid w:val="005B58E4"/>
    <w:rsid w:val="005B5939"/>
    <w:rsid w:val="005B5976"/>
    <w:rsid w:val="005B59CB"/>
    <w:rsid w:val="005B5AB6"/>
    <w:rsid w:val="005B5B96"/>
    <w:rsid w:val="005B5C3D"/>
    <w:rsid w:val="005B5C6E"/>
    <w:rsid w:val="005B5EFA"/>
    <w:rsid w:val="005B5F0B"/>
    <w:rsid w:val="005B5F9D"/>
    <w:rsid w:val="005B6132"/>
    <w:rsid w:val="005B6307"/>
    <w:rsid w:val="005B63AF"/>
    <w:rsid w:val="005B65AE"/>
    <w:rsid w:val="005B6676"/>
    <w:rsid w:val="005B68B8"/>
    <w:rsid w:val="005B69FE"/>
    <w:rsid w:val="005B6ABC"/>
    <w:rsid w:val="005B6B6A"/>
    <w:rsid w:val="005B6D27"/>
    <w:rsid w:val="005B6DAA"/>
    <w:rsid w:val="005B6DC0"/>
    <w:rsid w:val="005B6EBF"/>
    <w:rsid w:val="005B6F70"/>
    <w:rsid w:val="005B7136"/>
    <w:rsid w:val="005B7144"/>
    <w:rsid w:val="005B715B"/>
    <w:rsid w:val="005B71CA"/>
    <w:rsid w:val="005B71E5"/>
    <w:rsid w:val="005B7254"/>
    <w:rsid w:val="005B732A"/>
    <w:rsid w:val="005B7646"/>
    <w:rsid w:val="005B7828"/>
    <w:rsid w:val="005B78DD"/>
    <w:rsid w:val="005B7B2D"/>
    <w:rsid w:val="005B7C67"/>
    <w:rsid w:val="005B7D15"/>
    <w:rsid w:val="005B7DE6"/>
    <w:rsid w:val="005B7E5E"/>
    <w:rsid w:val="005B7EBE"/>
    <w:rsid w:val="005C0057"/>
    <w:rsid w:val="005C00B5"/>
    <w:rsid w:val="005C02D7"/>
    <w:rsid w:val="005C02FC"/>
    <w:rsid w:val="005C04F6"/>
    <w:rsid w:val="005C06BB"/>
    <w:rsid w:val="005C0864"/>
    <w:rsid w:val="005C08DD"/>
    <w:rsid w:val="005C0ABA"/>
    <w:rsid w:val="005C0B02"/>
    <w:rsid w:val="005C0B7A"/>
    <w:rsid w:val="005C0BC1"/>
    <w:rsid w:val="005C0D0A"/>
    <w:rsid w:val="005C0D99"/>
    <w:rsid w:val="005C0FD3"/>
    <w:rsid w:val="005C1081"/>
    <w:rsid w:val="005C1135"/>
    <w:rsid w:val="005C1140"/>
    <w:rsid w:val="005C1205"/>
    <w:rsid w:val="005C12EA"/>
    <w:rsid w:val="005C13D4"/>
    <w:rsid w:val="005C1401"/>
    <w:rsid w:val="005C14BA"/>
    <w:rsid w:val="005C14BC"/>
    <w:rsid w:val="005C14E1"/>
    <w:rsid w:val="005C1596"/>
    <w:rsid w:val="005C1730"/>
    <w:rsid w:val="005C1933"/>
    <w:rsid w:val="005C1A3E"/>
    <w:rsid w:val="005C1A4E"/>
    <w:rsid w:val="005C1B48"/>
    <w:rsid w:val="005C1BEA"/>
    <w:rsid w:val="005C1D15"/>
    <w:rsid w:val="005C1E43"/>
    <w:rsid w:val="005C1F04"/>
    <w:rsid w:val="005C1F9A"/>
    <w:rsid w:val="005C2000"/>
    <w:rsid w:val="005C2115"/>
    <w:rsid w:val="005C226A"/>
    <w:rsid w:val="005C2372"/>
    <w:rsid w:val="005C2400"/>
    <w:rsid w:val="005C258D"/>
    <w:rsid w:val="005C273C"/>
    <w:rsid w:val="005C2849"/>
    <w:rsid w:val="005C290B"/>
    <w:rsid w:val="005C299A"/>
    <w:rsid w:val="005C29D1"/>
    <w:rsid w:val="005C2ACD"/>
    <w:rsid w:val="005C2B60"/>
    <w:rsid w:val="005C2BA6"/>
    <w:rsid w:val="005C2BEE"/>
    <w:rsid w:val="005C2CBA"/>
    <w:rsid w:val="005C2CF2"/>
    <w:rsid w:val="005C2DB4"/>
    <w:rsid w:val="005C2DE9"/>
    <w:rsid w:val="005C30BD"/>
    <w:rsid w:val="005C3343"/>
    <w:rsid w:val="005C33CB"/>
    <w:rsid w:val="005C33E5"/>
    <w:rsid w:val="005C342E"/>
    <w:rsid w:val="005C3455"/>
    <w:rsid w:val="005C35C9"/>
    <w:rsid w:val="005C35E1"/>
    <w:rsid w:val="005C36E5"/>
    <w:rsid w:val="005C37E2"/>
    <w:rsid w:val="005C3872"/>
    <w:rsid w:val="005C3994"/>
    <w:rsid w:val="005C3A99"/>
    <w:rsid w:val="005C3D49"/>
    <w:rsid w:val="005C3E3C"/>
    <w:rsid w:val="005C3EDE"/>
    <w:rsid w:val="005C3F4E"/>
    <w:rsid w:val="005C4170"/>
    <w:rsid w:val="005C422F"/>
    <w:rsid w:val="005C4286"/>
    <w:rsid w:val="005C43E3"/>
    <w:rsid w:val="005C44CB"/>
    <w:rsid w:val="005C44E6"/>
    <w:rsid w:val="005C456D"/>
    <w:rsid w:val="005C4746"/>
    <w:rsid w:val="005C4750"/>
    <w:rsid w:val="005C4751"/>
    <w:rsid w:val="005C4BD2"/>
    <w:rsid w:val="005C4C07"/>
    <w:rsid w:val="005C4CA8"/>
    <w:rsid w:val="005C4CB6"/>
    <w:rsid w:val="005C4D30"/>
    <w:rsid w:val="005C4E57"/>
    <w:rsid w:val="005C4E73"/>
    <w:rsid w:val="005C4F4F"/>
    <w:rsid w:val="005C5069"/>
    <w:rsid w:val="005C5165"/>
    <w:rsid w:val="005C525B"/>
    <w:rsid w:val="005C52B3"/>
    <w:rsid w:val="005C52CC"/>
    <w:rsid w:val="005C52DB"/>
    <w:rsid w:val="005C5547"/>
    <w:rsid w:val="005C556C"/>
    <w:rsid w:val="005C5760"/>
    <w:rsid w:val="005C5792"/>
    <w:rsid w:val="005C5A12"/>
    <w:rsid w:val="005C5CED"/>
    <w:rsid w:val="005C6027"/>
    <w:rsid w:val="005C6066"/>
    <w:rsid w:val="005C60F9"/>
    <w:rsid w:val="005C6129"/>
    <w:rsid w:val="005C61AF"/>
    <w:rsid w:val="005C62DF"/>
    <w:rsid w:val="005C653B"/>
    <w:rsid w:val="005C6649"/>
    <w:rsid w:val="005C6760"/>
    <w:rsid w:val="005C6B59"/>
    <w:rsid w:val="005C6F14"/>
    <w:rsid w:val="005C6F2E"/>
    <w:rsid w:val="005C7099"/>
    <w:rsid w:val="005C70CF"/>
    <w:rsid w:val="005C7132"/>
    <w:rsid w:val="005C7218"/>
    <w:rsid w:val="005C7363"/>
    <w:rsid w:val="005C74A5"/>
    <w:rsid w:val="005C7510"/>
    <w:rsid w:val="005C76B3"/>
    <w:rsid w:val="005C76E0"/>
    <w:rsid w:val="005C76FF"/>
    <w:rsid w:val="005C774E"/>
    <w:rsid w:val="005C7750"/>
    <w:rsid w:val="005C776D"/>
    <w:rsid w:val="005C7790"/>
    <w:rsid w:val="005C77F5"/>
    <w:rsid w:val="005C785E"/>
    <w:rsid w:val="005C78AF"/>
    <w:rsid w:val="005C7A16"/>
    <w:rsid w:val="005C7AAB"/>
    <w:rsid w:val="005C7AF8"/>
    <w:rsid w:val="005C7BD8"/>
    <w:rsid w:val="005C7BEA"/>
    <w:rsid w:val="005C7C16"/>
    <w:rsid w:val="005C7C4F"/>
    <w:rsid w:val="005C7D23"/>
    <w:rsid w:val="005C7D51"/>
    <w:rsid w:val="005C7E15"/>
    <w:rsid w:val="005C7E7F"/>
    <w:rsid w:val="005D00A6"/>
    <w:rsid w:val="005D0177"/>
    <w:rsid w:val="005D0233"/>
    <w:rsid w:val="005D023E"/>
    <w:rsid w:val="005D0277"/>
    <w:rsid w:val="005D0525"/>
    <w:rsid w:val="005D058A"/>
    <w:rsid w:val="005D0599"/>
    <w:rsid w:val="005D0652"/>
    <w:rsid w:val="005D08D4"/>
    <w:rsid w:val="005D0B28"/>
    <w:rsid w:val="005D0B57"/>
    <w:rsid w:val="005D0C6A"/>
    <w:rsid w:val="005D0D53"/>
    <w:rsid w:val="005D0E38"/>
    <w:rsid w:val="005D0E55"/>
    <w:rsid w:val="005D0F6E"/>
    <w:rsid w:val="005D0F87"/>
    <w:rsid w:val="005D0FD8"/>
    <w:rsid w:val="005D10C0"/>
    <w:rsid w:val="005D10C2"/>
    <w:rsid w:val="005D1187"/>
    <w:rsid w:val="005D127C"/>
    <w:rsid w:val="005D1315"/>
    <w:rsid w:val="005D149D"/>
    <w:rsid w:val="005D15DB"/>
    <w:rsid w:val="005D15E4"/>
    <w:rsid w:val="005D1789"/>
    <w:rsid w:val="005D18AB"/>
    <w:rsid w:val="005D1966"/>
    <w:rsid w:val="005D1AD0"/>
    <w:rsid w:val="005D1C34"/>
    <w:rsid w:val="005D1D2C"/>
    <w:rsid w:val="005D1E40"/>
    <w:rsid w:val="005D1EB8"/>
    <w:rsid w:val="005D1FD3"/>
    <w:rsid w:val="005D2070"/>
    <w:rsid w:val="005D226A"/>
    <w:rsid w:val="005D246D"/>
    <w:rsid w:val="005D2474"/>
    <w:rsid w:val="005D25EA"/>
    <w:rsid w:val="005D25F2"/>
    <w:rsid w:val="005D2822"/>
    <w:rsid w:val="005D2867"/>
    <w:rsid w:val="005D28F3"/>
    <w:rsid w:val="005D2907"/>
    <w:rsid w:val="005D2B3D"/>
    <w:rsid w:val="005D2CEB"/>
    <w:rsid w:val="005D2DE5"/>
    <w:rsid w:val="005D2E00"/>
    <w:rsid w:val="005D2E04"/>
    <w:rsid w:val="005D2E2D"/>
    <w:rsid w:val="005D2EE9"/>
    <w:rsid w:val="005D2F78"/>
    <w:rsid w:val="005D304B"/>
    <w:rsid w:val="005D3066"/>
    <w:rsid w:val="005D31FB"/>
    <w:rsid w:val="005D324F"/>
    <w:rsid w:val="005D340B"/>
    <w:rsid w:val="005D3554"/>
    <w:rsid w:val="005D3569"/>
    <w:rsid w:val="005D35C6"/>
    <w:rsid w:val="005D3966"/>
    <w:rsid w:val="005D3A2C"/>
    <w:rsid w:val="005D3B02"/>
    <w:rsid w:val="005D3C3E"/>
    <w:rsid w:val="005D3D05"/>
    <w:rsid w:val="005D3D27"/>
    <w:rsid w:val="005D3EF5"/>
    <w:rsid w:val="005D3F6C"/>
    <w:rsid w:val="005D3FAD"/>
    <w:rsid w:val="005D4037"/>
    <w:rsid w:val="005D405F"/>
    <w:rsid w:val="005D4063"/>
    <w:rsid w:val="005D4219"/>
    <w:rsid w:val="005D4244"/>
    <w:rsid w:val="005D44A1"/>
    <w:rsid w:val="005D45D6"/>
    <w:rsid w:val="005D470B"/>
    <w:rsid w:val="005D48F4"/>
    <w:rsid w:val="005D492B"/>
    <w:rsid w:val="005D4A28"/>
    <w:rsid w:val="005D4A6B"/>
    <w:rsid w:val="005D4C63"/>
    <w:rsid w:val="005D4DB8"/>
    <w:rsid w:val="005D4E10"/>
    <w:rsid w:val="005D4EE4"/>
    <w:rsid w:val="005D52B1"/>
    <w:rsid w:val="005D52DB"/>
    <w:rsid w:val="005D53A3"/>
    <w:rsid w:val="005D544E"/>
    <w:rsid w:val="005D54E9"/>
    <w:rsid w:val="005D5522"/>
    <w:rsid w:val="005D558C"/>
    <w:rsid w:val="005D55DC"/>
    <w:rsid w:val="005D565D"/>
    <w:rsid w:val="005D56DF"/>
    <w:rsid w:val="005D577F"/>
    <w:rsid w:val="005D581B"/>
    <w:rsid w:val="005D599B"/>
    <w:rsid w:val="005D59EC"/>
    <w:rsid w:val="005D5B7A"/>
    <w:rsid w:val="005D5C6E"/>
    <w:rsid w:val="005D5C79"/>
    <w:rsid w:val="005D5D7A"/>
    <w:rsid w:val="005D5D96"/>
    <w:rsid w:val="005D5EB2"/>
    <w:rsid w:val="005D6224"/>
    <w:rsid w:val="005D62A2"/>
    <w:rsid w:val="005D6457"/>
    <w:rsid w:val="005D6579"/>
    <w:rsid w:val="005D6595"/>
    <w:rsid w:val="005D65F5"/>
    <w:rsid w:val="005D66C6"/>
    <w:rsid w:val="005D69AE"/>
    <w:rsid w:val="005D6A3E"/>
    <w:rsid w:val="005D6A9B"/>
    <w:rsid w:val="005D6AA6"/>
    <w:rsid w:val="005D6AC3"/>
    <w:rsid w:val="005D6BE2"/>
    <w:rsid w:val="005D6F00"/>
    <w:rsid w:val="005D6FEC"/>
    <w:rsid w:val="005D70CC"/>
    <w:rsid w:val="005D70DD"/>
    <w:rsid w:val="005D7215"/>
    <w:rsid w:val="005D73B6"/>
    <w:rsid w:val="005D749C"/>
    <w:rsid w:val="005D74F7"/>
    <w:rsid w:val="005D754B"/>
    <w:rsid w:val="005D75B7"/>
    <w:rsid w:val="005D7651"/>
    <w:rsid w:val="005D7744"/>
    <w:rsid w:val="005D78B6"/>
    <w:rsid w:val="005D7917"/>
    <w:rsid w:val="005D7BC1"/>
    <w:rsid w:val="005D7C06"/>
    <w:rsid w:val="005D7CB4"/>
    <w:rsid w:val="005D7E63"/>
    <w:rsid w:val="005D7FCA"/>
    <w:rsid w:val="005E028E"/>
    <w:rsid w:val="005E02F1"/>
    <w:rsid w:val="005E03B9"/>
    <w:rsid w:val="005E0490"/>
    <w:rsid w:val="005E04C9"/>
    <w:rsid w:val="005E0526"/>
    <w:rsid w:val="005E0659"/>
    <w:rsid w:val="005E068C"/>
    <w:rsid w:val="005E078D"/>
    <w:rsid w:val="005E08A8"/>
    <w:rsid w:val="005E0957"/>
    <w:rsid w:val="005E0A77"/>
    <w:rsid w:val="005E0A7C"/>
    <w:rsid w:val="005E0AB0"/>
    <w:rsid w:val="005E0E77"/>
    <w:rsid w:val="005E0F68"/>
    <w:rsid w:val="005E1082"/>
    <w:rsid w:val="005E10FB"/>
    <w:rsid w:val="005E112A"/>
    <w:rsid w:val="005E11CF"/>
    <w:rsid w:val="005E12D9"/>
    <w:rsid w:val="005E13BB"/>
    <w:rsid w:val="005E16CB"/>
    <w:rsid w:val="005E1931"/>
    <w:rsid w:val="005E1B98"/>
    <w:rsid w:val="005E1BCF"/>
    <w:rsid w:val="005E1CCD"/>
    <w:rsid w:val="005E1D66"/>
    <w:rsid w:val="005E1DEB"/>
    <w:rsid w:val="005E1DF4"/>
    <w:rsid w:val="005E1F3A"/>
    <w:rsid w:val="005E1FC1"/>
    <w:rsid w:val="005E1FEA"/>
    <w:rsid w:val="005E206B"/>
    <w:rsid w:val="005E22C1"/>
    <w:rsid w:val="005E235A"/>
    <w:rsid w:val="005E2369"/>
    <w:rsid w:val="005E236C"/>
    <w:rsid w:val="005E2454"/>
    <w:rsid w:val="005E247F"/>
    <w:rsid w:val="005E2755"/>
    <w:rsid w:val="005E293A"/>
    <w:rsid w:val="005E2A7B"/>
    <w:rsid w:val="005E2AE8"/>
    <w:rsid w:val="005E2AF2"/>
    <w:rsid w:val="005E2B30"/>
    <w:rsid w:val="005E2BD4"/>
    <w:rsid w:val="005E2CEE"/>
    <w:rsid w:val="005E2F03"/>
    <w:rsid w:val="005E2FF6"/>
    <w:rsid w:val="005E300E"/>
    <w:rsid w:val="005E3041"/>
    <w:rsid w:val="005E308C"/>
    <w:rsid w:val="005E31BD"/>
    <w:rsid w:val="005E325D"/>
    <w:rsid w:val="005E32AB"/>
    <w:rsid w:val="005E32C2"/>
    <w:rsid w:val="005E3331"/>
    <w:rsid w:val="005E3349"/>
    <w:rsid w:val="005E335D"/>
    <w:rsid w:val="005E3368"/>
    <w:rsid w:val="005E33A0"/>
    <w:rsid w:val="005E3530"/>
    <w:rsid w:val="005E3707"/>
    <w:rsid w:val="005E379B"/>
    <w:rsid w:val="005E3812"/>
    <w:rsid w:val="005E3833"/>
    <w:rsid w:val="005E3911"/>
    <w:rsid w:val="005E3A39"/>
    <w:rsid w:val="005E3A8E"/>
    <w:rsid w:val="005E3B49"/>
    <w:rsid w:val="005E3B88"/>
    <w:rsid w:val="005E3BA1"/>
    <w:rsid w:val="005E3C8F"/>
    <w:rsid w:val="005E3D7B"/>
    <w:rsid w:val="005E3E45"/>
    <w:rsid w:val="005E3ECD"/>
    <w:rsid w:val="005E4487"/>
    <w:rsid w:val="005E4489"/>
    <w:rsid w:val="005E46E8"/>
    <w:rsid w:val="005E476A"/>
    <w:rsid w:val="005E49A9"/>
    <w:rsid w:val="005E4AF8"/>
    <w:rsid w:val="005E4B13"/>
    <w:rsid w:val="005E4B8E"/>
    <w:rsid w:val="005E4BBB"/>
    <w:rsid w:val="005E4C02"/>
    <w:rsid w:val="005E4DB0"/>
    <w:rsid w:val="005E4F3F"/>
    <w:rsid w:val="005E4FD6"/>
    <w:rsid w:val="005E4FE6"/>
    <w:rsid w:val="005E50DD"/>
    <w:rsid w:val="005E5134"/>
    <w:rsid w:val="005E5156"/>
    <w:rsid w:val="005E51D3"/>
    <w:rsid w:val="005E522B"/>
    <w:rsid w:val="005E5641"/>
    <w:rsid w:val="005E5660"/>
    <w:rsid w:val="005E5706"/>
    <w:rsid w:val="005E575F"/>
    <w:rsid w:val="005E5905"/>
    <w:rsid w:val="005E5AB4"/>
    <w:rsid w:val="005E5CD7"/>
    <w:rsid w:val="005E5D09"/>
    <w:rsid w:val="005E5DB6"/>
    <w:rsid w:val="005E5DDE"/>
    <w:rsid w:val="005E5E51"/>
    <w:rsid w:val="005E60B7"/>
    <w:rsid w:val="005E62AC"/>
    <w:rsid w:val="005E6376"/>
    <w:rsid w:val="005E6389"/>
    <w:rsid w:val="005E63B9"/>
    <w:rsid w:val="005E6480"/>
    <w:rsid w:val="005E66B7"/>
    <w:rsid w:val="005E66C0"/>
    <w:rsid w:val="005E673D"/>
    <w:rsid w:val="005E6831"/>
    <w:rsid w:val="005E6A1C"/>
    <w:rsid w:val="005E6C69"/>
    <w:rsid w:val="005E6D0F"/>
    <w:rsid w:val="005E6D30"/>
    <w:rsid w:val="005E6DED"/>
    <w:rsid w:val="005E7131"/>
    <w:rsid w:val="005E7154"/>
    <w:rsid w:val="005E71D0"/>
    <w:rsid w:val="005E7274"/>
    <w:rsid w:val="005E72F4"/>
    <w:rsid w:val="005E7452"/>
    <w:rsid w:val="005E74EF"/>
    <w:rsid w:val="005E757C"/>
    <w:rsid w:val="005E774D"/>
    <w:rsid w:val="005E7811"/>
    <w:rsid w:val="005E781E"/>
    <w:rsid w:val="005E78CD"/>
    <w:rsid w:val="005E7998"/>
    <w:rsid w:val="005E7C5C"/>
    <w:rsid w:val="005E7C81"/>
    <w:rsid w:val="005E7D54"/>
    <w:rsid w:val="005E7DC9"/>
    <w:rsid w:val="005E7E58"/>
    <w:rsid w:val="005E7E6B"/>
    <w:rsid w:val="005E7E98"/>
    <w:rsid w:val="005E7EC0"/>
    <w:rsid w:val="005E7F2E"/>
    <w:rsid w:val="005E7FC2"/>
    <w:rsid w:val="005F0071"/>
    <w:rsid w:val="005F00D2"/>
    <w:rsid w:val="005F01DF"/>
    <w:rsid w:val="005F01F9"/>
    <w:rsid w:val="005F0297"/>
    <w:rsid w:val="005F02A9"/>
    <w:rsid w:val="005F033A"/>
    <w:rsid w:val="005F03AA"/>
    <w:rsid w:val="005F0438"/>
    <w:rsid w:val="005F0461"/>
    <w:rsid w:val="005F046E"/>
    <w:rsid w:val="005F05D4"/>
    <w:rsid w:val="005F0653"/>
    <w:rsid w:val="005F0661"/>
    <w:rsid w:val="005F066A"/>
    <w:rsid w:val="005F0736"/>
    <w:rsid w:val="005F07E0"/>
    <w:rsid w:val="005F0836"/>
    <w:rsid w:val="005F094E"/>
    <w:rsid w:val="005F09A4"/>
    <w:rsid w:val="005F0B23"/>
    <w:rsid w:val="005F0B65"/>
    <w:rsid w:val="005F0B9D"/>
    <w:rsid w:val="005F0BC8"/>
    <w:rsid w:val="005F0DD5"/>
    <w:rsid w:val="005F0EB4"/>
    <w:rsid w:val="005F0F65"/>
    <w:rsid w:val="005F0FCB"/>
    <w:rsid w:val="005F0FF2"/>
    <w:rsid w:val="005F126A"/>
    <w:rsid w:val="005F142E"/>
    <w:rsid w:val="005F1498"/>
    <w:rsid w:val="005F149A"/>
    <w:rsid w:val="005F14E7"/>
    <w:rsid w:val="005F1628"/>
    <w:rsid w:val="005F1952"/>
    <w:rsid w:val="005F19E4"/>
    <w:rsid w:val="005F1B15"/>
    <w:rsid w:val="005F1B57"/>
    <w:rsid w:val="005F1B83"/>
    <w:rsid w:val="005F1B98"/>
    <w:rsid w:val="005F1BB3"/>
    <w:rsid w:val="005F1CB6"/>
    <w:rsid w:val="005F1E5B"/>
    <w:rsid w:val="005F1FFF"/>
    <w:rsid w:val="005F2002"/>
    <w:rsid w:val="005F20E0"/>
    <w:rsid w:val="005F219D"/>
    <w:rsid w:val="005F24ED"/>
    <w:rsid w:val="005F2505"/>
    <w:rsid w:val="005F264D"/>
    <w:rsid w:val="005F2880"/>
    <w:rsid w:val="005F2919"/>
    <w:rsid w:val="005F2966"/>
    <w:rsid w:val="005F2979"/>
    <w:rsid w:val="005F29B0"/>
    <w:rsid w:val="005F29C8"/>
    <w:rsid w:val="005F29EE"/>
    <w:rsid w:val="005F2A28"/>
    <w:rsid w:val="005F2B7E"/>
    <w:rsid w:val="005F2B9C"/>
    <w:rsid w:val="005F2E22"/>
    <w:rsid w:val="005F2EBC"/>
    <w:rsid w:val="005F3016"/>
    <w:rsid w:val="005F307E"/>
    <w:rsid w:val="005F32CB"/>
    <w:rsid w:val="005F3359"/>
    <w:rsid w:val="005F335D"/>
    <w:rsid w:val="005F3434"/>
    <w:rsid w:val="005F34D7"/>
    <w:rsid w:val="005F3534"/>
    <w:rsid w:val="005F3535"/>
    <w:rsid w:val="005F37F5"/>
    <w:rsid w:val="005F38CA"/>
    <w:rsid w:val="005F3AE4"/>
    <w:rsid w:val="005F3B19"/>
    <w:rsid w:val="005F3B91"/>
    <w:rsid w:val="005F3C52"/>
    <w:rsid w:val="005F3C93"/>
    <w:rsid w:val="005F3E54"/>
    <w:rsid w:val="005F3E9C"/>
    <w:rsid w:val="005F3F31"/>
    <w:rsid w:val="005F41CC"/>
    <w:rsid w:val="005F422B"/>
    <w:rsid w:val="005F4272"/>
    <w:rsid w:val="005F432C"/>
    <w:rsid w:val="005F43CD"/>
    <w:rsid w:val="005F455E"/>
    <w:rsid w:val="005F465F"/>
    <w:rsid w:val="005F46F9"/>
    <w:rsid w:val="005F479A"/>
    <w:rsid w:val="005F4868"/>
    <w:rsid w:val="005F4A55"/>
    <w:rsid w:val="005F4B26"/>
    <w:rsid w:val="005F4BDA"/>
    <w:rsid w:val="005F4CB8"/>
    <w:rsid w:val="005F4DBF"/>
    <w:rsid w:val="005F4EA1"/>
    <w:rsid w:val="005F4F93"/>
    <w:rsid w:val="005F5010"/>
    <w:rsid w:val="005F528D"/>
    <w:rsid w:val="005F5368"/>
    <w:rsid w:val="005F53D8"/>
    <w:rsid w:val="005F5400"/>
    <w:rsid w:val="005F551C"/>
    <w:rsid w:val="005F568C"/>
    <w:rsid w:val="005F570F"/>
    <w:rsid w:val="005F5965"/>
    <w:rsid w:val="005F5A93"/>
    <w:rsid w:val="005F5C74"/>
    <w:rsid w:val="005F5CBB"/>
    <w:rsid w:val="005F5E8A"/>
    <w:rsid w:val="005F5EB9"/>
    <w:rsid w:val="005F5F81"/>
    <w:rsid w:val="005F6094"/>
    <w:rsid w:val="005F634C"/>
    <w:rsid w:val="005F640D"/>
    <w:rsid w:val="005F6461"/>
    <w:rsid w:val="005F647F"/>
    <w:rsid w:val="005F65D2"/>
    <w:rsid w:val="005F65D6"/>
    <w:rsid w:val="005F675D"/>
    <w:rsid w:val="005F6965"/>
    <w:rsid w:val="005F6973"/>
    <w:rsid w:val="005F69AF"/>
    <w:rsid w:val="005F6A3F"/>
    <w:rsid w:val="005F6B97"/>
    <w:rsid w:val="005F6BB6"/>
    <w:rsid w:val="005F6C49"/>
    <w:rsid w:val="005F6CE7"/>
    <w:rsid w:val="005F70DE"/>
    <w:rsid w:val="005F7252"/>
    <w:rsid w:val="005F735B"/>
    <w:rsid w:val="005F74A0"/>
    <w:rsid w:val="005F7572"/>
    <w:rsid w:val="005F757E"/>
    <w:rsid w:val="005F7603"/>
    <w:rsid w:val="005F76CC"/>
    <w:rsid w:val="005F770C"/>
    <w:rsid w:val="005F773D"/>
    <w:rsid w:val="005F77B1"/>
    <w:rsid w:val="005F77DA"/>
    <w:rsid w:val="005F78B5"/>
    <w:rsid w:val="005F78DF"/>
    <w:rsid w:val="005F79B0"/>
    <w:rsid w:val="005F7B6E"/>
    <w:rsid w:val="005F7B9D"/>
    <w:rsid w:val="005F7C3C"/>
    <w:rsid w:val="005F7C84"/>
    <w:rsid w:val="005F7E11"/>
    <w:rsid w:val="005F7E84"/>
    <w:rsid w:val="005F7EE9"/>
    <w:rsid w:val="005F7F92"/>
    <w:rsid w:val="005F7FF8"/>
    <w:rsid w:val="0060007E"/>
    <w:rsid w:val="00600149"/>
    <w:rsid w:val="0060019D"/>
    <w:rsid w:val="0060019E"/>
    <w:rsid w:val="00600226"/>
    <w:rsid w:val="0060023E"/>
    <w:rsid w:val="00600305"/>
    <w:rsid w:val="0060034F"/>
    <w:rsid w:val="006003DB"/>
    <w:rsid w:val="00600407"/>
    <w:rsid w:val="006004C4"/>
    <w:rsid w:val="006004E3"/>
    <w:rsid w:val="0060054B"/>
    <w:rsid w:val="0060059F"/>
    <w:rsid w:val="00600633"/>
    <w:rsid w:val="0060064A"/>
    <w:rsid w:val="00600773"/>
    <w:rsid w:val="006007B9"/>
    <w:rsid w:val="00600872"/>
    <w:rsid w:val="0060088D"/>
    <w:rsid w:val="006008BA"/>
    <w:rsid w:val="0060093D"/>
    <w:rsid w:val="00600966"/>
    <w:rsid w:val="00600BEF"/>
    <w:rsid w:val="00600C62"/>
    <w:rsid w:val="00600CA4"/>
    <w:rsid w:val="00600E07"/>
    <w:rsid w:val="00600F2F"/>
    <w:rsid w:val="00600F9F"/>
    <w:rsid w:val="0060102F"/>
    <w:rsid w:val="00601133"/>
    <w:rsid w:val="006012EE"/>
    <w:rsid w:val="00601352"/>
    <w:rsid w:val="0060138A"/>
    <w:rsid w:val="006013B2"/>
    <w:rsid w:val="006013CA"/>
    <w:rsid w:val="006017F9"/>
    <w:rsid w:val="0060188E"/>
    <w:rsid w:val="006018CE"/>
    <w:rsid w:val="006019CE"/>
    <w:rsid w:val="00601AA3"/>
    <w:rsid w:val="00601BA5"/>
    <w:rsid w:val="00601DD0"/>
    <w:rsid w:val="00601E51"/>
    <w:rsid w:val="00601F10"/>
    <w:rsid w:val="00601F34"/>
    <w:rsid w:val="00602252"/>
    <w:rsid w:val="00602407"/>
    <w:rsid w:val="00602408"/>
    <w:rsid w:val="00602416"/>
    <w:rsid w:val="006024D9"/>
    <w:rsid w:val="00602504"/>
    <w:rsid w:val="0060258A"/>
    <w:rsid w:val="006025CE"/>
    <w:rsid w:val="00602640"/>
    <w:rsid w:val="0060276A"/>
    <w:rsid w:val="006027A2"/>
    <w:rsid w:val="0060286A"/>
    <w:rsid w:val="00602914"/>
    <w:rsid w:val="00602950"/>
    <w:rsid w:val="00602B0A"/>
    <w:rsid w:val="00602B8E"/>
    <w:rsid w:val="00602B8F"/>
    <w:rsid w:val="00602C65"/>
    <w:rsid w:val="00602CDD"/>
    <w:rsid w:val="00602D17"/>
    <w:rsid w:val="00602DB9"/>
    <w:rsid w:val="00602DCE"/>
    <w:rsid w:val="00602E16"/>
    <w:rsid w:val="00602EB7"/>
    <w:rsid w:val="00603071"/>
    <w:rsid w:val="0060314E"/>
    <w:rsid w:val="0060319D"/>
    <w:rsid w:val="006031BB"/>
    <w:rsid w:val="00603235"/>
    <w:rsid w:val="00603462"/>
    <w:rsid w:val="006034DC"/>
    <w:rsid w:val="006034E7"/>
    <w:rsid w:val="006035E1"/>
    <w:rsid w:val="00603635"/>
    <w:rsid w:val="00603687"/>
    <w:rsid w:val="0060387A"/>
    <w:rsid w:val="00603B47"/>
    <w:rsid w:val="00603B87"/>
    <w:rsid w:val="00603BEA"/>
    <w:rsid w:val="00603C6D"/>
    <w:rsid w:val="00603CCD"/>
    <w:rsid w:val="00603CFE"/>
    <w:rsid w:val="00603FA5"/>
    <w:rsid w:val="006041F2"/>
    <w:rsid w:val="006043A8"/>
    <w:rsid w:val="006044CE"/>
    <w:rsid w:val="00604695"/>
    <w:rsid w:val="006046EF"/>
    <w:rsid w:val="0060499F"/>
    <w:rsid w:val="006049DC"/>
    <w:rsid w:val="00604A17"/>
    <w:rsid w:val="00604CD5"/>
    <w:rsid w:val="00604D79"/>
    <w:rsid w:val="00604F93"/>
    <w:rsid w:val="00605068"/>
    <w:rsid w:val="00605095"/>
    <w:rsid w:val="0060514F"/>
    <w:rsid w:val="00605273"/>
    <w:rsid w:val="00605661"/>
    <w:rsid w:val="006057B5"/>
    <w:rsid w:val="00605831"/>
    <w:rsid w:val="00605872"/>
    <w:rsid w:val="00605919"/>
    <w:rsid w:val="00605A6E"/>
    <w:rsid w:val="00605C36"/>
    <w:rsid w:val="00605C78"/>
    <w:rsid w:val="00605CAA"/>
    <w:rsid w:val="00605D69"/>
    <w:rsid w:val="00605D7D"/>
    <w:rsid w:val="00605E84"/>
    <w:rsid w:val="00605FC2"/>
    <w:rsid w:val="00606222"/>
    <w:rsid w:val="006062D1"/>
    <w:rsid w:val="00606334"/>
    <w:rsid w:val="0060636B"/>
    <w:rsid w:val="006063C5"/>
    <w:rsid w:val="006063F8"/>
    <w:rsid w:val="006064F5"/>
    <w:rsid w:val="00606584"/>
    <w:rsid w:val="00606708"/>
    <w:rsid w:val="00606763"/>
    <w:rsid w:val="00606834"/>
    <w:rsid w:val="006068F4"/>
    <w:rsid w:val="00606991"/>
    <w:rsid w:val="00606A14"/>
    <w:rsid w:val="00606AA2"/>
    <w:rsid w:val="00606C8B"/>
    <w:rsid w:val="00606D32"/>
    <w:rsid w:val="00606E03"/>
    <w:rsid w:val="00606EB0"/>
    <w:rsid w:val="00606F0C"/>
    <w:rsid w:val="00606F56"/>
    <w:rsid w:val="006070BC"/>
    <w:rsid w:val="00607217"/>
    <w:rsid w:val="00607227"/>
    <w:rsid w:val="006072BC"/>
    <w:rsid w:val="00607396"/>
    <w:rsid w:val="00607444"/>
    <w:rsid w:val="00607471"/>
    <w:rsid w:val="006074CC"/>
    <w:rsid w:val="00607555"/>
    <w:rsid w:val="006076AA"/>
    <w:rsid w:val="006076C8"/>
    <w:rsid w:val="006077D2"/>
    <w:rsid w:val="006077DD"/>
    <w:rsid w:val="00607995"/>
    <w:rsid w:val="006079E4"/>
    <w:rsid w:val="00607A3E"/>
    <w:rsid w:val="00607A4E"/>
    <w:rsid w:val="00607ABC"/>
    <w:rsid w:val="00607CB2"/>
    <w:rsid w:val="00607CE1"/>
    <w:rsid w:val="00607D58"/>
    <w:rsid w:val="00607E45"/>
    <w:rsid w:val="00607F16"/>
    <w:rsid w:val="00607FF9"/>
    <w:rsid w:val="00610007"/>
    <w:rsid w:val="0061012F"/>
    <w:rsid w:val="006104A5"/>
    <w:rsid w:val="00610562"/>
    <w:rsid w:val="00610569"/>
    <w:rsid w:val="006105A8"/>
    <w:rsid w:val="0061067C"/>
    <w:rsid w:val="0061069C"/>
    <w:rsid w:val="006106B6"/>
    <w:rsid w:val="006106F3"/>
    <w:rsid w:val="0061074B"/>
    <w:rsid w:val="0061091C"/>
    <w:rsid w:val="0061091D"/>
    <w:rsid w:val="00610A6C"/>
    <w:rsid w:val="00610AB0"/>
    <w:rsid w:val="00610BD0"/>
    <w:rsid w:val="00610D21"/>
    <w:rsid w:val="00610D43"/>
    <w:rsid w:val="00610D98"/>
    <w:rsid w:val="00610DCA"/>
    <w:rsid w:val="00610E79"/>
    <w:rsid w:val="00610E82"/>
    <w:rsid w:val="00610EF4"/>
    <w:rsid w:val="00610F6E"/>
    <w:rsid w:val="00610FB9"/>
    <w:rsid w:val="00610FCC"/>
    <w:rsid w:val="0061107C"/>
    <w:rsid w:val="00611176"/>
    <w:rsid w:val="0061121D"/>
    <w:rsid w:val="00611367"/>
    <w:rsid w:val="00611476"/>
    <w:rsid w:val="006114C5"/>
    <w:rsid w:val="00611560"/>
    <w:rsid w:val="00611841"/>
    <w:rsid w:val="0061187D"/>
    <w:rsid w:val="00611937"/>
    <w:rsid w:val="00611BA2"/>
    <w:rsid w:val="00611BD4"/>
    <w:rsid w:val="00611D89"/>
    <w:rsid w:val="00611E27"/>
    <w:rsid w:val="00611FA4"/>
    <w:rsid w:val="006122D3"/>
    <w:rsid w:val="00612326"/>
    <w:rsid w:val="00612420"/>
    <w:rsid w:val="006124E0"/>
    <w:rsid w:val="00612522"/>
    <w:rsid w:val="0061255D"/>
    <w:rsid w:val="006126B1"/>
    <w:rsid w:val="0061277B"/>
    <w:rsid w:val="006128E1"/>
    <w:rsid w:val="006129AD"/>
    <w:rsid w:val="00612AC1"/>
    <w:rsid w:val="00612AEA"/>
    <w:rsid w:val="00612BA9"/>
    <w:rsid w:val="00612BC8"/>
    <w:rsid w:val="00612D5F"/>
    <w:rsid w:val="00612E88"/>
    <w:rsid w:val="00612EC0"/>
    <w:rsid w:val="0061301E"/>
    <w:rsid w:val="00613088"/>
    <w:rsid w:val="0061333D"/>
    <w:rsid w:val="0061335C"/>
    <w:rsid w:val="00613594"/>
    <w:rsid w:val="00613616"/>
    <w:rsid w:val="00613682"/>
    <w:rsid w:val="00613683"/>
    <w:rsid w:val="00613818"/>
    <w:rsid w:val="006138A2"/>
    <w:rsid w:val="006139E5"/>
    <w:rsid w:val="006139EA"/>
    <w:rsid w:val="00613A2E"/>
    <w:rsid w:val="00613A3C"/>
    <w:rsid w:val="00613A92"/>
    <w:rsid w:val="00613AAD"/>
    <w:rsid w:val="00613B89"/>
    <w:rsid w:val="00613C6B"/>
    <w:rsid w:val="00613DD2"/>
    <w:rsid w:val="00613EB3"/>
    <w:rsid w:val="00613FB4"/>
    <w:rsid w:val="00613FC3"/>
    <w:rsid w:val="006143C3"/>
    <w:rsid w:val="00614524"/>
    <w:rsid w:val="00614644"/>
    <w:rsid w:val="0061488A"/>
    <w:rsid w:val="00614A21"/>
    <w:rsid w:val="00614AC7"/>
    <w:rsid w:val="00614B7B"/>
    <w:rsid w:val="00614BCD"/>
    <w:rsid w:val="00614FC6"/>
    <w:rsid w:val="00614FC7"/>
    <w:rsid w:val="0061523C"/>
    <w:rsid w:val="006152BC"/>
    <w:rsid w:val="006152E1"/>
    <w:rsid w:val="00615472"/>
    <w:rsid w:val="00615595"/>
    <w:rsid w:val="00615596"/>
    <w:rsid w:val="006155B2"/>
    <w:rsid w:val="00615622"/>
    <w:rsid w:val="006156E0"/>
    <w:rsid w:val="00615900"/>
    <w:rsid w:val="00615A60"/>
    <w:rsid w:val="00615D57"/>
    <w:rsid w:val="00615DB8"/>
    <w:rsid w:val="00615DBA"/>
    <w:rsid w:val="00615EA0"/>
    <w:rsid w:val="00615ECF"/>
    <w:rsid w:val="00615EEA"/>
    <w:rsid w:val="00615FCF"/>
    <w:rsid w:val="00615FF8"/>
    <w:rsid w:val="00616027"/>
    <w:rsid w:val="0061602B"/>
    <w:rsid w:val="00616244"/>
    <w:rsid w:val="0061632E"/>
    <w:rsid w:val="00616387"/>
    <w:rsid w:val="00616450"/>
    <w:rsid w:val="00616485"/>
    <w:rsid w:val="006164F1"/>
    <w:rsid w:val="0061652C"/>
    <w:rsid w:val="00616534"/>
    <w:rsid w:val="00616551"/>
    <w:rsid w:val="006165B4"/>
    <w:rsid w:val="00616770"/>
    <w:rsid w:val="00616783"/>
    <w:rsid w:val="00616848"/>
    <w:rsid w:val="0061691F"/>
    <w:rsid w:val="00616957"/>
    <w:rsid w:val="00616987"/>
    <w:rsid w:val="006169BE"/>
    <w:rsid w:val="006169CA"/>
    <w:rsid w:val="00616A98"/>
    <w:rsid w:val="00616BD0"/>
    <w:rsid w:val="00616C36"/>
    <w:rsid w:val="00616E44"/>
    <w:rsid w:val="00616E73"/>
    <w:rsid w:val="00616FAB"/>
    <w:rsid w:val="00617298"/>
    <w:rsid w:val="006172BE"/>
    <w:rsid w:val="00617388"/>
    <w:rsid w:val="006173E0"/>
    <w:rsid w:val="00617515"/>
    <w:rsid w:val="00617562"/>
    <w:rsid w:val="0061758B"/>
    <w:rsid w:val="006175E7"/>
    <w:rsid w:val="00617712"/>
    <w:rsid w:val="00617745"/>
    <w:rsid w:val="00617A6F"/>
    <w:rsid w:val="00617A89"/>
    <w:rsid w:val="00617AA6"/>
    <w:rsid w:val="00617AE7"/>
    <w:rsid w:val="00617B61"/>
    <w:rsid w:val="00617C53"/>
    <w:rsid w:val="00617C67"/>
    <w:rsid w:val="00617E97"/>
    <w:rsid w:val="00617F46"/>
    <w:rsid w:val="006202A3"/>
    <w:rsid w:val="006202ED"/>
    <w:rsid w:val="006203D3"/>
    <w:rsid w:val="00620413"/>
    <w:rsid w:val="006204AF"/>
    <w:rsid w:val="00620569"/>
    <w:rsid w:val="006205AE"/>
    <w:rsid w:val="006205E4"/>
    <w:rsid w:val="006206A2"/>
    <w:rsid w:val="006207F3"/>
    <w:rsid w:val="00620891"/>
    <w:rsid w:val="006208A1"/>
    <w:rsid w:val="00620A9F"/>
    <w:rsid w:val="00620D2F"/>
    <w:rsid w:val="00620D51"/>
    <w:rsid w:val="00621081"/>
    <w:rsid w:val="0062129B"/>
    <w:rsid w:val="006214A0"/>
    <w:rsid w:val="00621625"/>
    <w:rsid w:val="00621661"/>
    <w:rsid w:val="0062166C"/>
    <w:rsid w:val="0062173E"/>
    <w:rsid w:val="006217C5"/>
    <w:rsid w:val="006218BD"/>
    <w:rsid w:val="006218C8"/>
    <w:rsid w:val="00621939"/>
    <w:rsid w:val="00621ACA"/>
    <w:rsid w:val="00621B3D"/>
    <w:rsid w:val="00621CC3"/>
    <w:rsid w:val="00621D41"/>
    <w:rsid w:val="00621E27"/>
    <w:rsid w:val="00621E66"/>
    <w:rsid w:val="00621ECC"/>
    <w:rsid w:val="00621ED7"/>
    <w:rsid w:val="00621F76"/>
    <w:rsid w:val="0062209E"/>
    <w:rsid w:val="00622165"/>
    <w:rsid w:val="00622251"/>
    <w:rsid w:val="006222C7"/>
    <w:rsid w:val="00622456"/>
    <w:rsid w:val="006224E3"/>
    <w:rsid w:val="00622636"/>
    <w:rsid w:val="00622646"/>
    <w:rsid w:val="006226B6"/>
    <w:rsid w:val="006226DB"/>
    <w:rsid w:val="00622779"/>
    <w:rsid w:val="006227A1"/>
    <w:rsid w:val="006227D5"/>
    <w:rsid w:val="00622883"/>
    <w:rsid w:val="006229A5"/>
    <w:rsid w:val="00622B02"/>
    <w:rsid w:val="00622B12"/>
    <w:rsid w:val="00622C82"/>
    <w:rsid w:val="00622C91"/>
    <w:rsid w:val="00622CD5"/>
    <w:rsid w:val="00622D98"/>
    <w:rsid w:val="00622DEA"/>
    <w:rsid w:val="00622E9D"/>
    <w:rsid w:val="006231BF"/>
    <w:rsid w:val="006232B2"/>
    <w:rsid w:val="0062342C"/>
    <w:rsid w:val="00623452"/>
    <w:rsid w:val="00623475"/>
    <w:rsid w:val="006234C3"/>
    <w:rsid w:val="00623545"/>
    <w:rsid w:val="006235AB"/>
    <w:rsid w:val="006235F6"/>
    <w:rsid w:val="00623614"/>
    <w:rsid w:val="0062362C"/>
    <w:rsid w:val="00623739"/>
    <w:rsid w:val="00623750"/>
    <w:rsid w:val="00623825"/>
    <w:rsid w:val="00623829"/>
    <w:rsid w:val="00623A21"/>
    <w:rsid w:val="00623D5C"/>
    <w:rsid w:val="00623D66"/>
    <w:rsid w:val="00623E5D"/>
    <w:rsid w:val="0062411A"/>
    <w:rsid w:val="006241A2"/>
    <w:rsid w:val="00624329"/>
    <w:rsid w:val="00624330"/>
    <w:rsid w:val="00624462"/>
    <w:rsid w:val="00624730"/>
    <w:rsid w:val="006247A1"/>
    <w:rsid w:val="00624838"/>
    <w:rsid w:val="00624880"/>
    <w:rsid w:val="006248D4"/>
    <w:rsid w:val="0062494A"/>
    <w:rsid w:val="006249FE"/>
    <w:rsid w:val="00624A57"/>
    <w:rsid w:val="00624B44"/>
    <w:rsid w:val="00624B73"/>
    <w:rsid w:val="00624B89"/>
    <w:rsid w:val="00624C3D"/>
    <w:rsid w:val="00624CB7"/>
    <w:rsid w:val="00624DD3"/>
    <w:rsid w:val="00625039"/>
    <w:rsid w:val="006252A1"/>
    <w:rsid w:val="006255C8"/>
    <w:rsid w:val="006255CB"/>
    <w:rsid w:val="006255FA"/>
    <w:rsid w:val="006256E1"/>
    <w:rsid w:val="0062579A"/>
    <w:rsid w:val="006258BB"/>
    <w:rsid w:val="0062591C"/>
    <w:rsid w:val="00625964"/>
    <w:rsid w:val="00625A18"/>
    <w:rsid w:val="00625B7B"/>
    <w:rsid w:val="00625B96"/>
    <w:rsid w:val="00625C4B"/>
    <w:rsid w:val="00625CC1"/>
    <w:rsid w:val="00625CD4"/>
    <w:rsid w:val="00625D49"/>
    <w:rsid w:val="00625DD6"/>
    <w:rsid w:val="00625E72"/>
    <w:rsid w:val="00625F0F"/>
    <w:rsid w:val="00625F70"/>
    <w:rsid w:val="0062642E"/>
    <w:rsid w:val="00626460"/>
    <w:rsid w:val="00626779"/>
    <w:rsid w:val="00626799"/>
    <w:rsid w:val="006267D8"/>
    <w:rsid w:val="00626824"/>
    <w:rsid w:val="00626A0F"/>
    <w:rsid w:val="00626B90"/>
    <w:rsid w:val="00626CA3"/>
    <w:rsid w:val="00626D9D"/>
    <w:rsid w:val="00626E43"/>
    <w:rsid w:val="00626EA3"/>
    <w:rsid w:val="00626FC5"/>
    <w:rsid w:val="00626FF0"/>
    <w:rsid w:val="0062714A"/>
    <w:rsid w:val="00627154"/>
    <w:rsid w:val="0062717F"/>
    <w:rsid w:val="006271E8"/>
    <w:rsid w:val="006272E0"/>
    <w:rsid w:val="006275B1"/>
    <w:rsid w:val="0062776F"/>
    <w:rsid w:val="00627B78"/>
    <w:rsid w:val="00627D38"/>
    <w:rsid w:val="00627D64"/>
    <w:rsid w:val="00627E14"/>
    <w:rsid w:val="00627F49"/>
    <w:rsid w:val="00627F9A"/>
    <w:rsid w:val="0063010C"/>
    <w:rsid w:val="0063027F"/>
    <w:rsid w:val="006302F2"/>
    <w:rsid w:val="00630345"/>
    <w:rsid w:val="00630435"/>
    <w:rsid w:val="006304ED"/>
    <w:rsid w:val="00630589"/>
    <w:rsid w:val="00630592"/>
    <w:rsid w:val="006307B7"/>
    <w:rsid w:val="00630823"/>
    <w:rsid w:val="00630856"/>
    <w:rsid w:val="00630902"/>
    <w:rsid w:val="00630990"/>
    <w:rsid w:val="00630FE4"/>
    <w:rsid w:val="00631002"/>
    <w:rsid w:val="00631025"/>
    <w:rsid w:val="00631137"/>
    <w:rsid w:val="00631169"/>
    <w:rsid w:val="00631177"/>
    <w:rsid w:val="0063132A"/>
    <w:rsid w:val="00631411"/>
    <w:rsid w:val="00631443"/>
    <w:rsid w:val="00631505"/>
    <w:rsid w:val="00631548"/>
    <w:rsid w:val="006315D4"/>
    <w:rsid w:val="0063163F"/>
    <w:rsid w:val="0063190B"/>
    <w:rsid w:val="00631976"/>
    <w:rsid w:val="00631A7C"/>
    <w:rsid w:val="00631ACF"/>
    <w:rsid w:val="00631BB0"/>
    <w:rsid w:val="00631BFF"/>
    <w:rsid w:val="00631E0B"/>
    <w:rsid w:val="00631EA0"/>
    <w:rsid w:val="00631EE1"/>
    <w:rsid w:val="00631F8F"/>
    <w:rsid w:val="00631FFC"/>
    <w:rsid w:val="00632011"/>
    <w:rsid w:val="00632064"/>
    <w:rsid w:val="00632079"/>
    <w:rsid w:val="006320E2"/>
    <w:rsid w:val="00632127"/>
    <w:rsid w:val="006321F3"/>
    <w:rsid w:val="006322AE"/>
    <w:rsid w:val="00632317"/>
    <w:rsid w:val="00632358"/>
    <w:rsid w:val="00632386"/>
    <w:rsid w:val="006324B2"/>
    <w:rsid w:val="006326B6"/>
    <w:rsid w:val="006327C4"/>
    <w:rsid w:val="006327C9"/>
    <w:rsid w:val="0063295C"/>
    <w:rsid w:val="00632AD6"/>
    <w:rsid w:val="00632C96"/>
    <w:rsid w:val="00632DC3"/>
    <w:rsid w:val="00632DF0"/>
    <w:rsid w:val="00632F00"/>
    <w:rsid w:val="00632F83"/>
    <w:rsid w:val="00632FEB"/>
    <w:rsid w:val="006330F4"/>
    <w:rsid w:val="00633103"/>
    <w:rsid w:val="0063333E"/>
    <w:rsid w:val="006333EB"/>
    <w:rsid w:val="00633401"/>
    <w:rsid w:val="00633416"/>
    <w:rsid w:val="00633449"/>
    <w:rsid w:val="00633547"/>
    <w:rsid w:val="0063362C"/>
    <w:rsid w:val="00633880"/>
    <w:rsid w:val="006338E3"/>
    <w:rsid w:val="00633A29"/>
    <w:rsid w:val="00633A6A"/>
    <w:rsid w:val="00633BC4"/>
    <w:rsid w:val="00633BC9"/>
    <w:rsid w:val="00633BD2"/>
    <w:rsid w:val="00633CA1"/>
    <w:rsid w:val="00633CC2"/>
    <w:rsid w:val="00633E0C"/>
    <w:rsid w:val="00633E13"/>
    <w:rsid w:val="00633EBA"/>
    <w:rsid w:val="00633F9A"/>
    <w:rsid w:val="00633FD9"/>
    <w:rsid w:val="0063404B"/>
    <w:rsid w:val="00634185"/>
    <w:rsid w:val="00634433"/>
    <w:rsid w:val="0063451B"/>
    <w:rsid w:val="0063464C"/>
    <w:rsid w:val="0063474F"/>
    <w:rsid w:val="00634798"/>
    <w:rsid w:val="00634818"/>
    <w:rsid w:val="00634855"/>
    <w:rsid w:val="006348C3"/>
    <w:rsid w:val="006348F7"/>
    <w:rsid w:val="0063497F"/>
    <w:rsid w:val="00634A0A"/>
    <w:rsid w:val="00634A83"/>
    <w:rsid w:val="00634B71"/>
    <w:rsid w:val="00634C67"/>
    <w:rsid w:val="00634E60"/>
    <w:rsid w:val="00634E6E"/>
    <w:rsid w:val="00634F1B"/>
    <w:rsid w:val="00634F5B"/>
    <w:rsid w:val="00634FCD"/>
    <w:rsid w:val="00635110"/>
    <w:rsid w:val="00635122"/>
    <w:rsid w:val="00635136"/>
    <w:rsid w:val="006351B8"/>
    <w:rsid w:val="00635252"/>
    <w:rsid w:val="00635295"/>
    <w:rsid w:val="006352A8"/>
    <w:rsid w:val="006352EB"/>
    <w:rsid w:val="00635307"/>
    <w:rsid w:val="006354A4"/>
    <w:rsid w:val="006355C0"/>
    <w:rsid w:val="0063564B"/>
    <w:rsid w:val="00635788"/>
    <w:rsid w:val="006357AE"/>
    <w:rsid w:val="00635804"/>
    <w:rsid w:val="00635818"/>
    <w:rsid w:val="0063597F"/>
    <w:rsid w:val="00635A23"/>
    <w:rsid w:val="00635A61"/>
    <w:rsid w:val="00635A63"/>
    <w:rsid w:val="00635B98"/>
    <w:rsid w:val="00635BA8"/>
    <w:rsid w:val="00635D04"/>
    <w:rsid w:val="00635DB5"/>
    <w:rsid w:val="0063603B"/>
    <w:rsid w:val="00636183"/>
    <w:rsid w:val="006362A0"/>
    <w:rsid w:val="006362E0"/>
    <w:rsid w:val="006363F8"/>
    <w:rsid w:val="00636427"/>
    <w:rsid w:val="0063652D"/>
    <w:rsid w:val="0063657A"/>
    <w:rsid w:val="0063666B"/>
    <w:rsid w:val="006366DB"/>
    <w:rsid w:val="006367C8"/>
    <w:rsid w:val="006368DA"/>
    <w:rsid w:val="00636A4C"/>
    <w:rsid w:val="00636AB6"/>
    <w:rsid w:val="00636C3B"/>
    <w:rsid w:val="00636C5B"/>
    <w:rsid w:val="00636F5A"/>
    <w:rsid w:val="00636F5B"/>
    <w:rsid w:val="00637188"/>
    <w:rsid w:val="0063722E"/>
    <w:rsid w:val="00637283"/>
    <w:rsid w:val="00637368"/>
    <w:rsid w:val="006374FB"/>
    <w:rsid w:val="00637519"/>
    <w:rsid w:val="006375D7"/>
    <w:rsid w:val="00637603"/>
    <w:rsid w:val="0063774C"/>
    <w:rsid w:val="00637753"/>
    <w:rsid w:val="006377A6"/>
    <w:rsid w:val="006377CD"/>
    <w:rsid w:val="006377F9"/>
    <w:rsid w:val="00637A66"/>
    <w:rsid w:val="00637B2B"/>
    <w:rsid w:val="00637B4B"/>
    <w:rsid w:val="00637CD3"/>
    <w:rsid w:val="00637CD9"/>
    <w:rsid w:val="00637CFB"/>
    <w:rsid w:val="00637D23"/>
    <w:rsid w:val="00637D6F"/>
    <w:rsid w:val="00637E89"/>
    <w:rsid w:val="00637E97"/>
    <w:rsid w:val="00637EAF"/>
    <w:rsid w:val="00637FE2"/>
    <w:rsid w:val="00640090"/>
    <w:rsid w:val="00640179"/>
    <w:rsid w:val="00640228"/>
    <w:rsid w:val="0064028D"/>
    <w:rsid w:val="00640339"/>
    <w:rsid w:val="00640458"/>
    <w:rsid w:val="006404C5"/>
    <w:rsid w:val="006404D3"/>
    <w:rsid w:val="00640563"/>
    <w:rsid w:val="006405A4"/>
    <w:rsid w:val="006405C9"/>
    <w:rsid w:val="00640609"/>
    <w:rsid w:val="006406C3"/>
    <w:rsid w:val="00640719"/>
    <w:rsid w:val="00640755"/>
    <w:rsid w:val="00640929"/>
    <w:rsid w:val="006409AF"/>
    <w:rsid w:val="00640AC1"/>
    <w:rsid w:val="00640B1F"/>
    <w:rsid w:val="00640B41"/>
    <w:rsid w:val="00640B51"/>
    <w:rsid w:val="00640B74"/>
    <w:rsid w:val="00640C60"/>
    <w:rsid w:val="00640CF2"/>
    <w:rsid w:val="00640E9F"/>
    <w:rsid w:val="00640EDA"/>
    <w:rsid w:val="00640EE0"/>
    <w:rsid w:val="00640F69"/>
    <w:rsid w:val="00641052"/>
    <w:rsid w:val="00641123"/>
    <w:rsid w:val="0064121B"/>
    <w:rsid w:val="0064128E"/>
    <w:rsid w:val="006413AF"/>
    <w:rsid w:val="00641700"/>
    <w:rsid w:val="0064171E"/>
    <w:rsid w:val="0064190E"/>
    <w:rsid w:val="00641AA1"/>
    <w:rsid w:val="00641BBA"/>
    <w:rsid w:val="00641C98"/>
    <w:rsid w:val="00641D4D"/>
    <w:rsid w:val="00641D71"/>
    <w:rsid w:val="00641EB8"/>
    <w:rsid w:val="00641F00"/>
    <w:rsid w:val="00641F2D"/>
    <w:rsid w:val="00642048"/>
    <w:rsid w:val="006422B6"/>
    <w:rsid w:val="006424CD"/>
    <w:rsid w:val="006425A3"/>
    <w:rsid w:val="006425F1"/>
    <w:rsid w:val="0064260E"/>
    <w:rsid w:val="0064261C"/>
    <w:rsid w:val="0064262E"/>
    <w:rsid w:val="00642668"/>
    <w:rsid w:val="0064266E"/>
    <w:rsid w:val="006429F3"/>
    <w:rsid w:val="00642A09"/>
    <w:rsid w:val="00642A45"/>
    <w:rsid w:val="00642A54"/>
    <w:rsid w:val="00642BB5"/>
    <w:rsid w:val="00642C11"/>
    <w:rsid w:val="00642CED"/>
    <w:rsid w:val="00642CF6"/>
    <w:rsid w:val="00642D72"/>
    <w:rsid w:val="00642D9A"/>
    <w:rsid w:val="00642DB0"/>
    <w:rsid w:val="00642F8C"/>
    <w:rsid w:val="00642FF1"/>
    <w:rsid w:val="00643054"/>
    <w:rsid w:val="0064305E"/>
    <w:rsid w:val="006430DB"/>
    <w:rsid w:val="0064319B"/>
    <w:rsid w:val="006432CA"/>
    <w:rsid w:val="0064338E"/>
    <w:rsid w:val="006433F1"/>
    <w:rsid w:val="006435C2"/>
    <w:rsid w:val="00643606"/>
    <w:rsid w:val="00643611"/>
    <w:rsid w:val="0064364F"/>
    <w:rsid w:val="00643655"/>
    <w:rsid w:val="0064382E"/>
    <w:rsid w:val="00643851"/>
    <w:rsid w:val="006438E2"/>
    <w:rsid w:val="00643B8D"/>
    <w:rsid w:val="00643C76"/>
    <w:rsid w:val="00643EE9"/>
    <w:rsid w:val="00643F66"/>
    <w:rsid w:val="0064417D"/>
    <w:rsid w:val="0064425D"/>
    <w:rsid w:val="0064426C"/>
    <w:rsid w:val="00644308"/>
    <w:rsid w:val="006444A3"/>
    <w:rsid w:val="0064453D"/>
    <w:rsid w:val="00644569"/>
    <w:rsid w:val="00644719"/>
    <w:rsid w:val="006447F2"/>
    <w:rsid w:val="006448EA"/>
    <w:rsid w:val="006448FC"/>
    <w:rsid w:val="00644902"/>
    <w:rsid w:val="00644A3F"/>
    <w:rsid w:val="00644B7F"/>
    <w:rsid w:val="00644C10"/>
    <w:rsid w:val="00644DD0"/>
    <w:rsid w:val="0064501C"/>
    <w:rsid w:val="0064507E"/>
    <w:rsid w:val="006450C9"/>
    <w:rsid w:val="006451AA"/>
    <w:rsid w:val="00645214"/>
    <w:rsid w:val="0064558E"/>
    <w:rsid w:val="00645599"/>
    <w:rsid w:val="0064570F"/>
    <w:rsid w:val="0064590C"/>
    <w:rsid w:val="00645A5D"/>
    <w:rsid w:val="00645C20"/>
    <w:rsid w:val="00645DD3"/>
    <w:rsid w:val="00645EBD"/>
    <w:rsid w:val="00645FE1"/>
    <w:rsid w:val="006460BC"/>
    <w:rsid w:val="006460C1"/>
    <w:rsid w:val="006461EA"/>
    <w:rsid w:val="006462AC"/>
    <w:rsid w:val="006462C4"/>
    <w:rsid w:val="00646554"/>
    <w:rsid w:val="006465C2"/>
    <w:rsid w:val="0064688A"/>
    <w:rsid w:val="006468B8"/>
    <w:rsid w:val="006468BC"/>
    <w:rsid w:val="006469AB"/>
    <w:rsid w:val="00646A5A"/>
    <w:rsid w:val="00646A69"/>
    <w:rsid w:val="00646B0A"/>
    <w:rsid w:val="00646C16"/>
    <w:rsid w:val="00646C61"/>
    <w:rsid w:val="00646D4C"/>
    <w:rsid w:val="00646D71"/>
    <w:rsid w:val="00646DF7"/>
    <w:rsid w:val="00646EA4"/>
    <w:rsid w:val="00646F2A"/>
    <w:rsid w:val="00646F4E"/>
    <w:rsid w:val="00646FC8"/>
    <w:rsid w:val="0064704F"/>
    <w:rsid w:val="00647237"/>
    <w:rsid w:val="00647409"/>
    <w:rsid w:val="006474CE"/>
    <w:rsid w:val="006474D3"/>
    <w:rsid w:val="00647552"/>
    <w:rsid w:val="00647571"/>
    <w:rsid w:val="00647729"/>
    <w:rsid w:val="006478B7"/>
    <w:rsid w:val="006478E9"/>
    <w:rsid w:val="00647A08"/>
    <w:rsid w:val="00647BE0"/>
    <w:rsid w:val="00647C94"/>
    <w:rsid w:val="00647DAE"/>
    <w:rsid w:val="00647DB2"/>
    <w:rsid w:val="006500DC"/>
    <w:rsid w:val="00650205"/>
    <w:rsid w:val="00650246"/>
    <w:rsid w:val="0065027A"/>
    <w:rsid w:val="006502A6"/>
    <w:rsid w:val="006503ED"/>
    <w:rsid w:val="00650464"/>
    <w:rsid w:val="006504A4"/>
    <w:rsid w:val="0065053F"/>
    <w:rsid w:val="00650599"/>
    <w:rsid w:val="00650698"/>
    <w:rsid w:val="0065072C"/>
    <w:rsid w:val="006507F5"/>
    <w:rsid w:val="006507FE"/>
    <w:rsid w:val="00650827"/>
    <w:rsid w:val="00650851"/>
    <w:rsid w:val="00650961"/>
    <w:rsid w:val="006509CF"/>
    <w:rsid w:val="00650A6C"/>
    <w:rsid w:val="00650ABA"/>
    <w:rsid w:val="00650ABE"/>
    <w:rsid w:val="00650DAE"/>
    <w:rsid w:val="00650DB9"/>
    <w:rsid w:val="00650ECE"/>
    <w:rsid w:val="00650EE2"/>
    <w:rsid w:val="006510E2"/>
    <w:rsid w:val="0065110C"/>
    <w:rsid w:val="00651188"/>
    <w:rsid w:val="00651237"/>
    <w:rsid w:val="0065125B"/>
    <w:rsid w:val="006512C6"/>
    <w:rsid w:val="00651409"/>
    <w:rsid w:val="0065153B"/>
    <w:rsid w:val="0065164D"/>
    <w:rsid w:val="006516F0"/>
    <w:rsid w:val="00651740"/>
    <w:rsid w:val="0065189B"/>
    <w:rsid w:val="00651942"/>
    <w:rsid w:val="00651993"/>
    <w:rsid w:val="006519DE"/>
    <w:rsid w:val="00651BCA"/>
    <w:rsid w:val="00651BEB"/>
    <w:rsid w:val="00651C93"/>
    <w:rsid w:val="00651CB4"/>
    <w:rsid w:val="00651CB6"/>
    <w:rsid w:val="00651E2D"/>
    <w:rsid w:val="00651EC7"/>
    <w:rsid w:val="00651ED0"/>
    <w:rsid w:val="006521EE"/>
    <w:rsid w:val="006525A3"/>
    <w:rsid w:val="006526B2"/>
    <w:rsid w:val="0065274B"/>
    <w:rsid w:val="0065286A"/>
    <w:rsid w:val="006528C3"/>
    <w:rsid w:val="00652968"/>
    <w:rsid w:val="00652969"/>
    <w:rsid w:val="00652971"/>
    <w:rsid w:val="00652A29"/>
    <w:rsid w:val="00652A68"/>
    <w:rsid w:val="00652A7F"/>
    <w:rsid w:val="00652A87"/>
    <w:rsid w:val="00652B6D"/>
    <w:rsid w:val="00652BED"/>
    <w:rsid w:val="00652BEF"/>
    <w:rsid w:val="00652EAA"/>
    <w:rsid w:val="00652FA0"/>
    <w:rsid w:val="00652FA8"/>
    <w:rsid w:val="00652FB9"/>
    <w:rsid w:val="00652FD7"/>
    <w:rsid w:val="00653296"/>
    <w:rsid w:val="006532EA"/>
    <w:rsid w:val="0065340B"/>
    <w:rsid w:val="00653471"/>
    <w:rsid w:val="006535B2"/>
    <w:rsid w:val="00653650"/>
    <w:rsid w:val="0065365E"/>
    <w:rsid w:val="00653672"/>
    <w:rsid w:val="006536B7"/>
    <w:rsid w:val="006538A4"/>
    <w:rsid w:val="006538C1"/>
    <w:rsid w:val="00653A66"/>
    <w:rsid w:val="00653BA3"/>
    <w:rsid w:val="00653C16"/>
    <w:rsid w:val="00653C3A"/>
    <w:rsid w:val="00653D34"/>
    <w:rsid w:val="00653DEE"/>
    <w:rsid w:val="00653F22"/>
    <w:rsid w:val="00654096"/>
    <w:rsid w:val="00654179"/>
    <w:rsid w:val="0065431C"/>
    <w:rsid w:val="0065457D"/>
    <w:rsid w:val="0065485E"/>
    <w:rsid w:val="006548FD"/>
    <w:rsid w:val="006549A1"/>
    <w:rsid w:val="006549D3"/>
    <w:rsid w:val="006549F5"/>
    <w:rsid w:val="00654C46"/>
    <w:rsid w:val="00654C78"/>
    <w:rsid w:val="00654EB1"/>
    <w:rsid w:val="00654F9A"/>
    <w:rsid w:val="00654FD0"/>
    <w:rsid w:val="00655020"/>
    <w:rsid w:val="006550B3"/>
    <w:rsid w:val="00655159"/>
    <w:rsid w:val="00655180"/>
    <w:rsid w:val="006551A7"/>
    <w:rsid w:val="006551FB"/>
    <w:rsid w:val="0065523D"/>
    <w:rsid w:val="00655261"/>
    <w:rsid w:val="00655504"/>
    <w:rsid w:val="0065568B"/>
    <w:rsid w:val="006556DE"/>
    <w:rsid w:val="0065581E"/>
    <w:rsid w:val="00655879"/>
    <w:rsid w:val="0065594E"/>
    <w:rsid w:val="006559E1"/>
    <w:rsid w:val="00655AA0"/>
    <w:rsid w:val="00655B70"/>
    <w:rsid w:val="00655FA5"/>
    <w:rsid w:val="006560B9"/>
    <w:rsid w:val="0065623E"/>
    <w:rsid w:val="0065623F"/>
    <w:rsid w:val="006563E4"/>
    <w:rsid w:val="006563FF"/>
    <w:rsid w:val="0065643A"/>
    <w:rsid w:val="006564E3"/>
    <w:rsid w:val="0065653F"/>
    <w:rsid w:val="00656667"/>
    <w:rsid w:val="00656811"/>
    <w:rsid w:val="00656911"/>
    <w:rsid w:val="00656A55"/>
    <w:rsid w:val="00656A5C"/>
    <w:rsid w:val="00656AC1"/>
    <w:rsid w:val="00656AF8"/>
    <w:rsid w:val="00656CE9"/>
    <w:rsid w:val="00656D4D"/>
    <w:rsid w:val="00656DE2"/>
    <w:rsid w:val="00656DEE"/>
    <w:rsid w:val="00656E3D"/>
    <w:rsid w:val="00656F72"/>
    <w:rsid w:val="0065706F"/>
    <w:rsid w:val="00657090"/>
    <w:rsid w:val="006570E6"/>
    <w:rsid w:val="0065721C"/>
    <w:rsid w:val="006573F7"/>
    <w:rsid w:val="00657455"/>
    <w:rsid w:val="006574E7"/>
    <w:rsid w:val="006574F9"/>
    <w:rsid w:val="00657574"/>
    <w:rsid w:val="00657646"/>
    <w:rsid w:val="006576C8"/>
    <w:rsid w:val="006576E4"/>
    <w:rsid w:val="00657738"/>
    <w:rsid w:val="00657749"/>
    <w:rsid w:val="006577AB"/>
    <w:rsid w:val="0065780E"/>
    <w:rsid w:val="00657879"/>
    <w:rsid w:val="006578EA"/>
    <w:rsid w:val="00657AE7"/>
    <w:rsid w:val="00657BD5"/>
    <w:rsid w:val="00657CC2"/>
    <w:rsid w:val="00657D0F"/>
    <w:rsid w:val="00657E0F"/>
    <w:rsid w:val="00657FAA"/>
    <w:rsid w:val="00657FB3"/>
    <w:rsid w:val="00657FF3"/>
    <w:rsid w:val="006600E6"/>
    <w:rsid w:val="00660111"/>
    <w:rsid w:val="00660188"/>
    <w:rsid w:val="00660347"/>
    <w:rsid w:val="006603ED"/>
    <w:rsid w:val="00660408"/>
    <w:rsid w:val="0066042D"/>
    <w:rsid w:val="00660462"/>
    <w:rsid w:val="006606B4"/>
    <w:rsid w:val="00660767"/>
    <w:rsid w:val="006607AF"/>
    <w:rsid w:val="00660849"/>
    <w:rsid w:val="006608E5"/>
    <w:rsid w:val="00660A7E"/>
    <w:rsid w:val="00660AC5"/>
    <w:rsid w:val="00660B79"/>
    <w:rsid w:val="00660B7D"/>
    <w:rsid w:val="00660B7F"/>
    <w:rsid w:val="00660C04"/>
    <w:rsid w:val="00660C14"/>
    <w:rsid w:val="00660CC6"/>
    <w:rsid w:val="00660CE4"/>
    <w:rsid w:val="00660D81"/>
    <w:rsid w:val="00660DBC"/>
    <w:rsid w:val="00660E07"/>
    <w:rsid w:val="00660EB8"/>
    <w:rsid w:val="00660F03"/>
    <w:rsid w:val="00660FF9"/>
    <w:rsid w:val="006610E2"/>
    <w:rsid w:val="0066114D"/>
    <w:rsid w:val="006611C7"/>
    <w:rsid w:val="006612A0"/>
    <w:rsid w:val="00661349"/>
    <w:rsid w:val="0066134B"/>
    <w:rsid w:val="00661453"/>
    <w:rsid w:val="006614C7"/>
    <w:rsid w:val="00661523"/>
    <w:rsid w:val="00661539"/>
    <w:rsid w:val="00661587"/>
    <w:rsid w:val="006616B7"/>
    <w:rsid w:val="00661999"/>
    <w:rsid w:val="00661BBD"/>
    <w:rsid w:val="00661C01"/>
    <w:rsid w:val="00661C53"/>
    <w:rsid w:val="00661D13"/>
    <w:rsid w:val="00661D73"/>
    <w:rsid w:val="00661FCF"/>
    <w:rsid w:val="00661FF5"/>
    <w:rsid w:val="006620AB"/>
    <w:rsid w:val="006620B2"/>
    <w:rsid w:val="0066212C"/>
    <w:rsid w:val="00662210"/>
    <w:rsid w:val="00662294"/>
    <w:rsid w:val="0066244D"/>
    <w:rsid w:val="006624E2"/>
    <w:rsid w:val="0066269B"/>
    <w:rsid w:val="00662716"/>
    <w:rsid w:val="0066273C"/>
    <w:rsid w:val="00662811"/>
    <w:rsid w:val="0066284B"/>
    <w:rsid w:val="006628A6"/>
    <w:rsid w:val="00662979"/>
    <w:rsid w:val="00662AE4"/>
    <w:rsid w:val="00662C2F"/>
    <w:rsid w:val="00662CB8"/>
    <w:rsid w:val="00662E7B"/>
    <w:rsid w:val="00662F8B"/>
    <w:rsid w:val="006630AB"/>
    <w:rsid w:val="0066317F"/>
    <w:rsid w:val="00663194"/>
    <w:rsid w:val="00663326"/>
    <w:rsid w:val="00663357"/>
    <w:rsid w:val="00663550"/>
    <w:rsid w:val="006636BB"/>
    <w:rsid w:val="006636EB"/>
    <w:rsid w:val="006639A4"/>
    <w:rsid w:val="00663ABE"/>
    <w:rsid w:val="00663B01"/>
    <w:rsid w:val="00663B4E"/>
    <w:rsid w:val="00663C1C"/>
    <w:rsid w:val="00663C99"/>
    <w:rsid w:val="00663CF3"/>
    <w:rsid w:val="00663DFE"/>
    <w:rsid w:val="00663E43"/>
    <w:rsid w:val="00663EC9"/>
    <w:rsid w:val="00663FBD"/>
    <w:rsid w:val="0066416F"/>
    <w:rsid w:val="006641B3"/>
    <w:rsid w:val="006642AC"/>
    <w:rsid w:val="006643DE"/>
    <w:rsid w:val="0066441F"/>
    <w:rsid w:val="006644E9"/>
    <w:rsid w:val="0066459A"/>
    <w:rsid w:val="0066465E"/>
    <w:rsid w:val="0066477E"/>
    <w:rsid w:val="006647DD"/>
    <w:rsid w:val="00664865"/>
    <w:rsid w:val="006649AF"/>
    <w:rsid w:val="00664A5F"/>
    <w:rsid w:val="00664ACE"/>
    <w:rsid w:val="00664B58"/>
    <w:rsid w:val="00664BC4"/>
    <w:rsid w:val="00664D7C"/>
    <w:rsid w:val="00664DA5"/>
    <w:rsid w:val="00664E2A"/>
    <w:rsid w:val="00664EB5"/>
    <w:rsid w:val="00664F28"/>
    <w:rsid w:val="00664FF5"/>
    <w:rsid w:val="00665220"/>
    <w:rsid w:val="006653DE"/>
    <w:rsid w:val="006654DD"/>
    <w:rsid w:val="00665541"/>
    <w:rsid w:val="00665608"/>
    <w:rsid w:val="0066562B"/>
    <w:rsid w:val="00665776"/>
    <w:rsid w:val="006657B7"/>
    <w:rsid w:val="00665865"/>
    <w:rsid w:val="006658E8"/>
    <w:rsid w:val="00665950"/>
    <w:rsid w:val="0066595A"/>
    <w:rsid w:val="00665B05"/>
    <w:rsid w:val="00665B99"/>
    <w:rsid w:val="00665BE5"/>
    <w:rsid w:val="00665E63"/>
    <w:rsid w:val="00665EDC"/>
    <w:rsid w:val="00665F17"/>
    <w:rsid w:val="00665F39"/>
    <w:rsid w:val="00665FAC"/>
    <w:rsid w:val="00665FF4"/>
    <w:rsid w:val="0066606B"/>
    <w:rsid w:val="0066607F"/>
    <w:rsid w:val="006660EA"/>
    <w:rsid w:val="00666499"/>
    <w:rsid w:val="00666631"/>
    <w:rsid w:val="006666C3"/>
    <w:rsid w:val="00666703"/>
    <w:rsid w:val="006667BD"/>
    <w:rsid w:val="00666827"/>
    <w:rsid w:val="00666828"/>
    <w:rsid w:val="00666975"/>
    <w:rsid w:val="00666A51"/>
    <w:rsid w:val="00666BB3"/>
    <w:rsid w:val="00666C90"/>
    <w:rsid w:val="00666D7F"/>
    <w:rsid w:val="00666D9D"/>
    <w:rsid w:val="00666E6B"/>
    <w:rsid w:val="00666EA9"/>
    <w:rsid w:val="00666F02"/>
    <w:rsid w:val="006672B2"/>
    <w:rsid w:val="00667361"/>
    <w:rsid w:val="00667408"/>
    <w:rsid w:val="0066745C"/>
    <w:rsid w:val="00667476"/>
    <w:rsid w:val="006674B8"/>
    <w:rsid w:val="0066753C"/>
    <w:rsid w:val="00667544"/>
    <w:rsid w:val="0066756E"/>
    <w:rsid w:val="006676A3"/>
    <w:rsid w:val="0066772C"/>
    <w:rsid w:val="00667801"/>
    <w:rsid w:val="00667923"/>
    <w:rsid w:val="00667974"/>
    <w:rsid w:val="00667A3F"/>
    <w:rsid w:val="00667B8C"/>
    <w:rsid w:val="00667CD1"/>
    <w:rsid w:val="00667DC2"/>
    <w:rsid w:val="0066E530"/>
    <w:rsid w:val="00670003"/>
    <w:rsid w:val="00670250"/>
    <w:rsid w:val="00670437"/>
    <w:rsid w:val="00670467"/>
    <w:rsid w:val="006704B9"/>
    <w:rsid w:val="006705D5"/>
    <w:rsid w:val="006707E7"/>
    <w:rsid w:val="00670B93"/>
    <w:rsid w:val="00670CDA"/>
    <w:rsid w:val="00670CF8"/>
    <w:rsid w:val="0067105B"/>
    <w:rsid w:val="006711E3"/>
    <w:rsid w:val="0067128A"/>
    <w:rsid w:val="00671314"/>
    <w:rsid w:val="0067137D"/>
    <w:rsid w:val="006717DA"/>
    <w:rsid w:val="00671852"/>
    <w:rsid w:val="006718D2"/>
    <w:rsid w:val="00671916"/>
    <w:rsid w:val="00671A59"/>
    <w:rsid w:val="00671BBB"/>
    <w:rsid w:val="00671D14"/>
    <w:rsid w:val="00671D66"/>
    <w:rsid w:val="00671DBE"/>
    <w:rsid w:val="00671FC1"/>
    <w:rsid w:val="00672049"/>
    <w:rsid w:val="006720CD"/>
    <w:rsid w:val="006720F9"/>
    <w:rsid w:val="00672136"/>
    <w:rsid w:val="006721CB"/>
    <w:rsid w:val="00672395"/>
    <w:rsid w:val="006723A1"/>
    <w:rsid w:val="00672435"/>
    <w:rsid w:val="00672555"/>
    <w:rsid w:val="0067274E"/>
    <w:rsid w:val="006727A8"/>
    <w:rsid w:val="006728AB"/>
    <w:rsid w:val="00672A59"/>
    <w:rsid w:val="00672A64"/>
    <w:rsid w:val="00672BDE"/>
    <w:rsid w:val="00672D84"/>
    <w:rsid w:val="00672E60"/>
    <w:rsid w:val="00672EEA"/>
    <w:rsid w:val="00672F07"/>
    <w:rsid w:val="00672FAE"/>
    <w:rsid w:val="006730CC"/>
    <w:rsid w:val="00673285"/>
    <w:rsid w:val="00673310"/>
    <w:rsid w:val="006733B2"/>
    <w:rsid w:val="006735EF"/>
    <w:rsid w:val="00673622"/>
    <w:rsid w:val="006737AA"/>
    <w:rsid w:val="006739A7"/>
    <w:rsid w:val="00673A3A"/>
    <w:rsid w:val="00673A9C"/>
    <w:rsid w:val="00673CCF"/>
    <w:rsid w:val="00673FC5"/>
    <w:rsid w:val="00673FF6"/>
    <w:rsid w:val="00673FFE"/>
    <w:rsid w:val="006740F6"/>
    <w:rsid w:val="00674114"/>
    <w:rsid w:val="0067411B"/>
    <w:rsid w:val="006741B4"/>
    <w:rsid w:val="006741FC"/>
    <w:rsid w:val="0067420F"/>
    <w:rsid w:val="00674236"/>
    <w:rsid w:val="00674280"/>
    <w:rsid w:val="006746DF"/>
    <w:rsid w:val="006747EC"/>
    <w:rsid w:val="0067484A"/>
    <w:rsid w:val="0067487B"/>
    <w:rsid w:val="006748D6"/>
    <w:rsid w:val="0067490E"/>
    <w:rsid w:val="0067498D"/>
    <w:rsid w:val="00674A54"/>
    <w:rsid w:val="00674A62"/>
    <w:rsid w:val="00674AE1"/>
    <w:rsid w:val="00674B26"/>
    <w:rsid w:val="00674D61"/>
    <w:rsid w:val="00674DF6"/>
    <w:rsid w:val="00674DFD"/>
    <w:rsid w:val="00674E4D"/>
    <w:rsid w:val="00674EDB"/>
    <w:rsid w:val="00674F26"/>
    <w:rsid w:val="00675174"/>
    <w:rsid w:val="006751F4"/>
    <w:rsid w:val="006752CD"/>
    <w:rsid w:val="00675369"/>
    <w:rsid w:val="0067540C"/>
    <w:rsid w:val="006755FA"/>
    <w:rsid w:val="00675654"/>
    <w:rsid w:val="00675670"/>
    <w:rsid w:val="00675740"/>
    <w:rsid w:val="00675893"/>
    <w:rsid w:val="00675A01"/>
    <w:rsid w:val="00675AAA"/>
    <w:rsid w:val="00675ABE"/>
    <w:rsid w:val="00675B3A"/>
    <w:rsid w:val="00675B47"/>
    <w:rsid w:val="00675B70"/>
    <w:rsid w:val="00675BB8"/>
    <w:rsid w:val="00675C91"/>
    <w:rsid w:val="00675CA8"/>
    <w:rsid w:val="00675CAC"/>
    <w:rsid w:val="00675D07"/>
    <w:rsid w:val="00675D7A"/>
    <w:rsid w:val="00675E32"/>
    <w:rsid w:val="00675FEE"/>
    <w:rsid w:val="00676039"/>
    <w:rsid w:val="00676083"/>
    <w:rsid w:val="00676098"/>
    <w:rsid w:val="0067620F"/>
    <w:rsid w:val="0067626F"/>
    <w:rsid w:val="0067637D"/>
    <w:rsid w:val="006763E1"/>
    <w:rsid w:val="006764FC"/>
    <w:rsid w:val="006764FE"/>
    <w:rsid w:val="0067654D"/>
    <w:rsid w:val="00676716"/>
    <w:rsid w:val="00676AD8"/>
    <w:rsid w:val="00676C3B"/>
    <w:rsid w:val="00676C9F"/>
    <w:rsid w:val="00676CFC"/>
    <w:rsid w:val="00676D95"/>
    <w:rsid w:val="00676E1E"/>
    <w:rsid w:val="0067705D"/>
    <w:rsid w:val="00677320"/>
    <w:rsid w:val="006777C7"/>
    <w:rsid w:val="006778D3"/>
    <w:rsid w:val="00677960"/>
    <w:rsid w:val="00677984"/>
    <w:rsid w:val="00677B13"/>
    <w:rsid w:val="00677BC4"/>
    <w:rsid w:val="00677C2C"/>
    <w:rsid w:val="00677C66"/>
    <w:rsid w:val="00677D6C"/>
    <w:rsid w:val="00677D79"/>
    <w:rsid w:val="00677E1B"/>
    <w:rsid w:val="00677F4E"/>
    <w:rsid w:val="00677F82"/>
    <w:rsid w:val="00677F8A"/>
    <w:rsid w:val="00680069"/>
    <w:rsid w:val="0068006F"/>
    <w:rsid w:val="00680248"/>
    <w:rsid w:val="00680275"/>
    <w:rsid w:val="0068034A"/>
    <w:rsid w:val="00680498"/>
    <w:rsid w:val="0068056D"/>
    <w:rsid w:val="006805C6"/>
    <w:rsid w:val="00680695"/>
    <w:rsid w:val="0068094D"/>
    <w:rsid w:val="00680A4B"/>
    <w:rsid w:val="00680B44"/>
    <w:rsid w:val="00680BEB"/>
    <w:rsid w:val="00680D56"/>
    <w:rsid w:val="00680EEB"/>
    <w:rsid w:val="00680F89"/>
    <w:rsid w:val="00680FC8"/>
    <w:rsid w:val="0068106A"/>
    <w:rsid w:val="00681086"/>
    <w:rsid w:val="006810EF"/>
    <w:rsid w:val="006810FA"/>
    <w:rsid w:val="00681368"/>
    <w:rsid w:val="006813C9"/>
    <w:rsid w:val="00681655"/>
    <w:rsid w:val="00681835"/>
    <w:rsid w:val="00681947"/>
    <w:rsid w:val="00681982"/>
    <w:rsid w:val="00681A08"/>
    <w:rsid w:val="00681BC2"/>
    <w:rsid w:val="00681C01"/>
    <w:rsid w:val="00681C0F"/>
    <w:rsid w:val="00681C24"/>
    <w:rsid w:val="00681C64"/>
    <w:rsid w:val="00681DC2"/>
    <w:rsid w:val="00681DCD"/>
    <w:rsid w:val="00681E2E"/>
    <w:rsid w:val="00681F34"/>
    <w:rsid w:val="00681FE8"/>
    <w:rsid w:val="00682033"/>
    <w:rsid w:val="00682090"/>
    <w:rsid w:val="00682168"/>
    <w:rsid w:val="0068217C"/>
    <w:rsid w:val="006822A1"/>
    <w:rsid w:val="006822C0"/>
    <w:rsid w:val="006822E0"/>
    <w:rsid w:val="006823BE"/>
    <w:rsid w:val="0068242B"/>
    <w:rsid w:val="006824C2"/>
    <w:rsid w:val="00682590"/>
    <w:rsid w:val="006826DF"/>
    <w:rsid w:val="00682736"/>
    <w:rsid w:val="006827E6"/>
    <w:rsid w:val="0068293D"/>
    <w:rsid w:val="00682AC5"/>
    <w:rsid w:val="00682BE7"/>
    <w:rsid w:val="00682D06"/>
    <w:rsid w:val="00682D8E"/>
    <w:rsid w:val="00682D97"/>
    <w:rsid w:val="00682DAD"/>
    <w:rsid w:val="00682E7A"/>
    <w:rsid w:val="00683010"/>
    <w:rsid w:val="0068302D"/>
    <w:rsid w:val="00683068"/>
    <w:rsid w:val="0068306B"/>
    <w:rsid w:val="0068307F"/>
    <w:rsid w:val="00683247"/>
    <w:rsid w:val="00683334"/>
    <w:rsid w:val="00683349"/>
    <w:rsid w:val="00683456"/>
    <w:rsid w:val="00683469"/>
    <w:rsid w:val="006834F5"/>
    <w:rsid w:val="0068350E"/>
    <w:rsid w:val="006835A6"/>
    <w:rsid w:val="00683757"/>
    <w:rsid w:val="006837B1"/>
    <w:rsid w:val="00683877"/>
    <w:rsid w:val="00683971"/>
    <w:rsid w:val="00683A10"/>
    <w:rsid w:val="00683AAF"/>
    <w:rsid w:val="00683AE4"/>
    <w:rsid w:val="00683BC5"/>
    <w:rsid w:val="00683C96"/>
    <w:rsid w:val="00683DA3"/>
    <w:rsid w:val="00683EFA"/>
    <w:rsid w:val="00683FA7"/>
    <w:rsid w:val="006842A1"/>
    <w:rsid w:val="00684336"/>
    <w:rsid w:val="0068440A"/>
    <w:rsid w:val="00684431"/>
    <w:rsid w:val="00684503"/>
    <w:rsid w:val="0068459F"/>
    <w:rsid w:val="0068461C"/>
    <w:rsid w:val="00684877"/>
    <w:rsid w:val="00684A76"/>
    <w:rsid w:val="00684AB8"/>
    <w:rsid w:val="00684BED"/>
    <w:rsid w:val="00684BF6"/>
    <w:rsid w:val="00684D40"/>
    <w:rsid w:val="00684D57"/>
    <w:rsid w:val="00684DCF"/>
    <w:rsid w:val="00684DDD"/>
    <w:rsid w:val="00684E50"/>
    <w:rsid w:val="00684E5B"/>
    <w:rsid w:val="00685022"/>
    <w:rsid w:val="00685114"/>
    <w:rsid w:val="006852EF"/>
    <w:rsid w:val="006854BE"/>
    <w:rsid w:val="0068569B"/>
    <w:rsid w:val="00685766"/>
    <w:rsid w:val="00685883"/>
    <w:rsid w:val="00685914"/>
    <w:rsid w:val="00685969"/>
    <w:rsid w:val="00685A03"/>
    <w:rsid w:val="00685A11"/>
    <w:rsid w:val="00685B25"/>
    <w:rsid w:val="00685B31"/>
    <w:rsid w:val="00685CA5"/>
    <w:rsid w:val="00685DD0"/>
    <w:rsid w:val="00685ECF"/>
    <w:rsid w:val="00685F05"/>
    <w:rsid w:val="00685F5E"/>
    <w:rsid w:val="006860B3"/>
    <w:rsid w:val="00686191"/>
    <w:rsid w:val="0068619C"/>
    <w:rsid w:val="00686259"/>
    <w:rsid w:val="00686390"/>
    <w:rsid w:val="006863EF"/>
    <w:rsid w:val="00686425"/>
    <w:rsid w:val="0068658C"/>
    <w:rsid w:val="006867D3"/>
    <w:rsid w:val="00686915"/>
    <w:rsid w:val="00686A24"/>
    <w:rsid w:val="00686A39"/>
    <w:rsid w:val="00686D45"/>
    <w:rsid w:val="00686E1C"/>
    <w:rsid w:val="00687049"/>
    <w:rsid w:val="006870DB"/>
    <w:rsid w:val="0068717F"/>
    <w:rsid w:val="00687208"/>
    <w:rsid w:val="006872F2"/>
    <w:rsid w:val="006873F1"/>
    <w:rsid w:val="006875B8"/>
    <w:rsid w:val="006876A7"/>
    <w:rsid w:val="006876AB"/>
    <w:rsid w:val="00687764"/>
    <w:rsid w:val="006877CD"/>
    <w:rsid w:val="006877E9"/>
    <w:rsid w:val="006878A7"/>
    <w:rsid w:val="00687A5C"/>
    <w:rsid w:val="00687A87"/>
    <w:rsid w:val="00687B1D"/>
    <w:rsid w:val="00687B37"/>
    <w:rsid w:val="00687B5C"/>
    <w:rsid w:val="00687BBD"/>
    <w:rsid w:val="00687CDD"/>
    <w:rsid w:val="00687CEA"/>
    <w:rsid w:val="00687E46"/>
    <w:rsid w:val="00687E64"/>
    <w:rsid w:val="00687E9A"/>
    <w:rsid w:val="00687F23"/>
    <w:rsid w:val="00687F92"/>
    <w:rsid w:val="00687FC4"/>
    <w:rsid w:val="00690023"/>
    <w:rsid w:val="006901FA"/>
    <w:rsid w:val="00690226"/>
    <w:rsid w:val="006902B8"/>
    <w:rsid w:val="00690350"/>
    <w:rsid w:val="0069039F"/>
    <w:rsid w:val="0069041D"/>
    <w:rsid w:val="0069077C"/>
    <w:rsid w:val="0069096A"/>
    <w:rsid w:val="006909F6"/>
    <w:rsid w:val="00690A58"/>
    <w:rsid w:val="00690B25"/>
    <w:rsid w:val="00690B93"/>
    <w:rsid w:val="00690D4A"/>
    <w:rsid w:val="00690D5F"/>
    <w:rsid w:val="00690DFB"/>
    <w:rsid w:val="00690E10"/>
    <w:rsid w:val="00691331"/>
    <w:rsid w:val="006913DF"/>
    <w:rsid w:val="00691454"/>
    <w:rsid w:val="006914D1"/>
    <w:rsid w:val="006914FE"/>
    <w:rsid w:val="006915F1"/>
    <w:rsid w:val="0069166B"/>
    <w:rsid w:val="0069172A"/>
    <w:rsid w:val="006917A6"/>
    <w:rsid w:val="0069188B"/>
    <w:rsid w:val="00691A04"/>
    <w:rsid w:val="00691A2C"/>
    <w:rsid w:val="00691AD7"/>
    <w:rsid w:val="00691D66"/>
    <w:rsid w:val="00691E1A"/>
    <w:rsid w:val="00692068"/>
    <w:rsid w:val="006920B1"/>
    <w:rsid w:val="006920CA"/>
    <w:rsid w:val="006921E9"/>
    <w:rsid w:val="00692232"/>
    <w:rsid w:val="00692236"/>
    <w:rsid w:val="006922F6"/>
    <w:rsid w:val="006923B0"/>
    <w:rsid w:val="00692488"/>
    <w:rsid w:val="006924ED"/>
    <w:rsid w:val="006925AB"/>
    <w:rsid w:val="00692657"/>
    <w:rsid w:val="00692677"/>
    <w:rsid w:val="006927F0"/>
    <w:rsid w:val="0069282C"/>
    <w:rsid w:val="00692921"/>
    <w:rsid w:val="006929F2"/>
    <w:rsid w:val="00692B17"/>
    <w:rsid w:val="00692DCD"/>
    <w:rsid w:val="00692E04"/>
    <w:rsid w:val="00692F31"/>
    <w:rsid w:val="0069302F"/>
    <w:rsid w:val="00693045"/>
    <w:rsid w:val="00693148"/>
    <w:rsid w:val="006931E3"/>
    <w:rsid w:val="006932FD"/>
    <w:rsid w:val="006933E5"/>
    <w:rsid w:val="006937A5"/>
    <w:rsid w:val="00693855"/>
    <w:rsid w:val="00693856"/>
    <w:rsid w:val="00693C64"/>
    <w:rsid w:val="00693E1E"/>
    <w:rsid w:val="00693EDB"/>
    <w:rsid w:val="00694135"/>
    <w:rsid w:val="006943FA"/>
    <w:rsid w:val="006944C9"/>
    <w:rsid w:val="006945AB"/>
    <w:rsid w:val="00694620"/>
    <w:rsid w:val="0069469F"/>
    <w:rsid w:val="00694901"/>
    <w:rsid w:val="00694997"/>
    <w:rsid w:val="0069499E"/>
    <w:rsid w:val="00694B7E"/>
    <w:rsid w:val="00694C5D"/>
    <w:rsid w:val="00694C67"/>
    <w:rsid w:val="00694D48"/>
    <w:rsid w:val="00694D79"/>
    <w:rsid w:val="00694DE2"/>
    <w:rsid w:val="00694E01"/>
    <w:rsid w:val="00694F03"/>
    <w:rsid w:val="00695024"/>
    <w:rsid w:val="00695171"/>
    <w:rsid w:val="00695283"/>
    <w:rsid w:val="006952F6"/>
    <w:rsid w:val="00695308"/>
    <w:rsid w:val="00695330"/>
    <w:rsid w:val="00695459"/>
    <w:rsid w:val="00695474"/>
    <w:rsid w:val="006954DF"/>
    <w:rsid w:val="006954EA"/>
    <w:rsid w:val="0069551B"/>
    <w:rsid w:val="0069562A"/>
    <w:rsid w:val="006956BE"/>
    <w:rsid w:val="0069576A"/>
    <w:rsid w:val="0069578E"/>
    <w:rsid w:val="006957BA"/>
    <w:rsid w:val="006957C7"/>
    <w:rsid w:val="006957DC"/>
    <w:rsid w:val="00695800"/>
    <w:rsid w:val="00695A08"/>
    <w:rsid w:val="00695B75"/>
    <w:rsid w:val="00695C44"/>
    <w:rsid w:val="00695C57"/>
    <w:rsid w:val="00695C99"/>
    <w:rsid w:val="00695CB3"/>
    <w:rsid w:val="00695CBA"/>
    <w:rsid w:val="00695CCC"/>
    <w:rsid w:val="00695DCD"/>
    <w:rsid w:val="0069603D"/>
    <w:rsid w:val="00696067"/>
    <w:rsid w:val="006960F9"/>
    <w:rsid w:val="00696154"/>
    <w:rsid w:val="006962DF"/>
    <w:rsid w:val="00696397"/>
    <w:rsid w:val="006963EE"/>
    <w:rsid w:val="00696447"/>
    <w:rsid w:val="006964E9"/>
    <w:rsid w:val="006966C1"/>
    <w:rsid w:val="006966C9"/>
    <w:rsid w:val="0069670C"/>
    <w:rsid w:val="00696936"/>
    <w:rsid w:val="00696B96"/>
    <w:rsid w:val="00696BD7"/>
    <w:rsid w:val="00696BE8"/>
    <w:rsid w:val="00696C5F"/>
    <w:rsid w:val="00696CC5"/>
    <w:rsid w:val="00696D15"/>
    <w:rsid w:val="00697024"/>
    <w:rsid w:val="00697044"/>
    <w:rsid w:val="006970E6"/>
    <w:rsid w:val="00697148"/>
    <w:rsid w:val="006971B1"/>
    <w:rsid w:val="00697319"/>
    <w:rsid w:val="0069733F"/>
    <w:rsid w:val="00697369"/>
    <w:rsid w:val="00697447"/>
    <w:rsid w:val="006974B2"/>
    <w:rsid w:val="00697566"/>
    <w:rsid w:val="00697607"/>
    <w:rsid w:val="0069768D"/>
    <w:rsid w:val="0069770A"/>
    <w:rsid w:val="00697825"/>
    <w:rsid w:val="006978DC"/>
    <w:rsid w:val="00697A41"/>
    <w:rsid w:val="00697A85"/>
    <w:rsid w:val="00697AA7"/>
    <w:rsid w:val="00697BBB"/>
    <w:rsid w:val="00697CAD"/>
    <w:rsid w:val="00697D2D"/>
    <w:rsid w:val="00697DB7"/>
    <w:rsid w:val="00697DD1"/>
    <w:rsid w:val="0069EC03"/>
    <w:rsid w:val="006A0007"/>
    <w:rsid w:val="006A00C1"/>
    <w:rsid w:val="006A0119"/>
    <w:rsid w:val="006A028A"/>
    <w:rsid w:val="006A055E"/>
    <w:rsid w:val="006A0567"/>
    <w:rsid w:val="006A05B7"/>
    <w:rsid w:val="006A0769"/>
    <w:rsid w:val="006A085E"/>
    <w:rsid w:val="006A08A6"/>
    <w:rsid w:val="006A093A"/>
    <w:rsid w:val="006A0942"/>
    <w:rsid w:val="006A0992"/>
    <w:rsid w:val="006A09AA"/>
    <w:rsid w:val="006A0A74"/>
    <w:rsid w:val="006A0AD6"/>
    <w:rsid w:val="006A0B20"/>
    <w:rsid w:val="006A0CF7"/>
    <w:rsid w:val="006A0D42"/>
    <w:rsid w:val="006A0DC8"/>
    <w:rsid w:val="006A10E6"/>
    <w:rsid w:val="006A110C"/>
    <w:rsid w:val="006A118D"/>
    <w:rsid w:val="006A1693"/>
    <w:rsid w:val="006A1730"/>
    <w:rsid w:val="006A176A"/>
    <w:rsid w:val="006A1856"/>
    <w:rsid w:val="006A1898"/>
    <w:rsid w:val="006A190D"/>
    <w:rsid w:val="006A1949"/>
    <w:rsid w:val="006A19A8"/>
    <w:rsid w:val="006A1A95"/>
    <w:rsid w:val="006A1C1F"/>
    <w:rsid w:val="006A1D22"/>
    <w:rsid w:val="006A214A"/>
    <w:rsid w:val="006A214D"/>
    <w:rsid w:val="006A21BB"/>
    <w:rsid w:val="006A223B"/>
    <w:rsid w:val="006A23DD"/>
    <w:rsid w:val="006A2400"/>
    <w:rsid w:val="006A2493"/>
    <w:rsid w:val="006A25A8"/>
    <w:rsid w:val="006A25B7"/>
    <w:rsid w:val="006A26F7"/>
    <w:rsid w:val="006A26F8"/>
    <w:rsid w:val="006A2766"/>
    <w:rsid w:val="006A2867"/>
    <w:rsid w:val="006A28D0"/>
    <w:rsid w:val="006A28F0"/>
    <w:rsid w:val="006A2AEA"/>
    <w:rsid w:val="006A2B28"/>
    <w:rsid w:val="006A2BAB"/>
    <w:rsid w:val="006A2CCD"/>
    <w:rsid w:val="006A2DAD"/>
    <w:rsid w:val="006A2DB7"/>
    <w:rsid w:val="006A2DD7"/>
    <w:rsid w:val="006A2FFF"/>
    <w:rsid w:val="006A307A"/>
    <w:rsid w:val="006A3422"/>
    <w:rsid w:val="006A3449"/>
    <w:rsid w:val="006A348B"/>
    <w:rsid w:val="006A35E4"/>
    <w:rsid w:val="006A37D9"/>
    <w:rsid w:val="006A38B7"/>
    <w:rsid w:val="006A3920"/>
    <w:rsid w:val="006A393C"/>
    <w:rsid w:val="006A3A34"/>
    <w:rsid w:val="006A3D3F"/>
    <w:rsid w:val="006A3D6C"/>
    <w:rsid w:val="006A3E06"/>
    <w:rsid w:val="006A3ECE"/>
    <w:rsid w:val="006A3EF5"/>
    <w:rsid w:val="006A3F3A"/>
    <w:rsid w:val="006A41F5"/>
    <w:rsid w:val="006A4290"/>
    <w:rsid w:val="006A42D6"/>
    <w:rsid w:val="006A43B5"/>
    <w:rsid w:val="006A443C"/>
    <w:rsid w:val="006A464B"/>
    <w:rsid w:val="006A492D"/>
    <w:rsid w:val="006A4E44"/>
    <w:rsid w:val="006A4EC9"/>
    <w:rsid w:val="006A4F27"/>
    <w:rsid w:val="006A5104"/>
    <w:rsid w:val="006A5163"/>
    <w:rsid w:val="006A54E9"/>
    <w:rsid w:val="006A56BC"/>
    <w:rsid w:val="006A5784"/>
    <w:rsid w:val="006A57A3"/>
    <w:rsid w:val="006A5883"/>
    <w:rsid w:val="006A5989"/>
    <w:rsid w:val="006A5AD3"/>
    <w:rsid w:val="006A5AE4"/>
    <w:rsid w:val="006A5BA0"/>
    <w:rsid w:val="006A5C31"/>
    <w:rsid w:val="006A5D5F"/>
    <w:rsid w:val="006A6003"/>
    <w:rsid w:val="006A6044"/>
    <w:rsid w:val="006A6083"/>
    <w:rsid w:val="006A6154"/>
    <w:rsid w:val="006A617C"/>
    <w:rsid w:val="006A617E"/>
    <w:rsid w:val="006A61EB"/>
    <w:rsid w:val="006A628E"/>
    <w:rsid w:val="006A62CB"/>
    <w:rsid w:val="006A63F2"/>
    <w:rsid w:val="006A642F"/>
    <w:rsid w:val="006A6575"/>
    <w:rsid w:val="006A65DC"/>
    <w:rsid w:val="006A65EF"/>
    <w:rsid w:val="006A65FC"/>
    <w:rsid w:val="006A660B"/>
    <w:rsid w:val="006A666A"/>
    <w:rsid w:val="006A66DE"/>
    <w:rsid w:val="006A66E6"/>
    <w:rsid w:val="006A6742"/>
    <w:rsid w:val="006A6AC9"/>
    <w:rsid w:val="006A6B82"/>
    <w:rsid w:val="006A6C3E"/>
    <w:rsid w:val="006A6D3D"/>
    <w:rsid w:val="006A6D74"/>
    <w:rsid w:val="006A6E62"/>
    <w:rsid w:val="006A705C"/>
    <w:rsid w:val="006A708D"/>
    <w:rsid w:val="006A70B7"/>
    <w:rsid w:val="006A7116"/>
    <w:rsid w:val="006A72EF"/>
    <w:rsid w:val="006A737E"/>
    <w:rsid w:val="006A73E6"/>
    <w:rsid w:val="006A75CA"/>
    <w:rsid w:val="006A763F"/>
    <w:rsid w:val="006A778F"/>
    <w:rsid w:val="006A783C"/>
    <w:rsid w:val="006A78E3"/>
    <w:rsid w:val="006A7A96"/>
    <w:rsid w:val="006A7B0A"/>
    <w:rsid w:val="006A7C0F"/>
    <w:rsid w:val="006A7C3B"/>
    <w:rsid w:val="006A7D0D"/>
    <w:rsid w:val="006A7D17"/>
    <w:rsid w:val="006A7D2F"/>
    <w:rsid w:val="006A7E3F"/>
    <w:rsid w:val="006A7F04"/>
    <w:rsid w:val="006B01C2"/>
    <w:rsid w:val="006B02A3"/>
    <w:rsid w:val="006B0306"/>
    <w:rsid w:val="006B0362"/>
    <w:rsid w:val="006B059F"/>
    <w:rsid w:val="006B06DE"/>
    <w:rsid w:val="006B0717"/>
    <w:rsid w:val="006B071B"/>
    <w:rsid w:val="006B079F"/>
    <w:rsid w:val="006B084C"/>
    <w:rsid w:val="006B0877"/>
    <w:rsid w:val="006B08A3"/>
    <w:rsid w:val="006B0B69"/>
    <w:rsid w:val="006B0B6F"/>
    <w:rsid w:val="006B0B98"/>
    <w:rsid w:val="006B0B99"/>
    <w:rsid w:val="006B0F0C"/>
    <w:rsid w:val="006B0F37"/>
    <w:rsid w:val="006B0FA8"/>
    <w:rsid w:val="006B0FC3"/>
    <w:rsid w:val="006B1005"/>
    <w:rsid w:val="006B1086"/>
    <w:rsid w:val="006B10C3"/>
    <w:rsid w:val="006B1198"/>
    <w:rsid w:val="006B1257"/>
    <w:rsid w:val="006B1337"/>
    <w:rsid w:val="006B1370"/>
    <w:rsid w:val="006B143B"/>
    <w:rsid w:val="006B1508"/>
    <w:rsid w:val="006B15B2"/>
    <w:rsid w:val="006B15B4"/>
    <w:rsid w:val="006B176E"/>
    <w:rsid w:val="006B1800"/>
    <w:rsid w:val="006B18A8"/>
    <w:rsid w:val="006B195D"/>
    <w:rsid w:val="006B196D"/>
    <w:rsid w:val="006B1A9D"/>
    <w:rsid w:val="006B1ADA"/>
    <w:rsid w:val="006B1BF6"/>
    <w:rsid w:val="006B1BF7"/>
    <w:rsid w:val="006B1C0E"/>
    <w:rsid w:val="006B1C58"/>
    <w:rsid w:val="006B1CB2"/>
    <w:rsid w:val="006B1D1E"/>
    <w:rsid w:val="006B1D24"/>
    <w:rsid w:val="006B1DD1"/>
    <w:rsid w:val="006B1FD1"/>
    <w:rsid w:val="006B208C"/>
    <w:rsid w:val="006B20BD"/>
    <w:rsid w:val="006B23B1"/>
    <w:rsid w:val="006B23E0"/>
    <w:rsid w:val="006B252F"/>
    <w:rsid w:val="006B256D"/>
    <w:rsid w:val="006B25DD"/>
    <w:rsid w:val="006B2697"/>
    <w:rsid w:val="006B2705"/>
    <w:rsid w:val="006B278B"/>
    <w:rsid w:val="006B2BBD"/>
    <w:rsid w:val="006B2D9B"/>
    <w:rsid w:val="006B2DC0"/>
    <w:rsid w:val="006B2DDE"/>
    <w:rsid w:val="006B2E2A"/>
    <w:rsid w:val="006B2EA6"/>
    <w:rsid w:val="006B2EFB"/>
    <w:rsid w:val="006B2F6D"/>
    <w:rsid w:val="006B30DA"/>
    <w:rsid w:val="006B3176"/>
    <w:rsid w:val="006B31CC"/>
    <w:rsid w:val="006B32F0"/>
    <w:rsid w:val="006B3396"/>
    <w:rsid w:val="006B33DE"/>
    <w:rsid w:val="006B353B"/>
    <w:rsid w:val="006B355B"/>
    <w:rsid w:val="006B3663"/>
    <w:rsid w:val="006B3673"/>
    <w:rsid w:val="006B36C0"/>
    <w:rsid w:val="006B374E"/>
    <w:rsid w:val="006B3821"/>
    <w:rsid w:val="006B3844"/>
    <w:rsid w:val="006B3956"/>
    <w:rsid w:val="006B398F"/>
    <w:rsid w:val="006B399C"/>
    <w:rsid w:val="006B39C4"/>
    <w:rsid w:val="006B39E6"/>
    <w:rsid w:val="006B3A36"/>
    <w:rsid w:val="006B3A3A"/>
    <w:rsid w:val="006B3AC6"/>
    <w:rsid w:val="006B3B62"/>
    <w:rsid w:val="006B3C0E"/>
    <w:rsid w:val="006B3CF6"/>
    <w:rsid w:val="006B3D6D"/>
    <w:rsid w:val="006B3DF4"/>
    <w:rsid w:val="006B3E30"/>
    <w:rsid w:val="006B3EA5"/>
    <w:rsid w:val="006B3EAD"/>
    <w:rsid w:val="006B3FD5"/>
    <w:rsid w:val="006B405C"/>
    <w:rsid w:val="006B4063"/>
    <w:rsid w:val="006B40B1"/>
    <w:rsid w:val="006B416C"/>
    <w:rsid w:val="006B41AA"/>
    <w:rsid w:val="006B41D0"/>
    <w:rsid w:val="006B4262"/>
    <w:rsid w:val="006B432C"/>
    <w:rsid w:val="006B43D1"/>
    <w:rsid w:val="006B456A"/>
    <w:rsid w:val="006B4592"/>
    <w:rsid w:val="006B45E4"/>
    <w:rsid w:val="006B47CA"/>
    <w:rsid w:val="006B4914"/>
    <w:rsid w:val="006B49ED"/>
    <w:rsid w:val="006B4A56"/>
    <w:rsid w:val="006B4EFC"/>
    <w:rsid w:val="006B4FB4"/>
    <w:rsid w:val="006B4FE7"/>
    <w:rsid w:val="006B500A"/>
    <w:rsid w:val="006B523E"/>
    <w:rsid w:val="006B52CE"/>
    <w:rsid w:val="006B536D"/>
    <w:rsid w:val="006B54FF"/>
    <w:rsid w:val="006B56A7"/>
    <w:rsid w:val="006B56EF"/>
    <w:rsid w:val="006B5770"/>
    <w:rsid w:val="006B592D"/>
    <w:rsid w:val="006B59B9"/>
    <w:rsid w:val="006B59FB"/>
    <w:rsid w:val="006B5C81"/>
    <w:rsid w:val="006B5CA4"/>
    <w:rsid w:val="006B6034"/>
    <w:rsid w:val="006B6078"/>
    <w:rsid w:val="006B611D"/>
    <w:rsid w:val="006B618A"/>
    <w:rsid w:val="006B61A4"/>
    <w:rsid w:val="006B6331"/>
    <w:rsid w:val="006B637E"/>
    <w:rsid w:val="006B64D7"/>
    <w:rsid w:val="006B64F5"/>
    <w:rsid w:val="006B651D"/>
    <w:rsid w:val="006B6567"/>
    <w:rsid w:val="006B65DF"/>
    <w:rsid w:val="006B6625"/>
    <w:rsid w:val="006B66E1"/>
    <w:rsid w:val="006B676E"/>
    <w:rsid w:val="006B682F"/>
    <w:rsid w:val="006B685D"/>
    <w:rsid w:val="006B6942"/>
    <w:rsid w:val="006B6B6D"/>
    <w:rsid w:val="006B6C00"/>
    <w:rsid w:val="006B6C04"/>
    <w:rsid w:val="006B6D52"/>
    <w:rsid w:val="006B6E33"/>
    <w:rsid w:val="006B6EF6"/>
    <w:rsid w:val="006B704D"/>
    <w:rsid w:val="006B7398"/>
    <w:rsid w:val="006B75F0"/>
    <w:rsid w:val="006B764E"/>
    <w:rsid w:val="006B77C7"/>
    <w:rsid w:val="006B782D"/>
    <w:rsid w:val="006B78AC"/>
    <w:rsid w:val="006B798F"/>
    <w:rsid w:val="006B7A98"/>
    <w:rsid w:val="006B7C50"/>
    <w:rsid w:val="006B7CF1"/>
    <w:rsid w:val="006B7DC4"/>
    <w:rsid w:val="006B7E19"/>
    <w:rsid w:val="006B7E87"/>
    <w:rsid w:val="006B7EDD"/>
    <w:rsid w:val="006B7F2A"/>
    <w:rsid w:val="006B7F4D"/>
    <w:rsid w:val="006C0095"/>
    <w:rsid w:val="006C0254"/>
    <w:rsid w:val="006C02E6"/>
    <w:rsid w:val="006C02F0"/>
    <w:rsid w:val="006C03A9"/>
    <w:rsid w:val="006C03FD"/>
    <w:rsid w:val="006C04C1"/>
    <w:rsid w:val="006C05AF"/>
    <w:rsid w:val="006C084A"/>
    <w:rsid w:val="006C08F1"/>
    <w:rsid w:val="006C0904"/>
    <w:rsid w:val="006C0A9E"/>
    <w:rsid w:val="006C0B25"/>
    <w:rsid w:val="006C0B7E"/>
    <w:rsid w:val="006C0B89"/>
    <w:rsid w:val="006C0BC2"/>
    <w:rsid w:val="006C0C41"/>
    <w:rsid w:val="006C0DB5"/>
    <w:rsid w:val="006C0DBC"/>
    <w:rsid w:val="006C0E60"/>
    <w:rsid w:val="006C0E83"/>
    <w:rsid w:val="006C0ED8"/>
    <w:rsid w:val="006C0F06"/>
    <w:rsid w:val="006C0F6E"/>
    <w:rsid w:val="006C0FB6"/>
    <w:rsid w:val="006C11FE"/>
    <w:rsid w:val="006C12E3"/>
    <w:rsid w:val="006C13B9"/>
    <w:rsid w:val="006C1578"/>
    <w:rsid w:val="006C1579"/>
    <w:rsid w:val="006C16BE"/>
    <w:rsid w:val="006C1760"/>
    <w:rsid w:val="006C18F6"/>
    <w:rsid w:val="006C195E"/>
    <w:rsid w:val="006C1AF5"/>
    <w:rsid w:val="006C1B18"/>
    <w:rsid w:val="006C1B6C"/>
    <w:rsid w:val="006C1BAE"/>
    <w:rsid w:val="006C1BEC"/>
    <w:rsid w:val="006C1CA2"/>
    <w:rsid w:val="006C1CA6"/>
    <w:rsid w:val="006C1D4F"/>
    <w:rsid w:val="006C1D73"/>
    <w:rsid w:val="006C1EC1"/>
    <w:rsid w:val="006C1ECB"/>
    <w:rsid w:val="006C1F35"/>
    <w:rsid w:val="006C1F56"/>
    <w:rsid w:val="006C2037"/>
    <w:rsid w:val="006C2053"/>
    <w:rsid w:val="006C212E"/>
    <w:rsid w:val="006C217E"/>
    <w:rsid w:val="006C21CD"/>
    <w:rsid w:val="006C2316"/>
    <w:rsid w:val="006C2459"/>
    <w:rsid w:val="006C2515"/>
    <w:rsid w:val="006C26CB"/>
    <w:rsid w:val="006C2818"/>
    <w:rsid w:val="006C2887"/>
    <w:rsid w:val="006C28DC"/>
    <w:rsid w:val="006C2929"/>
    <w:rsid w:val="006C2AFA"/>
    <w:rsid w:val="006C2B48"/>
    <w:rsid w:val="006C2BA5"/>
    <w:rsid w:val="006C2C3B"/>
    <w:rsid w:val="006C2F53"/>
    <w:rsid w:val="006C2FD8"/>
    <w:rsid w:val="006C2FEF"/>
    <w:rsid w:val="006C3013"/>
    <w:rsid w:val="006C301D"/>
    <w:rsid w:val="006C3053"/>
    <w:rsid w:val="006C3074"/>
    <w:rsid w:val="006C3156"/>
    <w:rsid w:val="006C3189"/>
    <w:rsid w:val="006C31C3"/>
    <w:rsid w:val="006C31C8"/>
    <w:rsid w:val="006C31F6"/>
    <w:rsid w:val="006C3221"/>
    <w:rsid w:val="006C32ED"/>
    <w:rsid w:val="006C345B"/>
    <w:rsid w:val="006C347A"/>
    <w:rsid w:val="006C34AC"/>
    <w:rsid w:val="006C34AD"/>
    <w:rsid w:val="006C354D"/>
    <w:rsid w:val="006C35EC"/>
    <w:rsid w:val="006C364F"/>
    <w:rsid w:val="006C36F1"/>
    <w:rsid w:val="006C36FF"/>
    <w:rsid w:val="006C3743"/>
    <w:rsid w:val="006C38F6"/>
    <w:rsid w:val="006C399D"/>
    <w:rsid w:val="006C3A11"/>
    <w:rsid w:val="006C3A53"/>
    <w:rsid w:val="006C3C77"/>
    <w:rsid w:val="006C3C96"/>
    <w:rsid w:val="006C3E08"/>
    <w:rsid w:val="006C3EEB"/>
    <w:rsid w:val="006C3F6D"/>
    <w:rsid w:val="006C3FD0"/>
    <w:rsid w:val="006C3FE4"/>
    <w:rsid w:val="006C4003"/>
    <w:rsid w:val="006C4064"/>
    <w:rsid w:val="006C406E"/>
    <w:rsid w:val="006C4123"/>
    <w:rsid w:val="006C43E8"/>
    <w:rsid w:val="006C44BC"/>
    <w:rsid w:val="006C450D"/>
    <w:rsid w:val="006C463A"/>
    <w:rsid w:val="006C47A7"/>
    <w:rsid w:val="006C4849"/>
    <w:rsid w:val="006C4994"/>
    <w:rsid w:val="006C4B21"/>
    <w:rsid w:val="006C4B89"/>
    <w:rsid w:val="006C4D59"/>
    <w:rsid w:val="006C4DDB"/>
    <w:rsid w:val="006C4E2A"/>
    <w:rsid w:val="006C4E63"/>
    <w:rsid w:val="006C4E6C"/>
    <w:rsid w:val="006C4EA9"/>
    <w:rsid w:val="006C502E"/>
    <w:rsid w:val="006C52BA"/>
    <w:rsid w:val="006C52ED"/>
    <w:rsid w:val="006C545D"/>
    <w:rsid w:val="006C5534"/>
    <w:rsid w:val="006C568E"/>
    <w:rsid w:val="006C5710"/>
    <w:rsid w:val="006C57C9"/>
    <w:rsid w:val="006C57ED"/>
    <w:rsid w:val="006C58CC"/>
    <w:rsid w:val="006C5A33"/>
    <w:rsid w:val="006C5A42"/>
    <w:rsid w:val="006C5BB5"/>
    <w:rsid w:val="006C5D9B"/>
    <w:rsid w:val="006C5DBE"/>
    <w:rsid w:val="006C5E16"/>
    <w:rsid w:val="006C5EBE"/>
    <w:rsid w:val="006C5F22"/>
    <w:rsid w:val="006C5F7C"/>
    <w:rsid w:val="006C6097"/>
    <w:rsid w:val="006C6145"/>
    <w:rsid w:val="006C6397"/>
    <w:rsid w:val="006C63C9"/>
    <w:rsid w:val="006C63FE"/>
    <w:rsid w:val="006C64FB"/>
    <w:rsid w:val="006C65D1"/>
    <w:rsid w:val="006C6636"/>
    <w:rsid w:val="006C687B"/>
    <w:rsid w:val="006C694A"/>
    <w:rsid w:val="006C6A83"/>
    <w:rsid w:val="006C6CB9"/>
    <w:rsid w:val="006C6CFD"/>
    <w:rsid w:val="006C6D2F"/>
    <w:rsid w:val="006C6F24"/>
    <w:rsid w:val="006C6F94"/>
    <w:rsid w:val="006C7004"/>
    <w:rsid w:val="006C705E"/>
    <w:rsid w:val="006C70D8"/>
    <w:rsid w:val="006C7172"/>
    <w:rsid w:val="006C7215"/>
    <w:rsid w:val="006C72F4"/>
    <w:rsid w:val="006C75C4"/>
    <w:rsid w:val="006C766F"/>
    <w:rsid w:val="006C7671"/>
    <w:rsid w:val="006C76D0"/>
    <w:rsid w:val="006C76D7"/>
    <w:rsid w:val="006C7705"/>
    <w:rsid w:val="006C7783"/>
    <w:rsid w:val="006C79A2"/>
    <w:rsid w:val="006C7B4F"/>
    <w:rsid w:val="006C7B5C"/>
    <w:rsid w:val="006C7B9D"/>
    <w:rsid w:val="006C7BEF"/>
    <w:rsid w:val="006C7CAD"/>
    <w:rsid w:val="006C7D10"/>
    <w:rsid w:val="006C7E1B"/>
    <w:rsid w:val="006C7EDB"/>
    <w:rsid w:val="006D002B"/>
    <w:rsid w:val="006D023B"/>
    <w:rsid w:val="006D0248"/>
    <w:rsid w:val="006D03AA"/>
    <w:rsid w:val="006D03FB"/>
    <w:rsid w:val="006D0430"/>
    <w:rsid w:val="006D0686"/>
    <w:rsid w:val="006D06FC"/>
    <w:rsid w:val="006D0777"/>
    <w:rsid w:val="006D08BB"/>
    <w:rsid w:val="006D0A22"/>
    <w:rsid w:val="006D0C57"/>
    <w:rsid w:val="006D0D2C"/>
    <w:rsid w:val="006D0D46"/>
    <w:rsid w:val="006D0DA9"/>
    <w:rsid w:val="006D0F01"/>
    <w:rsid w:val="006D0F1A"/>
    <w:rsid w:val="006D11C3"/>
    <w:rsid w:val="006D1290"/>
    <w:rsid w:val="006D1333"/>
    <w:rsid w:val="006D13B6"/>
    <w:rsid w:val="006D1406"/>
    <w:rsid w:val="006D1943"/>
    <w:rsid w:val="006D1A4D"/>
    <w:rsid w:val="006D1A99"/>
    <w:rsid w:val="006D1AC3"/>
    <w:rsid w:val="006D1C1E"/>
    <w:rsid w:val="006D1C6F"/>
    <w:rsid w:val="006D1CE3"/>
    <w:rsid w:val="006D1D6F"/>
    <w:rsid w:val="006D1E7B"/>
    <w:rsid w:val="006D2188"/>
    <w:rsid w:val="006D2214"/>
    <w:rsid w:val="006D2364"/>
    <w:rsid w:val="006D238A"/>
    <w:rsid w:val="006D2495"/>
    <w:rsid w:val="006D250C"/>
    <w:rsid w:val="006D251C"/>
    <w:rsid w:val="006D26BE"/>
    <w:rsid w:val="006D2751"/>
    <w:rsid w:val="006D2A0D"/>
    <w:rsid w:val="006D2B57"/>
    <w:rsid w:val="006D2B7D"/>
    <w:rsid w:val="006D2D0C"/>
    <w:rsid w:val="006D2DCC"/>
    <w:rsid w:val="006D2E14"/>
    <w:rsid w:val="006D2E79"/>
    <w:rsid w:val="006D2EAB"/>
    <w:rsid w:val="006D2EC0"/>
    <w:rsid w:val="006D2FED"/>
    <w:rsid w:val="006D30D4"/>
    <w:rsid w:val="006D3130"/>
    <w:rsid w:val="006D31DF"/>
    <w:rsid w:val="006D3377"/>
    <w:rsid w:val="006D338D"/>
    <w:rsid w:val="006D34B5"/>
    <w:rsid w:val="006D35C8"/>
    <w:rsid w:val="006D3651"/>
    <w:rsid w:val="006D3966"/>
    <w:rsid w:val="006D3A25"/>
    <w:rsid w:val="006D3B0F"/>
    <w:rsid w:val="006D3C38"/>
    <w:rsid w:val="006D3E41"/>
    <w:rsid w:val="006D3F6A"/>
    <w:rsid w:val="006D3FA2"/>
    <w:rsid w:val="006D41B0"/>
    <w:rsid w:val="006D42B7"/>
    <w:rsid w:val="006D42BA"/>
    <w:rsid w:val="006D42E9"/>
    <w:rsid w:val="006D4477"/>
    <w:rsid w:val="006D4498"/>
    <w:rsid w:val="006D452E"/>
    <w:rsid w:val="006D4594"/>
    <w:rsid w:val="006D45E0"/>
    <w:rsid w:val="006D4620"/>
    <w:rsid w:val="006D4663"/>
    <w:rsid w:val="006D47DE"/>
    <w:rsid w:val="006D4833"/>
    <w:rsid w:val="006D48B8"/>
    <w:rsid w:val="006D48C3"/>
    <w:rsid w:val="006D4C6F"/>
    <w:rsid w:val="006D4CDA"/>
    <w:rsid w:val="006D4D0E"/>
    <w:rsid w:val="006D4DF4"/>
    <w:rsid w:val="006D4E89"/>
    <w:rsid w:val="006D4E97"/>
    <w:rsid w:val="006D4ED9"/>
    <w:rsid w:val="006D5053"/>
    <w:rsid w:val="006D50BC"/>
    <w:rsid w:val="006D541C"/>
    <w:rsid w:val="006D5472"/>
    <w:rsid w:val="006D5489"/>
    <w:rsid w:val="006D5512"/>
    <w:rsid w:val="006D5564"/>
    <w:rsid w:val="006D56D3"/>
    <w:rsid w:val="006D5849"/>
    <w:rsid w:val="006D5878"/>
    <w:rsid w:val="006D5919"/>
    <w:rsid w:val="006D59F3"/>
    <w:rsid w:val="006D5A15"/>
    <w:rsid w:val="006D5A21"/>
    <w:rsid w:val="006D5AD3"/>
    <w:rsid w:val="006D5B46"/>
    <w:rsid w:val="006D5C7A"/>
    <w:rsid w:val="006D5DEF"/>
    <w:rsid w:val="006D5DFF"/>
    <w:rsid w:val="006D5E29"/>
    <w:rsid w:val="006D6055"/>
    <w:rsid w:val="006D60B0"/>
    <w:rsid w:val="006D60D2"/>
    <w:rsid w:val="006D6260"/>
    <w:rsid w:val="006D638F"/>
    <w:rsid w:val="006D66ED"/>
    <w:rsid w:val="006D66EE"/>
    <w:rsid w:val="006D66F8"/>
    <w:rsid w:val="006D670B"/>
    <w:rsid w:val="006D68BC"/>
    <w:rsid w:val="006D68E9"/>
    <w:rsid w:val="006D69C6"/>
    <w:rsid w:val="006D69D7"/>
    <w:rsid w:val="006D6B8C"/>
    <w:rsid w:val="006D6CBC"/>
    <w:rsid w:val="006D6D73"/>
    <w:rsid w:val="006D6E1E"/>
    <w:rsid w:val="006D6F72"/>
    <w:rsid w:val="006D7108"/>
    <w:rsid w:val="006D71FA"/>
    <w:rsid w:val="006D737E"/>
    <w:rsid w:val="006D7384"/>
    <w:rsid w:val="006D745D"/>
    <w:rsid w:val="006D74FD"/>
    <w:rsid w:val="006D7677"/>
    <w:rsid w:val="006D76E1"/>
    <w:rsid w:val="006D779D"/>
    <w:rsid w:val="006D7803"/>
    <w:rsid w:val="006D7813"/>
    <w:rsid w:val="006D792A"/>
    <w:rsid w:val="006D7A24"/>
    <w:rsid w:val="006D7A30"/>
    <w:rsid w:val="006D7AC1"/>
    <w:rsid w:val="006D7C13"/>
    <w:rsid w:val="006D7DA8"/>
    <w:rsid w:val="006D7EE8"/>
    <w:rsid w:val="006E01F4"/>
    <w:rsid w:val="006E02B7"/>
    <w:rsid w:val="006E034B"/>
    <w:rsid w:val="006E03C2"/>
    <w:rsid w:val="006E05ED"/>
    <w:rsid w:val="006E0658"/>
    <w:rsid w:val="006E0773"/>
    <w:rsid w:val="006E07B7"/>
    <w:rsid w:val="006E0806"/>
    <w:rsid w:val="006E08B5"/>
    <w:rsid w:val="006E0973"/>
    <w:rsid w:val="006E0999"/>
    <w:rsid w:val="006E09AB"/>
    <w:rsid w:val="006E0AF0"/>
    <w:rsid w:val="006E0B2B"/>
    <w:rsid w:val="006E0B5A"/>
    <w:rsid w:val="006E0BBC"/>
    <w:rsid w:val="006E0C83"/>
    <w:rsid w:val="006E0CFE"/>
    <w:rsid w:val="006E0E05"/>
    <w:rsid w:val="006E104A"/>
    <w:rsid w:val="006E10AD"/>
    <w:rsid w:val="006E1220"/>
    <w:rsid w:val="006E1413"/>
    <w:rsid w:val="006E16A1"/>
    <w:rsid w:val="006E1765"/>
    <w:rsid w:val="006E19EB"/>
    <w:rsid w:val="006E1A63"/>
    <w:rsid w:val="006E1A70"/>
    <w:rsid w:val="006E1B21"/>
    <w:rsid w:val="006E1B6B"/>
    <w:rsid w:val="006E1B7D"/>
    <w:rsid w:val="006E1B8D"/>
    <w:rsid w:val="006E1C9B"/>
    <w:rsid w:val="006E1CA5"/>
    <w:rsid w:val="006E1CE7"/>
    <w:rsid w:val="006E1CFA"/>
    <w:rsid w:val="006E1DC7"/>
    <w:rsid w:val="006E1F2B"/>
    <w:rsid w:val="006E212F"/>
    <w:rsid w:val="006E21CA"/>
    <w:rsid w:val="006E225F"/>
    <w:rsid w:val="006E22C4"/>
    <w:rsid w:val="006E240C"/>
    <w:rsid w:val="006E2498"/>
    <w:rsid w:val="006E25EC"/>
    <w:rsid w:val="006E260A"/>
    <w:rsid w:val="006E2744"/>
    <w:rsid w:val="006E274E"/>
    <w:rsid w:val="006E281B"/>
    <w:rsid w:val="006E28E9"/>
    <w:rsid w:val="006E2907"/>
    <w:rsid w:val="006E2A36"/>
    <w:rsid w:val="006E2A67"/>
    <w:rsid w:val="006E2AB8"/>
    <w:rsid w:val="006E2C23"/>
    <w:rsid w:val="006E2C5F"/>
    <w:rsid w:val="006E2C9F"/>
    <w:rsid w:val="006E2D48"/>
    <w:rsid w:val="006E2F9E"/>
    <w:rsid w:val="006E2FC4"/>
    <w:rsid w:val="006E2FCD"/>
    <w:rsid w:val="006E32F1"/>
    <w:rsid w:val="006E3397"/>
    <w:rsid w:val="006E33AB"/>
    <w:rsid w:val="006E3555"/>
    <w:rsid w:val="006E35E0"/>
    <w:rsid w:val="006E362F"/>
    <w:rsid w:val="006E36CB"/>
    <w:rsid w:val="006E3709"/>
    <w:rsid w:val="006E380A"/>
    <w:rsid w:val="006E3844"/>
    <w:rsid w:val="006E3864"/>
    <w:rsid w:val="006E3899"/>
    <w:rsid w:val="006E38A8"/>
    <w:rsid w:val="006E3B0D"/>
    <w:rsid w:val="006E3C10"/>
    <w:rsid w:val="006E3C3F"/>
    <w:rsid w:val="006E3D05"/>
    <w:rsid w:val="006E3D99"/>
    <w:rsid w:val="006E3E01"/>
    <w:rsid w:val="006E3E9F"/>
    <w:rsid w:val="006E3F12"/>
    <w:rsid w:val="006E4012"/>
    <w:rsid w:val="006E4142"/>
    <w:rsid w:val="006E41E1"/>
    <w:rsid w:val="006E432F"/>
    <w:rsid w:val="006E43BA"/>
    <w:rsid w:val="006E4526"/>
    <w:rsid w:val="006E46A1"/>
    <w:rsid w:val="006E4819"/>
    <w:rsid w:val="006E4840"/>
    <w:rsid w:val="006E4945"/>
    <w:rsid w:val="006E4995"/>
    <w:rsid w:val="006E49DA"/>
    <w:rsid w:val="006E4A4A"/>
    <w:rsid w:val="006E4ADC"/>
    <w:rsid w:val="006E4C83"/>
    <w:rsid w:val="006E4DA0"/>
    <w:rsid w:val="006E4ED7"/>
    <w:rsid w:val="006E503F"/>
    <w:rsid w:val="006E507A"/>
    <w:rsid w:val="006E521C"/>
    <w:rsid w:val="006E5269"/>
    <w:rsid w:val="006E5304"/>
    <w:rsid w:val="006E533F"/>
    <w:rsid w:val="006E5406"/>
    <w:rsid w:val="006E54ED"/>
    <w:rsid w:val="006E55CE"/>
    <w:rsid w:val="006E5636"/>
    <w:rsid w:val="006E566D"/>
    <w:rsid w:val="006E57D4"/>
    <w:rsid w:val="006E58E4"/>
    <w:rsid w:val="006E5AFA"/>
    <w:rsid w:val="006E5B48"/>
    <w:rsid w:val="006E5B60"/>
    <w:rsid w:val="006E5C01"/>
    <w:rsid w:val="006E5C28"/>
    <w:rsid w:val="006E5CAA"/>
    <w:rsid w:val="006E5DDB"/>
    <w:rsid w:val="006E5E0B"/>
    <w:rsid w:val="006E6027"/>
    <w:rsid w:val="006E6054"/>
    <w:rsid w:val="006E6166"/>
    <w:rsid w:val="006E61E1"/>
    <w:rsid w:val="006E6214"/>
    <w:rsid w:val="006E6274"/>
    <w:rsid w:val="006E62C4"/>
    <w:rsid w:val="006E62F3"/>
    <w:rsid w:val="006E63AB"/>
    <w:rsid w:val="006E6422"/>
    <w:rsid w:val="006E6483"/>
    <w:rsid w:val="006E65F6"/>
    <w:rsid w:val="006E6691"/>
    <w:rsid w:val="006E672D"/>
    <w:rsid w:val="006E6874"/>
    <w:rsid w:val="006E6937"/>
    <w:rsid w:val="006E6950"/>
    <w:rsid w:val="006E69D5"/>
    <w:rsid w:val="006E6A16"/>
    <w:rsid w:val="006E6A3F"/>
    <w:rsid w:val="006E6A60"/>
    <w:rsid w:val="006E6C27"/>
    <w:rsid w:val="006E6F1F"/>
    <w:rsid w:val="006E6F4E"/>
    <w:rsid w:val="006E7213"/>
    <w:rsid w:val="006E7389"/>
    <w:rsid w:val="006E74E8"/>
    <w:rsid w:val="006E758F"/>
    <w:rsid w:val="006E75BD"/>
    <w:rsid w:val="006E7666"/>
    <w:rsid w:val="006E76EE"/>
    <w:rsid w:val="006E7727"/>
    <w:rsid w:val="006E77AB"/>
    <w:rsid w:val="006E7A0C"/>
    <w:rsid w:val="006E7ADB"/>
    <w:rsid w:val="006E7AFC"/>
    <w:rsid w:val="006E7BF7"/>
    <w:rsid w:val="006E7CAE"/>
    <w:rsid w:val="006E7D01"/>
    <w:rsid w:val="006E7D1A"/>
    <w:rsid w:val="006F019D"/>
    <w:rsid w:val="006F01CA"/>
    <w:rsid w:val="006F024D"/>
    <w:rsid w:val="006F0265"/>
    <w:rsid w:val="006F0348"/>
    <w:rsid w:val="006F0383"/>
    <w:rsid w:val="006F04C6"/>
    <w:rsid w:val="006F051D"/>
    <w:rsid w:val="006F0595"/>
    <w:rsid w:val="006F0927"/>
    <w:rsid w:val="006F0949"/>
    <w:rsid w:val="006F097D"/>
    <w:rsid w:val="006F0B4E"/>
    <w:rsid w:val="006F0B9C"/>
    <w:rsid w:val="006F0E6E"/>
    <w:rsid w:val="006F0FA1"/>
    <w:rsid w:val="006F1068"/>
    <w:rsid w:val="006F1069"/>
    <w:rsid w:val="006F1151"/>
    <w:rsid w:val="006F1435"/>
    <w:rsid w:val="006F1554"/>
    <w:rsid w:val="006F1589"/>
    <w:rsid w:val="006F15F0"/>
    <w:rsid w:val="006F166A"/>
    <w:rsid w:val="006F1714"/>
    <w:rsid w:val="006F1716"/>
    <w:rsid w:val="006F18D6"/>
    <w:rsid w:val="006F1991"/>
    <w:rsid w:val="006F19AF"/>
    <w:rsid w:val="006F1C67"/>
    <w:rsid w:val="006F1D29"/>
    <w:rsid w:val="006F1DAB"/>
    <w:rsid w:val="006F1DF2"/>
    <w:rsid w:val="006F1E4C"/>
    <w:rsid w:val="006F1E94"/>
    <w:rsid w:val="006F1FFA"/>
    <w:rsid w:val="006F2057"/>
    <w:rsid w:val="006F219E"/>
    <w:rsid w:val="006F21F4"/>
    <w:rsid w:val="006F2281"/>
    <w:rsid w:val="006F2453"/>
    <w:rsid w:val="006F2463"/>
    <w:rsid w:val="006F2504"/>
    <w:rsid w:val="006F2592"/>
    <w:rsid w:val="006F25DB"/>
    <w:rsid w:val="006F2626"/>
    <w:rsid w:val="006F2751"/>
    <w:rsid w:val="006F2870"/>
    <w:rsid w:val="006F295F"/>
    <w:rsid w:val="006F2AA1"/>
    <w:rsid w:val="006F2CA9"/>
    <w:rsid w:val="006F2CB7"/>
    <w:rsid w:val="006F2CDA"/>
    <w:rsid w:val="006F2DA6"/>
    <w:rsid w:val="006F30FF"/>
    <w:rsid w:val="006F3165"/>
    <w:rsid w:val="006F3177"/>
    <w:rsid w:val="006F31D7"/>
    <w:rsid w:val="006F32B5"/>
    <w:rsid w:val="006F330D"/>
    <w:rsid w:val="006F3411"/>
    <w:rsid w:val="006F3535"/>
    <w:rsid w:val="006F35CA"/>
    <w:rsid w:val="006F3784"/>
    <w:rsid w:val="006F3AC0"/>
    <w:rsid w:val="006F3C61"/>
    <w:rsid w:val="006F3D06"/>
    <w:rsid w:val="006F3E3F"/>
    <w:rsid w:val="006F3FA8"/>
    <w:rsid w:val="006F3FC5"/>
    <w:rsid w:val="006F3FEE"/>
    <w:rsid w:val="006F417F"/>
    <w:rsid w:val="006F4531"/>
    <w:rsid w:val="006F45FB"/>
    <w:rsid w:val="006F4655"/>
    <w:rsid w:val="006F4857"/>
    <w:rsid w:val="006F487D"/>
    <w:rsid w:val="006F4A23"/>
    <w:rsid w:val="006F4A2C"/>
    <w:rsid w:val="006F4A69"/>
    <w:rsid w:val="006F4E14"/>
    <w:rsid w:val="006F4E61"/>
    <w:rsid w:val="006F4E8C"/>
    <w:rsid w:val="006F4F0F"/>
    <w:rsid w:val="006F4F74"/>
    <w:rsid w:val="006F518C"/>
    <w:rsid w:val="006F521B"/>
    <w:rsid w:val="006F5239"/>
    <w:rsid w:val="006F525E"/>
    <w:rsid w:val="006F5276"/>
    <w:rsid w:val="006F5284"/>
    <w:rsid w:val="006F5365"/>
    <w:rsid w:val="006F5425"/>
    <w:rsid w:val="006F5690"/>
    <w:rsid w:val="006F575D"/>
    <w:rsid w:val="006F5864"/>
    <w:rsid w:val="006F58DC"/>
    <w:rsid w:val="006F58DE"/>
    <w:rsid w:val="006F58E2"/>
    <w:rsid w:val="006F58EA"/>
    <w:rsid w:val="006F596B"/>
    <w:rsid w:val="006F5BB7"/>
    <w:rsid w:val="006F5D02"/>
    <w:rsid w:val="006F5D49"/>
    <w:rsid w:val="006F5E6B"/>
    <w:rsid w:val="006F5EA5"/>
    <w:rsid w:val="006F6068"/>
    <w:rsid w:val="006F6089"/>
    <w:rsid w:val="006F60DF"/>
    <w:rsid w:val="006F615D"/>
    <w:rsid w:val="006F61EF"/>
    <w:rsid w:val="006F654B"/>
    <w:rsid w:val="006F656A"/>
    <w:rsid w:val="006F658A"/>
    <w:rsid w:val="006F6630"/>
    <w:rsid w:val="006F66BE"/>
    <w:rsid w:val="006F6938"/>
    <w:rsid w:val="006F6AA8"/>
    <w:rsid w:val="006F6B1B"/>
    <w:rsid w:val="006F6B4D"/>
    <w:rsid w:val="006F6C0C"/>
    <w:rsid w:val="006F6CD0"/>
    <w:rsid w:val="006F7135"/>
    <w:rsid w:val="006F71A7"/>
    <w:rsid w:val="006F71C4"/>
    <w:rsid w:val="006F7346"/>
    <w:rsid w:val="006F73EB"/>
    <w:rsid w:val="006F740C"/>
    <w:rsid w:val="006F74E4"/>
    <w:rsid w:val="006F76E4"/>
    <w:rsid w:val="006F79BB"/>
    <w:rsid w:val="006F7A1E"/>
    <w:rsid w:val="006F7A43"/>
    <w:rsid w:val="006F7C06"/>
    <w:rsid w:val="006F7C22"/>
    <w:rsid w:val="006F7DB0"/>
    <w:rsid w:val="006F7E50"/>
    <w:rsid w:val="006F7F32"/>
    <w:rsid w:val="00700168"/>
    <w:rsid w:val="007001DA"/>
    <w:rsid w:val="00700391"/>
    <w:rsid w:val="007003FA"/>
    <w:rsid w:val="007004BF"/>
    <w:rsid w:val="0070087D"/>
    <w:rsid w:val="007008E7"/>
    <w:rsid w:val="007009E3"/>
    <w:rsid w:val="00700A79"/>
    <w:rsid w:val="00700B16"/>
    <w:rsid w:val="00700B1F"/>
    <w:rsid w:val="00700B5D"/>
    <w:rsid w:val="00700C3B"/>
    <w:rsid w:val="00700D57"/>
    <w:rsid w:val="00700D98"/>
    <w:rsid w:val="00700F0E"/>
    <w:rsid w:val="00700F52"/>
    <w:rsid w:val="00700FB2"/>
    <w:rsid w:val="0070100D"/>
    <w:rsid w:val="00701010"/>
    <w:rsid w:val="00701119"/>
    <w:rsid w:val="0070113F"/>
    <w:rsid w:val="00701288"/>
    <w:rsid w:val="007013AC"/>
    <w:rsid w:val="00701493"/>
    <w:rsid w:val="0070163C"/>
    <w:rsid w:val="00701694"/>
    <w:rsid w:val="007016EC"/>
    <w:rsid w:val="0070170B"/>
    <w:rsid w:val="007017E1"/>
    <w:rsid w:val="007017E7"/>
    <w:rsid w:val="007018E0"/>
    <w:rsid w:val="007019B2"/>
    <w:rsid w:val="00701C25"/>
    <w:rsid w:val="00701C3E"/>
    <w:rsid w:val="00701D43"/>
    <w:rsid w:val="00701ED2"/>
    <w:rsid w:val="00701F2E"/>
    <w:rsid w:val="007020AF"/>
    <w:rsid w:val="00702237"/>
    <w:rsid w:val="00702257"/>
    <w:rsid w:val="007024B9"/>
    <w:rsid w:val="007024F8"/>
    <w:rsid w:val="007026AC"/>
    <w:rsid w:val="007026E6"/>
    <w:rsid w:val="007027DE"/>
    <w:rsid w:val="00702802"/>
    <w:rsid w:val="00702A41"/>
    <w:rsid w:val="00702C18"/>
    <w:rsid w:val="00702C8B"/>
    <w:rsid w:val="00702CC0"/>
    <w:rsid w:val="00702EA8"/>
    <w:rsid w:val="00702F2C"/>
    <w:rsid w:val="00703049"/>
    <w:rsid w:val="00703057"/>
    <w:rsid w:val="0070309F"/>
    <w:rsid w:val="007030C0"/>
    <w:rsid w:val="007030CA"/>
    <w:rsid w:val="007031C0"/>
    <w:rsid w:val="00703496"/>
    <w:rsid w:val="0070356E"/>
    <w:rsid w:val="007035A8"/>
    <w:rsid w:val="0070378B"/>
    <w:rsid w:val="00703CAB"/>
    <w:rsid w:val="00703D96"/>
    <w:rsid w:val="00703DB5"/>
    <w:rsid w:val="00703E9B"/>
    <w:rsid w:val="00703FFA"/>
    <w:rsid w:val="00704044"/>
    <w:rsid w:val="00704156"/>
    <w:rsid w:val="0070415A"/>
    <w:rsid w:val="007041C7"/>
    <w:rsid w:val="007042A1"/>
    <w:rsid w:val="007042C4"/>
    <w:rsid w:val="007042F2"/>
    <w:rsid w:val="0070430B"/>
    <w:rsid w:val="0070432E"/>
    <w:rsid w:val="0070444D"/>
    <w:rsid w:val="007045E6"/>
    <w:rsid w:val="007047BC"/>
    <w:rsid w:val="007048A7"/>
    <w:rsid w:val="007048F0"/>
    <w:rsid w:val="00704A70"/>
    <w:rsid w:val="00704C29"/>
    <w:rsid w:val="00704C30"/>
    <w:rsid w:val="00704C45"/>
    <w:rsid w:val="00704D83"/>
    <w:rsid w:val="0070517E"/>
    <w:rsid w:val="00705240"/>
    <w:rsid w:val="007052CD"/>
    <w:rsid w:val="00705370"/>
    <w:rsid w:val="007053D0"/>
    <w:rsid w:val="007053DC"/>
    <w:rsid w:val="007054F0"/>
    <w:rsid w:val="00705563"/>
    <w:rsid w:val="00705603"/>
    <w:rsid w:val="00705619"/>
    <w:rsid w:val="00705868"/>
    <w:rsid w:val="007059E7"/>
    <w:rsid w:val="00705A0C"/>
    <w:rsid w:val="00705A86"/>
    <w:rsid w:val="00705AD6"/>
    <w:rsid w:val="00705B28"/>
    <w:rsid w:val="00705B9B"/>
    <w:rsid w:val="00705C0F"/>
    <w:rsid w:val="00705CD3"/>
    <w:rsid w:val="00705D83"/>
    <w:rsid w:val="00705DC7"/>
    <w:rsid w:val="00705F08"/>
    <w:rsid w:val="00705F9F"/>
    <w:rsid w:val="00705FD8"/>
    <w:rsid w:val="00706083"/>
    <w:rsid w:val="007062ED"/>
    <w:rsid w:val="0070635D"/>
    <w:rsid w:val="007063D0"/>
    <w:rsid w:val="00706474"/>
    <w:rsid w:val="007064F0"/>
    <w:rsid w:val="00706518"/>
    <w:rsid w:val="007065F4"/>
    <w:rsid w:val="007067FA"/>
    <w:rsid w:val="007068C8"/>
    <w:rsid w:val="007069BD"/>
    <w:rsid w:val="00706A29"/>
    <w:rsid w:val="00706B89"/>
    <w:rsid w:val="00706C03"/>
    <w:rsid w:val="00706E90"/>
    <w:rsid w:val="0070743B"/>
    <w:rsid w:val="007074B9"/>
    <w:rsid w:val="007074C9"/>
    <w:rsid w:val="00707526"/>
    <w:rsid w:val="00707539"/>
    <w:rsid w:val="007076FB"/>
    <w:rsid w:val="0070783E"/>
    <w:rsid w:val="0070795F"/>
    <w:rsid w:val="00707B33"/>
    <w:rsid w:val="00707B4F"/>
    <w:rsid w:val="00707B59"/>
    <w:rsid w:val="00707D0D"/>
    <w:rsid w:val="00707D6E"/>
    <w:rsid w:val="00707DF6"/>
    <w:rsid w:val="007100CD"/>
    <w:rsid w:val="007101CD"/>
    <w:rsid w:val="00710209"/>
    <w:rsid w:val="00710316"/>
    <w:rsid w:val="0071033F"/>
    <w:rsid w:val="007103AB"/>
    <w:rsid w:val="00710485"/>
    <w:rsid w:val="00710501"/>
    <w:rsid w:val="00710607"/>
    <w:rsid w:val="007107D4"/>
    <w:rsid w:val="00710818"/>
    <w:rsid w:val="007109EB"/>
    <w:rsid w:val="00710A8B"/>
    <w:rsid w:val="00710C28"/>
    <w:rsid w:val="00710C80"/>
    <w:rsid w:val="00710C9A"/>
    <w:rsid w:val="00710CD1"/>
    <w:rsid w:val="00710D7D"/>
    <w:rsid w:val="00710E7E"/>
    <w:rsid w:val="00711035"/>
    <w:rsid w:val="00711085"/>
    <w:rsid w:val="007111F3"/>
    <w:rsid w:val="007113BE"/>
    <w:rsid w:val="00711502"/>
    <w:rsid w:val="00711632"/>
    <w:rsid w:val="007116AD"/>
    <w:rsid w:val="0071171C"/>
    <w:rsid w:val="00711747"/>
    <w:rsid w:val="00711792"/>
    <w:rsid w:val="00711A08"/>
    <w:rsid w:val="00711D9F"/>
    <w:rsid w:val="00711DCB"/>
    <w:rsid w:val="00711E03"/>
    <w:rsid w:val="00711F22"/>
    <w:rsid w:val="00711F3E"/>
    <w:rsid w:val="007120AA"/>
    <w:rsid w:val="00712147"/>
    <w:rsid w:val="00712197"/>
    <w:rsid w:val="00712236"/>
    <w:rsid w:val="007122AD"/>
    <w:rsid w:val="007122DB"/>
    <w:rsid w:val="00712387"/>
    <w:rsid w:val="007123AF"/>
    <w:rsid w:val="00712454"/>
    <w:rsid w:val="00712464"/>
    <w:rsid w:val="007124B5"/>
    <w:rsid w:val="00712526"/>
    <w:rsid w:val="00712543"/>
    <w:rsid w:val="00712562"/>
    <w:rsid w:val="0071263D"/>
    <w:rsid w:val="007126B7"/>
    <w:rsid w:val="0071277A"/>
    <w:rsid w:val="007127EC"/>
    <w:rsid w:val="00712839"/>
    <w:rsid w:val="0071284E"/>
    <w:rsid w:val="00712A6B"/>
    <w:rsid w:val="00712A8E"/>
    <w:rsid w:val="00712C2F"/>
    <w:rsid w:val="00712D00"/>
    <w:rsid w:val="00712DE6"/>
    <w:rsid w:val="00712FD1"/>
    <w:rsid w:val="0071308C"/>
    <w:rsid w:val="007131B9"/>
    <w:rsid w:val="00713234"/>
    <w:rsid w:val="007132B2"/>
    <w:rsid w:val="0071337F"/>
    <w:rsid w:val="00713432"/>
    <w:rsid w:val="00713530"/>
    <w:rsid w:val="00713565"/>
    <w:rsid w:val="007135FE"/>
    <w:rsid w:val="00713658"/>
    <w:rsid w:val="00713742"/>
    <w:rsid w:val="0071379D"/>
    <w:rsid w:val="00713909"/>
    <w:rsid w:val="0071398D"/>
    <w:rsid w:val="007139D3"/>
    <w:rsid w:val="00713A4C"/>
    <w:rsid w:val="00713A56"/>
    <w:rsid w:val="00713B0B"/>
    <w:rsid w:val="00713C3F"/>
    <w:rsid w:val="00713D3A"/>
    <w:rsid w:val="00713E57"/>
    <w:rsid w:val="00713ED6"/>
    <w:rsid w:val="007140AA"/>
    <w:rsid w:val="007140FA"/>
    <w:rsid w:val="0071414E"/>
    <w:rsid w:val="0071426D"/>
    <w:rsid w:val="007142CC"/>
    <w:rsid w:val="0071437F"/>
    <w:rsid w:val="0071441F"/>
    <w:rsid w:val="00714586"/>
    <w:rsid w:val="007147BD"/>
    <w:rsid w:val="0071486B"/>
    <w:rsid w:val="00714893"/>
    <w:rsid w:val="007148AC"/>
    <w:rsid w:val="00714910"/>
    <w:rsid w:val="007149DC"/>
    <w:rsid w:val="00714B1A"/>
    <w:rsid w:val="00714B9F"/>
    <w:rsid w:val="00714BB5"/>
    <w:rsid w:val="00714C43"/>
    <w:rsid w:val="00714C8B"/>
    <w:rsid w:val="00714CE5"/>
    <w:rsid w:val="00714CF9"/>
    <w:rsid w:val="00714E38"/>
    <w:rsid w:val="00714EC4"/>
    <w:rsid w:val="00714F30"/>
    <w:rsid w:val="00714F89"/>
    <w:rsid w:val="00714F97"/>
    <w:rsid w:val="007150A0"/>
    <w:rsid w:val="007150EC"/>
    <w:rsid w:val="00715105"/>
    <w:rsid w:val="00715135"/>
    <w:rsid w:val="0071535C"/>
    <w:rsid w:val="00715387"/>
    <w:rsid w:val="007154B0"/>
    <w:rsid w:val="00715583"/>
    <w:rsid w:val="0071560A"/>
    <w:rsid w:val="00715641"/>
    <w:rsid w:val="00715754"/>
    <w:rsid w:val="00715772"/>
    <w:rsid w:val="00715929"/>
    <w:rsid w:val="00715A7C"/>
    <w:rsid w:val="00715B81"/>
    <w:rsid w:val="00715B8F"/>
    <w:rsid w:val="00715BB6"/>
    <w:rsid w:val="00715C19"/>
    <w:rsid w:val="00715DBB"/>
    <w:rsid w:val="00715E1C"/>
    <w:rsid w:val="00715E34"/>
    <w:rsid w:val="00715F86"/>
    <w:rsid w:val="0071610E"/>
    <w:rsid w:val="007162C5"/>
    <w:rsid w:val="00716370"/>
    <w:rsid w:val="00716393"/>
    <w:rsid w:val="00716417"/>
    <w:rsid w:val="0071650E"/>
    <w:rsid w:val="00716647"/>
    <w:rsid w:val="0071667D"/>
    <w:rsid w:val="007166B7"/>
    <w:rsid w:val="0071675B"/>
    <w:rsid w:val="00716808"/>
    <w:rsid w:val="0071683B"/>
    <w:rsid w:val="0071692F"/>
    <w:rsid w:val="00716A7C"/>
    <w:rsid w:val="00716B8D"/>
    <w:rsid w:val="00716DC8"/>
    <w:rsid w:val="00716DD7"/>
    <w:rsid w:val="00716F6E"/>
    <w:rsid w:val="00716FD8"/>
    <w:rsid w:val="00717014"/>
    <w:rsid w:val="0071705B"/>
    <w:rsid w:val="007170ED"/>
    <w:rsid w:val="00717155"/>
    <w:rsid w:val="0071715C"/>
    <w:rsid w:val="00717260"/>
    <w:rsid w:val="007172B3"/>
    <w:rsid w:val="007172DB"/>
    <w:rsid w:val="00717422"/>
    <w:rsid w:val="00717452"/>
    <w:rsid w:val="0071749F"/>
    <w:rsid w:val="0071759A"/>
    <w:rsid w:val="00717612"/>
    <w:rsid w:val="00717658"/>
    <w:rsid w:val="0071779D"/>
    <w:rsid w:val="00717983"/>
    <w:rsid w:val="00717ABA"/>
    <w:rsid w:val="00717C07"/>
    <w:rsid w:val="00717DAC"/>
    <w:rsid w:val="00717E30"/>
    <w:rsid w:val="00717E78"/>
    <w:rsid w:val="0072005C"/>
    <w:rsid w:val="00720214"/>
    <w:rsid w:val="0072025E"/>
    <w:rsid w:val="00720274"/>
    <w:rsid w:val="0072028C"/>
    <w:rsid w:val="00720313"/>
    <w:rsid w:val="007204E9"/>
    <w:rsid w:val="007207AF"/>
    <w:rsid w:val="0072094C"/>
    <w:rsid w:val="007209F1"/>
    <w:rsid w:val="00720B44"/>
    <w:rsid w:val="00720BA1"/>
    <w:rsid w:val="00720C1D"/>
    <w:rsid w:val="00720C4D"/>
    <w:rsid w:val="00720CB0"/>
    <w:rsid w:val="00720CBC"/>
    <w:rsid w:val="00720E83"/>
    <w:rsid w:val="00720EAA"/>
    <w:rsid w:val="00720F9F"/>
    <w:rsid w:val="00720FBA"/>
    <w:rsid w:val="00721163"/>
    <w:rsid w:val="007212A6"/>
    <w:rsid w:val="007213D7"/>
    <w:rsid w:val="00721545"/>
    <w:rsid w:val="00721709"/>
    <w:rsid w:val="0072175D"/>
    <w:rsid w:val="0072189F"/>
    <w:rsid w:val="007218FB"/>
    <w:rsid w:val="00721AC0"/>
    <w:rsid w:val="00721AE9"/>
    <w:rsid w:val="00721B25"/>
    <w:rsid w:val="00721B64"/>
    <w:rsid w:val="00721B84"/>
    <w:rsid w:val="00721C13"/>
    <w:rsid w:val="00721C80"/>
    <w:rsid w:val="00721F15"/>
    <w:rsid w:val="00721FC7"/>
    <w:rsid w:val="0072202F"/>
    <w:rsid w:val="007221BB"/>
    <w:rsid w:val="00722277"/>
    <w:rsid w:val="00722310"/>
    <w:rsid w:val="00722548"/>
    <w:rsid w:val="0072256A"/>
    <w:rsid w:val="007225DA"/>
    <w:rsid w:val="00722611"/>
    <w:rsid w:val="007226F9"/>
    <w:rsid w:val="00722792"/>
    <w:rsid w:val="00722809"/>
    <w:rsid w:val="00722851"/>
    <w:rsid w:val="00722887"/>
    <w:rsid w:val="007228C6"/>
    <w:rsid w:val="00722AB3"/>
    <w:rsid w:val="00722DD4"/>
    <w:rsid w:val="00722E30"/>
    <w:rsid w:val="0072300A"/>
    <w:rsid w:val="007230A3"/>
    <w:rsid w:val="0072313A"/>
    <w:rsid w:val="007232CD"/>
    <w:rsid w:val="007232FC"/>
    <w:rsid w:val="007234E8"/>
    <w:rsid w:val="007235FD"/>
    <w:rsid w:val="00723629"/>
    <w:rsid w:val="0072383C"/>
    <w:rsid w:val="00723893"/>
    <w:rsid w:val="007238DB"/>
    <w:rsid w:val="007239DF"/>
    <w:rsid w:val="00723A1D"/>
    <w:rsid w:val="00723B88"/>
    <w:rsid w:val="00723C44"/>
    <w:rsid w:val="00723D23"/>
    <w:rsid w:val="00723DD2"/>
    <w:rsid w:val="0072414E"/>
    <w:rsid w:val="0072426D"/>
    <w:rsid w:val="00724288"/>
    <w:rsid w:val="007242D6"/>
    <w:rsid w:val="007242F6"/>
    <w:rsid w:val="0072430E"/>
    <w:rsid w:val="0072437C"/>
    <w:rsid w:val="007243B9"/>
    <w:rsid w:val="007243F4"/>
    <w:rsid w:val="0072445B"/>
    <w:rsid w:val="00724482"/>
    <w:rsid w:val="007244D9"/>
    <w:rsid w:val="00724575"/>
    <w:rsid w:val="00724601"/>
    <w:rsid w:val="007246C4"/>
    <w:rsid w:val="00724942"/>
    <w:rsid w:val="007249CC"/>
    <w:rsid w:val="007249D1"/>
    <w:rsid w:val="00724A04"/>
    <w:rsid w:val="00724A0B"/>
    <w:rsid w:val="00724A79"/>
    <w:rsid w:val="00724B86"/>
    <w:rsid w:val="00724C7C"/>
    <w:rsid w:val="00724EEE"/>
    <w:rsid w:val="00724EF2"/>
    <w:rsid w:val="00724FF2"/>
    <w:rsid w:val="00725105"/>
    <w:rsid w:val="00725186"/>
    <w:rsid w:val="00725279"/>
    <w:rsid w:val="007252C0"/>
    <w:rsid w:val="007252F1"/>
    <w:rsid w:val="00725344"/>
    <w:rsid w:val="00725389"/>
    <w:rsid w:val="00725549"/>
    <w:rsid w:val="00725583"/>
    <w:rsid w:val="007255B3"/>
    <w:rsid w:val="00725655"/>
    <w:rsid w:val="00725691"/>
    <w:rsid w:val="0072571D"/>
    <w:rsid w:val="00725729"/>
    <w:rsid w:val="0072588D"/>
    <w:rsid w:val="007258CD"/>
    <w:rsid w:val="00725A66"/>
    <w:rsid w:val="00725B20"/>
    <w:rsid w:val="00725BF0"/>
    <w:rsid w:val="00725C76"/>
    <w:rsid w:val="00725F29"/>
    <w:rsid w:val="00726103"/>
    <w:rsid w:val="00726171"/>
    <w:rsid w:val="0072623C"/>
    <w:rsid w:val="00726243"/>
    <w:rsid w:val="007264E9"/>
    <w:rsid w:val="007265FE"/>
    <w:rsid w:val="00726676"/>
    <w:rsid w:val="00726832"/>
    <w:rsid w:val="00726836"/>
    <w:rsid w:val="007268C9"/>
    <w:rsid w:val="007268DE"/>
    <w:rsid w:val="007269A1"/>
    <w:rsid w:val="00726AC9"/>
    <w:rsid w:val="00726BB8"/>
    <w:rsid w:val="00726E1C"/>
    <w:rsid w:val="00726E7E"/>
    <w:rsid w:val="00726E83"/>
    <w:rsid w:val="00726EED"/>
    <w:rsid w:val="00726F5D"/>
    <w:rsid w:val="00726F85"/>
    <w:rsid w:val="00727046"/>
    <w:rsid w:val="0072704B"/>
    <w:rsid w:val="00727063"/>
    <w:rsid w:val="007271E5"/>
    <w:rsid w:val="00727405"/>
    <w:rsid w:val="0072740A"/>
    <w:rsid w:val="0072784A"/>
    <w:rsid w:val="00727936"/>
    <w:rsid w:val="00727A9A"/>
    <w:rsid w:val="00727AE9"/>
    <w:rsid w:val="00727C94"/>
    <w:rsid w:val="00727D26"/>
    <w:rsid w:val="00727E87"/>
    <w:rsid w:val="00727F89"/>
    <w:rsid w:val="00730245"/>
    <w:rsid w:val="007302D7"/>
    <w:rsid w:val="0073033E"/>
    <w:rsid w:val="0073038F"/>
    <w:rsid w:val="00730539"/>
    <w:rsid w:val="00730805"/>
    <w:rsid w:val="00730863"/>
    <w:rsid w:val="00730946"/>
    <w:rsid w:val="0073094E"/>
    <w:rsid w:val="00730A6B"/>
    <w:rsid w:val="00730ACA"/>
    <w:rsid w:val="00730CA8"/>
    <w:rsid w:val="00730CBC"/>
    <w:rsid w:val="00730DCC"/>
    <w:rsid w:val="00730EFC"/>
    <w:rsid w:val="00730F0D"/>
    <w:rsid w:val="0073106E"/>
    <w:rsid w:val="0073132F"/>
    <w:rsid w:val="007313B3"/>
    <w:rsid w:val="007313EC"/>
    <w:rsid w:val="0073142E"/>
    <w:rsid w:val="007315CE"/>
    <w:rsid w:val="007316B2"/>
    <w:rsid w:val="0073170C"/>
    <w:rsid w:val="00731A41"/>
    <w:rsid w:val="00731A6E"/>
    <w:rsid w:val="00731A91"/>
    <w:rsid w:val="00731B11"/>
    <w:rsid w:val="00731B4D"/>
    <w:rsid w:val="00731BFC"/>
    <w:rsid w:val="00731DB2"/>
    <w:rsid w:val="00731DFA"/>
    <w:rsid w:val="00731EB6"/>
    <w:rsid w:val="00731EBD"/>
    <w:rsid w:val="00731F7D"/>
    <w:rsid w:val="00731FCB"/>
    <w:rsid w:val="007322CC"/>
    <w:rsid w:val="00732645"/>
    <w:rsid w:val="0073266E"/>
    <w:rsid w:val="007327A8"/>
    <w:rsid w:val="00732801"/>
    <w:rsid w:val="0073282D"/>
    <w:rsid w:val="007329AA"/>
    <w:rsid w:val="007329B7"/>
    <w:rsid w:val="00732A08"/>
    <w:rsid w:val="00732B59"/>
    <w:rsid w:val="00732BBE"/>
    <w:rsid w:val="00732C3E"/>
    <w:rsid w:val="00732C51"/>
    <w:rsid w:val="00732D1F"/>
    <w:rsid w:val="00732E42"/>
    <w:rsid w:val="0073304F"/>
    <w:rsid w:val="00733052"/>
    <w:rsid w:val="0073315D"/>
    <w:rsid w:val="007331C7"/>
    <w:rsid w:val="007332D1"/>
    <w:rsid w:val="00733312"/>
    <w:rsid w:val="0073338B"/>
    <w:rsid w:val="00733525"/>
    <w:rsid w:val="007336C6"/>
    <w:rsid w:val="0073376F"/>
    <w:rsid w:val="00733780"/>
    <w:rsid w:val="007339BE"/>
    <w:rsid w:val="00733D10"/>
    <w:rsid w:val="00733DBE"/>
    <w:rsid w:val="00733F19"/>
    <w:rsid w:val="007340CF"/>
    <w:rsid w:val="007341ED"/>
    <w:rsid w:val="00734218"/>
    <w:rsid w:val="0073427E"/>
    <w:rsid w:val="007342E2"/>
    <w:rsid w:val="00734319"/>
    <w:rsid w:val="0073446A"/>
    <w:rsid w:val="007344B1"/>
    <w:rsid w:val="007344C6"/>
    <w:rsid w:val="007344EA"/>
    <w:rsid w:val="00734581"/>
    <w:rsid w:val="00734635"/>
    <w:rsid w:val="0073463B"/>
    <w:rsid w:val="007346D5"/>
    <w:rsid w:val="0073475C"/>
    <w:rsid w:val="00734778"/>
    <w:rsid w:val="00734B63"/>
    <w:rsid w:val="00734C29"/>
    <w:rsid w:val="00734CF5"/>
    <w:rsid w:val="00734D43"/>
    <w:rsid w:val="00734DAD"/>
    <w:rsid w:val="0073514A"/>
    <w:rsid w:val="0073530E"/>
    <w:rsid w:val="00735355"/>
    <w:rsid w:val="00735422"/>
    <w:rsid w:val="00735616"/>
    <w:rsid w:val="0073580F"/>
    <w:rsid w:val="007358D9"/>
    <w:rsid w:val="007359E2"/>
    <w:rsid w:val="00735A4A"/>
    <w:rsid w:val="00735C7F"/>
    <w:rsid w:val="00735F27"/>
    <w:rsid w:val="0073606B"/>
    <w:rsid w:val="007360D2"/>
    <w:rsid w:val="007360ED"/>
    <w:rsid w:val="007361AA"/>
    <w:rsid w:val="00736299"/>
    <w:rsid w:val="007362C3"/>
    <w:rsid w:val="007363B2"/>
    <w:rsid w:val="007365A7"/>
    <w:rsid w:val="00736629"/>
    <w:rsid w:val="00736741"/>
    <w:rsid w:val="00736891"/>
    <w:rsid w:val="00736954"/>
    <w:rsid w:val="00736A76"/>
    <w:rsid w:val="00736B51"/>
    <w:rsid w:val="00736BE6"/>
    <w:rsid w:val="00736C9F"/>
    <w:rsid w:val="00736CE1"/>
    <w:rsid w:val="00736D5A"/>
    <w:rsid w:val="00736D5C"/>
    <w:rsid w:val="00736FA0"/>
    <w:rsid w:val="007370AA"/>
    <w:rsid w:val="007372EC"/>
    <w:rsid w:val="00737454"/>
    <w:rsid w:val="00737519"/>
    <w:rsid w:val="00737723"/>
    <w:rsid w:val="00737806"/>
    <w:rsid w:val="0073788F"/>
    <w:rsid w:val="007378CE"/>
    <w:rsid w:val="007378D0"/>
    <w:rsid w:val="00737990"/>
    <w:rsid w:val="00737A04"/>
    <w:rsid w:val="00737A1B"/>
    <w:rsid w:val="00737A8A"/>
    <w:rsid w:val="00737AAE"/>
    <w:rsid w:val="00737AC5"/>
    <w:rsid w:val="00737AEA"/>
    <w:rsid w:val="00737B9F"/>
    <w:rsid w:val="00737BC1"/>
    <w:rsid w:val="00737BF0"/>
    <w:rsid w:val="00737D46"/>
    <w:rsid w:val="00737E96"/>
    <w:rsid w:val="00737E9E"/>
    <w:rsid w:val="00737F9C"/>
    <w:rsid w:val="00737FFC"/>
    <w:rsid w:val="00740034"/>
    <w:rsid w:val="007400E3"/>
    <w:rsid w:val="007402B7"/>
    <w:rsid w:val="007402BE"/>
    <w:rsid w:val="00740368"/>
    <w:rsid w:val="00740374"/>
    <w:rsid w:val="00740392"/>
    <w:rsid w:val="00740503"/>
    <w:rsid w:val="00740666"/>
    <w:rsid w:val="007406C3"/>
    <w:rsid w:val="00740892"/>
    <w:rsid w:val="00740896"/>
    <w:rsid w:val="00740912"/>
    <w:rsid w:val="00740AE9"/>
    <w:rsid w:val="00740B2A"/>
    <w:rsid w:val="00740BDC"/>
    <w:rsid w:val="00740E0F"/>
    <w:rsid w:val="00740EB0"/>
    <w:rsid w:val="00740EBB"/>
    <w:rsid w:val="007410B5"/>
    <w:rsid w:val="007410C9"/>
    <w:rsid w:val="00741144"/>
    <w:rsid w:val="007413BC"/>
    <w:rsid w:val="00741C28"/>
    <w:rsid w:val="00741C93"/>
    <w:rsid w:val="00741CC6"/>
    <w:rsid w:val="0074239C"/>
    <w:rsid w:val="00742439"/>
    <w:rsid w:val="007425AA"/>
    <w:rsid w:val="007427BF"/>
    <w:rsid w:val="00742900"/>
    <w:rsid w:val="0074292A"/>
    <w:rsid w:val="0074297E"/>
    <w:rsid w:val="007429F6"/>
    <w:rsid w:val="00742AEC"/>
    <w:rsid w:val="00742B61"/>
    <w:rsid w:val="00742C43"/>
    <w:rsid w:val="00742DD3"/>
    <w:rsid w:val="00742E1B"/>
    <w:rsid w:val="00742F00"/>
    <w:rsid w:val="00742F91"/>
    <w:rsid w:val="00743384"/>
    <w:rsid w:val="00743427"/>
    <w:rsid w:val="007434E5"/>
    <w:rsid w:val="007434F8"/>
    <w:rsid w:val="007434F9"/>
    <w:rsid w:val="007437D7"/>
    <w:rsid w:val="007438E0"/>
    <w:rsid w:val="00743938"/>
    <w:rsid w:val="0074393F"/>
    <w:rsid w:val="007439CE"/>
    <w:rsid w:val="00743BF0"/>
    <w:rsid w:val="00743BF6"/>
    <w:rsid w:val="00743D0F"/>
    <w:rsid w:val="00743DD1"/>
    <w:rsid w:val="00743E78"/>
    <w:rsid w:val="00744170"/>
    <w:rsid w:val="00744174"/>
    <w:rsid w:val="00744199"/>
    <w:rsid w:val="0074426B"/>
    <w:rsid w:val="00744346"/>
    <w:rsid w:val="00744378"/>
    <w:rsid w:val="00744387"/>
    <w:rsid w:val="00744393"/>
    <w:rsid w:val="00744675"/>
    <w:rsid w:val="00744791"/>
    <w:rsid w:val="007447EA"/>
    <w:rsid w:val="0074485D"/>
    <w:rsid w:val="0074487B"/>
    <w:rsid w:val="007448C0"/>
    <w:rsid w:val="00744B61"/>
    <w:rsid w:val="00744BAE"/>
    <w:rsid w:val="00744C00"/>
    <w:rsid w:val="00744C6F"/>
    <w:rsid w:val="00744DEA"/>
    <w:rsid w:val="00744E97"/>
    <w:rsid w:val="00744F77"/>
    <w:rsid w:val="00744FD1"/>
    <w:rsid w:val="00744FEF"/>
    <w:rsid w:val="0074505C"/>
    <w:rsid w:val="007450AE"/>
    <w:rsid w:val="007450B5"/>
    <w:rsid w:val="007452AC"/>
    <w:rsid w:val="00745326"/>
    <w:rsid w:val="0074536F"/>
    <w:rsid w:val="007453A1"/>
    <w:rsid w:val="00745558"/>
    <w:rsid w:val="0074556E"/>
    <w:rsid w:val="0074565E"/>
    <w:rsid w:val="00745680"/>
    <w:rsid w:val="007456F1"/>
    <w:rsid w:val="00745740"/>
    <w:rsid w:val="00745798"/>
    <w:rsid w:val="00745830"/>
    <w:rsid w:val="00745880"/>
    <w:rsid w:val="007458D2"/>
    <w:rsid w:val="007458F3"/>
    <w:rsid w:val="00745971"/>
    <w:rsid w:val="0074599E"/>
    <w:rsid w:val="00745BD4"/>
    <w:rsid w:val="00745C5C"/>
    <w:rsid w:val="00745C7B"/>
    <w:rsid w:val="00745C88"/>
    <w:rsid w:val="00745CA5"/>
    <w:rsid w:val="00745CB2"/>
    <w:rsid w:val="00745D6B"/>
    <w:rsid w:val="00745D8D"/>
    <w:rsid w:val="00745DC2"/>
    <w:rsid w:val="00745E80"/>
    <w:rsid w:val="00745F5A"/>
    <w:rsid w:val="00745F98"/>
    <w:rsid w:val="0074602C"/>
    <w:rsid w:val="007460A5"/>
    <w:rsid w:val="007460B9"/>
    <w:rsid w:val="0074617C"/>
    <w:rsid w:val="0074624D"/>
    <w:rsid w:val="00746313"/>
    <w:rsid w:val="007463C3"/>
    <w:rsid w:val="007464DA"/>
    <w:rsid w:val="0074652F"/>
    <w:rsid w:val="00746531"/>
    <w:rsid w:val="007467F7"/>
    <w:rsid w:val="00746896"/>
    <w:rsid w:val="0074693F"/>
    <w:rsid w:val="00746992"/>
    <w:rsid w:val="00746BD9"/>
    <w:rsid w:val="00746C23"/>
    <w:rsid w:val="00746C42"/>
    <w:rsid w:val="00746D15"/>
    <w:rsid w:val="00746D43"/>
    <w:rsid w:val="00746F32"/>
    <w:rsid w:val="0074705F"/>
    <w:rsid w:val="0074706D"/>
    <w:rsid w:val="0074727D"/>
    <w:rsid w:val="007472A8"/>
    <w:rsid w:val="007472BC"/>
    <w:rsid w:val="0074735F"/>
    <w:rsid w:val="00747374"/>
    <w:rsid w:val="007473BA"/>
    <w:rsid w:val="007473E9"/>
    <w:rsid w:val="0074750B"/>
    <w:rsid w:val="00747582"/>
    <w:rsid w:val="0074766C"/>
    <w:rsid w:val="007477A3"/>
    <w:rsid w:val="00747857"/>
    <w:rsid w:val="007478A2"/>
    <w:rsid w:val="00747A49"/>
    <w:rsid w:val="00747A53"/>
    <w:rsid w:val="00747AF3"/>
    <w:rsid w:val="00747C21"/>
    <w:rsid w:val="00747C51"/>
    <w:rsid w:val="00747C5C"/>
    <w:rsid w:val="00747EB9"/>
    <w:rsid w:val="00747EC1"/>
    <w:rsid w:val="00750084"/>
    <w:rsid w:val="00750129"/>
    <w:rsid w:val="00750234"/>
    <w:rsid w:val="00750284"/>
    <w:rsid w:val="00750355"/>
    <w:rsid w:val="00750357"/>
    <w:rsid w:val="007503E1"/>
    <w:rsid w:val="00750422"/>
    <w:rsid w:val="007504D9"/>
    <w:rsid w:val="0075062A"/>
    <w:rsid w:val="00750635"/>
    <w:rsid w:val="00750661"/>
    <w:rsid w:val="00750900"/>
    <w:rsid w:val="00750984"/>
    <w:rsid w:val="00750AC7"/>
    <w:rsid w:val="00750AC9"/>
    <w:rsid w:val="00750ACA"/>
    <w:rsid w:val="00750B96"/>
    <w:rsid w:val="00750F5A"/>
    <w:rsid w:val="0075109C"/>
    <w:rsid w:val="00751342"/>
    <w:rsid w:val="007513F5"/>
    <w:rsid w:val="00751409"/>
    <w:rsid w:val="00751622"/>
    <w:rsid w:val="00751806"/>
    <w:rsid w:val="0075186C"/>
    <w:rsid w:val="007518D4"/>
    <w:rsid w:val="00751ABA"/>
    <w:rsid w:val="00751B6D"/>
    <w:rsid w:val="00751B96"/>
    <w:rsid w:val="00751BA5"/>
    <w:rsid w:val="00751D1B"/>
    <w:rsid w:val="00751D97"/>
    <w:rsid w:val="00751E13"/>
    <w:rsid w:val="00751EA7"/>
    <w:rsid w:val="00751EC6"/>
    <w:rsid w:val="00751FB7"/>
    <w:rsid w:val="00752069"/>
    <w:rsid w:val="0075207D"/>
    <w:rsid w:val="00752106"/>
    <w:rsid w:val="00752370"/>
    <w:rsid w:val="00752467"/>
    <w:rsid w:val="00752575"/>
    <w:rsid w:val="00752698"/>
    <w:rsid w:val="007529EF"/>
    <w:rsid w:val="00752A17"/>
    <w:rsid w:val="00752ABB"/>
    <w:rsid w:val="00752B0F"/>
    <w:rsid w:val="00752C50"/>
    <w:rsid w:val="00752D0B"/>
    <w:rsid w:val="00752FAD"/>
    <w:rsid w:val="00752FCD"/>
    <w:rsid w:val="007531DF"/>
    <w:rsid w:val="00753288"/>
    <w:rsid w:val="0075341A"/>
    <w:rsid w:val="0075349A"/>
    <w:rsid w:val="00753A4F"/>
    <w:rsid w:val="00753B56"/>
    <w:rsid w:val="00753BC2"/>
    <w:rsid w:val="00753C16"/>
    <w:rsid w:val="00753C71"/>
    <w:rsid w:val="00753C72"/>
    <w:rsid w:val="00753ED4"/>
    <w:rsid w:val="00753F11"/>
    <w:rsid w:val="00753F51"/>
    <w:rsid w:val="0075409C"/>
    <w:rsid w:val="007541A7"/>
    <w:rsid w:val="00754257"/>
    <w:rsid w:val="007542A9"/>
    <w:rsid w:val="00754311"/>
    <w:rsid w:val="00754363"/>
    <w:rsid w:val="00754544"/>
    <w:rsid w:val="00754558"/>
    <w:rsid w:val="00754585"/>
    <w:rsid w:val="0075469F"/>
    <w:rsid w:val="007546A5"/>
    <w:rsid w:val="007547E7"/>
    <w:rsid w:val="00754A95"/>
    <w:rsid w:val="00754B18"/>
    <w:rsid w:val="00754D5A"/>
    <w:rsid w:val="00754DAF"/>
    <w:rsid w:val="00754EAB"/>
    <w:rsid w:val="00755142"/>
    <w:rsid w:val="007552A1"/>
    <w:rsid w:val="0075530C"/>
    <w:rsid w:val="007553E4"/>
    <w:rsid w:val="0075578C"/>
    <w:rsid w:val="00755840"/>
    <w:rsid w:val="007558F6"/>
    <w:rsid w:val="00755924"/>
    <w:rsid w:val="00755AAC"/>
    <w:rsid w:val="00755C1A"/>
    <w:rsid w:val="00755D58"/>
    <w:rsid w:val="00755E9C"/>
    <w:rsid w:val="00755FE3"/>
    <w:rsid w:val="00756003"/>
    <w:rsid w:val="00756061"/>
    <w:rsid w:val="00756129"/>
    <w:rsid w:val="0075618E"/>
    <w:rsid w:val="0075657A"/>
    <w:rsid w:val="007565F6"/>
    <w:rsid w:val="00756609"/>
    <w:rsid w:val="0075694C"/>
    <w:rsid w:val="00756A2C"/>
    <w:rsid w:val="00756A9E"/>
    <w:rsid w:val="00756AFA"/>
    <w:rsid w:val="00756B31"/>
    <w:rsid w:val="00756B4D"/>
    <w:rsid w:val="00756BB7"/>
    <w:rsid w:val="00756BE2"/>
    <w:rsid w:val="00756C76"/>
    <w:rsid w:val="00756DA2"/>
    <w:rsid w:val="007570D6"/>
    <w:rsid w:val="007572E3"/>
    <w:rsid w:val="00757313"/>
    <w:rsid w:val="0075732F"/>
    <w:rsid w:val="007573AE"/>
    <w:rsid w:val="007574F8"/>
    <w:rsid w:val="007575CA"/>
    <w:rsid w:val="0075764B"/>
    <w:rsid w:val="00757654"/>
    <w:rsid w:val="007576B6"/>
    <w:rsid w:val="00757804"/>
    <w:rsid w:val="00757810"/>
    <w:rsid w:val="00757862"/>
    <w:rsid w:val="00757AAD"/>
    <w:rsid w:val="00757AE3"/>
    <w:rsid w:val="00757CF0"/>
    <w:rsid w:val="00757D07"/>
    <w:rsid w:val="00757D8F"/>
    <w:rsid w:val="00757D91"/>
    <w:rsid w:val="00757E71"/>
    <w:rsid w:val="00757EAB"/>
    <w:rsid w:val="00757F09"/>
    <w:rsid w:val="00757F5F"/>
    <w:rsid w:val="00757F7D"/>
    <w:rsid w:val="00757F96"/>
    <w:rsid w:val="00757FAA"/>
    <w:rsid w:val="00757FDE"/>
    <w:rsid w:val="0075CBE4"/>
    <w:rsid w:val="0076000E"/>
    <w:rsid w:val="00760102"/>
    <w:rsid w:val="00760340"/>
    <w:rsid w:val="007603A8"/>
    <w:rsid w:val="007604E2"/>
    <w:rsid w:val="00760521"/>
    <w:rsid w:val="00760805"/>
    <w:rsid w:val="007608E6"/>
    <w:rsid w:val="00760A59"/>
    <w:rsid w:val="00760AD7"/>
    <w:rsid w:val="00760C01"/>
    <w:rsid w:val="00760C4C"/>
    <w:rsid w:val="007611D8"/>
    <w:rsid w:val="00761293"/>
    <w:rsid w:val="0076159F"/>
    <w:rsid w:val="00761607"/>
    <w:rsid w:val="0076161B"/>
    <w:rsid w:val="0076166D"/>
    <w:rsid w:val="007617F7"/>
    <w:rsid w:val="00761841"/>
    <w:rsid w:val="00761843"/>
    <w:rsid w:val="007618DB"/>
    <w:rsid w:val="007618EA"/>
    <w:rsid w:val="00761A2B"/>
    <w:rsid w:val="00761A52"/>
    <w:rsid w:val="00761A59"/>
    <w:rsid w:val="00761AC2"/>
    <w:rsid w:val="00761B4B"/>
    <w:rsid w:val="00761B68"/>
    <w:rsid w:val="00761BED"/>
    <w:rsid w:val="00761C27"/>
    <w:rsid w:val="00761D12"/>
    <w:rsid w:val="00761E78"/>
    <w:rsid w:val="00761FAD"/>
    <w:rsid w:val="00762057"/>
    <w:rsid w:val="0076208D"/>
    <w:rsid w:val="00762237"/>
    <w:rsid w:val="007625A7"/>
    <w:rsid w:val="0076270E"/>
    <w:rsid w:val="00762847"/>
    <w:rsid w:val="00762879"/>
    <w:rsid w:val="00762932"/>
    <w:rsid w:val="00762A16"/>
    <w:rsid w:val="00762AB5"/>
    <w:rsid w:val="00762ABD"/>
    <w:rsid w:val="00762C2C"/>
    <w:rsid w:val="00762CA6"/>
    <w:rsid w:val="00762D90"/>
    <w:rsid w:val="00762EDC"/>
    <w:rsid w:val="00762FCE"/>
    <w:rsid w:val="00763026"/>
    <w:rsid w:val="0076303D"/>
    <w:rsid w:val="00763082"/>
    <w:rsid w:val="00763219"/>
    <w:rsid w:val="0076327C"/>
    <w:rsid w:val="007632C6"/>
    <w:rsid w:val="00763768"/>
    <w:rsid w:val="007637AC"/>
    <w:rsid w:val="00763A09"/>
    <w:rsid w:val="00763BE9"/>
    <w:rsid w:val="00763D42"/>
    <w:rsid w:val="00763DD9"/>
    <w:rsid w:val="00763E89"/>
    <w:rsid w:val="0076404A"/>
    <w:rsid w:val="00764094"/>
    <w:rsid w:val="0076413C"/>
    <w:rsid w:val="00764269"/>
    <w:rsid w:val="007643C6"/>
    <w:rsid w:val="00764409"/>
    <w:rsid w:val="00764546"/>
    <w:rsid w:val="0076454B"/>
    <w:rsid w:val="0076459B"/>
    <w:rsid w:val="007645D6"/>
    <w:rsid w:val="007646EF"/>
    <w:rsid w:val="00764856"/>
    <w:rsid w:val="00764894"/>
    <w:rsid w:val="0076495E"/>
    <w:rsid w:val="00764A73"/>
    <w:rsid w:val="00764AEC"/>
    <w:rsid w:val="00764B8D"/>
    <w:rsid w:val="00764BC7"/>
    <w:rsid w:val="00764C71"/>
    <w:rsid w:val="00764CF4"/>
    <w:rsid w:val="00764D26"/>
    <w:rsid w:val="00764D52"/>
    <w:rsid w:val="00764DF9"/>
    <w:rsid w:val="00764E36"/>
    <w:rsid w:val="00764EEA"/>
    <w:rsid w:val="00764F8B"/>
    <w:rsid w:val="00765024"/>
    <w:rsid w:val="00765038"/>
    <w:rsid w:val="007650D2"/>
    <w:rsid w:val="007651A5"/>
    <w:rsid w:val="00765382"/>
    <w:rsid w:val="007654F8"/>
    <w:rsid w:val="00765607"/>
    <w:rsid w:val="00765856"/>
    <w:rsid w:val="00765920"/>
    <w:rsid w:val="00765B0B"/>
    <w:rsid w:val="00765B88"/>
    <w:rsid w:val="00765C96"/>
    <w:rsid w:val="007660D2"/>
    <w:rsid w:val="007661F5"/>
    <w:rsid w:val="00766275"/>
    <w:rsid w:val="007662F8"/>
    <w:rsid w:val="00766471"/>
    <w:rsid w:val="007666A6"/>
    <w:rsid w:val="00766758"/>
    <w:rsid w:val="0076686E"/>
    <w:rsid w:val="0076689D"/>
    <w:rsid w:val="007669C1"/>
    <w:rsid w:val="00766BBA"/>
    <w:rsid w:val="00766C24"/>
    <w:rsid w:val="00766E29"/>
    <w:rsid w:val="00766FEA"/>
    <w:rsid w:val="00767061"/>
    <w:rsid w:val="0076715D"/>
    <w:rsid w:val="0076721D"/>
    <w:rsid w:val="0076736E"/>
    <w:rsid w:val="00767372"/>
    <w:rsid w:val="0076737E"/>
    <w:rsid w:val="0076741F"/>
    <w:rsid w:val="00767503"/>
    <w:rsid w:val="0076750F"/>
    <w:rsid w:val="007675D4"/>
    <w:rsid w:val="0076760F"/>
    <w:rsid w:val="0076768B"/>
    <w:rsid w:val="007676EA"/>
    <w:rsid w:val="0076773D"/>
    <w:rsid w:val="00767783"/>
    <w:rsid w:val="007679A2"/>
    <w:rsid w:val="007679BE"/>
    <w:rsid w:val="00767C04"/>
    <w:rsid w:val="00767C9C"/>
    <w:rsid w:val="00767DC6"/>
    <w:rsid w:val="00767E7E"/>
    <w:rsid w:val="00767F3E"/>
    <w:rsid w:val="00768545"/>
    <w:rsid w:val="00770056"/>
    <w:rsid w:val="007702C0"/>
    <w:rsid w:val="00770478"/>
    <w:rsid w:val="00770797"/>
    <w:rsid w:val="0077096A"/>
    <w:rsid w:val="00770A1D"/>
    <w:rsid w:val="00770B05"/>
    <w:rsid w:val="00770B83"/>
    <w:rsid w:val="00770C1A"/>
    <w:rsid w:val="00770C46"/>
    <w:rsid w:val="00770F4B"/>
    <w:rsid w:val="00770FE3"/>
    <w:rsid w:val="0077107B"/>
    <w:rsid w:val="00771095"/>
    <w:rsid w:val="0077129C"/>
    <w:rsid w:val="007712FE"/>
    <w:rsid w:val="007713FA"/>
    <w:rsid w:val="0077146B"/>
    <w:rsid w:val="00771557"/>
    <w:rsid w:val="00771662"/>
    <w:rsid w:val="00771669"/>
    <w:rsid w:val="00771717"/>
    <w:rsid w:val="0077186F"/>
    <w:rsid w:val="00771949"/>
    <w:rsid w:val="007719F2"/>
    <w:rsid w:val="00771A04"/>
    <w:rsid w:val="00771AB4"/>
    <w:rsid w:val="00771B22"/>
    <w:rsid w:val="00771BA1"/>
    <w:rsid w:val="00771BC9"/>
    <w:rsid w:val="00771C6B"/>
    <w:rsid w:val="00771DB4"/>
    <w:rsid w:val="00771E2A"/>
    <w:rsid w:val="00771EAC"/>
    <w:rsid w:val="00771F84"/>
    <w:rsid w:val="00771F89"/>
    <w:rsid w:val="00771F90"/>
    <w:rsid w:val="0077227C"/>
    <w:rsid w:val="0077228D"/>
    <w:rsid w:val="007723FB"/>
    <w:rsid w:val="00772482"/>
    <w:rsid w:val="007724DB"/>
    <w:rsid w:val="007725CF"/>
    <w:rsid w:val="0077267F"/>
    <w:rsid w:val="00772789"/>
    <w:rsid w:val="0077282F"/>
    <w:rsid w:val="00772854"/>
    <w:rsid w:val="00772C6C"/>
    <w:rsid w:val="00772CBA"/>
    <w:rsid w:val="00772D72"/>
    <w:rsid w:val="00772F9C"/>
    <w:rsid w:val="0077311F"/>
    <w:rsid w:val="007732C2"/>
    <w:rsid w:val="007732F2"/>
    <w:rsid w:val="00773347"/>
    <w:rsid w:val="007735D5"/>
    <w:rsid w:val="00773624"/>
    <w:rsid w:val="00773637"/>
    <w:rsid w:val="007736A2"/>
    <w:rsid w:val="007736F7"/>
    <w:rsid w:val="00773DB5"/>
    <w:rsid w:val="00773DC0"/>
    <w:rsid w:val="00773DC8"/>
    <w:rsid w:val="00773F04"/>
    <w:rsid w:val="00773F1A"/>
    <w:rsid w:val="00773FCF"/>
    <w:rsid w:val="00774336"/>
    <w:rsid w:val="00774538"/>
    <w:rsid w:val="00774574"/>
    <w:rsid w:val="0077474C"/>
    <w:rsid w:val="007747C0"/>
    <w:rsid w:val="0077497D"/>
    <w:rsid w:val="00774B2E"/>
    <w:rsid w:val="00774B68"/>
    <w:rsid w:val="00774C46"/>
    <w:rsid w:val="00774CD5"/>
    <w:rsid w:val="00774CFC"/>
    <w:rsid w:val="00774D98"/>
    <w:rsid w:val="00774DE6"/>
    <w:rsid w:val="00774EA7"/>
    <w:rsid w:val="00774EAB"/>
    <w:rsid w:val="007750A8"/>
    <w:rsid w:val="007750C9"/>
    <w:rsid w:val="007750ED"/>
    <w:rsid w:val="0077514B"/>
    <w:rsid w:val="00775237"/>
    <w:rsid w:val="00775284"/>
    <w:rsid w:val="00775309"/>
    <w:rsid w:val="007753A7"/>
    <w:rsid w:val="007754E1"/>
    <w:rsid w:val="00775596"/>
    <w:rsid w:val="007755E9"/>
    <w:rsid w:val="0077563E"/>
    <w:rsid w:val="007757E8"/>
    <w:rsid w:val="007758B5"/>
    <w:rsid w:val="00775A06"/>
    <w:rsid w:val="00775BB5"/>
    <w:rsid w:val="00775C06"/>
    <w:rsid w:val="00775DF5"/>
    <w:rsid w:val="00775E93"/>
    <w:rsid w:val="00775E98"/>
    <w:rsid w:val="00775F41"/>
    <w:rsid w:val="00775F8D"/>
    <w:rsid w:val="00776046"/>
    <w:rsid w:val="00776048"/>
    <w:rsid w:val="00776076"/>
    <w:rsid w:val="0077611A"/>
    <w:rsid w:val="0077622C"/>
    <w:rsid w:val="007762E7"/>
    <w:rsid w:val="007763A2"/>
    <w:rsid w:val="007763F0"/>
    <w:rsid w:val="007764F4"/>
    <w:rsid w:val="00776503"/>
    <w:rsid w:val="007766C2"/>
    <w:rsid w:val="00776748"/>
    <w:rsid w:val="007767B6"/>
    <w:rsid w:val="0077680D"/>
    <w:rsid w:val="0077682A"/>
    <w:rsid w:val="00776830"/>
    <w:rsid w:val="00776889"/>
    <w:rsid w:val="007769D3"/>
    <w:rsid w:val="00776B68"/>
    <w:rsid w:val="00776C04"/>
    <w:rsid w:val="00776CB8"/>
    <w:rsid w:val="00776D02"/>
    <w:rsid w:val="00776E08"/>
    <w:rsid w:val="00776F80"/>
    <w:rsid w:val="00777081"/>
    <w:rsid w:val="007770A6"/>
    <w:rsid w:val="0077711C"/>
    <w:rsid w:val="0077741C"/>
    <w:rsid w:val="00777434"/>
    <w:rsid w:val="0077751E"/>
    <w:rsid w:val="007775CC"/>
    <w:rsid w:val="007779A0"/>
    <w:rsid w:val="00777A98"/>
    <w:rsid w:val="00777AFA"/>
    <w:rsid w:val="00777BA2"/>
    <w:rsid w:val="00777DD7"/>
    <w:rsid w:val="00777EAF"/>
    <w:rsid w:val="00777EEE"/>
    <w:rsid w:val="00777FBD"/>
    <w:rsid w:val="00780047"/>
    <w:rsid w:val="007802C7"/>
    <w:rsid w:val="007802CA"/>
    <w:rsid w:val="0078044E"/>
    <w:rsid w:val="007804FF"/>
    <w:rsid w:val="007806F4"/>
    <w:rsid w:val="007807AB"/>
    <w:rsid w:val="007807E8"/>
    <w:rsid w:val="00780941"/>
    <w:rsid w:val="00780FA0"/>
    <w:rsid w:val="00780FEC"/>
    <w:rsid w:val="00781014"/>
    <w:rsid w:val="00781015"/>
    <w:rsid w:val="007810F4"/>
    <w:rsid w:val="00781109"/>
    <w:rsid w:val="0078123E"/>
    <w:rsid w:val="007812C7"/>
    <w:rsid w:val="007813B7"/>
    <w:rsid w:val="00781400"/>
    <w:rsid w:val="00781467"/>
    <w:rsid w:val="007814BA"/>
    <w:rsid w:val="00781644"/>
    <w:rsid w:val="00781662"/>
    <w:rsid w:val="007816E3"/>
    <w:rsid w:val="00781807"/>
    <w:rsid w:val="007818AC"/>
    <w:rsid w:val="00781D79"/>
    <w:rsid w:val="00781F80"/>
    <w:rsid w:val="00781FF2"/>
    <w:rsid w:val="007820A2"/>
    <w:rsid w:val="0078217B"/>
    <w:rsid w:val="007821CB"/>
    <w:rsid w:val="0078229D"/>
    <w:rsid w:val="0078231B"/>
    <w:rsid w:val="0078238C"/>
    <w:rsid w:val="0078267C"/>
    <w:rsid w:val="007826DD"/>
    <w:rsid w:val="007826E9"/>
    <w:rsid w:val="0078285E"/>
    <w:rsid w:val="00782891"/>
    <w:rsid w:val="007828B2"/>
    <w:rsid w:val="00782938"/>
    <w:rsid w:val="00782B6F"/>
    <w:rsid w:val="00782B8D"/>
    <w:rsid w:val="00782C98"/>
    <w:rsid w:val="00782CCC"/>
    <w:rsid w:val="00782D69"/>
    <w:rsid w:val="00783092"/>
    <w:rsid w:val="007831A7"/>
    <w:rsid w:val="007831F9"/>
    <w:rsid w:val="00783236"/>
    <w:rsid w:val="007832DA"/>
    <w:rsid w:val="00783354"/>
    <w:rsid w:val="007833A3"/>
    <w:rsid w:val="00783418"/>
    <w:rsid w:val="007834C8"/>
    <w:rsid w:val="007836A2"/>
    <w:rsid w:val="007837B5"/>
    <w:rsid w:val="007837E0"/>
    <w:rsid w:val="00783820"/>
    <w:rsid w:val="00783A79"/>
    <w:rsid w:val="00783AC0"/>
    <w:rsid w:val="00783CBD"/>
    <w:rsid w:val="00783EB3"/>
    <w:rsid w:val="00783EE3"/>
    <w:rsid w:val="00784053"/>
    <w:rsid w:val="007840C6"/>
    <w:rsid w:val="007840D8"/>
    <w:rsid w:val="00784151"/>
    <w:rsid w:val="00784384"/>
    <w:rsid w:val="007843EF"/>
    <w:rsid w:val="0078446E"/>
    <w:rsid w:val="00784561"/>
    <w:rsid w:val="007845AD"/>
    <w:rsid w:val="00784853"/>
    <w:rsid w:val="007848A8"/>
    <w:rsid w:val="007849D5"/>
    <w:rsid w:val="007849E7"/>
    <w:rsid w:val="007849FE"/>
    <w:rsid w:val="00784B62"/>
    <w:rsid w:val="00784DC2"/>
    <w:rsid w:val="00784E65"/>
    <w:rsid w:val="00784E93"/>
    <w:rsid w:val="00784F7D"/>
    <w:rsid w:val="00784FED"/>
    <w:rsid w:val="007852D8"/>
    <w:rsid w:val="00785554"/>
    <w:rsid w:val="00785847"/>
    <w:rsid w:val="00785939"/>
    <w:rsid w:val="00785A4B"/>
    <w:rsid w:val="00785AD0"/>
    <w:rsid w:val="00785B98"/>
    <w:rsid w:val="00785DA7"/>
    <w:rsid w:val="00785DFC"/>
    <w:rsid w:val="00786124"/>
    <w:rsid w:val="0078614F"/>
    <w:rsid w:val="00786170"/>
    <w:rsid w:val="00786202"/>
    <w:rsid w:val="007863F1"/>
    <w:rsid w:val="0078661E"/>
    <w:rsid w:val="007867B4"/>
    <w:rsid w:val="0078681B"/>
    <w:rsid w:val="00786849"/>
    <w:rsid w:val="0078687D"/>
    <w:rsid w:val="00786916"/>
    <w:rsid w:val="00786A08"/>
    <w:rsid w:val="00786A10"/>
    <w:rsid w:val="00786A19"/>
    <w:rsid w:val="00786B5B"/>
    <w:rsid w:val="00786BA5"/>
    <w:rsid w:val="00786BA7"/>
    <w:rsid w:val="00786C08"/>
    <w:rsid w:val="00786C22"/>
    <w:rsid w:val="00786C8F"/>
    <w:rsid w:val="00786CD7"/>
    <w:rsid w:val="00786CE7"/>
    <w:rsid w:val="00786CEB"/>
    <w:rsid w:val="00786D1F"/>
    <w:rsid w:val="00786E09"/>
    <w:rsid w:val="00786E76"/>
    <w:rsid w:val="00786F53"/>
    <w:rsid w:val="00786F89"/>
    <w:rsid w:val="00786FDA"/>
    <w:rsid w:val="00787057"/>
    <w:rsid w:val="007870C0"/>
    <w:rsid w:val="00787158"/>
    <w:rsid w:val="007871DE"/>
    <w:rsid w:val="00787272"/>
    <w:rsid w:val="007873C3"/>
    <w:rsid w:val="007873F5"/>
    <w:rsid w:val="00787425"/>
    <w:rsid w:val="007876AB"/>
    <w:rsid w:val="007876E2"/>
    <w:rsid w:val="00787727"/>
    <w:rsid w:val="00787861"/>
    <w:rsid w:val="00787887"/>
    <w:rsid w:val="007878E9"/>
    <w:rsid w:val="00787909"/>
    <w:rsid w:val="00787B08"/>
    <w:rsid w:val="00787C6C"/>
    <w:rsid w:val="00787CAF"/>
    <w:rsid w:val="00787D5C"/>
    <w:rsid w:val="00787DFD"/>
    <w:rsid w:val="00787E90"/>
    <w:rsid w:val="00787EA0"/>
    <w:rsid w:val="00790001"/>
    <w:rsid w:val="00790078"/>
    <w:rsid w:val="00790091"/>
    <w:rsid w:val="007902B8"/>
    <w:rsid w:val="007906C4"/>
    <w:rsid w:val="007906F5"/>
    <w:rsid w:val="00790848"/>
    <w:rsid w:val="007908F0"/>
    <w:rsid w:val="00790942"/>
    <w:rsid w:val="00790A4B"/>
    <w:rsid w:val="00790AF1"/>
    <w:rsid w:val="00790B1A"/>
    <w:rsid w:val="00790C8F"/>
    <w:rsid w:val="00790D55"/>
    <w:rsid w:val="00790EAA"/>
    <w:rsid w:val="00790EB2"/>
    <w:rsid w:val="00790ED2"/>
    <w:rsid w:val="00790F3A"/>
    <w:rsid w:val="00790F59"/>
    <w:rsid w:val="00790F8A"/>
    <w:rsid w:val="007911AF"/>
    <w:rsid w:val="00791266"/>
    <w:rsid w:val="007912A8"/>
    <w:rsid w:val="0079142A"/>
    <w:rsid w:val="00791467"/>
    <w:rsid w:val="0079150C"/>
    <w:rsid w:val="00791556"/>
    <w:rsid w:val="0079156B"/>
    <w:rsid w:val="0079159F"/>
    <w:rsid w:val="007917C1"/>
    <w:rsid w:val="00791908"/>
    <w:rsid w:val="00791971"/>
    <w:rsid w:val="00791A7E"/>
    <w:rsid w:val="00791B2A"/>
    <w:rsid w:val="00791CBF"/>
    <w:rsid w:val="00791D85"/>
    <w:rsid w:val="00791DBD"/>
    <w:rsid w:val="00791DE8"/>
    <w:rsid w:val="00791E14"/>
    <w:rsid w:val="00791E93"/>
    <w:rsid w:val="00791F14"/>
    <w:rsid w:val="00792032"/>
    <w:rsid w:val="00792127"/>
    <w:rsid w:val="00792246"/>
    <w:rsid w:val="00792283"/>
    <w:rsid w:val="007925A4"/>
    <w:rsid w:val="007925FC"/>
    <w:rsid w:val="00792663"/>
    <w:rsid w:val="0079266D"/>
    <w:rsid w:val="00792682"/>
    <w:rsid w:val="007926A0"/>
    <w:rsid w:val="007927C8"/>
    <w:rsid w:val="00792923"/>
    <w:rsid w:val="007929AF"/>
    <w:rsid w:val="007929EF"/>
    <w:rsid w:val="00792AF2"/>
    <w:rsid w:val="00792B93"/>
    <w:rsid w:val="00792C8D"/>
    <w:rsid w:val="0079315A"/>
    <w:rsid w:val="00793229"/>
    <w:rsid w:val="00793236"/>
    <w:rsid w:val="0079329D"/>
    <w:rsid w:val="007934B4"/>
    <w:rsid w:val="00793511"/>
    <w:rsid w:val="007935EB"/>
    <w:rsid w:val="0079361D"/>
    <w:rsid w:val="00793667"/>
    <w:rsid w:val="007938C0"/>
    <w:rsid w:val="007938EC"/>
    <w:rsid w:val="007939D8"/>
    <w:rsid w:val="00793A35"/>
    <w:rsid w:val="00793A64"/>
    <w:rsid w:val="00793A7C"/>
    <w:rsid w:val="00793B08"/>
    <w:rsid w:val="00793BAE"/>
    <w:rsid w:val="00793BBA"/>
    <w:rsid w:val="00793C8F"/>
    <w:rsid w:val="00793DFA"/>
    <w:rsid w:val="00793EFA"/>
    <w:rsid w:val="00793F4A"/>
    <w:rsid w:val="007941B6"/>
    <w:rsid w:val="00794378"/>
    <w:rsid w:val="007944B5"/>
    <w:rsid w:val="007946C6"/>
    <w:rsid w:val="007947CA"/>
    <w:rsid w:val="0079486E"/>
    <w:rsid w:val="00794875"/>
    <w:rsid w:val="007949D5"/>
    <w:rsid w:val="00794B0E"/>
    <w:rsid w:val="00794B4A"/>
    <w:rsid w:val="00794BEC"/>
    <w:rsid w:val="00794C5B"/>
    <w:rsid w:val="00794C99"/>
    <w:rsid w:val="00794CD9"/>
    <w:rsid w:val="00794D5B"/>
    <w:rsid w:val="00794D61"/>
    <w:rsid w:val="00794EE5"/>
    <w:rsid w:val="0079517D"/>
    <w:rsid w:val="007951EB"/>
    <w:rsid w:val="00795265"/>
    <w:rsid w:val="007952EB"/>
    <w:rsid w:val="00795363"/>
    <w:rsid w:val="007953C0"/>
    <w:rsid w:val="0079549D"/>
    <w:rsid w:val="007955A2"/>
    <w:rsid w:val="00795AC2"/>
    <w:rsid w:val="00795B41"/>
    <w:rsid w:val="00795CB4"/>
    <w:rsid w:val="00795D3C"/>
    <w:rsid w:val="00795E38"/>
    <w:rsid w:val="00795E48"/>
    <w:rsid w:val="00795FD4"/>
    <w:rsid w:val="007961BE"/>
    <w:rsid w:val="0079621E"/>
    <w:rsid w:val="0079624B"/>
    <w:rsid w:val="007962EA"/>
    <w:rsid w:val="00796303"/>
    <w:rsid w:val="00796312"/>
    <w:rsid w:val="007963EC"/>
    <w:rsid w:val="00796501"/>
    <w:rsid w:val="00796517"/>
    <w:rsid w:val="00796AAB"/>
    <w:rsid w:val="00796C3F"/>
    <w:rsid w:val="00796C95"/>
    <w:rsid w:val="00796F92"/>
    <w:rsid w:val="00797066"/>
    <w:rsid w:val="007970DD"/>
    <w:rsid w:val="007971AA"/>
    <w:rsid w:val="007972A3"/>
    <w:rsid w:val="00797301"/>
    <w:rsid w:val="00797532"/>
    <w:rsid w:val="00797628"/>
    <w:rsid w:val="007976DE"/>
    <w:rsid w:val="0079773A"/>
    <w:rsid w:val="00797742"/>
    <w:rsid w:val="007977E6"/>
    <w:rsid w:val="00797820"/>
    <w:rsid w:val="00797834"/>
    <w:rsid w:val="0079784F"/>
    <w:rsid w:val="00797A81"/>
    <w:rsid w:val="00797B62"/>
    <w:rsid w:val="00797B78"/>
    <w:rsid w:val="00797BE8"/>
    <w:rsid w:val="00797C13"/>
    <w:rsid w:val="00797C87"/>
    <w:rsid w:val="00797D43"/>
    <w:rsid w:val="00797F56"/>
    <w:rsid w:val="00797F85"/>
    <w:rsid w:val="007A0012"/>
    <w:rsid w:val="007A00FD"/>
    <w:rsid w:val="007A0192"/>
    <w:rsid w:val="007A0243"/>
    <w:rsid w:val="007A02C8"/>
    <w:rsid w:val="007A0300"/>
    <w:rsid w:val="007A0395"/>
    <w:rsid w:val="007A0425"/>
    <w:rsid w:val="007A056C"/>
    <w:rsid w:val="007A061A"/>
    <w:rsid w:val="007A06DF"/>
    <w:rsid w:val="007A0722"/>
    <w:rsid w:val="007A072C"/>
    <w:rsid w:val="007A074A"/>
    <w:rsid w:val="007A07B5"/>
    <w:rsid w:val="007A08B2"/>
    <w:rsid w:val="007A08CB"/>
    <w:rsid w:val="007A0C0C"/>
    <w:rsid w:val="007A0C13"/>
    <w:rsid w:val="007A0CD3"/>
    <w:rsid w:val="007A0D89"/>
    <w:rsid w:val="007A0F55"/>
    <w:rsid w:val="007A0FC2"/>
    <w:rsid w:val="007A13E2"/>
    <w:rsid w:val="007A1402"/>
    <w:rsid w:val="007A142A"/>
    <w:rsid w:val="007A1460"/>
    <w:rsid w:val="007A1501"/>
    <w:rsid w:val="007A1562"/>
    <w:rsid w:val="007A164D"/>
    <w:rsid w:val="007A1652"/>
    <w:rsid w:val="007A17B7"/>
    <w:rsid w:val="007A190A"/>
    <w:rsid w:val="007A193E"/>
    <w:rsid w:val="007A1957"/>
    <w:rsid w:val="007A1A60"/>
    <w:rsid w:val="007A1AB7"/>
    <w:rsid w:val="007A1C36"/>
    <w:rsid w:val="007A1DA3"/>
    <w:rsid w:val="007A1FA9"/>
    <w:rsid w:val="007A1FF6"/>
    <w:rsid w:val="007A20D9"/>
    <w:rsid w:val="007A213E"/>
    <w:rsid w:val="007A2213"/>
    <w:rsid w:val="007A2215"/>
    <w:rsid w:val="007A2335"/>
    <w:rsid w:val="007A2474"/>
    <w:rsid w:val="007A24FF"/>
    <w:rsid w:val="007A2607"/>
    <w:rsid w:val="007A2683"/>
    <w:rsid w:val="007A29B4"/>
    <w:rsid w:val="007A29C9"/>
    <w:rsid w:val="007A2A7D"/>
    <w:rsid w:val="007A2BF0"/>
    <w:rsid w:val="007A2E57"/>
    <w:rsid w:val="007A2F76"/>
    <w:rsid w:val="007A2F9A"/>
    <w:rsid w:val="007A2F9D"/>
    <w:rsid w:val="007A2FCF"/>
    <w:rsid w:val="007A3035"/>
    <w:rsid w:val="007A30BF"/>
    <w:rsid w:val="007A331D"/>
    <w:rsid w:val="007A341E"/>
    <w:rsid w:val="007A349A"/>
    <w:rsid w:val="007A34E0"/>
    <w:rsid w:val="007A3545"/>
    <w:rsid w:val="007A3556"/>
    <w:rsid w:val="007A36F4"/>
    <w:rsid w:val="007A3705"/>
    <w:rsid w:val="007A386A"/>
    <w:rsid w:val="007A397E"/>
    <w:rsid w:val="007A3A88"/>
    <w:rsid w:val="007A3E78"/>
    <w:rsid w:val="007A3EB3"/>
    <w:rsid w:val="007A3EBE"/>
    <w:rsid w:val="007A3F3C"/>
    <w:rsid w:val="007A43DF"/>
    <w:rsid w:val="007A4410"/>
    <w:rsid w:val="007A45B6"/>
    <w:rsid w:val="007A4655"/>
    <w:rsid w:val="007A471A"/>
    <w:rsid w:val="007A482C"/>
    <w:rsid w:val="007A49A9"/>
    <w:rsid w:val="007A4C68"/>
    <w:rsid w:val="007A4CCF"/>
    <w:rsid w:val="007A4D35"/>
    <w:rsid w:val="007A4DB3"/>
    <w:rsid w:val="007A4E44"/>
    <w:rsid w:val="007A5068"/>
    <w:rsid w:val="007A5133"/>
    <w:rsid w:val="007A5166"/>
    <w:rsid w:val="007A51DD"/>
    <w:rsid w:val="007A5384"/>
    <w:rsid w:val="007A5532"/>
    <w:rsid w:val="007A56A5"/>
    <w:rsid w:val="007A57C1"/>
    <w:rsid w:val="007A588D"/>
    <w:rsid w:val="007A58D1"/>
    <w:rsid w:val="007A5A8C"/>
    <w:rsid w:val="007A5C4E"/>
    <w:rsid w:val="007A5D71"/>
    <w:rsid w:val="007A5D8E"/>
    <w:rsid w:val="007A5F63"/>
    <w:rsid w:val="007A615E"/>
    <w:rsid w:val="007A61D3"/>
    <w:rsid w:val="007A6226"/>
    <w:rsid w:val="007A62C3"/>
    <w:rsid w:val="007A636C"/>
    <w:rsid w:val="007A63C1"/>
    <w:rsid w:val="007A64E0"/>
    <w:rsid w:val="007A6527"/>
    <w:rsid w:val="007A665D"/>
    <w:rsid w:val="007A673C"/>
    <w:rsid w:val="007A67A4"/>
    <w:rsid w:val="007A67B4"/>
    <w:rsid w:val="007A67E4"/>
    <w:rsid w:val="007A697D"/>
    <w:rsid w:val="007A6AF8"/>
    <w:rsid w:val="007A6CD6"/>
    <w:rsid w:val="007A6CF1"/>
    <w:rsid w:val="007A6E80"/>
    <w:rsid w:val="007A6EC4"/>
    <w:rsid w:val="007A6F3D"/>
    <w:rsid w:val="007A6FA9"/>
    <w:rsid w:val="007A716C"/>
    <w:rsid w:val="007A719E"/>
    <w:rsid w:val="007A71E5"/>
    <w:rsid w:val="007A7296"/>
    <w:rsid w:val="007A7394"/>
    <w:rsid w:val="007A73C0"/>
    <w:rsid w:val="007A740F"/>
    <w:rsid w:val="007A745D"/>
    <w:rsid w:val="007A74A1"/>
    <w:rsid w:val="007A74A9"/>
    <w:rsid w:val="007A75FF"/>
    <w:rsid w:val="007A7661"/>
    <w:rsid w:val="007A783F"/>
    <w:rsid w:val="007A7998"/>
    <w:rsid w:val="007A79A6"/>
    <w:rsid w:val="007A7B24"/>
    <w:rsid w:val="007A7B98"/>
    <w:rsid w:val="007A7C7F"/>
    <w:rsid w:val="007A7DF3"/>
    <w:rsid w:val="007B0077"/>
    <w:rsid w:val="007B021D"/>
    <w:rsid w:val="007B0242"/>
    <w:rsid w:val="007B034C"/>
    <w:rsid w:val="007B04E2"/>
    <w:rsid w:val="007B05AB"/>
    <w:rsid w:val="007B05E7"/>
    <w:rsid w:val="007B07DA"/>
    <w:rsid w:val="007B09EF"/>
    <w:rsid w:val="007B0ABE"/>
    <w:rsid w:val="007B0B9D"/>
    <w:rsid w:val="007B0C16"/>
    <w:rsid w:val="007B0D8E"/>
    <w:rsid w:val="007B0DCE"/>
    <w:rsid w:val="007B0F0D"/>
    <w:rsid w:val="007B0F17"/>
    <w:rsid w:val="007B0FC5"/>
    <w:rsid w:val="007B103F"/>
    <w:rsid w:val="007B1139"/>
    <w:rsid w:val="007B12B7"/>
    <w:rsid w:val="007B1373"/>
    <w:rsid w:val="007B1635"/>
    <w:rsid w:val="007B16BA"/>
    <w:rsid w:val="007B1720"/>
    <w:rsid w:val="007B1755"/>
    <w:rsid w:val="007B195B"/>
    <w:rsid w:val="007B195F"/>
    <w:rsid w:val="007B1B02"/>
    <w:rsid w:val="007B1C31"/>
    <w:rsid w:val="007B1D02"/>
    <w:rsid w:val="007B1E4A"/>
    <w:rsid w:val="007B1FDC"/>
    <w:rsid w:val="007B2031"/>
    <w:rsid w:val="007B21E0"/>
    <w:rsid w:val="007B21F0"/>
    <w:rsid w:val="007B2263"/>
    <w:rsid w:val="007B247A"/>
    <w:rsid w:val="007B2485"/>
    <w:rsid w:val="007B25E2"/>
    <w:rsid w:val="007B25F7"/>
    <w:rsid w:val="007B2716"/>
    <w:rsid w:val="007B290D"/>
    <w:rsid w:val="007B292F"/>
    <w:rsid w:val="007B293E"/>
    <w:rsid w:val="007B2998"/>
    <w:rsid w:val="007B299B"/>
    <w:rsid w:val="007B29A2"/>
    <w:rsid w:val="007B2AD1"/>
    <w:rsid w:val="007B2BB6"/>
    <w:rsid w:val="007B2C12"/>
    <w:rsid w:val="007B2CBC"/>
    <w:rsid w:val="007B2D01"/>
    <w:rsid w:val="007B2DC4"/>
    <w:rsid w:val="007B2F65"/>
    <w:rsid w:val="007B2FB6"/>
    <w:rsid w:val="007B3028"/>
    <w:rsid w:val="007B31A7"/>
    <w:rsid w:val="007B3345"/>
    <w:rsid w:val="007B339A"/>
    <w:rsid w:val="007B3523"/>
    <w:rsid w:val="007B35E1"/>
    <w:rsid w:val="007B3631"/>
    <w:rsid w:val="007B3671"/>
    <w:rsid w:val="007B3678"/>
    <w:rsid w:val="007B3679"/>
    <w:rsid w:val="007B36CD"/>
    <w:rsid w:val="007B3757"/>
    <w:rsid w:val="007B3800"/>
    <w:rsid w:val="007B3966"/>
    <w:rsid w:val="007B39A7"/>
    <w:rsid w:val="007B39A9"/>
    <w:rsid w:val="007B3B2C"/>
    <w:rsid w:val="007B3BBF"/>
    <w:rsid w:val="007B3C61"/>
    <w:rsid w:val="007B3D72"/>
    <w:rsid w:val="007B3DAC"/>
    <w:rsid w:val="007B3DEF"/>
    <w:rsid w:val="007B3DF6"/>
    <w:rsid w:val="007B3DFB"/>
    <w:rsid w:val="007B3EAD"/>
    <w:rsid w:val="007B3F67"/>
    <w:rsid w:val="007B3FEE"/>
    <w:rsid w:val="007B40DA"/>
    <w:rsid w:val="007B42AD"/>
    <w:rsid w:val="007B4305"/>
    <w:rsid w:val="007B437D"/>
    <w:rsid w:val="007B45D2"/>
    <w:rsid w:val="007B469E"/>
    <w:rsid w:val="007B4A16"/>
    <w:rsid w:val="007B4B44"/>
    <w:rsid w:val="007B4B9C"/>
    <w:rsid w:val="007B4D32"/>
    <w:rsid w:val="007B4D76"/>
    <w:rsid w:val="007B4DF7"/>
    <w:rsid w:val="007B4E0B"/>
    <w:rsid w:val="007B4F1D"/>
    <w:rsid w:val="007B4FBB"/>
    <w:rsid w:val="007B4FDE"/>
    <w:rsid w:val="007B4FED"/>
    <w:rsid w:val="007B51C4"/>
    <w:rsid w:val="007B527F"/>
    <w:rsid w:val="007B52C2"/>
    <w:rsid w:val="007B540E"/>
    <w:rsid w:val="007B541E"/>
    <w:rsid w:val="007B54FC"/>
    <w:rsid w:val="007B5529"/>
    <w:rsid w:val="007B55E7"/>
    <w:rsid w:val="007B561E"/>
    <w:rsid w:val="007B570F"/>
    <w:rsid w:val="007B575E"/>
    <w:rsid w:val="007B57C9"/>
    <w:rsid w:val="007B5C35"/>
    <w:rsid w:val="007B5DD7"/>
    <w:rsid w:val="007B6075"/>
    <w:rsid w:val="007B6183"/>
    <w:rsid w:val="007B61BA"/>
    <w:rsid w:val="007B63C3"/>
    <w:rsid w:val="007B641D"/>
    <w:rsid w:val="007B6435"/>
    <w:rsid w:val="007B645D"/>
    <w:rsid w:val="007B64AA"/>
    <w:rsid w:val="007B64B1"/>
    <w:rsid w:val="007B659B"/>
    <w:rsid w:val="007B65A9"/>
    <w:rsid w:val="007B660D"/>
    <w:rsid w:val="007B6625"/>
    <w:rsid w:val="007B67DA"/>
    <w:rsid w:val="007B67DB"/>
    <w:rsid w:val="007B684E"/>
    <w:rsid w:val="007B689B"/>
    <w:rsid w:val="007B68EF"/>
    <w:rsid w:val="007B6AF9"/>
    <w:rsid w:val="007B6B34"/>
    <w:rsid w:val="007B6C73"/>
    <w:rsid w:val="007B6E08"/>
    <w:rsid w:val="007B70A7"/>
    <w:rsid w:val="007B70CE"/>
    <w:rsid w:val="007B7193"/>
    <w:rsid w:val="007B7232"/>
    <w:rsid w:val="007B7280"/>
    <w:rsid w:val="007B72BB"/>
    <w:rsid w:val="007B737B"/>
    <w:rsid w:val="007B741D"/>
    <w:rsid w:val="007B7501"/>
    <w:rsid w:val="007B75F3"/>
    <w:rsid w:val="007B7676"/>
    <w:rsid w:val="007B770D"/>
    <w:rsid w:val="007B785B"/>
    <w:rsid w:val="007B7A73"/>
    <w:rsid w:val="007B7B6B"/>
    <w:rsid w:val="007B7B73"/>
    <w:rsid w:val="007B7B94"/>
    <w:rsid w:val="007B7BA0"/>
    <w:rsid w:val="007B7CB0"/>
    <w:rsid w:val="007B7D4C"/>
    <w:rsid w:val="007B7DD9"/>
    <w:rsid w:val="007B7DEA"/>
    <w:rsid w:val="007B7E6E"/>
    <w:rsid w:val="007B7FA8"/>
    <w:rsid w:val="007B7FB7"/>
    <w:rsid w:val="007BB848"/>
    <w:rsid w:val="007C00DA"/>
    <w:rsid w:val="007C01AF"/>
    <w:rsid w:val="007C0231"/>
    <w:rsid w:val="007C032D"/>
    <w:rsid w:val="007C035B"/>
    <w:rsid w:val="007C0444"/>
    <w:rsid w:val="007C05A6"/>
    <w:rsid w:val="007C061C"/>
    <w:rsid w:val="007C0686"/>
    <w:rsid w:val="007C07D4"/>
    <w:rsid w:val="007C07D9"/>
    <w:rsid w:val="007C0906"/>
    <w:rsid w:val="007C093C"/>
    <w:rsid w:val="007C0A63"/>
    <w:rsid w:val="007C0ACC"/>
    <w:rsid w:val="007C0B04"/>
    <w:rsid w:val="007C0BEA"/>
    <w:rsid w:val="007C0C0E"/>
    <w:rsid w:val="007C0D52"/>
    <w:rsid w:val="007C0D5E"/>
    <w:rsid w:val="007C0D70"/>
    <w:rsid w:val="007C0DAE"/>
    <w:rsid w:val="007C0F30"/>
    <w:rsid w:val="007C0F75"/>
    <w:rsid w:val="007C10A8"/>
    <w:rsid w:val="007C1161"/>
    <w:rsid w:val="007C11D9"/>
    <w:rsid w:val="007C12B9"/>
    <w:rsid w:val="007C12C8"/>
    <w:rsid w:val="007C148A"/>
    <w:rsid w:val="007C154B"/>
    <w:rsid w:val="007C15C2"/>
    <w:rsid w:val="007C1755"/>
    <w:rsid w:val="007C1767"/>
    <w:rsid w:val="007C17C0"/>
    <w:rsid w:val="007C1822"/>
    <w:rsid w:val="007C18BB"/>
    <w:rsid w:val="007C18EF"/>
    <w:rsid w:val="007C19CE"/>
    <w:rsid w:val="007C1A19"/>
    <w:rsid w:val="007C1BDA"/>
    <w:rsid w:val="007C1BFF"/>
    <w:rsid w:val="007C1E01"/>
    <w:rsid w:val="007C1E7D"/>
    <w:rsid w:val="007C2082"/>
    <w:rsid w:val="007C209F"/>
    <w:rsid w:val="007C210C"/>
    <w:rsid w:val="007C2152"/>
    <w:rsid w:val="007C2190"/>
    <w:rsid w:val="007C2263"/>
    <w:rsid w:val="007C22BE"/>
    <w:rsid w:val="007C22D0"/>
    <w:rsid w:val="007C239D"/>
    <w:rsid w:val="007C2405"/>
    <w:rsid w:val="007C2417"/>
    <w:rsid w:val="007C24DC"/>
    <w:rsid w:val="007C2562"/>
    <w:rsid w:val="007C25F6"/>
    <w:rsid w:val="007C273D"/>
    <w:rsid w:val="007C27F7"/>
    <w:rsid w:val="007C28F5"/>
    <w:rsid w:val="007C28FB"/>
    <w:rsid w:val="007C29D9"/>
    <w:rsid w:val="007C2A70"/>
    <w:rsid w:val="007C2ACF"/>
    <w:rsid w:val="007C2D9F"/>
    <w:rsid w:val="007C2F3A"/>
    <w:rsid w:val="007C2F85"/>
    <w:rsid w:val="007C305C"/>
    <w:rsid w:val="007C3142"/>
    <w:rsid w:val="007C3304"/>
    <w:rsid w:val="007C3336"/>
    <w:rsid w:val="007C3387"/>
    <w:rsid w:val="007C33B1"/>
    <w:rsid w:val="007C343E"/>
    <w:rsid w:val="007C357D"/>
    <w:rsid w:val="007C35A2"/>
    <w:rsid w:val="007C35D3"/>
    <w:rsid w:val="007C3634"/>
    <w:rsid w:val="007C381D"/>
    <w:rsid w:val="007C38F7"/>
    <w:rsid w:val="007C3928"/>
    <w:rsid w:val="007C3954"/>
    <w:rsid w:val="007C3B56"/>
    <w:rsid w:val="007C3BA8"/>
    <w:rsid w:val="007C3BB6"/>
    <w:rsid w:val="007C3CAC"/>
    <w:rsid w:val="007C3CCD"/>
    <w:rsid w:val="007C3CD3"/>
    <w:rsid w:val="007C3D3B"/>
    <w:rsid w:val="007C3D5F"/>
    <w:rsid w:val="007C3DA1"/>
    <w:rsid w:val="007C3E3E"/>
    <w:rsid w:val="007C3E93"/>
    <w:rsid w:val="007C3F1E"/>
    <w:rsid w:val="007C402F"/>
    <w:rsid w:val="007C4054"/>
    <w:rsid w:val="007C4112"/>
    <w:rsid w:val="007C417E"/>
    <w:rsid w:val="007C423C"/>
    <w:rsid w:val="007C444A"/>
    <w:rsid w:val="007C4678"/>
    <w:rsid w:val="007C4752"/>
    <w:rsid w:val="007C48A1"/>
    <w:rsid w:val="007C48AD"/>
    <w:rsid w:val="007C48CA"/>
    <w:rsid w:val="007C4909"/>
    <w:rsid w:val="007C4AF6"/>
    <w:rsid w:val="007C4B3C"/>
    <w:rsid w:val="007C4BBC"/>
    <w:rsid w:val="007C4E1E"/>
    <w:rsid w:val="007C4F92"/>
    <w:rsid w:val="007C4FCD"/>
    <w:rsid w:val="007C50AB"/>
    <w:rsid w:val="007C50F2"/>
    <w:rsid w:val="007C513D"/>
    <w:rsid w:val="007C5156"/>
    <w:rsid w:val="007C52A8"/>
    <w:rsid w:val="007C5301"/>
    <w:rsid w:val="007C539F"/>
    <w:rsid w:val="007C53F2"/>
    <w:rsid w:val="007C5456"/>
    <w:rsid w:val="007C5598"/>
    <w:rsid w:val="007C58B8"/>
    <w:rsid w:val="007C5ADE"/>
    <w:rsid w:val="007C5BDC"/>
    <w:rsid w:val="007C5CC1"/>
    <w:rsid w:val="007C5CE6"/>
    <w:rsid w:val="007C5D73"/>
    <w:rsid w:val="007C5E91"/>
    <w:rsid w:val="007C5FB8"/>
    <w:rsid w:val="007C60EF"/>
    <w:rsid w:val="007C6173"/>
    <w:rsid w:val="007C61C6"/>
    <w:rsid w:val="007C6580"/>
    <w:rsid w:val="007C666F"/>
    <w:rsid w:val="007C6729"/>
    <w:rsid w:val="007C6829"/>
    <w:rsid w:val="007C6889"/>
    <w:rsid w:val="007C68FC"/>
    <w:rsid w:val="007C691A"/>
    <w:rsid w:val="007C6970"/>
    <w:rsid w:val="007C69F0"/>
    <w:rsid w:val="007C6A15"/>
    <w:rsid w:val="007C6B13"/>
    <w:rsid w:val="007C6B3C"/>
    <w:rsid w:val="007C6C08"/>
    <w:rsid w:val="007C6D73"/>
    <w:rsid w:val="007C6DCB"/>
    <w:rsid w:val="007C6E60"/>
    <w:rsid w:val="007C6F4A"/>
    <w:rsid w:val="007C6FCD"/>
    <w:rsid w:val="007C6FDC"/>
    <w:rsid w:val="007C6FE6"/>
    <w:rsid w:val="007C706F"/>
    <w:rsid w:val="007C709D"/>
    <w:rsid w:val="007C7314"/>
    <w:rsid w:val="007C759D"/>
    <w:rsid w:val="007C772A"/>
    <w:rsid w:val="007C7759"/>
    <w:rsid w:val="007C7882"/>
    <w:rsid w:val="007C7919"/>
    <w:rsid w:val="007C79E0"/>
    <w:rsid w:val="007C7B10"/>
    <w:rsid w:val="007C7B88"/>
    <w:rsid w:val="007C7B8D"/>
    <w:rsid w:val="007C7CA9"/>
    <w:rsid w:val="007C7D38"/>
    <w:rsid w:val="007C7F08"/>
    <w:rsid w:val="007D00F8"/>
    <w:rsid w:val="007D0123"/>
    <w:rsid w:val="007D014B"/>
    <w:rsid w:val="007D017C"/>
    <w:rsid w:val="007D0212"/>
    <w:rsid w:val="007D0269"/>
    <w:rsid w:val="007D05BF"/>
    <w:rsid w:val="007D095C"/>
    <w:rsid w:val="007D0967"/>
    <w:rsid w:val="007D09F8"/>
    <w:rsid w:val="007D0A00"/>
    <w:rsid w:val="007D0CB9"/>
    <w:rsid w:val="007D0D6A"/>
    <w:rsid w:val="007D0E70"/>
    <w:rsid w:val="007D0E88"/>
    <w:rsid w:val="007D100B"/>
    <w:rsid w:val="007D10D4"/>
    <w:rsid w:val="007D1246"/>
    <w:rsid w:val="007D1425"/>
    <w:rsid w:val="007D175E"/>
    <w:rsid w:val="007D1761"/>
    <w:rsid w:val="007D1918"/>
    <w:rsid w:val="007D1A98"/>
    <w:rsid w:val="007D1C98"/>
    <w:rsid w:val="007D1D04"/>
    <w:rsid w:val="007D1D5B"/>
    <w:rsid w:val="007D1E09"/>
    <w:rsid w:val="007D1F2C"/>
    <w:rsid w:val="007D1FB7"/>
    <w:rsid w:val="007D2222"/>
    <w:rsid w:val="007D2381"/>
    <w:rsid w:val="007D239F"/>
    <w:rsid w:val="007D23FA"/>
    <w:rsid w:val="007D242A"/>
    <w:rsid w:val="007D25B1"/>
    <w:rsid w:val="007D25C0"/>
    <w:rsid w:val="007D2814"/>
    <w:rsid w:val="007D2836"/>
    <w:rsid w:val="007D2853"/>
    <w:rsid w:val="007D287C"/>
    <w:rsid w:val="007D2A52"/>
    <w:rsid w:val="007D2AA1"/>
    <w:rsid w:val="007D2B54"/>
    <w:rsid w:val="007D2C39"/>
    <w:rsid w:val="007D2CFB"/>
    <w:rsid w:val="007D2D5C"/>
    <w:rsid w:val="007D2D99"/>
    <w:rsid w:val="007D2E83"/>
    <w:rsid w:val="007D2E99"/>
    <w:rsid w:val="007D312E"/>
    <w:rsid w:val="007D3162"/>
    <w:rsid w:val="007D319D"/>
    <w:rsid w:val="007D32D5"/>
    <w:rsid w:val="007D3358"/>
    <w:rsid w:val="007D3389"/>
    <w:rsid w:val="007D358D"/>
    <w:rsid w:val="007D3599"/>
    <w:rsid w:val="007D36FE"/>
    <w:rsid w:val="007D38CA"/>
    <w:rsid w:val="007D39F3"/>
    <w:rsid w:val="007D3A08"/>
    <w:rsid w:val="007D3AB2"/>
    <w:rsid w:val="007D3B15"/>
    <w:rsid w:val="007D3D44"/>
    <w:rsid w:val="007D3E1F"/>
    <w:rsid w:val="007D3E48"/>
    <w:rsid w:val="007D3E88"/>
    <w:rsid w:val="007D3EFF"/>
    <w:rsid w:val="007D3F04"/>
    <w:rsid w:val="007D3F70"/>
    <w:rsid w:val="007D3FEA"/>
    <w:rsid w:val="007D3FF8"/>
    <w:rsid w:val="007D4074"/>
    <w:rsid w:val="007D4136"/>
    <w:rsid w:val="007D426E"/>
    <w:rsid w:val="007D42B3"/>
    <w:rsid w:val="007D42DE"/>
    <w:rsid w:val="007D43E9"/>
    <w:rsid w:val="007D448F"/>
    <w:rsid w:val="007D44F5"/>
    <w:rsid w:val="007D4613"/>
    <w:rsid w:val="007D467D"/>
    <w:rsid w:val="007D46AD"/>
    <w:rsid w:val="007D46CE"/>
    <w:rsid w:val="007D46E3"/>
    <w:rsid w:val="007D46E5"/>
    <w:rsid w:val="007D4789"/>
    <w:rsid w:val="007D4916"/>
    <w:rsid w:val="007D4AD5"/>
    <w:rsid w:val="007D4B25"/>
    <w:rsid w:val="007D4BDB"/>
    <w:rsid w:val="007D4C21"/>
    <w:rsid w:val="007D4CDD"/>
    <w:rsid w:val="007D4CF0"/>
    <w:rsid w:val="007D4D07"/>
    <w:rsid w:val="007D4D95"/>
    <w:rsid w:val="007D4F7D"/>
    <w:rsid w:val="007D4F87"/>
    <w:rsid w:val="007D5056"/>
    <w:rsid w:val="007D5099"/>
    <w:rsid w:val="007D532C"/>
    <w:rsid w:val="007D5466"/>
    <w:rsid w:val="007D54FA"/>
    <w:rsid w:val="007D551C"/>
    <w:rsid w:val="007D5543"/>
    <w:rsid w:val="007D56BB"/>
    <w:rsid w:val="007D57F3"/>
    <w:rsid w:val="007D5A99"/>
    <w:rsid w:val="007D5BC9"/>
    <w:rsid w:val="007D5C3C"/>
    <w:rsid w:val="007D5D89"/>
    <w:rsid w:val="007D5EAB"/>
    <w:rsid w:val="007D5F39"/>
    <w:rsid w:val="007D5F8D"/>
    <w:rsid w:val="007D5FA4"/>
    <w:rsid w:val="007D5FD1"/>
    <w:rsid w:val="007D624D"/>
    <w:rsid w:val="007D6322"/>
    <w:rsid w:val="007D6348"/>
    <w:rsid w:val="007D6373"/>
    <w:rsid w:val="007D6474"/>
    <w:rsid w:val="007D663E"/>
    <w:rsid w:val="007D6731"/>
    <w:rsid w:val="007D6755"/>
    <w:rsid w:val="007D6833"/>
    <w:rsid w:val="007D6AC3"/>
    <w:rsid w:val="007D6CC4"/>
    <w:rsid w:val="007D6CEF"/>
    <w:rsid w:val="007D7054"/>
    <w:rsid w:val="007D70B2"/>
    <w:rsid w:val="007D7294"/>
    <w:rsid w:val="007D737E"/>
    <w:rsid w:val="007D73A6"/>
    <w:rsid w:val="007D7782"/>
    <w:rsid w:val="007D7867"/>
    <w:rsid w:val="007D78F9"/>
    <w:rsid w:val="007D79DD"/>
    <w:rsid w:val="007D7AB0"/>
    <w:rsid w:val="007D7ADC"/>
    <w:rsid w:val="007D7B6C"/>
    <w:rsid w:val="007D7B6E"/>
    <w:rsid w:val="007D7BE5"/>
    <w:rsid w:val="007D7C07"/>
    <w:rsid w:val="007D7C44"/>
    <w:rsid w:val="007D7C61"/>
    <w:rsid w:val="007D7CE0"/>
    <w:rsid w:val="007D7CEB"/>
    <w:rsid w:val="007E00C7"/>
    <w:rsid w:val="007E01C5"/>
    <w:rsid w:val="007E01F7"/>
    <w:rsid w:val="007E037F"/>
    <w:rsid w:val="007E03C2"/>
    <w:rsid w:val="007E041E"/>
    <w:rsid w:val="007E043A"/>
    <w:rsid w:val="007E04EF"/>
    <w:rsid w:val="007E07BE"/>
    <w:rsid w:val="007E08E0"/>
    <w:rsid w:val="007E08E7"/>
    <w:rsid w:val="007E0900"/>
    <w:rsid w:val="007E0985"/>
    <w:rsid w:val="007E0A1C"/>
    <w:rsid w:val="007E0A41"/>
    <w:rsid w:val="007E0C28"/>
    <w:rsid w:val="007E0EEF"/>
    <w:rsid w:val="007E0EF4"/>
    <w:rsid w:val="007E1099"/>
    <w:rsid w:val="007E10B5"/>
    <w:rsid w:val="007E118A"/>
    <w:rsid w:val="007E15E3"/>
    <w:rsid w:val="007E16A0"/>
    <w:rsid w:val="007E173A"/>
    <w:rsid w:val="007E18C1"/>
    <w:rsid w:val="007E19B8"/>
    <w:rsid w:val="007E1BE3"/>
    <w:rsid w:val="007E1C59"/>
    <w:rsid w:val="007E1D9F"/>
    <w:rsid w:val="007E20F4"/>
    <w:rsid w:val="007E2221"/>
    <w:rsid w:val="007E22F1"/>
    <w:rsid w:val="007E2344"/>
    <w:rsid w:val="007E235B"/>
    <w:rsid w:val="007E2494"/>
    <w:rsid w:val="007E2584"/>
    <w:rsid w:val="007E299D"/>
    <w:rsid w:val="007E2A0A"/>
    <w:rsid w:val="007E2A91"/>
    <w:rsid w:val="007E2BB8"/>
    <w:rsid w:val="007E2C66"/>
    <w:rsid w:val="007E2C94"/>
    <w:rsid w:val="007E2D10"/>
    <w:rsid w:val="007E2E6E"/>
    <w:rsid w:val="007E2EB4"/>
    <w:rsid w:val="007E2F99"/>
    <w:rsid w:val="007E2FFA"/>
    <w:rsid w:val="007E3058"/>
    <w:rsid w:val="007E3073"/>
    <w:rsid w:val="007E3188"/>
    <w:rsid w:val="007E328F"/>
    <w:rsid w:val="007E32B7"/>
    <w:rsid w:val="007E33C3"/>
    <w:rsid w:val="007E3432"/>
    <w:rsid w:val="007E358B"/>
    <w:rsid w:val="007E3654"/>
    <w:rsid w:val="007E36E5"/>
    <w:rsid w:val="007E3818"/>
    <w:rsid w:val="007E384F"/>
    <w:rsid w:val="007E385A"/>
    <w:rsid w:val="007E38CC"/>
    <w:rsid w:val="007E38DE"/>
    <w:rsid w:val="007E3A2F"/>
    <w:rsid w:val="007E3CD8"/>
    <w:rsid w:val="007E3D6F"/>
    <w:rsid w:val="007E3E82"/>
    <w:rsid w:val="007E3F03"/>
    <w:rsid w:val="007E3F44"/>
    <w:rsid w:val="007E403D"/>
    <w:rsid w:val="007E41B7"/>
    <w:rsid w:val="007E4263"/>
    <w:rsid w:val="007E4437"/>
    <w:rsid w:val="007E44D5"/>
    <w:rsid w:val="007E45A3"/>
    <w:rsid w:val="007E45FB"/>
    <w:rsid w:val="007E46F8"/>
    <w:rsid w:val="007E4735"/>
    <w:rsid w:val="007E4AE3"/>
    <w:rsid w:val="007E4BC6"/>
    <w:rsid w:val="007E4FE5"/>
    <w:rsid w:val="007E50AC"/>
    <w:rsid w:val="007E5197"/>
    <w:rsid w:val="007E521B"/>
    <w:rsid w:val="007E52C9"/>
    <w:rsid w:val="007E537E"/>
    <w:rsid w:val="007E53E8"/>
    <w:rsid w:val="007E560B"/>
    <w:rsid w:val="007E560F"/>
    <w:rsid w:val="007E565C"/>
    <w:rsid w:val="007E5677"/>
    <w:rsid w:val="007E5784"/>
    <w:rsid w:val="007E5943"/>
    <w:rsid w:val="007E5CEE"/>
    <w:rsid w:val="007E5ECE"/>
    <w:rsid w:val="007E5EE0"/>
    <w:rsid w:val="007E5F11"/>
    <w:rsid w:val="007E5F4E"/>
    <w:rsid w:val="007E5F70"/>
    <w:rsid w:val="007E6007"/>
    <w:rsid w:val="007E603F"/>
    <w:rsid w:val="007E6051"/>
    <w:rsid w:val="007E60F8"/>
    <w:rsid w:val="007E6168"/>
    <w:rsid w:val="007E61F0"/>
    <w:rsid w:val="007E6495"/>
    <w:rsid w:val="007E6581"/>
    <w:rsid w:val="007E65B3"/>
    <w:rsid w:val="007E67E9"/>
    <w:rsid w:val="007E68CB"/>
    <w:rsid w:val="007E69C7"/>
    <w:rsid w:val="007E6B01"/>
    <w:rsid w:val="007E6B04"/>
    <w:rsid w:val="007E6BD1"/>
    <w:rsid w:val="007E6C65"/>
    <w:rsid w:val="007E6D20"/>
    <w:rsid w:val="007E6D54"/>
    <w:rsid w:val="007E6E95"/>
    <w:rsid w:val="007E6E97"/>
    <w:rsid w:val="007E6F18"/>
    <w:rsid w:val="007E6FF6"/>
    <w:rsid w:val="007E72D1"/>
    <w:rsid w:val="007E7349"/>
    <w:rsid w:val="007E737F"/>
    <w:rsid w:val="007E739F"/>
    <w:rsid w:val="007E73A4"/>
    <w:rsid w:val="007E7663"/>
    <w:rsid w:val="007E76C2"/>
    <w:rsid w:val="007E76C4"/>
    <w:rsid w:val="007E77B5"/>
    <w:rsid w:val="007E79D4"/>
    <w:rsid w:val="007E7ABA"/>
    <w:rsid w:val="007E7BD2"/>
    <w:rsid w:val="007E7C60"/>
    <w:rsid w:val="007E7DE7"/>
    <w:rsid w:val="007E7E57"/>
    <w:rsid w:val="007E7F6D"/>
    <w:rsid w:val="007E7F96"/>
    <w:rsid w:val="007F01BF"/>
    <w:rsid w:val="007F024C"/>
    <w:rsid w:val="007F0253"/>
    <w:rsid w:val="007F034E"/>
    <w:rsid w:val="007F0350"/>
    <w:rsid w:val="007F036C"/>
    <w:rsid w:val="007F03F2"/>
    <w:rsid w:val="007F046D"/>
    <w:rsid w:val="007F04CC"/>
    <w:rsid w:val="007F0535"/>
    <w:rsid w:val="007F05D4"/>
    <w:rsid w:val="007F0685"/>
    <w:rsid w:val="007F0754"/>
    <w:rsid w:val="007F07E5"/>
    <w:rsid w:val="007F080C"/>
    <w:rsid w:val="007F08DE"/>
    <w:rsid w:val="007F094E"/>
    <w:rsid w:val="007F0C4A"/>
    <w:rsid w:val="007F0DAF"/>
    <w:rsid w:val="007F0E6A"/>
    <w:rsid w:val="007F0F43"/>
    <w:rsid w:val="007F1090"/>
    <w:rsid w:val="007F1131"/>
    <w:rsid w:val="007F113A"/>
    <w:rsid w:val="007F113F"/>
    <w:rsid w:val="007F12A1"/>
    <w:rsid w:val="007F1413"/>
    <w:rsid w:val="007F141A"/>
    <w:rsid w:val="007F1476"/>
    <w:rsid w:val="007F14E6"/>
    <w:rsid w:val="007F14EF"/>
    <w:rsid w:val="007F15F2"/>
    <w:rsid w:val="007F1628"/>
    <w:rsid w:val="007F1818"/>
    <w:rsid w:val="007F181B"/>
    <w:rsid w:val="007F187B"/>
    <w:rsid w:val="007F1919"/>
    <w:rsid w:val="007F1CD3"/>
    <w:rsid w:val="007F1CEB"/>
    <w:rsid w:val="007F1D95"/>
    <w:rsid w:val="007F1F08"/>
    <w:rsid w:val="007F2083"/>
    <w:rsid w:val="007F209E"/>
    <w:rsid w:val="007F2124"/>
    <w:rsid w:val="007F2191"/>
    <w:rsid w:val="007F219C"/>
    <w:rsid w:val="007F21D2"/>
    <w:rsid w:val="007F22A2"/>
    <w:rsid w:val="007F232A"/>
    <w:rsid w:val="007F2387"/>
    <w:rsid w:val="007F243F"/>
    <w:rsid w:val="007F24F8"/>
    <w:rsid w:val="007F276D"/>
    <w:rsid w:val="007F27C0"/>
    <w:rsid w:val="007F2971"/>
    <w:rsid w:val="007F2B37"/>
    <w:rsid w:val="007F2B40"/>
    <w:rsid w:val="007F2C4E"/>
    <w:rsid w:val="007F2D2B"/>
    <w:rsid w:val="007F2EDD"/>
    <w:rsid w:val="007F2F6F"/>
    <w:rsid w:val="007F3062"/>
    <w:rsid w:val="007F30DC"/>
    <w:rsid w:val="007F31B9"/>
    <w:rsid w:val="007F323E"/>
    <w:rsid w:val="007F327D"/>
    <w:rsid w:val="007F32D7"/>
    <w:rsid w:val="007F3485"/>
    <w:rsid w:val="007F34DE"/>
    <w:rsid w:val="007F35B4"/>
    <w:rsid w:val="007F35CF"/>
    <w:rsid w:val="007F36A3"/>
    <w:rsid w:val="007F376D"/>
    <w:rsid w:val="007F3797"/>
    <w:rsid w:val="007F39C8"/>
    <w:rsid w:val="007F3B0D"/>
    <w:rsid w:val="007F3B31"/>
    <w:rsid w:val="007F3BC0"/>
    <w:rsid w:val="007F3BDD"/>
    <w:rsid w:val="007F3CC0"/>
    <w:rsid w:val="007F3D5D"/>
    <w:rsid w:val="007F3E2C"/>
    <w:rsid w:val="007F4021"/>
    <w:rsid w:val="007F4130"/>
    <w:rsid w:val="007F4222"/>
    <w:rsid w:val="007F426C"/>
    <w:rsid w:val="007F4328"/>
    <w:rsid w:val="007F4337"/>
    <w:rsid w:val="007F44CE"/>
    <w:rsid w:val="007F454D"/>
    <w:rsid w:val="007F4598"/>
    <w:rsid w:val="007F45CA"/>
    <w:rsid w:val="007F469E"/>
    <w:rsid w:val="007F472C"/>
    <w:rsid w:val="007F4742"/>
    <w:rsid w:val="007F47AE"/>
    <w:rsid w:val="007F47E0"/>
    <w:rsid w:val="007F48FE"/>
    <w:rsid w:val="007F4C4D"/>
    <w:rsid w:val="007F4C6F"/>
    <w:rsid w:val="007F4E1B"/>
    <w:rsid w:val="007F5570"/>
    <w:rsid w:val="007F55CE"/>
    <w:rsid w:val="007F5615"/>
    <w:rsid w:val="007F56CE"/>
    <w:rsid w:val="007F56ED"/>
    <w:rsid w:val="007F58FD"/>
    <w:rsid w:val="007F5B62"/>
    <w:rsid w:val="007F5B9F"/>
    <w:rsid w:val="007F5BCC"/>
    <w:rsid w:val="007F5D86"/>
    <w:rsid w:val="007F5DD1"/>
    <w:rsid w:val="007F5DF7"/>
    <w:rsid w:val="007F5F4A"/>
    <w:rsid w:val="007F6069"/>
    <w:rsid w:val="007F6142"/>
    <w:rsid w:val="007F6225"/>
    <w:rsid w:val="007F62D9"/>
    <w:rsid w:val="007F62FE"/>
    <w:rsid w:val="007F635A"/>
    <w:rsid w:val="007F6372"/>
    <w:rsid w:val="007F64A4"/>
    <w:rsid w:val="007F660F"/>
    <w:rsid w:val="007F684E"/>
    <w:rsid w:val="007F68E8"/>
    <w:rsid w:val="007F6A7B"/>
    <w:rsid w:val="007F6AAE"/>
    <w:rsid w:val="007F6C0B"/>
    <w:rsid w:val="007F6D13"/>
    <w:rsid w:val="007F6E96"/>
    <w:rsid w:val="007F6F4C"/>
    <w:rsid w:val="007F6FF4"/>
    <w:rsid w:val="007F7041"/>
    <w:rsid w:val="007F717A"/>
    <w:rsid w:val="007F71F3"/>
    <w:rsid w:val="007F7208"/>
    <w:rsid w:val="007F723B"/>
    <w:rsid w:val="007F72CE"/>
    <w:rsid w:val="007F72D4"/>
    <w:rsid w:val="007F738D"/>
    <w:rsid w:val="007F76D1"/>
    <w:rsid w:val="007F77EF"/>
    <w:rsid w:val="007F7833"/>
    <w:rsid w:val="007F791E"/>
    <w:rsid w:val="007F796E"/>
    <w:rsid w:val="007F7A58"/>
    <w:rsid w:val="007F7AFC"/>
    <w:rsid w:val="007F7B71"/>
    <w:rsid w:val="007F7CC9"/>
    <w:rsid w:val="007F7D44"/>
    <w:rsid w:val="007F7F10"/>
    <w:rsid w:val="007F7F2F"/>
    <w:rsid w:val="007F7F92"/>
    <w:rsid w:val="007F7FEF"/>
    <w:rsid w:val="0080001B"/>
    <w:rsid w:val="00800083"/>
    <w:rsid w:val="00800177"/>
    <w:rsid w:val="00800236"/>
    <w:rsid w:val="00800260"/>
    <w:rsid w:val="008002B7"/>
    <w:rsid w:val="00800362"/>
    <w:rsid w:val="0080048E"/>
    <w:rsid w:val="008005C4"/>
    <w:rsid w:val="00800868"/>
    <w:rsid w:val="00800B3E"/>
    <w:rsid w:val="00800B4E"/>
    <w:rsid w:val="00800D51"/>
    <w:rsid w:val="00800E1E"/>
    <w:rsid w:val="00800E68"/>
    <w:rsid w:val="00800F34"/>
    <w:rsid w:val="00800F40"/>
    <w:rsid w:val="00800FF8"/>
    <w:rsid w:val="00801075"/>
    <w:rsid w:val="00801188"/>
    <w:rsid w:val="0080123E"/>
    <w:rsid w:val="00801333"/>
    <w:rsid w:val="008013F9"/>
    <w:rsid w:val="00801500"/>
    <w:rsid w:val="0080154B"/>
    <w:rsid w:val="00801569"/>
    <w:rsid w:val="0080158D"/>
    <w:rsid w:val="008015A1"/>
    <w:rsid w:val="00801655"/>
    <w:rsid w:val="008016E8"/>
    <w:rsid w:val="00801784"/>
    <w:rsid w:val="00801956"/>
    <w:rsid w:val="0080198C"/>
    <w:rsid w:val="00801B06"/>
    <w:rsid w:val="00801B18"/>
    <w:rsid w:val="00801C8B"/>
    <w:rsid w:val="00801D28"/>
    <w:rsid w:val="00801DC6"/>
    <w:rsid w:val="00801DD4"/>
    <w:rsid w:val="00801E83"/>
    <w:rsid w:val="00801EAD"/>
    <w:rsid w:val="00802000"/>
    <w:rsid w:val="00802040"/>
    <w:rsid w:val="008020E8"/>
    <w:rsid w:val="008022CB"/>
    <w:rsid w:val="00802308"/>
    <w:rsid w:val="00802312"/>
    <w:rsid w:val="0080233D"/>
    <w:rsid w:val="008023C6"/>
    <w:rsid w:val="0080240F"/>
    <w:rsid w:val="00802790"/>
    <w:rsid w:val="00802849"/>
    <w:rsid w:val="008028D6"/>
    <w:rsid w:val="008029F2"/>
    <w:rsid w:val="00802A71"/>
    <w:rsid w:val="00802BC7"/>
    <w:rsid w:val="00802C47"/>
    <w:rsid w:val="00802CDB"/>
    <w:rsid w:val="00802D1E"/>
    <w:rsid w:val="00802D6E"/>
    <w:rsid w:val="00803012"/>
    <w:rsid w:val="00803087"/>
    <w:rsid w:val="008031B4"/>
    <w:rsid w:val="008031DF"/>
    <w:rsid w:val="00803275"/>
    <w:rsid w:val="0080329C"/>
    <w:rsid w:val="008032B2"/>
    <w:rsid w:val="00803378"/>
    <w:rsid w:val="0080349E"/>
    <w:rsid w:val="00803556"/>
    <w:rsid w:val="008035E6"/>
    <w:rsid w:val="008037F7"/>
    <w:rsid w:val="008038CD"/>
    <w:rsid w:val="008039BC"/>
    <w:rsid w:val="00803A79"/>
    <w:rsid w:val="00803AB9"/>
    <w:rsid w:val="00803ABA"/>
    <w:rsid w:val="00803BBF"/>
    <w:rsid w:val="00803BC8"/>
    <w:rsid w:val="00803BEE"/>
    <w:rsid w:val="00803C38"/>
    <w:rsid w:val="00803D6F"/>
    <w:rsid w:val="00803F0B"/>
    <w:rsid w:val="00803F19"/>
    <w:rsid w:val="00803FEA"/>
    <w:rsid w:val="00804233"/>
    <w:rsid w:val="00804326"/>
    <w:rsid w:val="00804349"/>
    <w:rsid w:val="00804368"/>
    <w:rsid w:val="008044EE"/>
    <w:rsid w:val="00804528"/>
    <w:rsid w:val="00804558"/>
    <w:rsid w:val="00804629"/>
    <w:rsid w:val="0080464B"/>
    <w:rsid w:val="0080468F"/>
    <w:rsid w:val="00804690"/>
    <w:rsid w:val="0080474F"/>
    <w:rsid w:val="00804786"/>
    <w:rsid w:val="0080479E"/>
    <w:rsid w:val="008047A5"/>
    <w:rsid w:val="008047E6"/>
    <w:rsid w:val="008048DE"/>
    <w:rsid w:val="00804942"/>
    <w:rsid w:val="00804A42"/>
    <w:rsid w:val="00804D69"/>
    <w:rsid w:val="00804E48"/>
    <w:rsid w:val="00804EC0"/>
    <w:rsid w:val="0080500D"/>
    <w:rsid w:val="0080507E"/>
    <w:rsid w:val="008051CF"/>
    <w:rsid w:val="00805223"/>
    <w:rsid w:val="00805348"/>
    <w:rsid w:val="0080538F"/>
    <w:rsid w:val="008053AA"/>
    <w:rsid w:val="00805478"/>
    <w:rsid w:val="00805577"/>
    <w:rsid w:val="00805586"/>
    <w:rsid w:val="0080560C"/>
    <w:rsid w:val="008056A8"/>
    <w:rsid w:val="00805755"/>
    <w:rsid w:val="00805821"/>
    <w:rsid w:val="00805947"/>
    <w:rsid w:val="008059ED"/>
    <w:rsid w:val="00805A5E"/>
    <w:rsid w:val="00805AC5"/>
    <w:rsid w:val="00805B04"/>
    <w:rsid w:val="00805C8D"/>
    <w:rsid w:val="00805D56"/>
    <w:rsid w:val="00805E0D"/>
    <w:rsid w:val="00805E43"/>
    <w:rsid w:val="00805EE4"/>
    <w:rsid w:val="00805EF6"/>
    <w:rsid w:val="0080608A"/>
    <w:rsid w:val="00806143"/>
    <w:rsid w:val="00806239"/>
    <w:rsid w:val="0080626D"/>
    <w:rsid w:val="00806274"/>
    <w:rsid w:val="00806348"/>
    <w:rsid w:val="008063B6"/>
    <w:rsid w:val="0080646B"/>
    <w:rsid w:val="00806494"/>
    <w:rsid w:val="0080658A"/>
    <w:rsid w:val="008065D7"/>
    <w:rsid w:val="00806614"/>
    <w:rsid w:val="00806622"/>
    <w:rsid w:val="00806689"/>
    <w:rsid w:val="008066B2"/>
    <w:rsid w:val="00806759"/>
    <w:rsid w:val="0080694C"/>
    <w:rsid w:val="00806985"/>
    <w:rsid w:val="00806A83"/>
    <w:rsid w:val="00806ACD"/>
    <w:rsid w:val="00806D55"/>
    <w:rsid w:val="00806D8E"/>
    <w:rsid w:val="00806DE6"/>
    <w:rsid w:val="008070A8"/>
    <w:rsid w:val="008070A9"/>
    <w:rsid w:val="008071E9"/>
    <w:rsid w:val="00807242"/>
    <w:rsid w:val="008072B1"/>
    <w:rsid w:val="008072DE"/>
    <w:rsid w:val="0080741D"/>
    <w:rsid w:val="008075BA"/>
    <w:rsid w:val="00807611"/>
    <w:rsid w:val="00807745"/>
    <w:rsid w:val="00807A90"/>
    <w:rsid w:val="00807AE4"/>
    <w:rsid w:val="00807B7C"/>
    <w:rsid w:val="00807BF4"/>
    <w:rsid w:val="00807D2F"/>
    <w:rsid w:val="00807D83"/>
    <w:rsid w:val="00807D9A"/>
    <w:rsid w:val="00807D9D"/>
    <w:rsid w:val="00807E75"/>
    <w:rsid w:val="00807F1F"/>
    <w:rsid w:val="00807FC7"/>
    <w:rsid w:val="0081048A"/>
    <w:rsid w:val="008104BF"/>
    <w:rsid w:val="00810541"/>
    <w:rsid w:val="0081058C"/>
    <w:rsid w:val="0081058F"/>
    <w:rsid w:val="00810723"/>
    <w:rsid w:val="008107A3"/>
    <w:rsid w:val="00810815"/>
    <w:rsid w:val="008108E8"/>
    <w:rsid w:val="00810963"/>
    <w:rsid w:val="008109FB"/>
    <w:rsid w:val="00810A3C"/>
    <w:rsid w:val="00810C0E"/>
    <w:rsid w:val="00810C34"/>
    <w:rsid w:val="00810C65"/>
    <w:rsid w:val="00810DB5"/>
    <w:rsid w:val="00810E68"/>
    <w:rsid w:val="00810F29"/>
    <w:rsid w:val="0081100B"/>
    <w:rsid w:val="008110AE"/>
    <w:rsid w:val="00811155"/>
    <w:rsid w:val="0081117B"/>
    <w:rsid w:val="008111A3"/>
    <w:rsid w:val="00811222"/>
    <w:rsid w:val="00811295"/>
    <w:rsid w:val="00811323"/>
    <w:rsid w:val="0081132E"/>
    <w:rsid w:val="00811353"/>
    <w:rsid w:val="008113AF"/>
    <w:rsid w:val="00811409"/>
    <w:rsid w:val="00811475"/>
    <w:rsid w:val="008114B4"/>
    <w:rsid w:val="0081153A"/>
    <w:rsid w:val="00811599"/>
    <w:rsid w:val="008115D5"/>
    <w:rsid w:val="0081183B"/>
    <w:rsid w:val="00811B12"/>
    <w:rsid w:val="00811B95"/>
    <w:rsid w:val="00811C6C"/>
    <w:rsid w:val="00811D2D"/>
    <w:rsid w:val="00811D60"/>
    <w:rsid w:val="00811DE2"/>
    <w:rsid w:val="00811F14"/>
    <w:rsid w:val="00811F65"/>
    <w:rsid w:val="00811F6D"/>
    <w:rsid w:val="00811F76"/>
    <w:rsid w:val="008120DC"/>
    <w:rsid w:val="0081218A"/>
    <w:rsid w:val="008121D2"/>
    <w:rsid w:val="008121DA"/>
    <w:rsid w:val="00812354"/>
    <w:rsid w:val="0081248B"/>
    <w:rsid w:val="00812546"/>
    <w:rsid w:val="0081263F"/>
    <w:rsid w:val="0081264E"/>
    <w:rsid w:val="008126B7"/>
    <w:rsid w:val="008128D0"/>
    <w:rsid w:val="00812942"/>
    <w:rsid w:val="00812A02"/>
    <w:rsid w:val="00812AD6"/>
    <w:rsid w:val="00812C9A"/>
    <w:rsid w:val="00812DB0"/>
    <w:rsid w:val="00812F89"/>
    <w:rsid w:val="00812F8E"/>
    <w:rsid w:val="008132CA"/>
    <w:rsid w:val="0081330C"/>
    <w:rsid w:val="0081334C"/>
    <w:rsid w:val="0081345F"/>
    <w:rsid w:val="00813464"/>
    <w:rsid w:val="008134A8"/>
    <w:rsid w:val="0081359E"/>
    <w:rsid w:val="008135C0"/>
    <w:rsid w:val="008136C4"/>
    <w:rsid w:val="008138B7"/>
    <w:rsid w:val="00813CC3"/>
    <w:rsid w:val="00813CFC"/>
    <w:rsid w:val="00813F14"/>
    <w:rsid w:val="00814115"/>
    <w:rsid w:val="00814209"/>
    <w:rsid w:val="008142FD"/>
    <w:rsid w:val="00814323"/>
    <w:rsid w:val="0081438D"/>
    <w:rsid w:val="00814436"/>
    <w:rsid w:val="008144C7"/>
    <w:rsid w:val="00814621"/>
    <w:rsid w:val="00814720"/>
    <w:rsid w:val="008148EB"/>
    <w:rsid w:val="00814956"/>
    <w:rsid w:val="00814AAD"/>
    <w:rsid w:val="00814AF3"/>
    <w:rsid w:val="00814CF7"/>
    <w:rsid w:val="00814DA3"/>
    <w:rsid w:val="00814EFD"/>
    <w:rsid w:val="00815082"/>
    <w:rsid w:val="00815087"/>
    <w:rsid w:val="00815092"/>
    <w:rsid w:val="00815112"/>
    <w:rsid w:val="00815431"/>
    <w:rsid w:val="0081546B"/>
    <w:rsid w:val="00815539"/>
    <w:rsid w:val="00815545"/>
    <w:rsid w:val="0081562C"/>
    <w:rsid w:val="0081567B"/>
    <w:rsid w:val="0081599E"/>
    <w:rsid w:val="00815AA1"/>
    <w:rsid w:val="00815ABF"/>
    <w:rsid w:val="00815BD4"/>
    <w:rsid w:val="00815C4B"/>
    <w:rsid w:val="00815CDA"/>
    <w:rsid w:val="00815D20"/>
    <w:rsid w:val="00815D8A"/>
    <w:rsid w:val="00815DDB"/>
    <w:rsid w:val="00815E46"/>
    <w:rsid w:val="00815E50"/>
    <w:rsid w:val="00815EAD"/>
    <w:rsid w:val="00815F41"/>
    <w:rsid w:val="0081605E"/>
    <w:rsid w:val="008160F2"/>
    <w:rsid w:val="00816181"/>
    <w:rsid w:val="00816382"/>
    <w:rsid w:val="00816423"/>
    <w:rsid w:val="00816555"/>
    <w:rsid w:val="0081670E"/>
    <w:rsid w:val="00816895"/>
    <w:rsid w:val="0081694B"/>
    <w:rsid w:val="00816A9E"/>
    <w:rsid w:val="00816C72"/>
    <w:rsid w:val="00816CFB"/>
    <w:rsid w:val="00816D39"/>
    <w:rsid w:val="00816D60"/>
    <w:rsid w:val="00816D98"/>
    <w:rsid w:val="00816E30"/>
    <w:rsid w:val="00816E4F"/>
    <w:rsid w:val="00816E5C"/>
    <w:rsid w:val="00816E8F"/>
    <w:rsid w:val="00816EAE"/>
    <w:rsid w:val="00816EEA"/>
    <w:rsid w:val="00816F4E"/>
    <w:rsid w:val="00816F61"/>
    <w:rsid w:val="00816FA1"/>
    <w:rsid w:val="00816FBF"/>
    <w:rsid w:val="008170D3"/>
    <w:rsid w:val="00817117"/>
    <w:rsid w:val="0081725F"/>
    <w:rsid w:val="008172EC"/>
    <w:rsid w:val="008173E3"/>
    <w:rsid w:val="008174AE"/>
    <w:rsid w:val="008174E1"/>
    <w:rsid w:val="00817589"/>
    <w:rsid w:val="008175FE"/>
    <w:rsid w:val="00817611"/>
    <w:rsid w:val="008177A2"/>
    <w:rsid w:val="00817923"/>
    <w:rsid w:val="00817A1C"/>
    <w:rsid w:val="00817A43"/>
    <w:rsid w:val="00817BCA"/>
    <w:rsid w:val="00817C32"/>
    <w:rsid w:val="00817C5E"/>
    <w:rsid w:val="00817CB0"/>
    <w:rsid w:val="00817D25"/>
    <w:rsid w:val="00817DF9"/>
    <w:rsid w:val="00817F92"/>
    <w:rsid w:val="00820152"/>
    <w:rsid w:val="008202B2"/>
    <w:rsid w:val="008202EB"/>
    <w:rsid w:val="008203B0"/>
    <w:rsid w:val="008204E3"/>
    <w:rsid w:val="00820526"/>
    <w:rsid w:val="0082052C"/>
    <w:rsid w:val="00820573"/>
    <w:rsid w:val="008206E8"/>
    <w:rsid w:val="008207EE"/>
    <w:rsid w:val="008208FC"/>
    <w:rsid w:val="00820907"/>
    <w:rsid w:val="0082091F"/>
    <w:rsid w:val="00820961"/>
    <w:rsid w:val="00820A44"/>
    <w:rsid w:val="00820C4A"/>
    <w:rsid w:val="00820CCC"/>
    <w:rsid w:val="00820E9A"/>
    <w:rsid w:val="00820FE9"/>
    <w:rsid w:val="008210D5"/>
    <w:rsid w:val="008211AE"/>
    <w:rsid w:val="008211DB"/>
    <w:rsid w:val="00821234"/>
    <w:rsid w:val="0082123C"/>
    <w:rsid w:val="00821289"/>
    <w:rsid w:val="0082149E"/>
    <w:rsid w:val="0082150B"/>
    <w:rsid w:val="0082167D"/>
    <w:rsid w:val="008217B3"/>
    <w:rsid w:val="008217B5"/>
    <w:rsid w:val="008218F3"/>
    <w:rsid w:val="008219A1"/>
    <w:rsid w:val="008219C0"/>
    <w:rsid w:val="00821A9F"/>
    <w:rsid w:val="00821AA5"/>
    <w:rsid w:val="00821C2B"/>
    <w:rsid w:val="00821EB6"/>
    <w:rsid w:val="00821FAF"/>
    <w:rsid w:val="00822099"/>
    <w:rsid w:val="008223B8"/>
    <w:rsid w:val="008224EA"/>
    <w:rsid w:val="00822545"/>
    <w:rsid w:val="00822579"/>
    <w:rsid w:val="008225EE"/>
    <w:rsid w:val="0082264B"/>
    <w:rsid w:val="00822684"/>
    <w:rsid w:val="00822938"/>
    <w:rsid w:val="008229FD"/>
    <w:rsid w:val="00822AB7"/>
    <w:rsid w:val="00822B2E"/>
    <w:rsid w:val="00822B63"/>
    <w:rsid w:val="00822B8C"/>
    <w:rsid w:val="00822D54"/>
    <w:rsid w:val="00822F05"/>
    <w:rsid w:val="00822F84"/>
    <w:rsid w:val="0082313B"/>
    <w:rsid w:val="008231B3"/>
    <w:rsid w:val="0082344A"/>
    <w:rsid w:val="00823AFE"/>
    <w:rsid w:val="00823B62"/>
    <w:rsid w:val="00823CC6"/>
    <w:rsid w:val="00823D55"/>
    <w:rsid w:val="00823F91"/>
    <w:rsid w:val="0082425D"/>
    <w:rsid w:val="008244E7"/>
    <w:rsid w:val="00824A72"/>
    <w:rsid w:val="00824BF6"/>
    <w:rsid w:val="00824E9D"/>
    <w:rsid w:val="00824F3A"/>
    <w:rsid w:val="00824FF0"/>
    <w:rsid w:val="0082505E"/>
    <w:rsid w:val="008250D5"/>
    <w:rsid w:val="008250F8"/>
    <w:rsid w:val="00825133"/>
    <w:rsid w:val="0082513A"/>
    <w:rsid w:val="00825188"/>
    <w:rsid w:val="00825203"/>
    <w:rsid w:val="008252A0"/>
    <w:rsid w:val="00825369"/>
    <w:rsid w:val="0082559C"/>
    <w:rsid w:val="008255EF"/>
    <w:rsid w:val="00825684"/>
    <w:rsid w:val="008256E4"/>
    <w:rsid w:val="00825999"/>
    <w:rsid w:val="00825A88"/>
    <w:rsid w:val="00825B0E"/>
    <w:rsid w:val="00825C2E"/>
    <w:rsid w:val="00825EBD"/>
    <w:rsid w:val="00825F91"/>
    <w:rsid w:val="00825FB0"/>
    <w:rsid w:val="00826084"/>
    <w:rsid w:val="00826271"/>
    <w:rsid w:val="0082631B"/>
    <w:rsid w:val="008263FC"/>
    <w:rsid w:val="00826454"/>
    <w:rsid w:val="00826634"/>
    <w:rsid w:val="00826730"/>
    <w:rsid w:val="00826850"/>
    <w:rsid w:val="00826929"/>
    <w:rsid w:val="0082698B"/>
    <w:rsid w:val="008269A9"/>
    <w:rsid w:val="00826ACB"/>
    <w:rsid w:val="00826AD0"/>
    <w:rsid w:val="00826AD7"/>
    <w:rsid w:val="00826D5C"/>
    <w:rsid w:val="00827043"/>
    <w:rsid w:val="008270E8"/>
    <w:rsid w:val="008271CB"/>
    <w:rsid w:val="008272AC"/>
    <w:rsid w:val="00827376"/>
    <w:rsid w:val="008274C7"/>
    <w:rsid w:val="00827569"/>
    <w:rsid w:val="0082765B"/>
    <w:rsid w:val="008277C3"/>
    <w:rsid w:val="008278F9"/>
    <w:rsid w:val="00827943"/>
    <w:rsid w:val="00827A0E"/>
    <w:rsid w:val="00827A1F"/>
    <w:rsid w:val="00827AEA"/>
    <w:rsid w:val="00827B21"/>
    <w:rsid w:val="00827BDD"/>
    <w:rsid w:val="00830040"/>
    <w:rsid w:val="008300AF"/>
    <w:rsid w:val="0083018E"/>
    <w:rsid w:val="0083019F"/>
    <w:rsid w:val="00830451"/>
    <w:rsid w:val="008304BF"/>
    <w:rsid w:val="008305A1"/>
    <w:rsid w:val="008305D3"/>
    <w:rsid w:val="008305DF"/>
    <w:rsid w:val="00830634"/>
    <w:rsid w:val="00830668"/>
    <w:rsid w:val="008306B3"/>
    <w:rsid w:val="008306C2"/>
    <w:rsid w:val="008307A9"/>
    <w:rsid w:val="00830835"/>
    <w:rsid w:val="008308BF"/>
    <w:rsid w:val="00830944"/>
    <w:rsid w:val="008309CA"/>
    <w:rsid w:val="00830A75"/>
    <w:rsid w:val="00830BA9"/>
    <w:rsid w:val="00830C3E"/>
    <w:rsid w:val="00830C55"/>
    <w:rsid w:val="00830C7F"/>
    <w:rsid w:val="00830CA7"/>
    <w:rsid w:val="00830D37"/>
    <w:rsid w:val="00830DFD"/>
    <w:rsid w:val="00830F6D"/>
    <w:rsid w:val="00831202"/>
    <w:rsid w:val="0083122D"/>
    <w:rsid w:val="00831254"/>
    <w:rsid w:val="0083134D"/>
    <w:rsid w:val="008313C5"/>
    <w:rsid w:val="008316E8"/>
    <w:rsid w:val="0083171E"/>
    <w:rsid w:val="008317EE"/>
    <w:rsid w:val="0083182F"/>
    <w:rsid w:val="00831918"/>
    <w:rsid w:val="00831A18"/>
    <w:rsid w:val="00831B25"/>
    <w:rsid w:val="00831B82"/>
    <w:rsid w:val="00831BB1"/>
    <w:rsid w:val="00831BB2"/>
    <w:rsid w:val="00831D21"/>
    <w:rsid w:val="00831EEC"/>
    <w:rsid w:val="00832038"/>
    <w:rsid w:val="00832045"/>
    <w:rsid w:val="0083211E"/>
    <w:rsid w:val="008321A1"/>
    <w:rsid w:val="008321FD"/>
    <w:rsid w:val="008322FD"/>
    <w:rsid w:val="008324F1"/>
    <w:rsid w:val="00832582"/>
    <w:rsid w:val="008326F2"/>
    <w:rsid w:val="0083277F"/>
    <w:rsid w:val="008328ED"/>
    <w:rsid w:val="00832902"/>
    <w:rsid w:val="0083290A"/>
    <w:rsid w:val="0083295A"/>
    <w:rsid w:val="00832A63"/>
    <w:rsid w:val="00832B70"/>
    <w:rsid w:val="00832B79"/>
    <w:rsid w:val="00832C82"/>
    <w:rsid w:val="00832C8B"/>
    <w:rsid w:val="00832CBC"/>
    <w:rsid w:val="00832CCA"/>
    <w:rsid w:val="00832CD5"/>
    <w:rsid w:val="00832CDE"/>
    <w:rsid w:val="00833171"/>
    <w:rsid w:val="008331CA"/>
    <w:rsid w:val="00833217"/>
    <w:rsid w:val="0083326B"/>
    <w:rsid w:val="008336C8"/>
    <w:rsid w:val="008336F2"/>
    <w:rsid w:val="0083373C"/>
    <w:rsid w:val="00833752"/>
    <w:rsid w:val="00833ACF"/>
    <w:rsid w:val="00833ADC"/>
    <w:rsid w:val="00833C04"/>
    <w:rsid w:val="00833DD7"/>
    <w:rsid w:val="00833DFB"/>
    <w:rsid w:val="00834090"/>
    <w:rsid w:val="008341C7"/>
    <w:rsid w:val="00834337"/>
    <w:rsid w:val="00834395"/>
    <w:rsid w:val="008344FF"/>
    <w:rsid w:val="0083452D"/>
    <w:rsid w:val="00834607"/>
    <w:rsid w:val="008346A1"/>
    <w:rsid w:val="008346F1"/>
    <w:rsid w:val="00834A62"/>
    <w:rsid w:val="00834AA9"/>
    <w:rsid w:val="00834B3C"/>
    <w:rsid w:val="00834C6A"/>
    <w:rsid w:val="00834D58"/>
    <w:rsid w:val="00835061"/>
    <w:rsid w:val="00835066"/>
    <w:rsid w:val="008352B1"/>
    <w:rsid w:val="008353E7"/>
    <w:rsid w:val="0083544E"/>
    <w:rsid w:val="008355FF"/>
    <w:rsid w:val="0083562F"/>
    <w:rsid w:val="0083572B"/>
    <w:rsid w:val="00835731"/>
    <w:rsid w:val="0083573C"/>
    <w:rsid w:val="0083574B"/>
    <w:rsid w:val="00835914"/>
    <w:rsid w:val="00835B15"/>
    <w:rsid w:val="00835B4C"/>
    <w:rsid w:val="00835B51"/>
    <w:rsid w:val="00835BD7"/>
    <w:rsid w:val="00835D29"/>
    <w:rsid w:val="00835DAE"/>
    <w:rsid w:val="00836086"/>
    <w:rsid w:val="008363C9"/>
    <w:rsid w:val="00836481"/>
    <w:rsid w:val="00836489"/>
    <w:rsid w:val="00836580"/>
    <w:rsid w:val="008365A2"/>
    <w:rsid w:val="008365C1"/>
    <w:rsid w:val="0083663E"/>
    <w:rsid w:val="00836856"/>
    <w:rsid w:val="00836887"/>
    <w:rsid w:val="008368F7"/>
    <w:rsid w:val="00836991"/>
    <w:rsid w:val="00836A00"/>
    <w:rsid w:val="00836A33"/>
    <w:rsid w:val="00836CD4"/>
    <w:rsid w:val="00836D0F"/>
    <w:rsid w:val="00836D86"/>
    <w:rsid w:val="00836F86"/>
    <w:rsid w:val="00837018"/>
    <w:rsid w:val="00837213"/>
    <w:rsid w:val="008372E3"/>
    <w:rsid w:val="008374EE"/>
    <w:rsid w:val="00837530"/>
    <w:rsid w:val="008375A3"/>
    <w:rsid w:val="0083768A"/>
    <w:rsid w:val="0083768F"/>
    <w:rsid w:val="0083771A"/>
    <w:rsid w:val="00837786"/>
    <w:rsid w:val="008377A0"/>
    <w:rsid w:val="008377A8"/>
    <w:rsid w:val="00837815"/>
    <w:rsid w:val="0083796E"/>
    <w:rsid w:val="00837982"/>
    <w:rsid w:val="00837B4E"/>
    <w:rsid w:val="00837BAB"/>
    <w:rsid w:val="00837CE9"/>
    <w:rsid w:val="008401A6"/>
    <w:rsid w:val="008401EB"/>
    <w:rsid w:val="008401F9"/>
    <w:rsid w:val="00840375"/>
    <w:rsid w:val="008403FC"/>
    <w:rsid w:val="0084043E"/>
    <w:rsid w:val="0084050F"/>
    <w:rsid w:val="008406A3"/>
    <w:rsid w:val="008407EB"/>
    <w:rsid w:val="008407F2"/>
    <w:rsid w:val="00840963"/>
    <w:rsid w:val="00840A03"/>
    <w:rsid w:val="00840B88"/>
    <w:rsid w:val="00840BAF"/>
    <w:rsid w:val="00840BB1"/>
    <w:rsid w:val="00840BDB"/>
    <w:rsid w:val="00840CCB"/>
    <w:rsid w:val="00840E69"/>
    <w:rsid w:val="00840E78"/>
    <w:rsid w:val="00840EA7"/>
    <w:rsid w:val="00840EE8"/>
    <w:rsid w:val="00840EF6"/>
    <w:rsid w:val="00840F1E"/>
    <w:rsid w:val="00841083"/>
    <w:rsid w:val="008410AE"/>
    <w:rsid w:val="008410C7"/>
    <w:rsid w:val="00841142"/>
    <w:rsid w:val="00841173"/>
    <w:rsid w:val="00841227"/>
    <w:rsid w:val="00841290"/>
    <w:rsid w:val="008414EF"/>
    <w:rsid w:val="0084158C"/>
    <w:rsid w:val="008417D3"/>
    <w:rsid w:val="0084186A"/>
    <w:rsid w:val="00841918"/>
    <w:rsid w:val="008419B9"/>
    <w:rsid w:val="008419BB"/>
    <w:rsid w:val="00841A57"/>
    <w:rsid w:val="00841B3A"/>
    <w:rsid w:val="00841CAA"/>
    <w:rsid w:val="00841D84"/>
    <w:rsid w:val="00841DD2"/>
    <w:rsid w:val="00841F76"/>
    <w:rsid w:val="00841FCD"/>
    <w:rsid w:val="00841FEE"/>
    <w:rsid w:val="00842047"/>
    <w:rsid w:val="008420AE"/>
    <w:rsid w:val="008421A9"/>
    <w:rsid w:val="00842255"/>
    <w:rsid w:val="008422EE"/>
    <w:rsid w:val="00842301"/>
    <w:rsid w:val="0084231C"/>
    <w:rsid w:val="008423D2"/>
    <w:rsid w:val="008423F0"/>
    <w:rsid w:val="008424B7"/>
    <w:rsid w:val="00842573"/>
    <w:rsid w:val="00842589"/>
    <w:rsid w:val="008425A7"/>
    <w:rsid w:val="0084265E"/>
    <w:rsid w:val="008426FD"/>
    <w:rsid w:val="0084283E"/>
    <w:rsid w:val="008428E8"/>
    <w:rsid w:val="00842996"/>
    <w:rsid w:val="008429F2"/>
    <w:rsid w:val="00842CFE"/>
    <w:rsid w:val="00842D95"/>
    <w:rsid w:val="00842E7E"/>
    <w:rsid w:val="00842FBD"/>
    <w:rsid w:val="00842FCB"/>
    <w:rsid w:val="00842FFB"/>
    <w:rsid w:val="00843077"/>
    <w:rsid w:val="0084307E"/>
    <w:rsid w:val="0084316D"/>
    <w:rsid w:val="00843279"/>
    <w:rsid w:val="008432A1"/>
    <w:rsid w:val="00843780"/>
    <w:rsid w:val="008438A1"/>
    <w:rsid w:val="0084399D"/>
    <w:rsid w:val="00843A60"/>
    <w:rsid w:val="00843AFB"/>
    <w:rsid w:val="00843B60"/>
    <w:rsid w:val="00843D71"/>
    <w:rsid w:val="00843E75"/>
    <w:rsid w:val="00843EFB"/>
    <w:rsid w:val="00843F2B"/>
    <w:rsid w:val="00843F58"/>
    <w:rsid w:val="008440BA"/>
    <w:rsid w:val="00844166"/>
    <w:rsid w:val="0084418D"/>
    <w:rsid w:val="0084420D"/>
    <w:rsid w:val="008442B3"/>
    <w:rsid w:val="0084437E"/>
    <w:rsid w:val="0084439C"/>
    <w:rsid w:val="008443AA"/>
    <w:rsid w:val="0084451D"/>
    <w:rsid w:val="0084465A"/>
    <w:rsid w:val="008446CF"/>
    <w:rsid w:val="008447FB"/>
    <w:rsid w:val="0084487B"/>
    <w:rsid w:val="008448BC"/>
    <w:rsid w:val="00844915"/>
    <w:rsid w:val="008449C0"/>
    <w:rsid w:val="00844A1B"/>
    <w:rsid w:val="00844A49"/>
    <w:rsid w:val="00844AE1"/>
    <w:rsid w:val="00844B3B"/>
    <w:rsid w:val="00844BA1"/>
    <w:rsid w:val="00844BD0"/>
    <w:rsid w:val="00844ECD"/>
    <w:rsid w:val="00845017"/>
    <w:rsid w:val="00845029"/>
    <w:rsid w:val="0084520F"/>
    <w:rsid w:val="00845297"/>
    <w:rsid w:val="008453EC"/>
    <w:rsid w:val="00845434"/>
    <w:rsid w:val="008454BB"/>
    <w:rsid w:val="008454CB"/>
    <w:rsid w:val="0084552D"/>
    <w:rsid w:val="00845817"/>
    <w:rsid w:val="00845865"/>
    <w:rsid w:val="00845955"/>
    <w:rsid w:val="008459B7"/>
    <w:rsid w:val="00845A53"/>
    <w:rsid w:val="00845B11"/>
    <w:rsid w:val="00845B57"/>
    <w:rsid w:val="00845BEE"/>
    <w:rsid w:val="00845C7C"/>
    <w:rsid w:val="00845C92"/>
    <w:rsid w:val="00845FE8"/>
    <w:rsid w:val="008460C8"/>
    <w:rsid w:val="0084612B"/>
    <w:rsid w:val="00846143"/>
    <w:rsid w:val="008463A6"/>
    <w:rsid w:val="0084668F"/>
    <w:rsid w:val="0084672A"/>
    <w:rsid w:val="008467B1"/>
    <w:rsid w:val="00846830"/>
    <w:rsid w:val="0084684A"/>
    <w:rsid w:val="00846A48"/>
    <w:rsid w:val="00846AD1"/>
    <w:rsid w:val="00846BF8"/>
    <w:rsid w:val="00846E4D"/>
    <w:rsid w:val="00846F11"/>
    <w:rsid w:val="008470D2"/>
    <w:rsid w:val="008470F9"/>
    <w:rsid w:val="00847115"/>
    <w:rsid w:val="00847143"/>
    <w:rsid w:val="00847257"/>
    <w:rsid w:val="008472AE"/>
    <w:rsid w:val="008472C9"/>
    <w:rsid w:val="0084745A"/>
    <w:rsid w:val="0084746C"/>
    <w:rsid w:val="008475F2"/>
    <w:rsid w:val="008476FB"/>
    <w:rsid w:val="00847745"/>
    <w:rsid w:val="008477D8"/>
    <w:rsid w:val="00847879"/>
    <w:rsid w:val="00847971"/>
    <w:rsid w:val="00847F4C"/>
    <w:rsid w:val="00847F55"/>
    <w:rsid w:val="0084F58B"/>
    <w:rsid w:val="00850186"/>
    <w:rsid w:val="0085033A"/>
    <w:rsid w:val="008503BD"/>
    <w:rsid w:val="008503CD"/>
    <w:rsid w:val="00850445"/>
    <w:rsid w:val="008504D0"/>
    <w:rsid w:val="00850503"/>
    <w:rsid w:val="0085055B"/>
    <w:rsid w:val="00850581"/>
    <w:rsid w:val="00850846"/>
    <w:rsid w:val="0085086E"/>
    <w:rsid w:val="008508A3"/>
    <w:rsid w:val="008509DC"/>
    <w:rsid w:val="00850AA9"/>
    <w:rsid w:val="00850AB0"/>
    <w:rsid w:val="00850C34"/>
    <w:rsid w:val="00850CBD"/>
    <w:rsid w:val="00850D02"/>
    <w:rsid w:val="00850D7E"/>
    <w:rsid w:val="00850E15"/>
    <w:rsid w:val="00850F4C"/>
    <w:rsid w:val="00851178"/>
    <w:rsid w:val="0085124D"/>
    <w:rsid w:val="008512AC"/>
    <w:rsid w:val="008512E9"/>
    <w:rsid w:val="00851315"/>
    <w:rsid w:val="00851323"/>
    <w:rsid w:val="00851352"/>
    <w:rsid w:val="00851393"/>
    <w:rsid w:val="008513E0"/>
    <w:rsid w:val="00851454"/>
    <w:rsid w:val="008515F0"/>
    <w:rsid w:val="00851746"/>
    <w:rsid w:val="00851841"/>
    <w:rsid w:val="00851870"/>
    <w:rsid w:val="00851AF1"/>
    <w:rsid w:val="00851B2D"/>
    <w:rsid w:val="00851CDB"/>
    <w:rsid w:val="00851DFD"/>
    <w:rsid w:val="00851F1B"/>
    <w:rsid w:val="00851FBB"/>
    <w:rsid w:val="0085207B"/>
    <w:rsid w:val="0085209E"/>
    <w:rsid w:val="00852174"/>
    <w:rsid w:val="008522E1"/>
    <w:rsid w:val="00852354"/>
    <w:rsid w:val="00852391"/>
    <w:rsid w:val="008523AC"/>
    <w:rsid w:val="008523EC"/>
    <w:rsid w:val="00852448"/>
    <w:rsid w:val="00852463"/>
    <w:rsid w:val="008525E4"/>
    <w:rsid w:val="0085269F"/>
    <w:rsid w:val="00852808"/>
    <w:rsid w:val="00852817"/>
    <w:rsid w:val="00852881"/>
    <w:rsid w:val="0085299E"/>
    <w:rsid w:val="00852A11"/>
    <w:rsid w:val="00852A44"/>
    <w:rsid w:val="00852AA1"/>
    <w:rsid w:val="00852AD2"/>
    <w:rsid w:val="00852AD6"/>
    <w:rsid w:val="00852B01"/>
    <w:rsid w:val="00852C94"/>
    <w:rsid w:val="00852CA3"/>
    <w:rsid w:val="00852CC2"/>
    <w:rsid w:val="00852CF8"/>
    <w:rsid w:val="00852E1E"/>
    <w:rsid w:val="00852E40"/>
    <w:rsid w:val="00852E88"/>
    <w:rsid w:val="00852ED0"/>
    <w:rsid w:val="00852F29"/>
    <w:rsid w:val="00852F47"/>
    <w:rsid w:val="00852F8F"/>
    <w:rsid w:val="00852F9C"/>
    <w:rsid w:val="00853005"/>
    <w:rsid w:val="00853057"/>
    <w:rsid w:val="0085306B"/>
    <w:rsid w:val="00853084"/>
    <w:rsid w:val="00853216"/>
    <w:rsid w:val="0085322B"/>
    <w:rsid w:val="00853394"/>
    <w:rsid w:val="00853509"/>
    <w:rsid w:val="008535AC"/>
    <w:rsid w:val="008535CE"/>
    <w:rsid w:val="00853742"/>
    <w:rsid w:val="00853779"/>
    <w:rsid w:val="00853907"/>
    <w:rsid w:val="0085395F"/>
    <w:rsid w:val="00853B49"/>
    <w:rsid w:val="00853D4D"/>
    <w:rsid w:val="00853EF1"/>
    <w:rsid w:val="00853F49"/>
    <w:rsid w:val="0085406C"/>
    <w:rsid w:val="008540AC"/>
    <w:rsid w:val="008540DE"/>
    <w:rsid w:val="008540EE"/>
    <w:rsid w:val="00854119"/>
    <w:rsid w:val="00854173"/>
    <w:rsid w:val="008541DA"/>
    <w:rsid w:val="00854344"/>
    <w:rsid w:val="008544F6"/>
    <w:rsid w:val="00854594"/>
    <w:rsid w:val="0085461F"/>
    <w:rsid w:val="0085474A"/>
    <w:rsid w:val="008548DB"/>
    <w:rsid w:val="008549D9"/>
    <w:rsid w:val="00854B97"/>
    <w:rsid w:val="00854BA9"/>
    <w:rsid w:val="00854BB5"/>
    <w:rsid w:val="00854BBB"/>
    <w:rsid w:val="00854BDD"/>
    <w:rsid w:val="00854DD1"/>
    <w:rsid w:val="008550B2"/>
    <w:rsid w:val="008550F3"/>
    <w:rsid w:val="0085513A"/>
    <w:rsid w:val="0085519E"/>
    <w:rsid w:val="0085521B"/>
    <w:rsid w:val="008552DE"/>
    <w:rsid w:val="00855453"/>
    <w:rsid w:val="008554F7"/>
    <w:rsid w:val="008557B6"/>
    <w:rsid w:val="00855958"/>
    <w:rsid w:val="00855A49"/>
    <w:rsid w:val="00855A68"/>
    <w:rsid w:val="00855A83"/>
    <w:rsid w:val="00855B04"/>
    <w:rsid w:val="00855B4C"/>
    <w:rsid w:val="00855C04"/>
    <w:rsid w:val="00855C0F"/>
    <w:rsid w:val="00855D00"/>
    <w:rsid w:val="00855E12"/>
    <w:rsid w:val="00855F37"/>
    <w:rsid w:val="008565A9"/>
    <w:rsid w:val="0085662F"/>
    <w:rsid w:val="00856662"/>
    <w:rsid w:val="00856717"/>
    <w:rsid w:val="008567E7"/>
    <w:rsid w:val="008569DF"/>
    <w:rsid w:val="008569F1"/>
    <w:rsid w:val="00856C9C"/>
    <w:rsid w:val="00856DBD"/>
    <w:rsid w:val="00856E58"/>
    <w:rsid w:val="00856E64"/>
    <w:rsid w:val="00856E6F"/>
    <w:rsid w:val="00856F2B"/>
    <w:rsid w:val="00856F2C"/>
    <w:rsid w:val="00856F87"/>
    <w:rsid w:val="00857161"/>
    <w:rsid w:val="008571B1"/>
    <w:rsid w:val="0085721E"/>
    <w:rsid w:val="008572C9"/>
    <w:rsid w:val="0085745C"/>
    <w:rsid w:val="00857B57"/>
    <w:rsid w:val="00857E66"/>
    <w:rsid w:val="00857FDA"/>
    <w:rsid w:val="0086001A"/>
    <w:rsid w:val="00860113"/>
    <w:rsid w:val="00860153"/>
    <w:rsid w:val="0086023D"/>
    <w:rsid w:val="00860272"/>
    <w:rsid w:val="008603D9"/>
    <w:rsid w:val="00860540"/>
    <w:rsid w:val="00860847"/>
    <w:rsid w:val="008608C4"/>
    <w:rsid w:val="00860956"/>
    <w:rsid w:val="0086099C"/>
    <w:rsid w:val="00860A03"/>
    <w:rsid w:val="00860ABD"/>
    <w:rsid w:val="00860B96"/>
    <w:rsid w:val="00860E00"/>
    <w:rsid w:val="00860E24"/>
    <w:rsid w:val="0086106D"/>
    <w:rsid w:val="008610AE"/>
    <w:rsid w:val="00861210"/>
    <w:rsid w:val="00861447"/>
    <w:rsid w:val="008614A0"/>
    <w:rsid w:val="008614C2"/>
    <w:rsid w:val="00861512"/>
    <w:rsid w:val="00861521"/>
    <w:rsid w:val="00861578"/>
    <w:rsid w:val="0086157D"/>
    <w:rsid w:val="00861585"/>
    <w:rsid w:val="00861667"/>
    <w:rsid w:val="008616F2"/>
    <w:rsid w:val="00861706"/>
    <w:rsid w:val="00861801"/>
    <w:rsid w:val="00861878"/>
    <w:rsid w:val="008619B1"/>
    <w:rsid w:val="00861AFF"/>
    <w:rsid w:val="00861B2C"/>
    <w:rsid w:val="00861B94"/>
    <w:rsid w:val="00861BA4"/>
    <w:rsid w:val="00861BE4"/>
    <w:rsid w:val="00861C97"/>
    <w:rsid w:val="00861C9C"/>
    <w:rsid w:val="00861CBC"/>
    <w:rsid w:val="00861CF8"/>
    <w:rsid w:val="00861E0D"/>
    <w:rsid w:val="00861E1E"/>
    <w:rsid w:val="00861E43"/>
    <w:rsid w:val="0086205E"/>
    <w:rsid w:val="00862116"/>
    <w:rsid w:val="008621AB"/>
    <w:rsid w:val="0086226A"/>
    <w:rsid w:val="00862327"/>
    <w:rsid w:val="00862360"/>
    <w:rsid w:val="00862406"/>
    <w:rsid w:val="00862461"/>
    <w:rsid w:val="00862533"/>
    <w:rsid w:val="00862583"/>
    <w:rsid w:val="0086259E"/>
    <w:rsid w:val="008625AA"/>
    <w:rsid w:val="008625C0"/>
    <w:rsid w:val="008625E3"/>
    <w:rsid w:val="00862641"/>
    <w:rsid w:val="00862714"/>
    <w:rsid w:val="0086282F"/>
    <w:rsid w:val="00862941"/>
    <w:rsid w:val="00862A93"/>
    <w:rsid w:val="00862C4D"/>
    <w:rsid w:val="00862D8C"/>
    <w:rsid w:val="008631F8"/>
    <w:rsid w:val="00863315"/>
    <w:rsid w:val="008634DB"/>
    <w:rsid w:val="0086356C"/>
    <w:rsid w:val="0086366D"/>
    <w:rsid w:val="0086369F"/>
    <w:rsid w:val="008636BE"/>
    <w:rsid w:val="0086373F"/>
    <w:rsid w:val="00863B8B"/>
    <w:rsid w:val="00863C61"/>
    <w:rsid w:val="00863CAF"/>
    <w:rsid w:val="00863CF1"/>
    <w:rsid w:val="00863D27"/>
    <w:rsid w:val="00863E07"/>
    <w:rsid w:val="00863FDC"/>
    <w:rsid w:val="00863FE3"/>
    <w:rsid w:val="008641B5"/>
    <w:rsid w:val="008642E7"/>
    <w:rsid w:val="00864319"/>
    <w:rsid w:val="00864369"/>
    <w:rsid w:val="008643F8"/>
    <w:rsid w:val="0086449C"/>
    <w:rsid w:val="008645EF"/>
    <w:rsid w:val="0086466F"/>
    <w:rsid w:val="00864977"/>
    <w:rsid w:val="008649F6"/>
    <w:rsid w:val="00864AAB"/>
    <w:rsid w:val="00864BEA"/>
    <w:rsid w:val="00864D45"/>
    <w:rsid w:val="00864DE2"/>
    <w:rsid w:val="00864E11"/>
    <w:rsid w:val="00864E5F"/>
    <w:rsid w:val="0086500E"/>
    <w:rsid w:val="00865093"/>
    <w:rsid w:val="00865215"/>
    <w:rsid w:val="00865275"/>
    <w:rsid w:val="008654E1"/>
    <w:rsid w:val="008654EA"/>
    <w:rsid w:val="008659FE"/>
    <w:rsid w:val="00865B98"/>
    <w:rsid w:val="00865BCD"/>
    <w:rsid w:val="00865CB6"/>
    <w:rsid w:val="00865CCF"/>
    <w:rsid w:val="00865D23"/>
    <w:rsid w:val="00865D4D"/>
    <w:rsid w:val="00865DC8"/>
    <w:rsid w:val="00865F59"/>
    <w:rsid w:val="00866033"/>
    <w:rsid w:val="00866151"/>
    <w:rsid w:val="00866471"/>
    <w:rsid w:val="008666E8"/>
    <w:rsid w:val="0086681C"/>
    <w:rsid w:val="008669B6"/>
    <w:rsid w:val="008669FF"/>
    <w:rsid w:val="00866AED"/>
    <w:rsid w:val="00866C13"/>
    <w:rsid w:val="00866C1F"/>
    <w:rsid w:val="00866CAC"/>
    <w:rsid w:val="00866D5C"/>
    <w:rsid w:val="00866E1E"/>
    <w:rsid w:val="00866F2E"/>
    <w:rsid w:val="00866F5F"/>
    <w:rsid w:val="00866FAD"/>
    <w:rsid w:val="00866FE4"/>
    <w:rsid w:val="00867022"/>
    <w:rsid w:val="0086715A"/>
    <w:rsid w:val="0086722C"/>
    <w:rsid w:val="00867267"/>
    <w:rsid w:val="0086726E"/>
    <w:rsid w:val="0086727B"/>
    <w:rsid w:val="00867344"/>
    <w:rsid w:val="00867661"/>
    <w:rsid w:val="00867673"/>
    <w:rsid w:val="00867678"/>
    <w:rsid w:val="00867B0B"/>
    <w:rsid w:val="00867BE4"/>
    <w:rsid w:val="00867BE6"/>
    <w:rsid w:val="00867C6A"/>
    <w:rsid w:val="00867CC9"/>
    <w:rsid w:val="00867DFF"/>
    <w:rsid w:val="00867FDC"/>
    <w:rsid w:val="0086D049"/>
    <w:rsid w:val="00870045"/>
    <w:rsid w:val="008703AE"/>
    <w:rsid w:val="00870485"/>
    <w:rsid w:val="00870688"/>
    <w:rsid w:val="00870704"/>
    <w:rsid w:val="00870783"/>
    <w:rsid w:val="00870AD7"/>
    <w:rsid w:val="00870BD1"/>
    <w:rsid w:val="00870C48"/>
    <w:rsid w:val="00870E61"/>
    <w:rsid w:val="00870ED8"/>
    <w:rsid w:val="00870F5D"/>
    <w:rsid w:val="00871054"/>
    <w:rsid w:val="00871062"/>
    <w:rsid w:val="00871390"/>
    <w:rsid w:val="008714AF"/>
    <w:rsid w:val="008714B4"/>
    <w:rsid w:val="008716A6"/>
    <w:rsid w:val="008716C0"/>
    <w:rsid w:val="00871707"/>
    <w:rsid w:val="00871743"/>
    <w:rsid w:val="00871773"/>
    <w:rsid w:val="008717E5"/>
    <w:rsid w:val="00871AE0"/>
    <w:rsid w:val="00871B25"/>
    <w:rsid w:val="00871B47"/>
    <w:rsid w:val="00871DB3"/>
    <w:rsid w:val="008720CE"/>
    <w:rsid w:val="008720F7"/>
    <w:rsid w:val="00872293"/>
    <w:rsid w:val="0087231E"/>
    <w:rsid w:val="0087245C"/>
    <w:rsid w:val="00872488"/>
    <w:rsid w:val="00872556"/>
    <w:rsid w:val="008725C0"/>
    <w:rsid w:val="00872706"/>
    <w:rsid w:val="00872878"/>
    <w:rsid w:val="00872934"/>
    <w:rsid w:val="00872B3D"/>
    <w:rsid w:val="00872C61"/>
    <w:rsid w:val="00872CA2"/>
    <w:rsid w:val="00872D8C"/>
    <w:rsid w:val="00872F00"/>
    <w:rsid w:val="00872F39"/>
    <w:rsid w:val="00873099"/>
    <w:rsid w:val="00873188"/>
    <w:rsid w:val="00873258"/>
    <w:rsid w:val="008732E7"/>
    <w:rsid w:val="008733C9"/>
    <w:rsid w:val="0087347A"/>
    <w:rsid w:val="00873685"/>
    <w:rsid w:val="0087394F"/>
    <w:rsid w:val="0087399D"/>
    <w:rsid w:val="00873A9D"/>
    <w:rsid w:val="00873AF9"/>
    <w:rsid w:val="00873B61"/>
    <w:rsid w:val="00873D67"/>
    <w:rsid w:val="00873DBD"/>
    <w:rsid w:val="00873FF1"/>
    <w:rsid w:val="008740BD"/>
    <w:rsid w:val="0087416D"/>
    <w:rsid w:val="008741D1"/>
    <w:rsid w:val="00874229"/>
    <w:rsid w:val="008742A8"/>
    <w:rsid w:val="00874436"/>
    <w:rsid w:val="008744D7"/>
    <w:rsid w:val="008744F4"/>
    <w:rsid w:val="00874791"/>
    <w:rsid w:val="0087485D"/>
    <w:rsid w:val="008748E9"/>
    <w:rsid w:val="0087493B"/>
    <w:rsid w:val="00874987"/>
    <w:rsid w:val="00874990"/>
    <w:rsid w:val="008749D1"/>
    <w:rsid w:val="00874BF6"/>
    <w:rsid w:val="00874C3F"/>
    <w:rsid w:val="00874CA0"/>
    <w:rsid w:val="00874CA1"/>
    <w:rsid w:val="00874CB7"/>
    <w:rsid w:val="00874FD2"/>
    <w:rsid w:val="00875019"/>
    <w:rsid w:val="00875085"/>
    <w:rsid w:val="0087516A"/>
    <w:rsid w:val="00875283"/>
    <w:rsid w:val="008752C1"/>
    <w:rsid w:val="0087535D"/>
    <w:rsid w:val="008754A1"/>
    <w:rsid w:val="0087566B"/>
    <w:rsid w:val="008756BF"/>
    <w:rsid w:val="00875708"/>
    <w:rsid w:val="00875763"/>
    <w:rsid w:val="008757AB"/>
    <w:rsid w:val="008757C2"/>
    <w:rsid w:val="008757E7"/>
    <w:rsid w:val="00875A6E"/>
    <w:rsid w:val="00875BD8"/>
    <w:rsid w:val="00875C50"/>
    <w:rsid w:val="00875CF4"/>
    <w:rsid w:val="00875D42"/>
    <w:rsid w:val="00875E0B"/>
    <w:rsid w:val="00875E8F"/>
    <w:rsid w:val="00875EA7"/>
    <w:rsid w:val="00875EB2"/>
    <w:rsid w:val="00875F0A"/>
    <w:rsid w:val="008760A0"/>
    <w:rsid w:val="0087619B"/>
    <w:rsid w:val="00876222"/>
    <w:rsid w:val="00876233"/>
    <w:rsid w:val="00876380"/>
    <w:rsid w:val="00876448"/>
    <w:rsid w:val="008766A0"/>
    <w:rsid w:val="0087674B"/>
    <w:rsid w:val="008767A8"/>
    <w:rsid w:val="00876858"/>
    <w:rsid w:val="00876956"/>
    <w:rsid w:val="00876C36"/>
    <w:rsid w:val="00876C6B"/>
    <w:rsid w:val="00876CB1"/>
    <w:rsid w:val="00876DE1"/>
    <w:rsid w:val="00876E5F"/>
    <w:rsid w:val="00877019"/>
    <w:rsid w:val="008772DA"/>
    <w:rsid w:val="00877408"/>
    <w:rsid w:val="008775F1"/>
    <w:rsid w:val="00877614"/>
    <w:rsid w:val="00877679"/>
    <w:rsid w:val="008776BC"/>
    <w:rsid w:val="008777F6"/>
    <w:rsid w:val="00877A3E"/>
    <w:rsid w:val="00877AB7"/>
    <w:rsid w:val="00877C07"/>
    <w:rsid w:val="00877C82"/>
    <w:rsid w:val="00877CE7"/>
    <w:rsid w:val="00877DF7"/>
    <w:rsid w:val="00877F0B"/>
    <w:rsid w:val="00877FD2"/>
    <w:rsid w:val="00880001"/>
    <w:rsid w:val="0088026B"/>
    <w:rsid w:val="008802F2"/>
    <w:rsid w:val="00880332"/>
    <w:rsid w:val="00880386"/>
    <w:rsid w:val="008803A3"/>
    <w:rsid w:val="008803BA"/>
    <w:rsid w:val="00880458"/>
    <w:rsid w:val="0088053D"/>
    <w:rsid w:val="0088056E"/>
    <w:rsid w:val="00880664"/>
    <w:rsid w:val="00880674"/>
    <w:rsid w:val="00880707"/>
    <w:rsid w:val="0088075C"/>
    <w:rsid w:val="00880779"/>
    <w:rsid w:val="00880A03"/>
    <w:rsid w:val="00880BC4"/>
    <w:rsid w:val="00880C67"/>
    <w:rsid w:val="00880C8D"/>
    <w:rsid w:val="00880D35"/>
    <w:rsid w:val="00880D92"/>
    <w:rsid w:val="00880F3C"/>
    <w:rsid w:val="00881112"/>
    <w:rsid w:val="0088175B"/>
    <w:rsid w:val="00881848"/>
    <w:rsid w:val="008818F7"/>
    <w:rsid w:val="00881A59"/>
    <w:rsid w:val="00881B9D"/>
    <w:rsid w:val="00881BD5"/>
    <w:rsid w:val="00881C40"/>
    <w:rsid w:val="00881CA7"/>
    <w:rsid w:val="00881CF3"/>
    <w:rsid w:val="00881E8B"/>
    <w:rsid w:val="00882027"/>
    <w:rsid w:val="00882082"/>
    <w:rsid w:val="00882102"/>
    <w:rsid w:val="008822BC"/>
    <w:rsid w:val="008822BD"/>
    <w:rsid w:val="008822F9"/>
    <w:rsid w:val="00882315"/>
    <w:rsid w:val="008823AA"/>
    <w:rsid w:val="00882461"/>
    <w:rsid w:val="00882558"/>
    <w:rsid w:val="00882614"/>
    <w:rsid w:val="0088264C"/>
    <w:rsid w:val="00882701"/>
    <w:rsid w:val="00882751"/>
    <w:rsid w:val="00882758"/>
    <w:rsid w:val="00882871"/>
    <w:rsid w:val="00882BC9"/>
    <w:rsid w:val="00882CCA"/>
    <w:rsid w:val="00882E7A"/>
    <w:rsid w:val="00882F28"/>
    <w:rsid w:val="00882F47"/>
    <w:rsid w:val="00882F94"/>
    <w:rsid w:val="0088324A"/>
    <w:rsid w:val="00883479"/>
    <w:rsid w:val="008835CC"/>
    <w:rsid w:val="008835FB"/>
    <w:rsid w:val="0088378C"/>
    <w:rsid w:val="008838D1"/>
    <w:rsid w:val="00883AD9"/>
    <w:rsid w:val="00883BCD"/>
    <w:rsid w:val="00883BE0"/>
    <w:rsid w:val="00883BFE"/>
    <w:rsid w:val="00883C35"/>
    <w:rsid w:val="00883CB8"/>
    <w:rsid w:val="00883D6C"/>
    <w:rsid w:val="00883FEB"/>
    <w:rsid w:val="00884047"/>
    <w:rsid w:val="008841D0"/>
    <w:rsid w:val="008841D9"/>
    <w:rsid w:val="00884368"/>
    <w:rsid w:val="008843BD"/>
    <w:rsid w:val="008843EB"/>
    <w:rsid w:val="008843FC"/>
    <w:rsid w:val="00884504"/>
    <w:rsid w:val="00884654"/>
    <w:rsid w:val="0088465A"/>
    <w:rsid w:val="00884679"/>
    <w:rsid w:val="008846A2"/>
    <w:rsid w:val="00884742"/>
    <w:rsid w:val="00884780"/>
    <w:rsid w:val="00884795"/>
    <w:rsid w:val="008847BF"/>
    <w:rsid w:val="0088484A"/>
    <w:rsid w:val="00884A12"/>
    <w:rsid w:val="00884AC0"/>
    <w:rsid w:val="00884BFD"/>
    <w:rsid w:val="00885129"/>
    <w:rsid w:val="00885385"/>
    <w:rsid w:val="008853AF"/>
    <w:rsid w:val="008855EA"/>
    <w:rsid w:val="008855EF"/>
    <w:rsid w:val="0088574F"/>
    <w:rsid w:val="008858D0"/>
    <w:rsid w:val="00885A56"/>
    <w:rsid w:val="00885BDC"/>
    <w:rsid w:val="00885C75"/>
    <w:rsid w:val="00885CBE"/>
    <w:rsid w:val="00885D59"/>
    <w:rsid w:val="00885DF6"/>
    <w:rsid w:val="00885FDA"/>
    <w:rsid w:val="00886079"/>
    <w:rsid w:val="00886091"/>
    <w:rsid w:val="008860A5"/>
    <w:rsid w:val="008860B3"/>
    <w:rsid w:val="008860DF"/>
    <w:rsid w:val="00886114"/>
    <w:rsid w:val="00886438"/>
    <w:rsid w:val="0088665B"/>
    <w:rsid w:val="00886665"/>
    <w:rsid w:val="00886704"/>
    <w:rsid w:val="0088684F"/>
    <w:rsid w:val="00886859"/>
    <w:rsid w:val="00886A81"/>
    <w:rsid w:val="00886AC8"/>
    <w:rsid w:val="00886B01"/>
    <w:rsid w:val="00886BE9"/>
    <w:rsid w:val="00886C44"/>
    <w:rsid w:val="00886DB6"/>
    <w:rsid w:val="00886F0E"/>
    <w:rsid w:val="00886F1C"/>
    <w:rsid w:val="00886F98"/>
    <w:rsid w:val="008870F4"/>
    <w:rsid w:val="00887111"/>
    <w:rsid w:val="0088714C"/>
    <w:rsid w:val="008871D0"/>
    <w:rsid w:val="00887283"/>
    <w:rsid w:val="008872A6"/>
    <w:rsid w:val="008873A3"/>
    <w:rsid w:val="00887681"/>
    <w:rsid w:val="00887693"/>
    <w:rsid w:val="00887792"/>
    <w:rsid w:val="00887804"/>
    <w:rsid w:val="0088783A"/>
    <w:rsid w:val="008879B0"/>
    <w:rsid w:val="00887B3A"/>
    <w:rsid w:val="00887B7C"/>
    <w:rsid w:val="00887B9A"/>
    <w:rsid w:val="00887B9B"/>
    <w:rsid w:val="00887C2B"/>
    <w:rsid w:val="00887E0E"/>
    <w:rsid w:val="00887F3B"/>
    <w:rsid w:val="00890259"/>
    <w:rsid w:val="0089038C"/>
    <w:rsid w:val="008904A6"/>
    <w:rsid w:val="008904C7"/>
    <w:rsid w:val="008904F0"/>
    <w:rsid w:val="00890617"/>
    <w:rsid w:val="008907AD"/>
    <w:rsid w:val="008907C3"/>
    <w:rsid w:val="008908C8"/>
    <w:rsid w:val="00890AA8"/>
    <w:rsid w:val="00890B30"/>
    <w:rsid w:val="00890B3E"/>
    <w:rsid w:val="00890CE4"/>
    <w:rsid w:val="00890E52"/>
    <w:rsid w:val="00890F01"/>
    <w:rsid w:val="00890FA0"/>
    <w:rsid w:val="00891027"/>
    <w:rsid w:val="00891308"/>
    <w:rsid w:val="00891422"/>
    <w:rsid w:val="00891574"/>
    <w:rsid w:val="008915EE"/>
    <w:rsid w:val="00891710"/>
    <w:rsid w:val="0089176E"/>
    <w:rsid w:val="008917F6"/>
    <w:rsid w:val="00891873"/>
    <w:rsid w:val="00891967"/>
    <w:rsid w:val="00891AB4"/>
    <w:rsid w:val="00891AD1"/>
    <w:rsid w:val="00891B23"/>
    <w:rsid w:val="00891C26"/>
    <w:rsid w:val="00891CCF"/>
    <w:rsid w:val="00891DC3"/>
    <w:rsid w:val="00891E4E"/>
    <w:rsid w:val="00891ECB"/>
    <w:rsid w:val="00891ED7"/>
    <w:rsid w:val="0089205B"/>
    <w:rsid w:val="00892163"/>
    <w:rsid w:val="008921F5"/>
    <w:rsid w:val="00892278"/>
    <w:rsid w:val="00892415"/>
    <w:rsid w:val="008924A2"/>
    <w:rsid w:val="0089261F"/>
    <w:rsid w:val="0089263B"/>
    <w:rsid w:val="0089265E"/>
    <w:rsid w:val="0089268C"/>
    <w:rsid w:val="0089272D"/>
    <w:rsid w:val="008927A7"/>
    <w:rsid w:val="008927C4"/>
    <w:rsid w:val="00892867"/>
    <w:rsid w:val="00892AE8"/>
    <w:rsid w:val="00892C33"/>
    <w:rsid w:val="00892D1E"/>
    <w:rsid w:val="00892D8F"/>
    <w:rsid w:val="00892E1F"/>
    <w:rsid w:val="00892F90"/>
    <w:rsid w:val="00892FE0"/>
    <w:rsid w:val="008930B5"/>
    <w:rsid w:val="00893175"/>
    <w:rsid w:val="00893295"/>
    <w:rsid w:val="008932DF"/>
    <w:rsid w:val="0089337D"/>
    <w:rsid w:val="00893510"/>
    <w:rsid w:val="00893513"/>
    <w:rsid w:val="0089374F"/>
    <w:rsid w:val="00893833"/>
    <w:rsid w:val="0089384D"/>
    <w:rsid w:val="00893B03"/>
    <w:rsid w:val="00893DD2"/>
    <w:rsid w:val="00893E13"/>
    <w:rsid w:val="00893F7B"/>
    <w:rsid w:val="00894098"/>
    <w:rsid w:val="008940B1"/>
    <w:rsid w:val="0089412F"/>
    <w:rsid w:val="008942DB"/>
    <w:rsid w:val="0089461B"/>
    <w:rsid w:val="00894779"/>
    <w:rsid w:val="0089479C"/>
    <w:rsid w:val="008947EF"/>
    <w:rsid w:val="00894811"/>
    <w:rsid w:val="0089496A"/>
    <w:rsid w:val="00894B05"/>
    <w:rsid w:val="00894BD1"/>
    <w:rsid w:val="00894BFE"/>
    <w:rsid w:val="00894D4D"/>
    <w:rsid w:val="00894E6C"/>
    <w:rsid w:val="00894EDA"/>
    <w:rsid w:val="00895072"/>
    <w:rsid w:val="0089512E"/>
    <w:rsid w:val="00895145"/>
    <w:rsid w:val="0089514B"/>
    <w:rsid w:val="00895347"/>
    <w:rsid w:val="00895602"/>
    <w:rsid w:val="00895780"/>
    <w:rsid w:val="008957AC"/>
    <w:rsid w:val="008957ED"/>
    <w:rsid w:val="00895908"/>
    <w:rsid w:val="00895912"/>
    <w:rsid w:val="0089596D"/>
    <w:rsid w:val="00895992"/>
    <w:rsid w:val="00895A60"/>
    <w:rsid w:val="00895B5E"/>
    <w:rsid w:val="00895C3F"/>
    <w:rsid w:val="00895C6B"/>
    <w:rsid w:val="00895C80"/>
    <w:rsid w:val="00895D13"/>
    <w:rsid w:val="00895E36"/>
    <w:rsid w:val="00895FE3"/>
    <w:rsid w:val="00896064"/>
    <w:rsid w:val="0089609A"/>
    <w:rsid w:val="008961E3"/>
    <w:rsid w:val="00896210"/>
    <w:rsid w:val="0089654C"/>
    <w:rsid w:val="008965AC"/>
    <w:rsid w:val="008966B3"/>
    <w:rsid w:val="008966EE"/>
    <w:rsid w:val="008967F2"/>
    <w:rsid w:val="008967F4"/>
    <w:rsid w:val="00896893"/>
    <w:rsid w:val="008969E5"/>
    <w:rsid w:val="00896A06"/>
    <w:rsid w:val="00896ABD"/>
    <w:rsid w:val="00896BF8"/>
    <w:rsid w:val="00896D13"/>
    <w:rsid w:val="00896D30"/>
    <w:rsid w:val="00896D79"/>
    <w:rsid w:val="00896DD0"/>
    <w:rsid w:val="00896E6B"/>
    <w:rsid w:val="00896F3F"/>
    <w:rsid w:val="00896F4B"/>
    <w:rsid w:val="00896FE6"/>
    <w:rsid w:val="0089707F"/>
    <w:rsid w:val="0089712B"/>
    <w:rsid w:val="0089717A"/>
    <w:rsid w:val="008971D8"/>
    <w:rsid w:val="00897200"/>
    <w:rsid w:val="00897485"/>
    <w:rsid w:val="00897587"/>
    <w:rsid w:val="00897792"/>
    <w:rsid w:val="008977A0"/>
    <w:rsid w:val="008978AE"/>
    <w:rsid w:val="008978D5"/>
    <w:rsid w:val="00897AAE"/>
    <w:rsid w:val="00897B3B"/>
    <w:rsid w:val="00897B72"/>
    <w:rsid w:val="00897C1D"/>
    <w:rsid w:val="00897D2B"/>
    <w:rsid w:val="00897D96"/>
    <w:rsid w:val="00897F6F"/>
    <w:rsid w:val="008A0021"/>
    <w:rsid w:val="008A015B"/>
    <w:rsid w:val="008A0181"/>
    <w:rsid w:val="008A01FE"/>
    <w:rsid w:val="008A0292"/>
    <w:rsid w:val="008A02F5"/>
    <w:rsid w:val="008A0407"/>
    <w:rsid w:val="008A04C3"/>
    <w:rsid w:val="008A04CB"/>
    <w:rsid w:val="008A051C"/>
    <w:rsid w:val="008A0538"/>
    <w:rsid w:val="008A05FA"/>
    <w:rsid w:val="008A060E"/>
    <w:rsid w:val="008A0628"/>
    <w:rsid w:val="008A068F"/>
    <w:rsid w:val="008A0784"/>
    <w:rsid w:val="008A084B"/>
    <w:rsid w:val="008A088D"/>
    <w:rsid w:val="008A0943"/>
    <w:rsid w:val="008A0A7D"/>
    <w:rsid w:val="008A0ABA"/>
    <w:rsid w:val="008A0ACE"/>
    <w:rsid w:val="008A0CBB"/>
    <w:rsid w:val="008A1063"/>
    <w:rsid w:val="008A1171"/>
    <w:rsid w:val="008A12EF"/>
    <w:rsid w:val="008A1459"/>
    <w:rsid w:val="008A14C5"/>
    <w:rsid w:val="008A14D6"/>
    <w:rsid w:val="008A14E0"/>
    <w:rsid w:val="008A1600"/>
    <w:rsid w:val="008A17D4"/>
    <w:rsid w:val="008A17E9"/>
    <w:rsid w:val="008A181E"/>
    <w:rsid w:val="008A1821"/>
    <w:rsid w:val="008A1897"/>
    <w:rsid w:val="008A1914"/>
    <w:rsid w:val="008A1947"/>
    <w:rsid w:val="008A1967"/>
    <w:rsid w:val="008A197E"/>
    <w:rsid w:val="008A19AF"/>
    <w:rsid w:val="008A19D4"/>
    <w:rsid w:val="008A19DF"/>
    <w:rsid w:val="008A1BC0"/>
    <w:rsid w:val="008A1D6F"/>
    <w:rsid w:val="008A1DF9"/>
    <w:rsid w:val="008A23CC"/>
    <w:rsid w:val="008A242B"/>
    <w:rsid w:val="008A260B"/>
    <w:rsid w:val="008A260E"/>
    <w:rsid w:val="008A26E3"/>
    <w:rsid w:val="008A27D1"/>
    <w:rsid w:val="008A295A"/>
    <w:rsid w:val="008A2A1F"/>
    <w:rsid w:val="008A2B82"/>
    <w:rsid w:val="008A2BE3"/>
    <w:rsid w:val="008A2C4C"/>
    <w:rsid w:val="008A2EFF"/>
    <w:rsid w:val="008A3185"/>
    <w:rsid w:val="008A31B9"/>
    <w:rsid w:val="008A31DC"/>
    <w:rsid w:val="008A35BA"/>
    <w:rsid w:val="008A3699"/>
    <w:rsid w:val="008A3793"/>
    <w:rsid w:val="008A381D"/>
    <w:rsid w:val="008A3836"/>
    <w:rsid w:val="008A38D3"/>
    <w:rsid w:val="008A3A93"/>
    <w:rsid w:val="008A3AC8"/>
    <w:rsid w:val="008A3B0B"/>
    <w:rsid w:val="008A3B29"/>
    <w:rsid w:val="008A3B36"/>
    <w:rsid w:val="008A3BD7"/>
    <w:rsid w:val="008A3E1B"/>
    <w:rsid w:val="008A3E57"/>
    <w:rsid w:val="008A42FA"/>
    <w:rsid w:val="008A44A5"/>
    <w:rsid w:val="008A455C"/>
    <w:rsid w:val="008A4693"/>
    <w:rsid w:val="008A49E7"/>
    <w:rsid w:val="008A4B11"/>
    <w:rsid w:val="008A4C90"/>
    <w:rsid w:val="008A4CAF"/>
    <w:rsid w:val="008A4CDE"/>
    <w:rsid w:val="008A4CF0"/>
    <w:rsid w:val="008A4D71"/>
    <w:rsid w:val="008A4E49"/>
    <w:rsid w:val="008A4E4C"/>
    <w:rsid w:val="008A4F5B"/>
    <w:rsid w:val="008A50C7"/>
    <w:rsid w:val="008A511E"/>
    <w:rsid w:val="008A51D0"/>
    <w:rsid w:val="008A5337"/>
    <w:rsid w:val="008A5435"/>
    <w:rsid w:val="008A5693"/>
    <w:rsid w:val="008A5744"/>
    <w:rsid w:val="008A5767"/>
    <w:rsid w:val="008A585C"/>
    <w:rsid w:val="008A588C"/>
    <w:rsid w:val="008A591E"/>
    <w:rsid w:val="008A5C39"/>
    <w:rsid w:val="008A5C4A"/>
    <w:rsid w:val="008A5CD1"/>
    <w:rsid w:val="008A5EBE"/>
    <w:rsid w:val="008A5F14"/>
    <w:rsid w:val="008A5F31"/>
    <w:rsid w:val="008A5F50"/>
    <w:rsid w:val="008A614E"/>
    <w:rsid w:val="008A6228"/>
    <w:rsid w:val="008A6295"/>
    <w:rsid w:val="008A6538"/>
    <w:rsid w:val="008A65EC"/>
    <w:rsid w:val="008A67C0"/>
    <w:rsid w:val="008A688A"/>
    <w:rsid w:val="008A68E1"/>
    <w:rsid w:val="008A6999"/>
    <w:rsid w:val="008A6A04"/>
    <w:rsid w:val="008A6A12"/>
    <w:rsid w:val="008A6A73"/>
    <w:rsid w:val="008A6BAD"/>
    <w:rsid w:val="008A6BF7"/>
    <w:rsid w:val="008A6C29"/>
    <w:rsid w:val="008A6D8B"/>
    <w:rsid w:val="008A6EA3"/>
    <w:rsid w:val="008A6EC4"/>
    <w:rsid w:val="008A6EC7"/>
    <w:rsid w:val="008A6F98"/>
    <w:rsid w:val="008A7058"/>
    <w:rsid w:val="008A70DE"/>
    <w:rsid w:val="008A710F"/>
    <w:rsid w:val="008A732C"/>
    <w:rsid w:val="008A73DC"/>
    <w:rsid w:val="008A7567"/>
    <w:rsid w:val="008A7697"/>
    <w:rsid w:val="008A76E4"/>
    <w:rsid w:val="008A7715"/>
    <w:rsid w:val="008A7981"/>
    <w:rsid w:val="008A7A29"/>
    <w:rsid w:val="008A7BC7"/>
    <w:rsid w:val="008A7BE6"/>
    <w:rsid w:val="008A7D57"/>
    <w:rsid w:val="008A7E53"/>
    <w:rsid w:val="008A7F16"/>
    <w:rsid w:val="008A7F36"/>
    <w:rsid w:val="008A7F51"/>
    <w:rsid w:val="008B0006"/>
    <w:rsid w:val="008B0088"/>
    <w:rsid w:val="008B00CF"/>
    <w:rsid w:val="008B01D3"/>
    <w:rsid w:val="008B0232"/>
    <w:rsid w:val="008B0297"/>
    <w:rsid w:val="008B02E0"/>
    <w:rsid w:val="008B0323"/>
    <w:rsid w:val="008B0330"/>
    <w:rsid w:val="008B046E"/>
    <w:rsid w:val="008B04F0"/>
    <w:rsid w:val="008B0660"/>
    <w:rsid w:val="008B0673"/>
    <w:rsid w:val="008B0847"/>
    <w:rsid w:val="008B0891"/>
    <w:rsid w:val="008B0951"/>
    <w:rsid w:val="008B0969"/>
    <w:rsid w:val="008B0A22"/>
    <w:rsid w:val="008B0AE4"/>
    <w:rsid w:val="008B0BAE"/>
    <w:rsid w:val="008B0D58"/>
    <w:rsid w:val="008B0D95"/>
    <w:rsid w:val="008B102A"/>
    <w:rsid w:val="008B1384"/>
    <w:rsid w:val="008B13E9"/>
    <w:rsid w:val="008B13FB"/>
    <w:rsid w:val="008B15BA"/>
    <w:rsid w:val="008B15D6"/>
    <w:rsid w:val="008B17E7"/>
    <w:rsid w:val="008B196E"/>
    <w:rsid w:val="008B19CF"/>
    <w:rsid w:val="008B1A17"/>
    <w:rsid w:val="008B1A23"/>
    <w:rsid w:val="008B1B75"/>
    <w:rsid w:val="008B1BA0"/>
    <w:rsid w:val="008B1C30"/>
    <w:rsid w:val="008B1C62"/>
    <w:rsid w:val="008B1CB3"/>
    <w:rsid w:val="008B1F4D"/>
    <w:rsid w:val="008B2064"/>
    <w:rsid w:val="008B20C6"/>
    <w:rsid w:val="008B20F0"/>
    <w:rsid w:val="008B22E3"/>
    <w:rsid w:val="008B2312"/>
    <w:rsid w:val="008B2350"/>
    <w:rsid w:val="008B250E"/>
    <w:rsid w:val="008B2627"/>
    <w:rsid w:val="008B263B"/>
    <w:rsid w:val="008B26DF"/>
    <w:rsid w:val="008B2728"/>
    <w:rsid w:val="008B28E5"/>
    <w:rsid w:val="008B29AC"/>
    <w:rsid w:val="008B2A83"/>
    <w:rsid w:val="008B2AA2"/>
    <w:rsid w:val="008B2AE1"/>
    <w:rsid w:val="008B2BF7"/>
    <w:rsid w:val="008B2C18"/>
    <w:rsid w:val="008B2C74"/>
    <w:rsid w:val="008B2FE6"/>
    <w:rsid w:val="008B300A"/>
    <w:rsid w:val="008B31B1"/>
    <w:rsid w:val="008B31E2"/>
    <w:rsid w:val="008B35D6"/>
    <w:rsid w:val="008B3702"/>
    <w:rsid w:val="008B370F"/>
    <w:rsid w:val="008B37E2"/>
    <w:rsid w:val="008B3ADD"/>
    <w:rsid w:val="008B3B3F"/>
    <w:rsid w:val="008B3B49"/>
    <w:rsid w:val="008B3CA9"/>
    <w:rsid w:val="008B3CD7"/>
    <w:rsid w:val="008B3CDD"/>
    <w:rsid w:val="008B3FD6"/>
    <w:rsid w:val="008B4197"/>
    <w:rsid w:val="008B41FB"/>
    <w:rsid w:val="008B4216"/>
    <w:rsid w:val="008B4281"/>
    <w:rsid w:val="008B428A"/>
    <w:rsid w:val="008B432B"/>
    <w:rsid w:val="008B443F"/>
    <w:rsid w:val="008B4692"/>
    <w:rsid w:val="008B46B8"/>
    <w:rsid w:val="008B46DE"/>
    <w:rsid w:val="008B491A"/>
    <w:rsid w:val="008B4971"/>
    <w:rsid w:val="008B4B5C"/>
    <w:rsid w:val="008B4BB2"/>
    <w:rsid w:val="008B4C24"/>
    <w:rsid w:val="008B4F81"/>
    <w:rsid w:val="008B4FAC"/>
    <w:rsid w:val="008B50B3"/>
    <w:rsid w:val="008B5151"/>
    <w:rsid w:val="008B578E"/>
    <w:rsid w:val="008B5945"/>
    <w:rsid w:val="008B595F"/>
    <w:rsid w:val="008B5A0D"/>
    <w:rsid w:val="008B5A37"/>
    <w:rsid w:val="008B5AFD"/>
    <w:rsid w:val="008B5BA9"/>
    <w:rsid w:val="008B5BB6"/>
    <w:rsid w:val="008B5BCB"/>
    <w:rsid w:val="008B5D5B"/>
    <w:rsid w:val="008B5ECE"/>
    <w:rsid w:val="008B5F28"/>
    <w:rsid w:val="008B5F41"/>
    <w:rsid w:val="008B5FCC"/>
    <w:rsid w:val="008B6030"/>
    <w:rsid w:val="008B62EA"/>
    <w:rsid w:val="008B656C"/>
    <w:rsid w:val="008B6609"/>
    <w:rsid w:val="008B66DE"/>
    <w:rsid w:val="008B67E2"/>
    <w:rsid w:val="008B67ED"/>
    <w:rsid w:val="008B69E2"/>
    <w:rsid w:val="008B6A05"/>
    <w:rsid w:val="008B6A49"/>
    <w:rsid w:val="008B6B9C"/>
    <w:rsid w:val="008B6BBF"/>
    <w:rsid w:val="008B6CF6"/>
    <w:rsid w:val="008B6D74"/>
    <w:rsid w:val="008B6E30"/>
    <w:rsid w:val="008B6EE2"/>
    <w:rsid w:val="008B70B5"/>
    <w:rsid w:val="008B70BC"/>
    <w:rsid w:val="008B7226"/>
    <w:rsid w:val="008B7234"/>
    <w:rsid w:val="008B7271"/>
    <w:rsid w:val="008B728B"/>
    <w:rsid w:val="008B72E4"/>
    <w:rsid w:val="008B736E"/>
    <w:rsid w:val="008B740D"/>
    <w:rsid w:val="008B7410"/>
    <w:rsid w:val="008B7469"/>
    <w:rsid w:val="008B7778"/>
    <w:rsid w:val="008B77E3"/>
    <w:rsid w:val="008B7835"/>
    <w:rsid w:val="008B7858"/>
    <w:rsid w:val="008B7893"/>
    <w:rsid w:val="008B7B54"/>
    <w:rsid w:val="008B7C31"/>
    <w:rsid w:val="008B7D93"/>
    <w:rsid w:val="008B7E33"/>
    <w:rsid w:val="008B7EF7"/>
    <w:rsid w:val="008B7F6F"/>
    <w:rsid w:val="008C0038"/>
    <w:rsid w:val="008C00D7"/>
    <w:rsid w:val="008C0104"/>
    <w:rsid w:val="008C0192"/>
    <w:rsid w:val="008C021A"/>
    <w:rsid w:val="008C02D0"/>
    <w:rsid w:val="008C04B4"/>
    <w:rsid w:val="008C04F0"/>
    <w:rsid w:val="008C0561"/>
    <w:rsid w:val="008C0581"/>
    <w:rsid w:val="008C05EF"/>
    <w:rsid w:val="008C05FA"/>
    <w:rsid w:val="008C05FE"/>
    <w:rsid w:val="008C0641"/>
    <w:rsid w:val="008C0813"/>
    <w:rsid w:val="008C0A72"/>
    <w:rsid w:val="008C0AE4"/>
    <w:rsid w:val="008C0C6D"/>
    <w:rsid w:val="008C0CF5"/>
    <w:rsid w:val="008C0EA1"/>
    <w:rsid w:val="008C0F4C"/>
    <w:rsid w:val="008C0F91"/>
    <w:rsid w:val="008C0FC7"/>
    <w:rsid w:val="008C0FEC"/>
    <w:rsid w:val="008C10E5"/>
    <w:rsid w:val="008C10E6"/>
    <w:rsid w:val="008C1132"/>
    <w:rsid w:val="008C1140"/>
    <w:rsid w:val="008C1520"/>
    <w:rsid w:val="008C1632"/>
    <w:rsid w:val="008C1747"/>
    <w:rsid w:val="008C17E3"/>
    <w:rsid w:val="008C187F"/>
    <w:rsid w:val="008C1A2A"/>
    <w:rsid w:val="008C1B6A"/>
    <w:rsid w:val="008C1E3E"/>
    <w:rsid w:val="008C1E9D"/>
    <w:rsid w:val="008C2060"/>
    <w:rsid w:val="008C206D"/>
    <w:rsid w:val="008C21D8"/>
    <w:rsid w:val="008C23E3"/>
    <w:rsid w:val="008C2436"/>
    <w:rsid w:val="008C247D"/>
    <w:rsid w:val="008C2482"/>
    <w:rsid w:val="008C24A5"/>
    <w:rsid w:val="008C24BF"/>
    <w:rsid w:val="008C2552"/>
    <w:rsid w:val="008C2B1A"/>
    <w:rsid w:val="008C2CE8"/>
    <w:rsid w:val="008C2EAE"/>
    <w:rsid w:val="008C2EDB"/>
    <w:rsid w:val="008C2F07"/>
    <w:rsid w:val="008C2F19"/>
    <w:rsid w:val="008C2F40"/>
    <w:rsid w:val="008C2F76"/>
    <w:rsid w:val="008C3073"/>
    <w:rsid w:val="008C3187"/>
    <w:rsid w:val="008C31BE"/>
    <w:rsid w:val="008C34A4"/>
    <w:rsid w:val="008C3600"/>
    <w:rsid w:val="008C365E"/>
    <w:rsid w:val="008C366C"/>
    <w:rsid w:val="008C3764"/>
    <w:rsid w:val="008C3785"/>
    <w:rsid w:val="008C381E"/>
    <w:rsid w:val="008C3B44"/>
    <w:rsid w:val="008C3B95"/>
    <w:rsid w:val="008C3C61"/>
    <w:rsid w:val="008C3D1F"/>
    <w:rsid w:val="008C3D54"/>
    <w:rsid w:val="008C3D62"/>
    <w:rsid w:val="008C3DC2"/>
    <w:rsid w:val="008C3E75"/>
    <w:rsid w:val="008C3ECD"/>
    <w:rsid w:val="008C3FB3"/>
    <w:rsid w:val="008C4010"/>
    <w:rsid w:val="008C4023"/>
    <w:rsid w:val="008C41B1"/>
    <w:rsid w:val="008C429B"/>
    <w:rsid w:val="008C4327"/>
    <w:rsid w:val="008C439B"/>
    <w:rsid w:val="008C4487"/>
    <w:rsid w:val="008C454B"/>
    <w:rsid w:val="008C4557"/>
    <w:rsid w:val="008C4668"/>
    <w:rsid w:val="008C4708"/>
    <w:rsid w:val="008C47F2"/>
    <w:rsid w:val="008C4946"/>
    <w:rsid w:val="008C4A61"/>
    <w:rsid w:val="008C4B47"/>
    <w:rsid w:val="008C4B4D"/>
    <w:rsid w:val="008C4BC9"/>
    <w:rsid w:val="008C4BF9"/>
    <w:rsid w:val="008C4C00"/>
    <w:rsid w:val="008C4C07"/>
    <w:rsid w:val="008C4C25"/>
    <w:rsid w:val="008C4D22"/>
    <w:rsid w:val="008C4D4D"/>
    <w:rsid w:val="008C4F81"/>
    <w:rsid w:val="008C5036"/>
    <w:rsid w:val="008C506D"/>
    <w:rsid w:val="008C508D"/>
    <w:rsid w:val="008C50AD"/>
    <w:rsid w:val="008C523D"/>
    <w:rsid w:val="008C52DC"/>
    <w:rsid w:val="008C53CF"/>
    <w:rsid w:val="008C55D3"/>
    <w:rsid w:val="008C5604"/>
    <w:rsid w:val="008C563D"/>
    <w:rsid w:val="008C57EE"/>
    <w:rsid w:val="008C5806"/>
    <w:rsid w:val="008C58DE"/>
    <w:rsid w:val="008C5929"/>
    <w:rsid w:val="008C594F"/>
    <w:rsid w:val="008C5984"/>
    <w:rsid w:val="008C5B59"/>
    <w:rsid w:val="008C5BB2"/>
    <w:rsid w:val="008C5E4F"/>
    <w:rsid w:val="008C5EE5"/>
    <w:rsid w:val="008C5FB6"/>
    <w:rsid w:val="008C604A"/>
    <w:rsid w:val="008C608E"/>
    <w:rsid w:val="008C613B"/>
    <w:rsid w:val="008C621C"/>
    <w:rsid w:val="008C6282"/>
    <w:rsid w:val="008C62FC"/>
    <w:rsid w:val="008C633B"/>
    <w:rsid w:val="008C640E"/>
    <w:rsid w:val="008C64DE"/>
    <w:rsid w:val="008C65BD"/>
    <w:rsid w:val="008C65EA"/>
    <w:rsid w:val="008C6661"/>
    <w:rsid w:val="008C66BB"/>
    <w:rsid w:val="008C675D"/>
    <w:rsid w:val="008C6A5B"/>
    <w:rsid w:val="008C6A92"/>
    <w:rsid w:val="008C6C23"/>
    <w:rsid w:val="008C6E3E"/>
    <w:rsid w:val="008C6E79"/>
    <w:rsid w:val="008C6E83"/>
    <w:rsid w:val="008C6FF4"/>
    <w:rsid w:val="008C7009"/>
    <w:rsid w:val="008C7284"/>
    <w:rsid w:val="008C7296"/>
    <w:rsid w:val="008C7439"/>
    <w:rsid w:val="008C745F"/>
    <w:rsid w:val="008C790F"/>
    <w:rsid w:val="008C7A95"/>
    <w:rsid w:val="008C7B08"/>
    <w:rsid w:val="008C7CA7"/>
    <w:rsid w:val="008C7CD0"/>
    <w:rsid w:val="008C7CF9"/>
    <w:rsid w:val="008C7D74"/>
    <w:rsid w:val="008C7E7B"/>
    <w:rsid w:val="008C890A"/>
    <w:rsid w:val="008CF7C5"/>
    <w:rsid w:val="008D0008"/>
    <w:rsid w:val="008D00FB"/>
    <w:rsid w:val="008D01F0"/>
    <w:rsid w:val="008D0208"/>
    <w:rsid w:val="008D033E"/>
    <w:rsid w:val="008D048F"/>
    <w:rsid w:val="008D04D2"/>
    <w:rsid w:val="008D04F3"/>
    <w:rsid w:val="008D062F"/>
    <w:rsid w:val="008D06C5"/>
    <w:rsid w:val="008D06D7"/>
    <w:rsid w:val="008D08D4"/>
    <w:rsid w:val="008D0C4A"/>
    <w:rsid w:val="008D0CDD"/>
    <w:rsid w:val="008D0EF8"/>
    <w:rsid w:val="008D0F61"/>
    <w:rsid w:val="008D122B"/>
    <w:rsid w:val="008D13A1"/>
    <w:rsid w:val="008D14C2"/>
    <w:rsid w:val="008D14DA"/>
    <w:rsid w:val="008D1576"/>
    <w:rsid w:val="008D15F0"/>
    <w:rsid w:val="008D17B2"/>
    <w:rsid w:val="008D180D"/>
    <w:rsid w:val="008D18EF"/>
    <w:rsid w:val="008D1BD1"/>
    <w:rsid w:val="008D1CED"/>
    <w:rsid w:val="008D1D33"/>
    <w:rsid w:val="008D1EC8"/>
    <w:rsid w:val="008D1F98"/>
    <w:rsid w:val="008D20B9"/>
    <w:rsid w:val="008D20E5"/>
    <w:rsid w:val="008D211D"/>
    <w:rsid w:val="008D2239"/>
    <w:rsid w:val="008D2289"/>
    <w:rsid w:val="008D22C0"/>
    <w:rsid w:val="008D230A"/>
    <w:rsid w:val="008D2352"/>
    <w:rsid w:val="008D2385"/>
    <w:rsid w:val="008D2465"/>
    <w:rsid w:val="008D25EA"/>
    <w:rsid w:val="008D25FD"/>
    <w:rsid w:val="008D2674"/>
    <w:rsid w:val="008D269F"/>
    <w:rsid w:val="008D26F0"/>
    <w:rsid w:val="008D27EF"/>
    <w:rsid w:val="008D27F2"/>
    <w:rsid w:val="008D2803"/>
    <w:rsid w:val="008D28B6"/>
    <w:rsid w:val="008D298D"/>
    <w:rsid w:val="008D2995"/>
    <w:rsid w:val="008D2A72"/>
    <w:rsid w:val="008D2B1A"/>
    <w:rsid w:val="008D2B87"/>
    <w:rsid w:val="008D2B8B"/>
    <w:rsid w:val="008D2D8C"/>
    <w:rsid w:val="008D2E01"/>
    <w:rsid w:val="008D2F09"/>
    <w:rsid w:val="008D2F1D"/>
    <w:rsid w:val="008D2F6C"/>
    <w:rsid w:val="008D3204"/>
    <w:rsid w:val="008D32F6"/>
    <w:rsid w:val="008D34DE"/>
    <w:rsid w:val="008D36AE"/>
    <w:rsid w:val="008D3791"/>
    <w:rsid w:val="008D3928"/>
    <w:rsid w:val="008D399E"/>
    <w:rsid w:val="008D3A09"/>
    <w:rsid w:val="008D3AA3"/>
    <w:rsid w:val="008D3AFE"/>
    <w:rsid w:val="008D3B2C"/>
    <w:rsid w:val="008D3C67"/>
    <w:rsid w:val="008D3D17"/>
    <w:rsid w:val="008D3EE6"/>
    <w:rsid w:val="008D3EF5"/>
    <w:rsid w:val="008D3FD2"/>
    <w:rsid w:val="008D400F"/>
    <w:rsid w:val="008D42F7"/>
    <w:rsid w:val="008D4360"/>
    <w:rsid w:val="008D4448"/>
    <w:rsid w:val="008D44BD"/>
    <w:rsid w:val="008D46D4"/>
    <w:rsid w:val="008D49EE"/>
    <w:rsid w:val="008D4A46"/>
    <w:rsid w:val="008D4AA8"/>
    <w:rsid w:val="008D4B2F"/>
    <w:rsid w:val="008D4DFE"/>
    <w:rsid w:val="008D4E8F"/>
    <w:rsid w:val="008D4FB3"/>
    <w:rsid w:val="008D4FFC"/>
    <w:rsid w:val="008D5013"/>
    <w:rsid w:val="008D5135"/>
    <w:rsid w:val="008D5167"/>
    <w:rsid w:val="008D5284"/>
    <w:rsid w:val="008D529E"/>
    <w:rsid w:val="008D52B7"/>
    <w:rsid w:val="008D52C5"/>
    <w:rsid w:val="008D52D5"/>
    <w:rsid w:val="008D53C5"/>
    <w:rsid w:val="008D544C"/>
    <w:rsid w:val="008D56B1"/>
    <w:rsid w:val="008D580A"/>
    <w:rsid w:val="008D5932"/>
    <w:rsid w:val="008D5B9F"/>
    <w:rsid w:val="008D5BE4"/>
    <w:rsid w:val="008D5CCB"/>
    <w:rsid w:val="008D5DEE"/>
    <w:rsid w:val="008D5EB3"/>
    <w:rsid w:val="008D609E"/>
    <w:rsid w:val="008D6175"/>
    <w:rsid w:val="008D61FF"/>
    <w:rsid w:val="008D6243"/>
    <w:rsid w:val="008D6262"/>
    <w:rsid w:val="008D6380"/>
    <w:rsid w:val="008D6395"/>
    <w:rsid w:val="008D63B7"/>
    <w:rsid w:val="008D63F1"/>
    <w:rsid w:val="008D64F7"/>
    <w:rsid w:val="008D6536"/>
    <w:rsid w:val="008D65B4"/>
    <w:rsid w:val="008D65F2"/>
    <w:rsid w:val="008D6669"/>
    <w:rsid w:val="008D66C1"/>
    <w:rsid w:val="008D66FD"/>
    <w:rsid w:val="008D6706"/>
    <w:rsid w:val="008D6774"/>
    <w:rsid w:val="008D678E"/>
    <w:rsid w:val="008D67D0"/>
    <w:rsid w:val="008D6972"/>
    <w:rsid w:val="008D69E8"/>
    <w:rsid w:val="008D6A03"/>
    <w:rsid w:val="008D6AA1"/>
    <w:rsid w:val="008D6B72"/>
    <w:rsid w:val="008D6CA7"/>
    <w:rsid w:val="008D6D30"/>
    <w:rsid w:val="008D6D88"/>
    <w:rsid w:val="008D6D90"/>
    <w:rsid w:val="008D6DBA"/>
    <w:rsid w:val="008D6E0B"/>
    <w:rsid w:val="008D6F5A"/>
    <w:rsid w:val="008D721A"/>
    <w:rsid w:val="008D721D"/>
    <w:rsid w:val="008D7282"/>
    <w:rsid w:val="008D72AA"/>
    <w:rsid w:val="008D72B8"/>
    <w:rsid w:val="008D72FA"/>
    <w:rsid w:val="008D7347"/>
    <w:rsid w:val="008D734F"/>
    <w:rsid w:val="008D7391"/>
    <w:rsid w:val="008D7497"/>
    <w:rsid w:val="008D7559"/>
    <w:rsid w:val="008D7597"/>
    <w:rsid w:val="008D7758"/>
    <w:rsid w:val="008D781D"/>
    <w:rsid w:val="008D78D7"/>
    <w:rsid w:val="008D79C2"/>
    <w:rsid w:val="008D7A69"/>
    <w:rsid w:val="008D7AEE"/>
    <w:rsid w:val="008D7B1A"/>
    <w:rsid w:val="008D7B7F"/>
    <w:rsid w:val="008D7BC0"/>
    <w:rsid w:val="008E00A2"/>
    <w:rsid w:val="008E03A9"/>
    <w:rsid w:val="008E03C4"/>
    <w:rsid w:val="008E054F"/>
    <w:rsid w:val="008E05D8"/>
    <w:rsid w:val="008E0A7C"/>
    <w:rsid w:val="008E0D64"/>
    <w:rsid w:val="008E0E00"/>
    <w:rsid w:val="008E0E45"/>
    <w:rsid w:val="008E0F20"/>
    <w:rsid w:val="008E0FA4"/>
    <w:rsid w:val="008E128D"/>
    <w:rsid w:val="008E1439"/>
    <w:rsid w:val="008E1463"/>
    <w:rsid w:val="008E1766"/>
    <w:rsid w:val="008E1771"/>
    <w:rsid w:val="008E1823"/>
    <w:rsid w:val="008E194E"/>
    <w:rsid w:val="008E1A4F"/>
    <w:rsid w:val="008E1AA8"/>
    <w:rsid w:val="008E1BC2"/>
    <w:rsid w:val="008E1C81"/>
    <w:rsid w:val="008E1D0E"/>
    <w:rsid w:val="008E1EA8"/>
    <w:rsid w:val="008E1FCC"/>
    <w:rsid w:val="008E20B7"/>
    <w:rsid w:val="008E2224"/>
    <w:rsid w:val="008E22CD"/>
    <w:rsid w:val="008E23CD"/>
    <w:rsid w:val="008E2556"/>
    <w:rsid w:val="008E25A0"/>
    <w:rsid w:val="008E274E"/>
    <w:rsid w:val="008E28BE"/>
    <w:rsid w:val="008E2BBD"/>
    <w:rsid w:val="008E2BCD"/>
    <w:rsid w:val="008E2C1A"/>
    <w:rsid w:val="008E2C58"/>
    <w:rsid w:val="008E2C75"/>
    <w:rsid w:val="008E308F"/>
    <w:rsid w:val="008E31B0"/>
    <w:rsid w:val="008E3272"/>
    <w:rsid w:val="008E32A5"/>
    <w:rsid w:val="008E36C1"/>
    <w:rsid w:val="008E36F6"/>
    <w:rsid w:val="008E37D5"/>
    <w:rsid w:val="008E37F6"/>
    <w:rsid w:val="008E3848"/>
    <w:rsid w:val="008E3934"/>
    <w:rsid w:val="008E39AD"/>
    <w:rsid w:val="008E39DC"/>
    <w:rsid w:val="008E3A06"/>
    <w:rsid w:val="008E3AD4"/>
    <w:rsid w:val="008E3B72"/>
    <w:rsid w:val="008E3C5B"/>
    <w:rsid w:val="008E3CED"/>
    <w:rsid w:val="008E3D18"/>
    <w:rsid w:val="008E3DB5"/>
    <w:rsid w:val="008E3E84"/>
    <w:rsid w:val="008E3F62"/>
    <w:rsid w:val="008E408F"/>
    <w:rsid w:val="008E40F8"/>
    <w:rsid w:val="008E431C"/>
    <w:rsid w:val="008E4326"/>
    <w:rsid w:val="008E4368"/>
    <w:rsid w:val="008E4377"/>
    <w:rsid w:val="008E43F3"/>
    <w:rsid w:val="008E471F"/>
    <w:rsid w:val="008E47F4"/>
    <w:rsid w:val="008E4813"/>
    <w:rsid w:val="008E4847"/>
    <w:rsid w:val="008E488C"/>
    <w:rsid w:val="008E4A17"/>
    <w:rsid w:val="008E4AA4"/>
    <w:rsid w:val="008E4AE0"/>
    <w:rsid w:val="008E4D35"/>
    <w:rsid w:val="008E4EA6"/>
    <w:rsid w:val="008E4F1B"/>
    <w:rsid w:val="008E5083"/>
    <w:rsid w:val="008E508C"/>
    <w:rsid w:val="008E5200"/>
    <w:rsid w:val="008E52E6"/>
    <w:rsid w:val="008E52FC"/>
    <w:rsid w:val="008E54DA"/>
    <w:rsid w:val="008E5677"/>
    <w:rsid w:val="008E56B2"/>
    <w:rsid w:val="008E5754"/>
    <w:rsid w:val="008E583E"/>
    <w:rsid w:val="008E59FD"/>
    <w:rsid w:val="008E5ACA"/>
    <w:rsid w:val="008E5C09"/>
    <w:rsid w:val="008E5C0D"/>
    <w:rsid w:val="008E5EEF"/>
    <w:rsid w:val="008E5F7C"/>
    <w:rsid w:val="008E5FF0"/>
    <w:rsid w:val="008E6071"/>
    <w:rsid w:val="008E613C"/>
    <w:rsid w:val="008E6339"/>
    <w:rsid w:val="008E641F"/>
    <w:rsid w:val="008E6494"/>
    <w:rsid w:val="008E65B7"/>
    <w:rsid w:val="008E65BA"/>
    <w:rsid w:val="008E684A"/>
    <w:rsid w:val="008E68EE"/>
    <w:rsid w:val="008E6926"/>
    <w:rsid w:val="008E695C"/>
    <w:rsid w:val="008E69C2"/>
    <w:rsid w:val="008E6C53"/>
    <w:rsid w:val="008E6E1E"/>
    <w:rsid w:val="008E6E20"/>
    <w:rsid w:val="008E706A"/>
    <w:rsid w:val="008E70BC"/>
    <w:rsid w:val="008E73D2"/>
    <w:rsid w:val="008E747B"/>
    <w:rsid w:val="008E748B"/>
    <w:rsid w:val="008E74B9"/>
    <w:rsid w:val="008E74FA"/>
    <w:rsid w:val="008E7529"/>
    <w:rsid w:val="008E7797"/>
    <w:rsid w:val="008E77EA"/>
    <w:rsid w:val="008E785D"/>
    <w:rsid w:val="008E7916"/>
    <w:rsid w:val="008E7A07"/>
    <w:rsid w:val="008E7A16"/>
    <w:rsid w:val="008E7B59"/>
    <w:rsid w:val="008E7CFF"/>
    <w:rsid w:val="008E7D67"/>
    <w:rsid w:val="008E7D93"/>
    <w:rsid w:val="008E7DF2"/>
    <w:rsid w:val="008E7E42"/>
    <w:rsid w:val="008E7E86"/>
    <w:rsid w:val="008E7F5A"/>
    <w:rsid w:val="008E7F8B"/>
    <w:rsid w:val="008E7FEE"/>
    <w:rsid w:val="008F0011"/>
    <w:rsid w:val="008F0017"/>
    <w:rsid w:val="008F00BD"/>
    <w:rsid w:val="008F0278"/>
    <w:rsid w:val="008F035B"/>
    <w:rsid w:val="008F03C9"/>
    <w:rsid w:val="008F04C1"/>
    <w:rsid w:val="008F0657"/>
    <w:rsid w:val="008F07C9"/>
    <w:rsid w:val="008F08C2"/>
    <w:rsid w:val="008F08FF"/>
    <w:rsid w:val="008F095B"/>
    <w:rsid w:val="008F0969"/>
    <w:rsid w:val="008F0AB9"/>
    <w:rsid w:val="008F0AFE"/>
    <w:rsid w:val="008F0B17"/>
    <w:rsid w:val="008F0B7C"/>
    <w:rsid w:val="008F0C36"/>
    <w:rsid w:val="008F0C6C"/>
    <w:rsid w:val="008F0CCE"/>
    <w:rsid w:val="008F0CDC"/>
    <w:rsid w:val="008F0E1F"/>
    <w:rsid w:val="008F0EC8"/>
    <w:rsid w:val="008F11C9"/>
    <w:rsid w:val="008F137D"/>
    <w:rsid w:val="008F14C7"/>
    <w:rsid w:val="008F1744"/>
    <w:rsid w:val="008F18A2"/>
    <w:rsid w:val="008F18FE"/>
    <w:rsid w:val="008F19E4"/>
    <w:rsid w:val="008F19E7"/>
    <w:rsid w:val="008F1AA5"/>
    <w:rsid w:val="008F1AD3"/>
    <w:rsid w:val="008F1B17"/>
    <w:rsid w:val="008F1CAD"/>
    <w:rsid w:val="008F1D1F"/>
    <w:rsid w:val="008F1D2A"/>
    <w:rsid w:val="008F1D31"/>
    <w:rsid w:val="008F1E26"/>
    <w:rsid w:val="008F1FB0"/>
    <w:rsid w:val="008F1FB1"/>
    <w:rsid w:val="008F207F"/>
    <w:rsid w:val="008F2155"/>
    <w:rsid w:val="008F2196"/>
    <w:rsid w:val="008F221A"/>
    <w:rsid w:val="008F226B"/>
    <w:rsid w:val="008F2353"/>
    <w:rsid w:val="008F2354"/>
    <w:rsid w:val="008F24B4"/>
    <w:rsid w:val="008F257E"/>
    <w:rsid w:val="008F2620"/>
    <w:rsid w:val="008F269D"/>
    <w:rsid w:val="008F2795"/>
    <w:rsid w:val="008F27E4"/>
    <w:rsid w:val="008F2A53"/>
    <w:rsid w:val="008F2ACD"/>
    <w:rsid w:val="008F2C4F"/>
    <w:rsid w:val="008F2D33"/>
    <w:rsid w:val="008F2D4F"/>
    <w:rsid w:val="008F2DB4"/>
    <w:rsid w:val="008F2DD9"/>
    <w:rsid w:val="008F2E53"/>
    <w:rsid w:val="008F2E88"/>
    <w:rsid w:val="008F2F06"/>
    <w:rsid w:val="008F2F6B"/>
    <w:rsid w:val="008F2FC7"/>
    <w:rsid w:val="008F304B"/>
    <w:rsid w:val="008F3108"/>
    <w:rsid w:val="008F3161"/>
    <w:rsid w:val="008F3180"/>
    <w:rsid w:val="008F31F5"/>
    <w:rsid w:val="008F3319"/>
    <w:rsid w:val="008F33E9"/>
    <w:rsid w:val="008F340A"/>
    <w:rsid w:val="008F34C6"/>
    <w:rsid w:val="008F35F7"/>
    <w:rsid w:val="008F3719"/>
    <w:rsid w:val="008F3750"/>
    <w:rsid w:val="008F37C5"/>
    <w:rsid w:val="008F3977"/>
    <w:rsid w:val="008F3A00"/>
    <w:rsid w:val="008F3A50"/>
    <w:rsid w:val="008F3A65"/>
    <w:rsid w:val="008F3A88"/>
    <w:rsid w:val="008F3C09"/>
    <w:rsid w:val="008F3C3C"/>
    <w:rsid w:val="008F3C8E"/>
    <w:rsid w:val="008F3CFF"/>
    <w:rsid w:val="008F3E70"/>
    <w:rsid w:val="008F3E84"/>
    <w:rsid w:val="008F3F06"/>
    <w:rsid w:val="008F3F3C"/>
    <w:rsid w:val="008F3F4B"/>
    <w:rsid w:val="008F3F98"/>
    <w:rsid w:val="008F3FAC"/>
    <w:rsid w:val="008F3FEB"/>
    <w:rsid w:val="008F4128"/>
    <w:rsid w:val="008F42CE"/>
    <w:rsid w:val="008F43AD"/>
    <w:rsid w:val="008F43F6"/>
    <w:rsid w:val="008F461B"/>
    <w:rsid w:val="008F46AE"/>
    <w:rsid w:val="008F4747"/>
    <w:rsid w:val="008F47B0"/>
    <w:rsid w:val="008F4884"/>
    <w:rsid w:val="008F4B27"/>
    <w:rsid w:val="008F4BF3"/>
    <w:rsid w:val="008F4C00"/>
    <w:rsid w:val="008F4C23"/>
    <w:rsid w:val="008F4CB3"/>
    <w:rsid w:val="008F4CDD"/>
    <w:rsid w:val="008F4EB0"/>
    <w:rsid w:val="008F4FE4"/>
    <w:rsid w:val="008F5097"/>
    <w:rsid w:val="008F50E4"/>
    <w:rsid w:val="008F519F"/>
    <w:rsid w:val="008F5201"/>
    <w:rsid w:val="008F523D"/>
    <w:rsid w:val="008F5275"/>
    <w:rsid w:val="008F5438"/>
    <w:rsid w:val="008F544D"/>
    <w:rsid w:val="008F5760"/>
    <w:rsid w:val="008F58CB"/>
    <w:rsid w:val="008F58CC"/>
    <w:rsid w:val="008F5AEB"/>
    <w:rsid w:val="008F5B16"/>
    <w:rsid w:val="008F5B64"/>
    <w:rsid w:val="008F5DC3"/>
    <w:rsid w:val="008F5F44"/>
    <w:rsid w:val="008F5F7A"/>
    <w:rsid w:val="008F5F8C"/>
    <w:rsid w:val="008F5FA7"/>
    <w:rsid w:val="008F5FE8"/>
    <w:rsid w:val="008F6048"/>
    <w:rsid w:val="008F61BF"/>
    <w:rsid w:val="008F61E5"/>
    <w:rsid w:val="008F6277"/>
    <w:rsid w:val="008F62D2"/>
    <w:rsid w:val="008F62F4"/>
    <w:rsid w:val="008F6341"/>
    <w:rsid w:val="008F65A6"/>
    <w:rsid w:val="008F666A"/>
    <w:rsid w:val="008F67F5"/>
    <w:rsid w:val="008F687B"/>
    <w:rsid w:val="008F68AE"/>
    <w:rsid w:val="008F6932"/>
    <w:rsid w:val="008F6A0D"/>
    <w:rsid w:val="008F6B28"/>
    <w:rsid w:val="008F6BCE"/>
    <w:rsid w:val="008F6F1C"/>
    <w:rsid w:val="008F6F3A"/>
    <w:rsid w:val="008F7078"/>
    <w:rsid w:val="008F7198"/>
    <w:rsid w:val="008F7199"/>
    <w:rsid w:val="008F724A"/>
    <w:rsid w:val="008F74B6"/>
    <w:rsid w:val="008F74F5"/>
    <w:rsid w:val="008F755D"/>
    <w:rsid w:val="008F756A"/>
    <w:rsid w:val="008F76E7"/>
    <w:rsid w:val="008F7752"/>
    <w:rsid w:val="008F77C0"/>
    <w:rsid w:val="008F77CE"/>
    <w:rsid w:val="008F784D"/>
    <w:rsid w:val="008F7A23"/>
    <w:rsid w:val="008F7B10"/>
    <w:rsid w:val="008F7C53"/>
    <w:rsid w:val="008F7C6A"/>
    <w:rsid w:val="008F7C89"/>
    <w:rsid w:val="008F7CBA"/>
    <w:rsid w:val="008F7DB6"/>
    <w:rsid w:val="008F7F70"/>
    <w:rsid w:val="009001A2"/>
    <w:rsid w:val="009001B8"/>
    <w:rsid w:val="009001FD"/>
    <w:rsid w:val="009002E0"/>
    <w:rsid w:val="009002F4"/>
    <w:rsid w:val="0090053F"/>
    <w:rsid w:val="00900604"/>
    <w:rsid w:val="00900617"/>
    <w:rsid w:val="0090065D"/>
    <w:rsid w:val="009006B0"/>
    <w:rsid w:val="00900743"/>
    <w:rsid w:val="00900878"/>
    <w:rsid w:val="009009F3"/>
    <w:rsid w:val="00900A9A"/>
    <w:rsid w:val="00900B2E"/>
    <w:rsid w:val="00900C3E"/>
    <w:rsid w:val="00900D4B"/>
    <w:rsid w:val="00900E46"/>
    <w:rsid w:val="00900F52"/>
    <w:rsid w:val="00900F85"/>
    <w:rsid w:val="00901047"/>
    <w:rsid w:val="00901210"/>
    <w:rsid w:val="00901253"/>
    <w:rsid w:val="009012D5"/>
    <w:rsid w:val="009013B2"/>
    <w:rsid w:val="0090150A"/>
    <w:rsid w:val="00901546"/>
    <w:rsid w:val="009016E0"/>
    <w:rsid w:val="0090175A"/>
    <w:rsid w:val="009017C5"/>
    <w:rsid w:val="00901814"/>
    <w:rsid w:val="0090181F"/>
    <w:rsid w:val="0090183E"/>
    <w:rsid w:val="00901932"/>
    <w:rsid w:val="0090196E"/>
    <w:rsid w:val="00901AF8"/>
    <w:rsid w:val="00901BD6"/>
    <w:rsid w:val="00901D5F"/>
    <w:rsid w:val="00901D8E"/>
    <w:rsid w:val="00901E0B"/>
    <w:rsid w:val="00901FA5"/>
    <w:rsid w:val="0090210E"/>
    <w:rsid w:val="009021C8"/>
    <w:rsid w:val="0090222A"/>
    <w:rsid w:val="009023D2"/>
    <w:rsid w:val="009023EE"/>
    <w:rsid w:val="00902645"/>
    <w:rsid w:val="00902646"/>
    <w:rsid w:val="0090288D"/>
    <w:rsid w:val="009028FB"/>
    <w:rsid w:val="009029B7"/>
    <w:rsid w:val="00902C7F"/>
    <w:rsid w:val="00902E26"/>
    <w:rsid w:val="00903010"/>
    <w:rsid w:val="00903068"/>
    <w:rsid w:val="009030FE"/>
    <w:rsid w:val="0090320A"/>
    <w:rsid w:val="00903228"/>
    <w:rsid w:val="00903260"/>
    <w:rsid w:val="0090338A"/>
    <w:rsid w:val="00903443"/>
    <w:rsid w:val="009035E2"/>
    <w:rsid w:val="009038A2"/>
    <w:rsid w:val="00903A61"/>
    <w:rsid w:val="00903ADA"/>
    <w:rsid w:val="00903BA7"/>
    <w:rsid w:val="00903C88"/>
    <w:rsid w:val="00903EA5"/>
    <w:rsid w:val="00903F1A"/>
    <w:rsid w:val="009041AE"/>
    <w:rsid w:val="00904572"/>
    <w:rsid w:val="009046CB"/>
    <w:rsid w:val="009048FA"/>
    <w:rsid w:val="009048FE"/>
    <w:rsid w:val="009049A5"/>
    <w:rsid w:val="00904A3E"/>
    <w:rsid w:val="00904B0B"/>
    <w:rsid w:val="00904B17"/>
    <w:rsid w:val="00904BD0"/>
    <w:rsid w:val="00904D98"/>
    <w:rsid w:val="00904E7B"/>
    <w:rsid w:val="00904E90"/>
    <w:rsid w:val="00904EA6"/>
    <w:rsid w:val="00904F50"/>
    <w:rsid w:val="00904FA5"/>
    <w:rsid w:val="00904FD9"/>
    <w:rsid w:val="00904FE3"/>
    <w:rsid w:val="00904FF4"/>
    <w:rsid w:val="00905183"/>
    <w:rsid w:val="009051FF"/>
    <w:rsid w:val="00905209"/>
    <w:rsid w:val="00905327"/>
    <w:rsid w:val="00905383"/>
    <w:rsid w:val="009055D3"/>
    <w:rsid w:val="00905601"/>
    <w:rsid w:val="00905690"/>
    <w:rsid w:val="0090570D"/>
    <w:rsid w:val="009057B5"/>
    <w:rsid w:val="0090583A"/>
    <w:rsid w:val="0090587F"/>
    <w:rsid w:val="00905A7A"/>
    <w:rsid w:val="00905ABC"/>
    <w:rsid w:val="00905C52"/>
    <w:rsid w:val="00905D48"/>
    <w:rsid w:val="00905D69"/>
    <w:rsid w:val="00905E32"/>
    <w:rsid w:val="00905F90"/>
    <w:rsid w:val="00905F9B"/>
    <w:rsid w:val="00906185"/>
    <w:rsid w:val="00906285"/>
    <w:rsid w:val="009062E5"/>
    <w:rsid w:val="00906335"/>
    <w:rsid w:val="0090635E"/>
    <w:rsid w:val="009063B6"/>
    <w:rsid w:val="00906490"/>
    <w:rsid w:val="009065F6"/>
    <w:rsid w:val="009066C3"/>
    <w:rsid w:val="0090688F"/>
    <w:rsid w:val="0090692C"/>
    <w:rsid w:val="00906A10"/>
    <w:rsid w:val="00906A1C"/>
    <w:rsid w:val="00906B75"/>
    <w:rsid w:val="00906B8F"/>
    <w:rsid w:val="00906B96"/>
    <w:rsid w:val="00906C60"/>
    <w:rsid w:val="00906EA5"/>
    <w:rsid w:val="009070A8"/>
    <w:rsid w:val="009071A9"/>
    <w:rsid w:val="00907221"/>
    <w:rsid w:val="009075B2"/>
    <w:rsid w:val="0090763D"/>
    <w:rsid w:val="00907692"/>
    <w:rsid w:val="0090785D"/>
    <w:rsid w:val="009078CC"/>
    <w:rsid w:val="009079C5"/>
    <w:rsid w:val="00907BF1"/>
    <w:rsid w:val="00907C60"/>
    <w:rsid w:val="00907D96"/>
    <w:rsid w:val="00907E19"/>
    <w:rsid w:val="00907E5C"/>
    <w:rsid w:val="00907E7D"/>
    <w:rsid w:val="00907F56"/>
    <w:rsid w:val="00907FE6"/>
    <w:rsid w:val="00910096"/>
    <w:rsid w:val="009100D9"/>
    <w:rsid w:val="009100FE"/>
    <w:rsid w:val="009102C5"/>
    <w:rsid w:val="009102FA"/>
    <w:rsid w:val="0091035C"/>
    <w:rsid w:val="009105D9"/>
    <w:rsid w:val="009108F9"/>
    <w:rsid w:val="00910A37"/>
    <w:rsid w:val="00910BEF"/>
    <w:rsid w:val="00910BFA"/>
    <w:rsid w:val="00910C25"/>
    <w:rsid w:val="00910C4E"/>
    <w:rsid w:val="00910C63"/>
    <w:rsid w:val="00910C73"/>
    <w:rsid w:val="00910F3C"/>
    <w:rsid w:val="00910F4A"/>
    <w:rsid w:val="0091112F"/>
    <w:rsid w:val="009113B8"/>
    <w:rsid w:val="009113CF"/>
    <w:rsid w:val="00911438"/>
    <w:rsid w:val="009114A2"/>
    <w:rsid w:val="0091173D"/>
    <w:rsid w:val="0091184E"/>
    <w:rsid w:val="00911858"/>
    <w:rsid w:val="009118AD"/>
    <w:rsid w:val="00911ADE"/>
    <w:rsid w:val="00911CB2"/>
    <w:rsid w:val="00911D72"/>
    <w:rsid w:val="00911E17"/>
    <w:rsid w:val="00911E36"/>
    <w:rsid w:val="00911FC2"/>
    <w:rsid w:val="00912091"/>
    <w:rsid w:val="009121FB"/>
    <w:rsid w:val="0091233E"/>
    <w:rsid w:val="0091260F"/>
    <w:rsid w:val="009126E9"/>
    <w:rsid w:val="00912796"/>
    <w:rsid w:val="0091287D"/>
    <w:rsid w:val="00912926"/>
    <w:rsid w:val="009129C1"/>
    <w:rsid w:val="00912B14"/>
    <w:rsid w:val="00912C53"/>
    <w:rsid w:val="00912CB0"/>
    <w:rsid w:val="00912CD2"/>
    <w:rsid w:val="00912DEB"/>
    <w:rsid w:val="00912E18"/>
    <w:rsid w:val="00912E51"/>
    <w:rsid w:val="00912EE5"/>
    <w:rsid w:val="00912F3E"/>
    <w:rsid w:val="009131BE"/>
    <w:rsid w:val="009132CE"/>
    <w:rsid w:val="009135A5"/>
    <w:rsid w:val="00913642"/>
    <w:rsid w:val="009138FC"/>
    <w:rsid w:val="00913926"/>
    <w:rsid w:val="009139CA"/>
    <w:rsid w:val="009139D0"/>
    <w:rsid w:val="00913AA3"/>
    <w:rsid w:val="00913BDD"/>
    <w:rsid w:val="00913D6A"/>
    <w:rsid w:val="00913E95"/>
    <w:rsid w:val="00914024"/>
    <w:rsid w:val="00914140"/>
    <w:rsid w:val="0091427D"/>
    <w:rsid w:val="009142A3"/>
    <w:rsid w:val="009146EE"/>
    <w:rsid w:val="00914727"/>
    <w:rsid w:val="00914777"/>
    <w:rsid w:val="00914783"/>
    <w:rsid w:val="00914867"/>
    <w:rsid w:val="00914898"/>
    <w:rsid w:val="00914959"/>
    <w:rsid w:val="009149C8"/>
    <w:rsid w:val="00914A89"/>
    <w:rsid w:val="00914B0C"/>
    <w:rsid w:val="00914B39"/>
    <w:rsid w:val="00914BC5"/>
    <w:rsid w:val="00914D30"/>
    <w:rsid w:val="00914D6A"/>
    <w:rsid w:val="00914EB6"/>
    <w:rsid w:val="00914EC3"/>
    <w:rsid w:val="00914FEF"/>
    <w:rsid w:val="0091501C"/>
    <w:rsid w:val="00915118"/>
    <w:rsid w:val="0091518A"/>
    <w:rsid w:val="009151A1"/>
    <w:rsid w:val="00915250"/>
    <w:rsid w:val="0091526D"/>
    <w:rsid w:val="009152A8"/>
    <w:rsid w:val="00915333"/>
    <w:rsid w:val="009153AA"/>
    <w:rsid w:val="009153AF"/>
    <w:rsid w:val="009154C8"/>
    <w:rsid w:val="009155BD"/>
    <w:rsid w:val="0091567E"/>
    <w:rsid w:val="0091570A"/>
    <w:rsid w:val="00915783"/>
    <w:rsid w:val="0091587A"/>
    <w:rsid w:val="009158D4"/>
    <w:rsid w:val="0091597E"/>
    <w:rsid w:val="009159D3"/>
    <w:rsid w:val="009159E3"/>
    <w:rsid w:val="00915B07"/>
    <w:rsid w:val="00915B53"/>
    <w:rsid w:val="00915B60"/>
    <w:rsid w:val="00915EBF"/>
    <w:rsid w:val="00916090"/>
    <w:rsid w:val="009161D2"/>
    <w:rsid w:val="00916246"/>
    <w:rsid w:val="00916322"/>
    <w:rsid w:val="009163B1"/>
    <w:rsid w:val="009163E0"/>
    <w:rsid w:val="009164D8"/>
    <w:rsid w:val="0091655E"/>
    <w:rsid w:val="009165B2"/>
    <w:rsid w:val="009165E2"/>
    <w:rsid w:val="009165EA"/>
    <w:rsid w:val="009168E9"/>
    <w:rsid w:val="00916BEC"/>
    <w:rsid w:val="00916FA3"/>
    <w:rsid w:val="00917013"/>
    <w:rsid w:val="00917029"/>
    <w:rsid w:val="009170B9"/>
    <w:rsid w:val="0091721F"/>
    <w:rsid w:val="009172D7"/>
    <w:rsid w:val="009172F9"/>
    <w:rsid w:val="009173D0"/>
    <w:rsid w:val="0091745D"/>
    <w:rsid w:val="009174CC"/>
    <w:rsid w:val="0091757A"/>
    <w:rsid w:val="009175B3"/>
    <w:rsid w:val="00917618"/>
    <w:rsid w:val="00917650"/>
    <w:rsid w:val="009176AD"/>
    <w:rsid w:val="0091779D"/>
    <w:rsid w:val="00917805"/>
    <w:rsid w:val="00917811"/>
    <w:rsid w:val="0091787B"/>
    <w:rsid w:val="009178C6"/>
    <w:rsid w:val="0091790F"/>
    <w:rsid w:val="00917A1B"/>
    <w:rsid w:val="00917A2D"/>
    <w:rsid w:val="00917B6D"/>
    <w:rsid w:val="00917BE0"/>
    <w:rsid w:val="00917C7D"/>
    <w:rsid w:val="00917CAA"/>
    <w:rsid w:val="00917DB9"/>
    <w:rsid w:val="00917DCC"/>
    <w:rsid w:val="00917E39"/>
    <w:rsid w:val="00917ED2"/>
    <w:rsid w:val="00917F76"/>
    <w:rsid w:val="00920054"/>
    <w:rsid w:val="0092016E"/>
    <w:rsid w:val="0092020B"/>
    <w:rsid w:val="0092020C"/>
    <w:rsid w:val="00920251"/>
    <w:rsid w:val="00920279"/>
    <w:rsid w:val="009203D1"/>
    <w:rsid w:val="009204A9"/>
    <w:rsid w:val="0092052E"/>
    <w:rsid w:val="00920532"/>
    <w:rsid w:val="0092058F"/>
    <w:rsid w:val="00920598"/>
    <w:rsid w:val="009205E0"/>
    <w:rsid w:val="0092063E"/>
    <w:rsid w:val="0092069D"/>
    <w:rsid w:val="00920786"/>
    <w:rsid w:val="00920804"/>
    <w:rsid w:val="00920A7C"/>
    <w:rsid w:val="00920BDF"/>
    <w:rsid w:val="00920C27"/>
    <w:rsid w:val="00920CA9"/>
    <w:rsid w:val="00920E06"/>
    <w:rsid w:val="00920E86"/>
    <w:rsid w:val="00920F05"/>
    <w:rsid w:val="0092102F"/>
    <w:rsid w:val="00921039"/>
    <w:rsid w:val="0092103A"/>
    <w:rsid w:val="0092105F"/>
    <w:rsid w:val="00921072"/>
    <w:rsid w:val="0092124F"/>
    <w:rsid w:val="009212A3"/>
    <w:rsid w:val="00921459"/>
    <w:rsid w:val="00921624"/>
    <w:rsid w:val="00921693"/>
    <w:rsid w:val="009216A6"/>
    <w:rsid w:val="009216A8"/>
    <w:rsid w:val="009216D7"/>
    <w:rsid w:val="009217A9"/>
    <w:rsid w:val="009217DD"/>
    <w:rsid w:val="00921856"/>
    <w:rsid w:val="00921930"/>
    <w:rsid w:val="00921935"/>
    <w:rsid w:val="00921993"/>
    <w:rsid w:val="00921B24"/>
    <w:rsid w:val="00921CD6"/>
    <w:rsid w:val="0092204F"/>
    <w:rsid w:val="0092218F"/>
    <w:rsid w:val="00922231"/>
    <w:rsid w:val="009222FB"/>
    <w:rsid w:val="009224BE"/>
    <w:rsid w:val="00922597"/>
    <w:rsid w:val="009225AA"/>
    <w:rsid w:val="009225C2"/>
    <w:rsid w:val="009226BA"/>
    <w:rsid w:val="0092275E"/>
    <w:rsid w:val="0092285F"/>
    <w:rsid w:val="00922AB0"/>
    <w:rsid w:val="00922B25"/>
    <w:rsid w:val="00922BAB"/>
    <w:rsid w:val="00922C18"/>
    <w:rsid w:val="00922C44"/>
    <w:rsid w:val="00922D2B"/>
    <w:rsid w:val="00922E3F"/>
    <w:rsid w:val="00922ED4"/>
    <w:rsid w:val="0092301F"/>
    <w:rsid w:val="0092308D"/>
    <w:rsid w:val="009237C1"/>
    <w:rsid w:val="00923811"/>
    <w:rsid w:val="00923A2A"/>
    <w:rsid w:val="00923A87"/>
    <w:rsid w:val="00923AAD"/>
    <w:rsid w:val="00923B03"/>
    <w:rsid w:val="00923BCA"/>
    <w:rsid w:val="00923C30"/>
    <w:rsid w:val="00923C4B"/>
    <w:rsid w:val="00923D5C"/>
    <w:rsid w:val="00923EC8"/>
    <w:rsid w:val="0092403E"/>
    <w:rsid w:val="009240BF"/>
    <w:rsid w:val="009241E2"/>
    <w:rsid w:val="00924330"/>
    <w:rsid w:val="0092452E"/>
    <w:rsid w:val="00924597"/>
    <w:rsid w:val="009245A0"/>
    <w:rsid w:val="009245A4"/>
    <w:rsid w:val="0092465B"/>
    <w:rsid w:val="009246EB"/>
    <w:rsid w:val="00924727"/>
    <w:rsid w:val="009247B5"/>
    <w:rsid w:val="00924961"/>
    <w:rsid w:val="009249EC"/>
    <w:rsid w:val="00924A2E"/>
    <w:rsid w:val="00924A5A"/>
    <w:rsid w:val="00924B78"/>
    <w:rsid w:val="00924C00"/>
    <w:rsid w:val="00924D5E"/>
    <w:rsid w:val="00924DDE"/>
    <w:rsid w:val="00924DE5"/>
    <w:rsid w:val="00924E7E"/>
    <w:rsid w:val="00924F1A"/>
    <w:rsid w:val="00924F52"/>
    <w:rsid w:val="00924F5B"/>
    <w:rsid w:val="00925484"/>
    <w:rsid w:val="009254D0"/>
    <w:rsid w:val="0092553F"/>
    <w:rsid w:val="00925556"/>
    <w:rsid w:val="00925584"/>
    <w:rsid w:val="009255C9"/>
    <w:rsid w:val="00925908"/>
    <w:rsid w:val="009259A9"/>
    <w:rsid w:val="00925AA2"/>
    <w:rsid w:val="00925B75"/>
    <w:rsid w:val="00925BB7"/>
    <w:rsid w:val="00925CCE"/>
    <w:rsid w:val="00925D2A"/>
    <w:rsid w:val="00925D38"/>
    <w:rsid w:val="00925D91"/>
    <w:rsid w:val="00925E08"/>
    <w:rsid w:val="00925FD8"/>
    <w:rsid w:val="0092600C"/>
    <w:rsid w:val="00926054"/>
    <w:rsid w:val="00926064"/>
    <w:rsid w:val="0092609D"/>
    <w:rsid w:val="00926135"/>
    <w:rsid w:val="00926154"/>
    <w:rsid w:val="00926296"/>
    <w:rsid w:val="009265CF"/>
    <w:rsid w:val="0092668A"/>
    <w:rsid w:val="00926826"/>
    <w:rsid w:val="00926858"/>
    <w:rsid w:val="00926888"/>
    <w:rsid w:val="00926B1A"/>
    <w:rsid w:val="00926D14"/>
    <w:rsid w:val="00926D3C"/>
    <w:rsid w:val="00926D75"/>
    <w:rsid w:val="00926DE5"/>
    <w:rsid w:val="009271C6"/>
    <w:rsid w:val="009271C8"/>
    <w:rsid w:val="009272DC"/>
    <w:rsid w:val="00927324"/>
    <w:rsid w:val="00927390"/>
    <w:rsid w:val="00927408"/>
    <w:rsid w:val="0092745E"/>
    <w:rsid w:val="00927482"/>
    <w:rsid w:val="00927546"/>
    <w:rsid w:val="0092761F"/>
    <w:rsid w:val="00927690"/>
    <w:rsid w:val="0092770C"/>
    <w:rsid w:val="0092778C"/>
    <w:rsid w:val="00927862"/>
    <w:rsid w:val="00927A8D"/>
    <w:rsid w:val="00927AC9"/>
    <w:rsid w:val="00927AD5"/>
    <w:rsid w:val="00927DAF"/>
    <w:rsid w:val="00927F23"/>
    <w:rsid w:val="00927F4F"/>
    <w:rsid w:val="00927F5B"/>
    <w:rsid w:val="00930014"/>
    <w:rsid w:val="00930081"/>
    <w:rsid w:val="0093017C"/>
    <w:rsid w:val="009302D8"/>
    <w:rsid w:val="0093031B"/>
    <w:rsid w:val="00930616"/>
    <w:rsid w:val="00930691"/>
    <w:rsid w:val="009306E9"/>
    <w:rsid w:val="00930873"/>
    <w:rsid w:val="0093088E"/>
    <w:rsid w:val="00930BA4"/>
    <w:rsid w:val="00930C6E"/>
    <w:rsid w:val="00930D8A"/>
    <w:rsid w:val="00930EE3"/>
    <w:rsid w:val="00930EE8"/>
    <w:rsid w:val="00930FC6"/>
    <w:rsid w:val="0093108E"/>
    <w:rsid w:val="00931227"/>
    <w:rsid w:val="0093123D"/>
    <w:rsid w:val="00931287"/>
    <w:rsid w:val="0093130D"/>
    <w:rsid w:val="009313A1"/>
    <w:rsid w:val="009314CC"/>
    <w:rsid w:val="0093169E"/>
    <w:rsid w:val="00931913"/>
    <w:rsid w:val="00931926"/>
    <w:rsid w:val="00931AC7"/>
    <w:rsid w:val="00931AED"/>
    <w:rsid w:val="00931B4D"/>
    <w:rsid w:val="00931E3C"/>
    <w:rsid w:val="00931EDF"/>
    <w:rsid w:val="00931F8C"/>
    <w:rsid w:val="00931F96"/>
    <w:rsid w:val="00931FF8"/>
    <w:rsid w:val="0093201D"/>
    <w:rsid w:val="00932064"/>
    <w:rsid w:val="00932096"/>
    <w:rsid w:val="009321E3"/>
    <w:rsid w:val="00932290"/>
    <w:rsid w:val="009322A8"/>
    <w:rsid w:val="00932508"/>
    <w:rsid w:val="009325BE"/>
    <w:rsid w:val="00932609"/>
    <w:rsid w:val="0093274A"/>
    <w:rsid w:val="00932765"/>
    <w:rsid w:val="009327E3"/>
    <w:rsid w:val="00932926"/>
    <w:rsid w:val="00932953"/>
    <w:rsid w:val="00932C58"/>
    <w:rsid w:val="00932C68"/>
    <w:rsid w:val="00932D8A"/>
    <w:rsid w:val="00932E50"/>
    <w:rsid w:val="00932F78"/>
    <w:rsid w:val="00933150"/>
    <w:rsid w:val="00933180"/>
    <w:rsid w:val="009331A8"/>
    <w:rsid w:val="009331ED"/>
    <w:rsid w:val="00933235"/>
    <w:rsid w:val="009332D8"/>
    <w:rsid w:val="009335CB"/>
    <w:rsid w:val="00933920"/>
    <w:rsid w:val="00933A19"/>
    <w:rsid w:val="00933ACE"/>
    <w:rsid w:val="00933B1C"/>
    <w:rsid w:val="00933D60"/>
    <w:rsid w:val="00933D6E"/>
    <w:rsid w:val="00933DA0"/>
    <w:rsid w:val="00933DE2"/>
    <w:rsid w:val="00933F56"/>
    <w:rsid w:val="00933F5D"/>
    <w:rsid w:val="00933FE4"/>
    <w:rsid w:val="00934121"/>
    <w:rsid w:val="00934249"/>
    <w:rsid w:val="0093426E"/>
    <w:rsid w:val="0093427C"/>
    <w:rsid w:val="009342F3"/>
    <w:rsid w:val="00934350"/>
    <w:rsid w:val="00934368"/>
    <w:rsid w:val="009343B2"/>
    <w:rsid w:val="009343F8"/>
    <w:rsid w:val="00934431"/>
    <w:rsid w:val="0093449E"/>
    <w:rsid w:val="009344EE"/>
    <w:rsid w:val="00934618"/>
    <w:rsid w:val="0093472F"/>
    <w:rsid w:val="009347C9"/>
    <w:rsid w:val="009347F9"/>
    <w:rsid w:val="00934816"/>
    <w:rsid w:val="009348C4"/>
    <w:rsid w:val="009348F9"/>
    <w:rsid w:val="009349A7"/>
    <w:rsid w:val="00934A85"/>
    <w:rsid w:val="00934BC8"/>
    <w:rsid w:val="00934DB4"/>
    <w:rsid w:val="00934E80"/>
    <w:rsid w:val="00934FB6"/>
    <w:rsid w:val="00934FE4"/>
    <w:rsid w:val="0093542E"/>
    <w:rsid w:val="0093543D"/>
    <w:rsid w:val="00935485"/>
    <w:rsid w:val="00935570"/>
    <w:rsid w:val="00935667"/>
    <w:rsid w:val="009356D8"/>
    <w:rsid w:val="0093595C"/>
    <w:rsid w:val="00935986"/>
    <w:rsid w:val="00935ABB"/>
    <w:rsid w:val="00935C64"/>
    <w:rsid w:val="00935CB6"/>
    <w:rsid w:val="00935CF5"/>
    <w:rsid w:val="00935F0C"/>
    <w:rsid w:val="0093601E"/>
    <w:rsid w:val="009361E8"/>
    <w:rsid w:val="00936223"/>
    <w:rsid w:val="0093644F"/>
    <w:rsid w:val="00936550"/>
    <w:rsid w:val="009365D2"/>
    <w:rsid w:val="0093687F"/>
    <w:rsid w:val="00936937"/>
    <w:rsid w:val="00936A44"/>
    <w:rsid w:val="00936A65"/>
    <w:rsid w:val="00936AC2"/>
    <w:rsid w:val="00936C81"/>
    <w:rsid w:val="00936E29"/>
    <w:rsid w:val="00936E60"/>
    <w:rsid w:val="00936F01"/>
    <w:rsid w:val="00936F32"/>
    <w:rsid w:val="00936FF5"/>
    <w:rsid w:val="00936FFA"/>
    <w:rsid w:val="00937062"/>
    <w:rsid w:val="00937250"/>
    <w:rsid w:val="009372DB"/>
    <w:rsid w:val="00937341"/>
    <w:rsid w:val="009373D7"/>
    <w:rsid w:val="0093744C"/>
    <w:rsid w:val="009374AC"/>
    <w:rsid w:val="00937512"/>
    <w:rsid w:val="0093757A"/>
    <w:rsid w:val="00937640"/>
    <w:rsid w:val="0093774A"/>
    <w:rsid w:val="0093778B"/>
    <w:rsid w:val="009378FD"/>
    <w:rsid w:val="00937A96"/>
    <w:rsid w:val="00937BF8"/>
    <w:rsid w:val="00937D30"/>
    <w:rsid w:val="00937D59"/>
    <w:rsid w:val="0093A404"/>
    <w:rsid w:val="0094000C"/>
    <w:rsid w:val="00940022"/>
    <w:rsid w:val="00940185"/>
    <w:rsid w:val="0094018C"/>
    <w:rsid w:val="0094026E"/>
    <w:rsid w:val="00940509"/>
    <w:rsid w:val="00940624"/>
    <w:rsid w:val="009407DB"/>
    <w:rsid w:val="009408D3"/>
    <w:rsid w:val="009408F7"/>
    <w:rsid w:val="00940900"/>
    <w:rsid w:val="00940A23"/>
    <w:rsid w:val="00940B0E"/>
    <w:rsid w:val="00940B18"/>
    <w:rsid w:val="00940B73"/>
    <w:rsid w:val="00940D75"/>
    <w:rsid w:val="00940D7D"/>
    <w:rsid w:val="00940DE9"/>
    <w:rsid w:val="00940E32"/>
    <w:rsid w:val="00940E56"/>
    <w:rsid w:val="00940F11"/>
    <w:rsid w:val="00940FA5"/>
    <w:rsid w:val="00940FC1"/>
    <w:rsid w:val="00941053"/>
    <w:rsid w:val="00941193"/>
    <w:rsid w:val="009412B7"/>
    <w:rsid w:val="0094133D"/>
    <w:rsid w:val="009413DF"/>
    <w:rsid w:val="00941577"/>
    <w:rsid w:val="00941597"/>
    <w:rsid w:val="00941715"/>
    <w:rsid w:val="00941727"/>
    <w:rsid w:val="009417DC"/>
    <w:rsid w:val="00941851"/>
    <w:rsid w:val="009418B6"/>
    <w:rsid w:val="009418C1"/>
    <w:rsid w:val="00941968"/>
    <w:rsid w:val="00941A3A"/>
    <w:rsid w:val="00941B8C"/>
    <w:rsid w:val="00941F82"/>
    <w:rsid w:val="00941FA9"/>
    <w:rsid w:val="009420C5"/>
    <w:rsid w:val="009420DA"/>
    <w:rsid w:val="009422A2"/>
    <w:rsid w:val="009422F5"/>
    <w:rsid w:val="009423B3"/>
    <w:rsid w:val="0094252E"/>
    <w:rsid w:val="0094267A"/>
    <w:rsid w:val="009427F4"/>
    <w:rsid w:val="0094280E"/>
    <w:rsid w:val="009429E6"/>
    <w:rsid w:val="009429EC"/>
    <w:rsid w:val="00942A92"/>
    <w:rsid w:val="00942B3C"/>
    <w:rsid w:val="00942CBA"/>
    <w:rsid w:val="00942EBC"/>
    <w:rsid w:val="00942ECD"/>
    <w:rsid w:val="00942F88"/>
    <w:rsid w:val="0094305A"/>
    <w:rsid w:val="00943154"/>
    <w:rsid w:val="00943208"/>
    <w:rsid w:val="00943498"/>
    <w:rsid w:val="00943503"/>
    <w:rsid w:val="009435BC"/>
    <w:rsid w:val="0094361F"/>
    <w:rsid w:val="0094364F"/>
    <w:rsid w:val="00943665"/>
    <w:rsid w:val="0094393A"/>
    <w:rsid w:val="00943AB4"/>
    <w:rsid w:val="00943BCF"/>
    <w:rsid w:val="00943C8C"/>
    <w:rsid w:val="00943CD1"/>
    <w:rsid w:val="00943D16"/>
    <w:rsid w:val="00943E5E"/>
    <w:rsid w:val="00943F00"/>
    <w:rsid w:val="00943FA9"/>
    <w:rsid w:val="009440C7"/>
    <w:rsid w:val="009441C4"/>
    <w:rsid w:val="009443A1"/>
    <w:rsid w:val="009446B6"/>
    <w:rsid w:val="009447D9"/>
    <w:rsid w:val="009447E7"/>
    <w:rsid w:val="00944A18"/>
    <w:rsid w:val="00944A9A"/>
    <w:rsid w:val="00944CE6"/>
    <w:rsid w:val="00944D09"/>
    <w:rsid w:val="00944EA6"/>
    <w:rsid w:val="00944EF1"/>
    <w:rsid w:val="00945193"/>
    <w:rsid w:val="009453CC"/>
    <w:rsid w:val="009453F9"/>
    <w:rsid w:val="00945439"/>
    <w:rsid w:val="0094561B"/>
    <w:rsid w:val="00945712"/>
    <w:rsid w:val="0094582B"/>
    <w:rsid w:val="0094584A"/>
    <w:rsid w:val="009459C6"/>
    <w:rsid w:val="00945A09"/>
    <w:rsid w:val="00945A43"/>
    <w:rsid w:val="00945A6A"/>
    <w:rsid w:val="00945B30"/>
    <w:rsid w:val="00945BF8"/>
    <w:rsid w:val="00945C96"/>
    <w:rsid w:val="00945CBA"/>
    <w:rsid w:val="00945CCE"/>
    <w:rsid w:val="00945D4D"/>
    <w:rsid w:val="00945EB7"/>
    <w:rsid w:val="00946218"/>
    <w:rsid w:val="0094622A"/>
    <w:rsid w:val="00946287"/>
    <w:rsid w:val="0094636E"/>
    <w:rsid w:val="0094654B"/>
    <w:rsid w:val="0094655F"/>
    <w:rsid w:val="00946737"/>
    <w:rsid w:val="009467DC"/>
    <w:rsid w:val="0094688B"/>
    <w:rsid w:val="00946A14"/>
    <w:rsid w:val="00946A40"/>
    <w:rsid w:val="00946B38"/>
    <w:rsid w:val="00946B8E"/>
    <w:rsid w:val="00946D0E"/>
    <w:rsid w:val="00946D3B"/>
    <w:rsid w:val="00946D9A"/>
    <w:rsid w:val="00946F29"/>
    <w:rsid w:val="00946F38"/>
    <w:rsid w:val="00947053"/>
    <w:rsid w:val="009470CC"/>
    <w:rsid w:val="0094710F"/>
    <w:rsid w:val="00947259"/>
    <w:rsid w:val="00947444"/>
    <w:rsid w:val="00947469"/>
    <w:rsid w:val="00947476"/>
    <w:rsid w:val="009477BC"/>
    <w:rsid w:val="0094784A"/>
    <w:rsid w:val="00947887"/>
    <w:rsid w:val="009478BB"/>
    <w:rsid w:val="00947910"/>
    <w:rsid w:val="00947A8C"/>
    <w:rsid w:val="00947C5C"/>
    <w:rsid w:val="00947D06"/>
    <w:rsid w:val="00947D82"/>
    <w:rsid w:val="00947DA4"/>
    <w:rsid w:val="00950036"/>
    <w:rsid w:val="0095026B"/>
    <w:rsid w:val="0095028B"/>
    <w:rsid w:val="009503CA"/>
    <w:rsid w:val="009505B8"/>
    <w:rsid w:val="009506E4"/>
    <w:rsid w:val="009507D0"/>
    <w:rsid w:val="00950A04"/>
    <w:rsid w:val="00950A39"/>
    <w:rsid w:val="00950BD2"/>
    <w:rsid w:val="00950D1D"/>
    <w:rsid w:val="00950D8A"/>
    <w:rsid w:val="00950E5F"/>
    <w:rsid w:val="00950F0D"/>
    <w:rsid w:val="00950FEF"/>
    <w:rsid w:val="009510B4"/>
    <w:rsid w:val="0095112B"/>
    <w:rsid w:val="0095120A"/>
    <w:rsid w:val="0095120B"/>
    <w:rsid w:val="00951345"/>
    <w:rsid w:val="00951504"/>
    <w:rsid w:val="0095151C"/>
    <w:rsid w:val="00951582"/>
    <w:rsid w:val="009517A6"/>
    <w:rsid w:val="009518B6"/>
    <w:rsid w:val="009519AF"/>
    <w:rsid w:val="00951B5A"/>
    <w:rsid w:val="00951BE2"/>
    <w:rsid w:val="00951BEB"/>
    <w:rsid w:val="00951C4A"/>
    <w:rsid w:val="00951FAA"/>
    <w:rsid w:val="00952002"/>
    <w:rsid w:val="00952078"/>
    <w:rsid w:val="009521C0"/>
    <w:rsid w:val="009522A2"/>
    <w:rsid w:val="00952389"/>
    <w:rsid w:val="009523F9"/>
    <w:rsid w:val="009525A9"/>
    <w:rsid w:val="00952694"/>
    <w:rsid w:val="00952809"/>
    <w:rsid w:val="00952B47"/>
    <w:rsid w:val="00952B66"/>
    <w:rsid w:val="00952C86"/>
    <w:rsid w:val="00952DF3"/>
    <w:rsid w:val="00952E4D"/>
    <w:rsid w:val="00952E55"/>
    <w:rsid w:val="00952E9C"/>
    <w:rsid w:val="00953122"/>
    <w:rsid w:val="009531AE"/>
    <w:rsid w:val="00953585"/>
    <w:rsid w:val="00953599"/>
    <w:rsid w:val="009535FA"/>
    <w:rsid w:val="00953772"/>
    <w:rsid w:val="00953784"/>
    <w:rsid w:val="00953811"/>
    <w:rsid w:val="009538FA"/>
    <w:rsid w:val="00953AB6"/>
    <w:rsid w:val="00953ADD"/>
    <w:rsid w:val="00953C69"/>
    <w:rsid w:val="00953C7E"/>
    <w:rsid w:val="00953C80"/>
    <w:rsid w:val="00953D66"/>
    <w:rsid w:val="00953EA3"/>
    <w:rsid w:val="00953EC6"/>
    <w:rsid w:val="00953F97"/>
    <w:rsid w:val="00953FDC"/>
    <w:rsid w:val="009542F3"/>
    <w:rsid w:val="00954324"/>
    <w:rsid w:val="0095434B"/>
    <w:rsid w:val="009543A7"/>
    <w:rsid w:val="009543E7"/>
    <w:rsid w:val="0095447F"/>
    <w:rsid w:val="009545CC"/>
    <w:rsid w:val="00954664"/>
    <w:rsid w:val="00954710"/>
    <w:rsid w:val="0095478A"/>
    <w:rsid w:val="009547BC"/>
    <w:rsid w:val="009548C7"/>
    <w:rsid w:val="00954A03"/>
    <w:rsid w:val="00954AF9"/>
    <w:rsid w:val="00954B2B"/>
    <w:rsid w:val="00954B78"/>
    <w:rsid w:val="00954C30"/>
    <w:rsid w:val="00954C31"/>
    <w:rsid w:val="00954D77"/>
    <w:rsid w:val="00954D9F"/>
    <w:rsid w:val="00954DB6"/>
    <w:rsid w:val="00954DF5"/>
    <w:rsid w:val="00954F41"/>
    <w:rsid w:val="00954FC1"/>
    <w:rsid w:val="009551FD"/>
    <w:rsid w:val="00955392"/>
    <w:rsid w:val="009553A1"/>
    <w:rsid w:val="009555F8"/>
    <w:rsid w:val="00955602"/>
    <w:rsid w:val="00955725"/>
    <w:rsid w:val="00955794"/>
    <w:rsid w:val="00955832"/>
    <w:rsid w:val="00955834"/>
    <w:rsid w:val="0095583E"/>
    <w:rsid w:val="0095596C"/>
    <w:rsid w:val="00955A7F"/>
    <w:rsid w:val="00955BBF"/>
    <w:rsid w:val="00955C41"/>
    <w:rsid w:val="00955D0E"/>
    <w:rsid w:val="00955D17"/>
    <w:rsid w:val="00955DBA"/>
    <w:rsid w:val="00955FA7"/>
    <w:rsid w:val="00955FAA"/>
    <w:rsid w:val="0095606E"/>
    <w:rsid w:val="009560A8"/>
    <w:rsid w:val="00956274"/>
    <w:rsid w:val="009562C7"/>
    <w:rsid w:val="0095630C"/>
    <w:rsid w:val="00956381"/>
    <w:rsid w:val="009563C6"/>
    <w:rsid w:val="009564DD"/>
    <w:rsid w:val="0095655D"/>
    <w:rsid w:val="00956575"/>
    <w:rsid w:val="0095666F"/>
    <w:rsid w:val="00956684"/>
    <w:rsid w:val="00956801"/>
    <w:rsid w:val="00956802"/>
    <w:rsid w:val="00956836"/>
    <w:rsid w:val="00956DE3"/>
    <w:rsid w:val="00956E96"/>
    <w:rsid w:val="00956F98"/>
    <w:rsid w:val="00956FB9"/>
    <w:rsid w:val="00957070"/>
    <w:rsid w:val="00957117"/>
    <w:rsid w:val="0095712A"/>
    <w:rsid w:val="00957266"/>
    <w:rsid w:val="009572E4"/>
    <w:rsid w:val="00957357"/>
    <w:rsid w:val="0095749A"/>
    <w:rsid w:val="009574A7"/>
    <w:rsid w:val="009574D1"/>
    <w:rsid w:val="0095757D"/>
    <w:rsid w:val="00957674"/>
    <w:rsid w:val="009576C5"/>
    <w:rsid w:val="00957A04"/>
    <w:rsid w:val="00957A13"/>
    <w:rsid w:val="00957A2E"/>
    <w:rsid w:val="00957B89"/>
    <w:rsid w:val="00957C23"/>
    <w:rsid w:val="00957DBD"/>
    <w:rsid w:val="00957E05"/>
    <w:rsid w:val="00957E4E"/>
    <w:rsid w:val="00957EC2"/>
    <w:rsid w:val="00957EFB"/>
    <w:rsid w:val="00957F77"/>
    <w:rsid w:val="00957F8C"/>
    <w:rsid w:val="00957F98"/>
    <w:rsid w:val="009600FB"/>
    <w:rsid w:val="0096012E"/>
    <w:rsid w:val="00960151"/>
    <w:rsid w:val="009603C2"/>
    <w:rsid w:val="009604D3"/>
    <w:rsid w:val="00960525"/>
    <w:rsid w:val="00960550"/>
    <w:rsid w:val="009606AC"/>
    <w:rsid w:val="009609A2"/>
    <w:rsid w:val="00960B55"/>
    <w:rsid w:val="00960BED"/>
    <w:rsid w:val="00960FF2"/>
    <w:rsid w:val="00961198"/>
    <w:rsid w:val="009611A2"/>
    <w:rsid w:val="009611B4"/>
    <w:rsid w:val="00961332"/>
    <w:rsid w:val="009613AD"/>
    <w:rsid w:val="00961518"/>
    <w:rsid w:val="009615F0"/>
    <w:rsid w:val="00961658"/>
    <w:rsid w:val="009616A9"/>
    <w:rsid w:val="0096181A"/>
    <w:rsid w:val="009618C4"/>
    <w:rsid w:val="00961935"/>
    <w:rsid w:val="00961936"/>
    <w:rsid w:val="0096198B"/>
    <w:rsid w:val="00961A82"/>
    <w:rsid w:val="00961AF1"/>
    <w:rsid w:val="00961B96"/>
    <w:rsid w:val="00961BB3"/>
    <w:rsid w:val="00961D18"/>
    <w:rsid w:val="00961D56"/>
    <w:rsid w:val="00961DA9"/>
    <w:rsid w:val="00961E4C"/>
    <w:rsid w:val="009621E7"/>
    <w:rsid w:val="009622A7"/>
    <w:rsid w:val="009623E7"/>
    <w:rsid w:val="00962566"/>
    <w:rsid w:val="0096256F"/>
    <w:rsid w:val="009625B6"/>
    <w:rsid w:val="0096267D"/>
    <w:rsid w:val="00962879"/>
    <w:rsid w:val="00962971"/>
    <w:rsid w:val="00962990"/>
    <w:rsid w:val="00962BC9"/>
    <w:rsid w:val="00962C98"/>
    <w:rsid w:val="00962CCD"/>
    <w:rsid w:val="00962EB5"/>
    <w:rsid w:val="00962F57"/>
    <w:rsid w:val="0096301F"/>
    <w:rsid w:val="009630C1"/>
    <w:rsid w:val="00963260"/>
    <w:rsid w:val="0096327F"/>
    <w:rsid w:val="009632ED"/>
    <w:rsid w:val="00963333"/>
    <w:rsid w:val="0096336F"/>
    <w:rsid w:val="00963378"/>
    <w:rsid w:val="0096346C"/>
    <w:rsid w:val="00963471"/>
    <w:rsid w:val="00963884"/>
    <w:rsid w:val="00963997"/>
    <w:rsid w:val="00963BA1"/>
    <w:rsid w:val="00963D0C"/>
    <w:rsid w:val="00963D3D"/>
    <w:rsid w:val="00963F76"/>
    <w:rsid w:val="00964042"/>
    <w:rsid w:val="00964111"/>
    <w:rsid w:val="00964293"/>
    <w:rsid w:val="009644CB"/>
    <w:rsid w:val="00964512"/>
    <w:rsid w:val="009645A7"/>
    <w:rsid w:val="009646A3"/>
    <w:rsid w:val="00964714"/>
    <w:rsid w:val="00964D37"/>
    <w:rsid w:val="00964D8F"/>
    <w:rsid w:val="00964DF3"/>
    <w:rsid w:val="00964F18"/>
    <w:rsid w:val="00964F90"/>
    <w:rsid w:val="00964FBB"/>
    <w:rsid w:val="00965272"/>
    <w:rsid w:val="00965304"/>
    <w:rsid w:val="0096536B"/>
    <w:rsid w:val="00965417"/>
    <w:rsid w:val="00965499"/>
    <w:rsid w:val="0096580C"/>
    <w:rsid w:val="0096583F"/>
    <w:rsid w:val="0096584A"/>
    <w:rsid w:val="0096589C"/>
    <w:rsid w:val="009659A6"/>
    <w:rsid w:val="00965B67"/>
    <w:rsid w:val="00965CFF"/>
    <w:rsid w:val="00965D74"/>
    <w:rsid w:val="00965DB8"/>
    <w:rsid w:val="00965FCA"/>
    <w:rsid w:val="00966394"/>
    <w:rsid w:val="009663BE"/>
    <w:rsid w:val="009663E3"/>
    <w:rsid w:val="00966623"/>
    <w:rsid w:val="0096680D"/>
    <w:rsid w:val="00966820"/>
    <w:rsid w:val="00966A44"/>
    <w:rsid w:val="00966CAF"/>
    <w:rsid w:val="00966DF6"/>
    <w:rsid w:val="00966E34"/>
    <w:rsid w:val="0096704B"/>
    <w:rsid w:val="0096707E"/>
    <w:rsid w:val="00967321"/>
    <w:rsid w:val="0096744B"/>
    <w:rsid w:val="009674EC"/>
    <w:rsid w:val="009675F1"/>
    <w:rsid w:val="00967691"/>
    <w:rsid w:val="009676B0"/>
    <w:rsid w:val="00967712"/>
    <w:rsid w:val="009678AE"/>
    <w:rsid w:val="009679F0"/>
    <w:rsid w:val="00967BAB"/>
    <w:rsid w:val="00967C18"/>
    <w:rsid w:val="00967DF9"/>
    <w:rsid w:val="0096FBB4"/>
    <w:rsid w:val="0097006B"/>
    <w:rsid w:val="00970083"/>
    <w:rsid w:val="0097015B"/>
    <w:rsid w:val="009701DB"/>
    <w:rsid w:val="00970332"/>
    <w:rsid w:val="00970441"/>
    <w:rsid w:val="009704EB"/>
    <w:rsid w:val="009708B1"/>
    <w:rsid w:val="009708B4"/>
    <w:rsid w:val="009708CC"/>
    <w:rsid w:val="009709D2"/>
    <w:rsid w:val="00970AE1"/>
    <w:rsid w:val="00970C03"/>
    <w:rsid w:val="00970D7E"/>
    <w:rsid w:val="00970DAD"/>
    <w:rsid w:val="00970DFA"/>
    <w:rsid w:val="00970E8B"/>
    <w:rsid w:val="00970F30"/>
    <w:rsid w:val="00970F54"/>
    <w:rsid w:val="0097116D"/>
    <w:rsid w:val="0097117A"/>
    <w:rsid w:val="009711FA"/>
    <w:rsid w:val="0097129D"/>
    <w:rsid w:val="009712AA"/>
    <w:rsid w:val="0097130E"/>
    <w:rsid w:val="009713C9"/>
    <w:rsid w:val="009714C3"/>
    <w:rsid w:val="009714DD"/>
    <w:rsid w:val="00971619"/>
    <w:rsid w:val="009717BA"/>
    <w:rsid w:val="00971A2E"/>
    <w:rsid w:val="00971AC7"/>
    <w:rsid w:val="00971B79"/>
    <w:rsid w:val="00971C9B"/>
    <w:rsid w:val="00971D45"/>
    <w:rsid w:val="00971E34"/>
    <w:rsid w:val="00971F9E"/>
    <w:rsid w:val="00972007"/>
    <w:rsid w:val="0097241C"/>
    <w:rsid w:val="0097257C"/>
    <w:rsid w:val="009726F9"/>
    <w:rsid w:val="009728FA"/>
    <w:rsid w:val="00972950"/>
    <w:rsid w:val="00972967"/>
    <w:rsid w:val="0097296E"/>
    <w:rsid w:val="00972E13"/>
    <w:rsid w:val="0097322F"/>
    <w:rsid w:val="00973281"/>
    <w:rsid w:val="00973340"/>
    <w:rsid w:val="00973362"/>
    <w:rsid w:val="009733F3"/>
    <w:rsid w:val="00973459"/>
    <w:rsid w:val="0097346D"/>
    <w:rsid w:val="009734D6"/>
    <w:rsid w:val="00973955"/>
    <w:rsid w:val="00973973"/>
    <w:rsid w:val="00973A37"/>
    <w:rsid w:val="00973A6D"/>
    <w:rsid w:val="00973ACE"/>
    <w:rsid w:val="00973B04"/>
    <w:rsid w:val="00973B4E"/>
    <w:rsid w:val="00973DF9"/>
    <w:rsid w:val="00973FBF"/>
    <w:rsid w:val="009741DB"/>
    <w:rsid w:val="00974237"/>
    <w:rsid w:val="0097424C"/>
    <w:rsid w:val="009742A8"/>
    <w:rsid w:val="00974300"/>
    <w:rsid w:val="0097431F"/>
    <w:rsid w:val="0097436E"/>
    <w:rsid w:val="0097438F"/>
    <w:rsid w:val="009743C8"/>
    <w:rsid w:val="0097442F"/>
    <w:rsid w:val="0097453D"/>
    <w:rsid w:val="00974632"/>
    <w:rsid w:val="0097498D"/>
    <w:rsid w:val="009749E4"/>
    <w:rsid w:val="00974A15"/>
    <w:rsid w:val="00974A81"/>
    <w:rsid w:val="00974C3F"/>
    <w:rsid w:val="00974F08"/>
    <w:rsid w:val="00974F6F"/>
    <w:rsid w:val="00974FB8"/>
    <w:rsid w:val="009751C0"/>
    <w:rsid w:val="009751CC"/>
    <w:rsid w:val="009752D2"/>
    <w:rsid w:val="0097533E"/>
    <w:rsid w:val="0097537A"/>
    <w:rsid w:val="009755AC"/>
    <w:rsid w:val="009756C3"/>
    <w:rsid w:val="00975700"/>
    <w:rsid w:val="009758FD"/>
    <w:rsid w:val="00975A3E"/>
    <w:rsid w:val="00975A8A"/>
    <w:rsid w:val="00975A8D"/>
    <w:rsid w:val="00975A95"/>
    <w:rsid w:val="00975C9B"/>
    <w:rsid w:val="00975DB1"/>
    <w:rsid w:val="00975F11"/>
    <w:rsid w:val="00975F6A"/>
    <w:rsid w:val="00975FBF"/>
    <w:rsid w:val="0097619C"/>
    <w:rsid w:val="009761BF"/>
    <w:rsid w:val="00976212"/>
    <w:rsid w:val="00976253"/>
    <w:rsid w:val="00976269"/>
    <w:rsid w:val="00976288"/>
    <w:rsid w:val="009764A2"/>
    <w:rsid w:val="009764E8"/>
    <w:rsid w:val="009767CB"/>
    <w:rsid w:val="009767F3"/>
    <w:rsid w:val="00976996"/>
    <w:rsid w:val="00976B65"/>
    <w:rsid w:val="00976D5B"/>
    <w:rsid w:val="00976E84"/>
    <w:rsid w:val="00976EDF"/>
    <w:rsid w:val="00976FA8"/>
    <w:rsid w:val="00977013"/>
    <w:rsid w:val="0097703E"/>
    <w:rsid w:val="0097707C"/>
    <w:rsid w:val="00977261"/>
    <w:rsid w:val="00977349"/>
    <w:rsid w:val="00977655"/>
    <w:rsid w:val="009776A8"/>
    <w:rsid w:val="009776B0"/>
    <w:rsid w:val="009778B2"/>
    <w:rsid w:val="009779AC"/>
    <w:rsid w:val="00977A08"/>
    <w:rsid w:val="00977AAA"/>
    <w:rsid w:val="00977B34"/>
    <w:rsid w:val="00977C90"/>
    <w:rsid w:val="00977D0A"/>
    <w:rsid w:val="00977E83"/>
    <w:rsid w:val="00980038"/>
    <w:rsid w:val="0098003E"/>
    <w:rsid w:val="0098004A"/>
    <w:rsid w:val="00980096"/>
    <w:rsid w:val="00980152"/>
    <w:rsid w:val="00980233"/>
    <w:rsid w:val="009802FC"/>
    <w:rsid w:val="0098038B"/>
    <w:rsid w:val="00980390"/>
    <w:rsid w:val="009804E0"/>
    <w:rsid w:val="0098055E"/>
    <w:rsid w:val="00980585"/>
    <w:rsid w:val="009805FB"/>
    <w:rsid w:val="00980744"/>
    <w:rsid w:val="00980B53"/>
    <w:rsid w:val="00980D14"/>
    <w:rsid w:val="00980E89"/>
    <w:rsid w:val="00980EAB"/>
    <w:rsid w:val="009812F8"/>
    <w:rsid w:val="0098133C"/>
    <w:rsid w:val="00981444"/>
    <w:rsid w:val="0098147F"/>
    <w:rsid w:val="00981554"/>
    <w:rsid w:val="009815B8"/>
    <w:rsid w:val="009819B4"/>
    <w:rsid w:val="00981B3D"/>
    <w:rsid w:val="00981B4A"/>
    <w:rsid w:val="00981C9B"/>
    <w:rsid w:val="00981D2B"/>
    <w:rsid w:val="00981D76"/>
    <w:rsid w:val="00981DFF"/>
    <w:rsid w:val="0098212D"/>
    <w:rsid w:val="009821C9"/>
    <w:rsid w:val="00982294"/>
    <w:rsid w:val="009822DE"/>
    <w:rsid w:val="009823CB"/>
    <w:rsid w:val="009824E3"/>
    <w:rsid w:val="0098260A"/>
    <w:rsid w:val="00982650"/>
    <w:rsid w:val="009826CC"/>
    <w:rsid w:val="009827BF"/>
    <w:rsid w:val="009827EF"/>
    <w:rsid w:val="00982907"/>
    <w:rsid w:val="00982A30"/>
    <w:rsid w:val="00982BEA"/>
    <w:rsid w:val="00982C4D"/>
    <w:rsid w:val="00982D66"/>
    <w:rsid w:val="00982D77"/>
    <w:rsid w:val="00982DF4"/>
    <w:rsid w:val="009831C6"/>
    <w:rsid w:val="009831E0"/>
    <w:rsid w:val="009831EA"/>
    <w:rsid w:val="009832AE"/>
    <w:rsid w:val="00983391"/>
    <w:rsid w:val="009836D5"/>
    <w:rsid w:val="00983735"/>
    <w:rsid w:val="009837C1"/>
    <w:rsid w:val="0098387A"/>
    <w:rsid w:val="00983A27"/>
    <w:rsid w:val="00983B78"/>
    <w:rsid w:val="00983C18"/>
    <w:rsid w:val="00983C64"/>
    <w:rsid w:val="00983E0D"/>
    <w:rsid w:val="00983E3E"/>
    <w:rsid w:val="0098401B"/>
    <w:rsid w:val="00984096"/>
    <w:rsid w:val="009840D1"/>
    <w:rsid w:val="009841AA"/>
    <w:rsid w:val="0098430E"/>
    <w:rsid w:val="0098438D"/>
    <w:rsid w:val="00984565"/>
    <w:rsid w:val="009846F0"/>
    <w:rsid w:val="00984754"/>
    <w:rsid w:val="00984841"/>
    <w:rsid w:val="00984869"/>
    <w:rsid w:val="009848D6"/>
    <w:rsid w:val="00984940"/>
    <w:rsid w:val="009849CA"/>
    <w:rsid w:val="00984C35"/>
    <w:rsid w:val="00984DEB"/>
    <w:rsid w:val="00984DF5"/>
    <w:rsid w:val="00984E85"/>
    <w:rsid w:val="00984F33"/>
    <w:rsid w:val="00985109"/>
    <w:rsid w:val="0098528E"/>
    <w:rsid w:val="0098529C"/>
    <w:rsid w:val="009852C6"/>
    <w:rsid w:val="009852F8"/>
    <w:rsid w:val="009855B0"/>
    <w:rsid w:val="0098561E"/>
    <w:rsid w:val="00985851"/>
    <w:rsid w:val="00985996"/>
    <w:rsid w:val="009859BE"/>
    <w:rsid w:val="00985A19"/>
    <w:rsid w:val="00985A6E"/>
    <w:rsid w:val="00985B77"/>
    <w:rsid w:val="00985B83"/>
    <w:rsid w:val="00985CD9"/>
    <w:rsid w:val="00985EA1"/>
    <w:rsid w:val="0098605A"/>
    <w:rsid w:val="00986118"/>
    <w:rsid w:val="00986150"/>
    <w:rsid w:val="009862AE"/>
    <w:rsid w:val="0098648D"/>
    <w:rsid w:val="009864BC"/>
    <w:rsid w:val="0098656A"/>
    <w:rsid w:val="009865AA"/>
    <w:rsid w:val="009866E8"/>
    <w:rsid w:val="00986720"/>
    <w:rsid w:val="0098686D"/>
    <w:rsid w:val="00986881"/>
    <w:rsid w:val="009868BB"/>
    <w:rsid w:val="00986A39"/>
    <w:rsid w:val="00986A65"/>
    <w:rsid w:val="00986B1B"/>
    <w:rsid w:val="00986BCB"/>
    <w:rsid w:val="00986D58"/>
    <w:rsid w:val="00986ECB"/>
    <w:rsid w:val="00986F77"/>
    <w:rsid w:val="00986FDB"/>
    <w:rsid w:val="00987073"/>
    <w:rsid w:val="00987080"/>
    <w:rsid w:val="009870ED"/>
    <w:rsid w:val="00987148"/>
    <w:rsid w:val="009872E7"/>
    <w:rsid w:val="0098765A"/>
    <w:rsid w:val="00987729"/>
    <w:rsid w:val="00987977"/>
    <w:rsid w:val="009879BA"/>
    <w:rsid w:val="00987AA5"/>
    <w:rsid w:val="00987B1C"/>
    <w:rsid w:val="00987B9D"/>
    <w:rsid w:val="00987BC7"/>
    <w:rsid w:val="00987E3D"/>
    <w:rsid w:val="00987E5B"/>
    <w:rsid w:val="00987F27"/>
    <w:rsid w:val="009900BE"/>
    <w:rsid w:val="00990130"/>
    <w:rsid w:val="009901CC"/>
    <w:rsid w:val="009901D8"/>
    <w:rsid w:val="00990206"/>
    <w:rsid w:val="009902F9"/>
    <w:rsid w:val="0099049E"/>
    <w:rsid w:val="009904BD"/>
    <w:rsid w:val="009909E6"/>
    <w:rsid w:val="00990A27"/>
    <w:rsid w:val="00990A61"/>
    <w:rsid w:val="00990BBB"/>
    <w:rsid w:val="00990DD4"/>
    <w:rsid w:val="00990E32"/>
    <w:rsid w:val="00990F3E"/>
    <w:rsid w:val="00990F89"/>
    <w:rsid w:val="0099121D"/>
    <w:rsid w:val="00991320"/>
    <w:rsid w:val="00991583"/>
    <w:rsid w:val="00991620"/>
    <w:rsid w:val="009916BB"/>
    <w:rsid w:val="009916C4"/>
    <w:rsid w:val="0099180F"/>
    <w:rsid w:val="00991858"/>
    <w:rsid w:val="00991A8E"/>
    <w:rsid w:val="00991B17"/>
    <w:rsid w:val="00991C1C"/>
    <w:rsid w:val="00991DD2"/>
    <w:rsid w:val="00991EDB"/>
    <w:rsid w:val="00991F2F"/>
    <w:rsid w:val="00992080"/>
    <w:rsid w:val="00992103"/>
    <w:rsid w:val="009922E7"/>
    <w:rsid w:val="00992325"/>
    <w:rsid w:val="0099239A"/>
    <w:rsid w:val="009923D0"/>
    <w:rsid w:val="0099244D"/>
    <w:rsid w:val="009924FF"/>
    <w:rsid w:val="00992552"/>
    <w:rsid w:val="00992569"/>
    <w:rsid w:val="009927FF"/>
    <w:rsid w:val="0099290D"/>
    <w:rsid w:val="0099294D"/>
    <w:rsid w:val="00992A53"/>
    <w:rsid w:val="00992AAA"/>
    <w:rsid w:val="00992AFF"/>
    <w:rsid w:val="00992B04"/>
    <w:rsid w:val="00992BC7"/>
    <w:rsid w:val="00992BEC"/>
    <w:rsid w:val="00992D5C"/>
    <w:rsid w:val="00992DF1"/>
    <w:rsid w:val="00992E80"/>
    <w:rsid w:val="00992F48"/>
    <w:rsid w:val="00992F7A"/>
    <w:rsid w:val="00992FD3"/>
    <w:rsid w:val="00993194"/>
    <w:rsid w:val="009931CF"/>
    <w:rsid w:val="009931ED"/>
    <w:rsid w:val="00993281"/>
    <w:rsid w:val="009933B2"/>
    <w:rsid w:val="009934F8"/>
    <w:rsid w:val="009937EF"/>
    <w:rsid w:val="00993844"/>
    <w:rsid w:val="009938F0"/>
    <w:rsid w:val="00993924"/>
    <w:rsid w:val="00993A84"/>
    <w:rsid w:val="00993D29"/>
    <w:rsid w:val="00993D4B"/>
    <w:rsid w:val="00993DF4"/>
    <w:rsid w:val="00993EE2"/>
    <w:rsid w:val="00993F4A"/>
    <w:rsid w:val="00994050"/>
    <w:rsid w:val="00994079"/>
    <w:rsid w:val="0099407E"/>
    <w:rsid w:val="0099421B"/>
    <w:rsid w:val="009943F9"/>
    <w:rsid w:val="009946CD"/>
    <w:rsid w:val="00994828"/>
    <w:rsid w:val="009948C3"/>
    <w:rsid w:val="00994C49"/>
    <w:rsid w:val="00994E79"/>
    <w:rsid w:val="00994F4C"/>
    <w:rsid w:val="00995172"/>
    <w:rsid w:val="0099524B"/>
    <w:rsid w:val="009952C9"/>
    <w:rsid w:val="0099532E"/>
    <w:rsid w:val="00995406"/>
    <w:rsid w:val="009954A0"/>
    <w:rsid w:val="00995774"/>
    <w:rsid w:val="00995860"/>
    <w:rsid w:val="00995881"/>
    <w:rsid w:val="00995966"/>
    <w:rsid w:val="00995989"/>
    <w:rsid w:val="00995A1E"/>
    <w:rsid w:val="00995A79"/>
    <w:rsid w:val="00995A84"/>
    <w:rsid w:val="00995AC8"/>
    <w:rsid w:val="00995CA9"/>
    <w:rsid w:val="00995D74"/>
    <w:rsid w:val="00995DB7"/>
    <w:rsid w:val="00995E92"/>
    <w:rsid w:val="00995E96"/>
    <w:rsid w:val="00995F28"/>
    <w:rsid w:val="00995F38"/>
    <w:rsid w:val="00995FC8"/>
    <w:rsid w:val="00996101"/>
    <w:rsid w:val="0099610F"/>
    <w:rsid w:val="00996146"/>
    <w:rsid w:val="0099616E"/>
    <w:rsid w:val="009961D1"/>
    <w:rsid w:val="009961D2"/>
    <w:rsid w:val="009961FE"/>
    <w:rsid w:val="00996221"/>
    <w:rsid w:val="00996360"/>
    <w:rsid w:val="00996400"/>
    <w:rsid w:val="0099642D"/>
    <w:rsid w:val="0099645E"/>
    <w:rsid w:val="00996525"/>
    <w:rsid w:val="0099653A"/>
    <w:rsid w:val="009965EB"/>
    <w:rsid w:val="009966E4"/>
    <w:rsid w:val="009967B3"/>
    <w:rsid w:val="009967BF"/>
    <w:rsid w:val="0099682E"/>
    <w:rsid w:val="00996838"/>
    <w:rsid w:val="009968B0"/>
    <w:rsid w:val="00996928"/>
    <w:rsid w:val="00996ADE"/>
    <w:rsid w:val="00996C88"/>
    <w:rsid w:val="00996D7C"/>
    <w:rsid w:val="00996DBD"/>
    <w:rsid w:val="00996ECA"/>
    <w:rsid w:val="00996F54"/>
    <w:rsid w:val="00997057"/>
    <w:rsid w:val="009971E8"/>
    <w:rsid w:val="00997209"/>
    <w:rsid w:val="009972AB"/>
    <w:rsid w:val="00997308"/>
    <w:rsid w:val="00997320"/>
    <w:rsid w:val="00997480"/>
    <w:rsid w:val="009976CF"/>
    <w:rsid w:val="00997744"/>
    <w:rsid w:val="00997952"/>
    <w:rsid w:val="009979C9"/>
    <w:rsid w:val="009979FF"/>
    <w:rsid w:val="00997A36"/>
    <w:rsid w:val="00997A53"/>
    <w:rsid w:val="00997AFC"/>
    <w:rsid w:val="00997BBE"/>
    <w:rsid w:val="00997D49"/>
    <w:rsid w:val="00997E76"/>
    <w:rsid w:val="00997ED7"/>
    <w:rsid w:val="00997F20"/>
    <w:rsid w:val="00997F88"/>
    <w:rsid w:val="009A003D"/>
    <w:rsid w:val="009A004F"/>
    <w:rsid w:val="009A015A"/>
    <w:rsid w:val="009A01CD"/>
    <w:rsid w:val="009A01F1"/>
    <w:rsid w:val="009A0375"/>
    <w:rsid w:val="009A03F6"/>
    <w:rsid w:val="009A059F"/>
    <w:rsid w:val="009A064B"/>
    <w:rsid w:val="009A065C"/>
    <w:rsid w:val="009A0714"/>
    <w:rsid w:val="009A0737"/>
    <w:rsid w:val="009A07B7"/>
    <w:rsid w:val="009A091E"/>
    <w:rsid w:val="009A0B82"/>
    <w:rsid w:val="009A0BCC"/>
    <w:rsid w:val="009A0BF4"/>
    <w:rsid w:val="009A0D37"/>
    <w:rsid w:val="009A0D3A"/>
    <w:rsid w:val="009A0F9C"/>
    <w:rsid w:val="009A0FCD"/>
    <w:rsid w:val="009A0FEB"/>
    <w:rsid w:val="009A117E"/>
    <w:rsid w:val="009A120E"/>
    <w:rsid w:val="009A12F5"/>
    <w:rsid w:val="009A148C"/>
    <w:rsid w:val="009A15AE"/>
    <w:rsid w:val="009A16B7"/>
    <w:rsid w:val="009A1702"/>
    <w:rsid w:val="009A1787"/>
    <w:rsid w:val="009A17BA"/>
    <w:rsid w:val="009A1878"/>
    <w:rsid w:val="009A1947"/>
    <w:rsid w:val="009A19A1"/>
    <w:rsid w:val="009A19C2"/>
    <w:rsid w:val="009A19E8"/>
    <w:rsid w:val="009A1AD9"/>
    <w:rsid w:val="009A1B6F"/>
    <w:rsid w:val="009A1C09"/>
    <w:rsid w:val="009A1C63"/>
    <w:rsid w:val="009A1CE3"/>
    <w:rsid w:val="009A1D15"/>
    <w:rsid w:val="009A1E98"/>
    <w:rsid w:val="009A1EE1"/>
    <w:rsid w:val="009A1FBF"/>
    <w:rsid w:val="009A20D5"/>
    <w:rsid w:val="009A22C4"/>
    <w:rsid w:val="009A2341"/>
    <w:rsid w:val="009A24AA"/>
    <w:rsid w:val="009A24C0"/>
    <w:rsid w:val="009A253B"/>
    <w:rsid w:val="009A25C2"/>
    <w:rsid w:val="009A28CE"/>
    <w:rsid w:val="009A293E"/>
    <w:rsid w:val="009A2BBE"/>
    <w:rsid w:val="009A2BD5"/>
    <w:rsid w:val="009A2C4F"/>
    <w:rsid w:val="009A2C56"/>
    <w:rsid w:val="009A2E1B"/>
    <w:rsid w:val="009A2E2A"/>
    <w:rsid w:val="009A2E37"/>
    <w:rsid w:val="009A2F32"/>
    <w:rsid w:val="009A2FBB"/>
    <w:rsid w:val="009A313D"/>
    <w:rsid w:val="009A3414"/>
    <w:rsid w:val="009A35D8"/>
    <w:rsid w:val="009A35EA"/>
    <w:rsid w:val="009A378C"/>
    <w:rsid w:val="009A3933"/>
    <w:rsid w:val="009A39D3"/>
    <w:rsid w:val="009A3B07"/>
    <w:rsid w:val="009A3B25"/>
    <w:rsid w:val="009A3BC3"/>
    <w:rsid w:val="009A3CE3"/>
    <w:rsid w:val="009A3D70"/>
    <w:rsid w:val="009A3E5E"/>
    <w:rsid w:val="009A3EBA"/>
    <w:rsid w:val="009A4051"/>
    <w:rsid w:val="009A412A"/>
    <w:rsid w:val="009A4156"/>
    <w:rsid w:val="009A4164"/>
    <w:rsid w:val="009A41B6"/>
    <w:rsid w:val="009A444F"/>
    <w:rsid w:val="009A44EE"/>
    <w:rsid w:val="009A46F4"/>
    <w:rsid w:val="009A4816"/>
    <w:rsid w:val="009A4882"/>
    <w:rsid w:val="009A4930"/>
    <w:rsid w:val="009A4B1F"/>
    <w:rsid w:val="009A4D03"/>
    <w:rsid w:val="009A4D04"/>
    <w:rsid w:val="009A4E87"/>
    <w:rsid w:val="009A4F85"/>
    <w:rsid w:val="009A507C"/>
    <w:rsid w:val="009A50DF"/>
    <w:rsid w:val="009A5178"/>
    <w:rsid w:val="009A51E5"/>
    <w:rsid w:val="009A5464"/>
    <w:rsid w:val="009A555A"/>
    <w:rsid w:val="009A57AB"/>
    <w:rsid w:val="009A593F"/>
    <w:rsid w:val="009A59D2"/>
    <w:rsid w:val="009A5DE4"/>
    <w:rsid w:val="009A61AD"/>
    <w:rsid w:val="009A627E"/>
    <w:rsid w:val="009A63A0"/>
    <w:rsid w:val="009A6647"/>
    <w:rsid w:val="009A695A"/>
    <w:rsid w:val="009A69A6"/>
    <w:rsid w:val="009A69BC"/>
    <w:rsid w:val="009A6A47"/>
    <w:rsid w:val="009A6AB9"/>
    <w:rsid w:val="009A6AEF"/>
    <w:rsid w:val="009A6CB2"/>
    <w:rsid w:val="009A6D5D"/>
    <w:rsid w:val="009A6E03"/>
    <w:rsid w:val="009A6F59"/>
    <w:rsid w:val="009A73D3"/>
    <w:rsid w:val="009A73E6"/>
    <w:rsid w:val="009A74D2"/>
    <w:rsid w:val="009A767C"/>
    <w:rsid w:val="009A781F"/>
    <w:rsid w:val="009A78D3"/>
    <w:rsid w:val="009A7CA6"/>
    <w:rsid w:val="009A7E45"/>
    <w:rsid w:val="009A7E9D"/>
    <w:rsid w:val="009A7EE8"/>
    <w:rsid w:val="009A7EE9"/>
    <w:rsid w:val="009A7F32"/>
    <w:rsid w:val="009B0024"/>
    <w:rsid w:val="009B0095"/>
    <w:rsid w:val="009B00A6"/>
    <w:rsid w:val="009B012F"/>
    <w:rsid w:val="009B0141"/>
    <w:rsid w:val="009B01B7"/>
    <w:rsid w:val="009B0328"/>
    <w:rsid w:val="009B03B5"/>
    <w:rsid w:val="009B0524"/>
    <w:rsid w:val="009B05BE"/>
    <w:rsid w:val="009B05C8"/>
    <w:rsid w:val="009B0656"/>
    <w:rsid w:val="009B074D"/>
    <w:rsid w:val="009B079A"/>
    <w:rsid w:val="009B0804"/>
    <w:rsid w:val="009B0805"/>
    <w:rsid w:val="009B08C6"/>
    <w:rsid w:val="009B08DA"/>
    <w:rsid w:val="009B0982"/>
    <w:rsid w:val="009B09B1"/>
    <w:rsid w:val="009B09EC"/>
    <w:rsid w:val="009B0A32"/>
    <w:rsid w:val="009B0AAE"/>
    <w:rsid w:val="009B0B05"/>
    <w:rsid w:val="009B0BC6"/>
    <w:rsid w:val="009B0BF5"/>
    <w:rsid w:val="009B0D15"/>
    <w:rsid w:val="009B1047"/>
    <w:rsid w:val="009B10B6"/>
    <w:rsid w:val="009B11B6"/>
    <w:rsid w:val="009B11FC"/>
    <w:rsid w:val="009B12EA"/>
    <w:rsid w:val="009B135B"/>
    <w:rsid w:val="009B1383"/>
    <w:rsid w:val="009B146E"/>
    <w:rsid w:val="009B14D5"/>
    <w:rsid w:val="009B1506"/>
    <w:rsid w:val="009B154C"/>
    <w:rsid w:val="009B15DE"/>
    <w:rsid w:val="009B16F8"/>
    <w:rsid w:val="009B17C9"/>
    <w:rsid w:val="009B181D"/>
    <w:rsid w:val="009B1868"/>
    <w:rsid w:val="009B1945"/>
    <w:rsid w:val="009B1A58"/>
    <w:rsid w:val="009B1AB0"/>
    <w:rsid w:val="009B1AEA"/>
    <w:rsid w:val="009B1C0A"/>
    <w:rsid w:val="009B1C51"/>
    <w:rsid w:val="009B1F59"/>
    <w:rsid w:val="009B1F5A"/>
    <w:rsid w:val="009B1FEC"/>
    <w:rsid w:val="009B2069"/>
    <w:rsid w:val="009B2228"/>
    <w:rsid w:val="009B23C7"/>
    <w:rsid w:val="009B255E"/>
    <w:rsid w:val="009B267A"/>
    <w:rsid w:val="009B26C2"/>
    <w:rsid w:val="009B2813"/>
    <w:rsid w:val="009B2832"/>
    <w:rsid w:val="009B2840"/>
    <w:rsid w:val="009B29DE"/>
    <w:rsid w:val="009B2BF5"/>
    <w:rsid w:val="009B2C7D"/>
    <w:rsid w:val="009B2CFB"/>
    <w:rsid w:val="009B2D6E"/>
    <w:rsid w:val="009B2F25"/>
    <w:rsid w:val="009B3117"/>
    <w:rsid w:val="009B3177"/>
    <w:rsid w:val="009B3210"/>
    <w:rsid w:val="009B326D"/>
    <w:rsid w:val="009B327A"/>
    <w:rsid w:val="009B33CE"/>
    <w:rsid w:val="009B3542"/>
    <w:rsid w:val="009B35DC"/>
    <w:rsid w:val="009B36D5"/>
    <w:rsid w:val="009B36E7"/>
    <w:rsid w:val="009B3711"/>
    <w:rsid w:val="009B3797"/>
    <w:rsid w:val="009B37BA"/>
    <w:rsid w:val="009B38BA"/>
    <w:rsid w:val="009B38C9"/>
    <w:rsid w:val="009B390A"/>
    <w:rsid w:val="009B3919"/>
    <w:rsid w:val="009B3AB6"/>
    <w:rsid w:val="009B3C02"/>
    <w:rsid w:val="009B3C6D"/>
    <w:rsid w:val="009B3DAF"/>
    <w:rsid w:val="009B3FA8"/>
    <w:rsid w:val="009B3FA9"/>
    <w:rsid w:val="009B40E8"/>
    <w:rsid w:val="009B4198"/>
    <w:rsid w:val="009B421C"/>
    <w:rsid w:val="009B42BC"/>
    <w:rsid w:val="009B43C3"/>
    <w:rsid w:val="009B44FC"/>
    <w:rsid w:val="009B45BE"/>
    <w:rsid w:val="009B4848"/>
    <w:rsid w:val="009B490C"/>
    <w:rsid w:val="009B49EC"/>
    <w:rsid w:val="009B4AD4"/>
    <w:rsid w:val="009B4AF3"/>
    <w:rsid w:val="009B4B98"/>
    <w:rsid w:val="009B4BE8"/>
    <w:rsid w:val="009B4C99"/>
    <w:rsid w:val="009B4DFA"/>
    <w:rsid w:val="009B4EB8"/>
    <w:rsid w:val="009B4F78"/>
    <w:rsid w:val="009B50CB"/>
    <w:rsid w:val="009B5142"/>
    <w:rsid w:val="009B5193"/>
    <w:rsid w:val="009B51E1"/>
    <w:rsid w:val="009B5241"/>
    <w:rsid w:val="009B5270"/>
    <w:rsid w:val="009B52E2"/>
    <w:rsid w:val="009B53FC"/>
    <w:rsid w:val="009B544B"/>
    <w:rsid w:val="009B54A0"/>
    <w:rsid w:val="009B553B"/>
    <w:rsid w:val="009B55D0"/>
    <w:rsid w:val="009B56F6"/>
    <w:rsid w:val="009B5733"/>
    <w:rsid w:val="009B5775"/>
    <w:rsid w:val="009B5910"/>
    <w:rsid w:val="009B5B2A"/>
    <w:rsid w:val="009B5B32"/>
    <w:rsid w:val="009B5BB6"/>
    <w:rsid w:val="009B5E01"/>
    <w:rsid w:val="009B5E6A"/>
    <w:rsid w:val="009B5EC6"/>
    <w:rsid w:val="009B5F8C"/>
    <w:rsid w:val="009B6056"/>
    <w:rsid w:val="009B60A2"/>
    <w:rsid w:val="009B636B"/>
    <w:rsid w:val="009B63D4"/>
    <w:rsid w:val="009B6421"/>
    <w:rsid w:val="009B643B"/>
    <w:rsid w:val="009B645B"/>
    <w:rsid w:val="009B64B7"/>
    <w:rsid w:val="009B654F"/>
    <w:rsid w:val="009B660A"/>
    <w:rsid w:val="009B675B"/>
    <w:rsid w:val="009B6859"/>
    <w:rsid w:val="009B6895"/>
    <w:rsid w:val="009B68FF"/>
    <w:rsid w:val="009B698D"/>
    <w:rsid w:val="009B6A1C"/>
    <w:rsid w:val="009B6B0D"/>
    <w:rsid w:val="009B6C33"/>
    <w:rsid w:val="009B6C67"/>
    <w:rsid w:val="009B6CB7"/>
    <w:rsid w:val="009B6DF2"/>
    <w:rsid w:val="009B6FB8"/>
    <w:rsid w:val="009B7170"/>
    <w:rsid w:val="009B71C6"/>
    <w:rsid w:val="009B7200"/>
    <w:rsid w:val="009B7283"/>
    <w:rsid w:val="009B73A1"/>
    <w:rsid w:val="009B74EC"/>
    <w:rsid w:val="009B7756"/>
    <w:rsid w:val="009B7971"/>
    <w:rsid w:val="009B7A2F"/>
    <w:rsid w:val="009B7A6B"/>
    <w:rsid w:val="009B7AC9"/>
    <w:rsid w:val="009B7BAE"/>
    <w:rsid w:val="009B7C23"/>
    <w:rsid w:val="009B7C46"/>
    <w:rsid w:val="009B7E3A"/>
    <w:rsid w:val="009B7E55"/>
    <w:rsid w:val="009B7E56"/>
    <w:rsid w:val="009B7F33"/>
    <w:rsid w:val="009B7F56"/>
    <w:rsid w:val="009B7FD3"/>
    <w:rsid w:val="009C00D8"/>
    <w:rsid w:val="009C0318"/>
    <w:rsid w:val="009C0332"/>
    <w:rsid w:val="009C03D6"/>
    <w:rsid w:val="009C0423"/>
    <w:rsid w:val="009C0434"/>
    <w:rsid w:val="009C0559"/>
    <w:rsid w:val="009C0713"/>
    <w:rsid w:val="009C0820"/>
    <w:rsid w:val="009C085E"/>
    <w:rsid w:val="009C09C1"/>
    <w:rsid w:val="009C0A21"/>
    <w:rsid w:val="009C0BFB"/>
    <w:rsid w:val="009C0CB7"/>
    <w:rsid w:val="009C0DD3"/>
    <w:rsid w:val="009C0DE5"/>
    <w:rsid w:val="009C0EAF"/>
    <w:rsid w:val="009C0F31"/>
    <w:rsid w:val="009C0FB3"/>
    <w:rsid w:val="009C104F"/>
    <w:rsid w:val="009C107D"/>
    <w:rsid w:val="009C1171"/>
    <w:rsid w:val="009C117B"/>
    <w:rsid w:val="009C1375"/>
    <w:rsid w:val="009C13A2"/>
    <w:rsid w:val="009C13C1"/>
    <w:rsid w:val="009C13FB"/>
    <w:rsid w:val="009C154C"/>
    <w:rsid w:val="009C181A"/>
    <w:rsid w:val="009C183C"/>
    <w:rsid w:val="009C1DE2"/>
    <w:rsid w:val="009C1DE5"/>
    <w:rsid w:val="009C1E6D"/>
    <w:rsid w:val="009C1EAE"/>
    <w:rsid w:val="009C1F06"/>
    <w:rsid w:val="009C1F1A"/>
    <w:rsid w:val="009C204A"/>
    <w:rsid w:val="009C2075"/>
    <w:rsid w:val="009C20C5"/>
    <w:rsid w:val="009C20CE"/>
    <w:rsid w:val="009C2112"/>
    <w:rsid w:val="009C21C8"/>
    <w:rsid w:val="009C226B"/>
    <w:rsid w:val="009C2413"/>
    <w:rsid w:val="009C24B2"/>
    <w:rsid w:val="009C24CC"/>
    <w:rsid w:val="009C257B"/>
    <w:rsid w:val="009C27E7"/>
    <w:rsid w:val="009C2BAD"/>
    <w:rsid w:val="009C2DA9"/>
    <w:rsid w:val="009C2DE4"/>
    <w:rsid w:val="009C2F84"/>
    <w:rsid w:val="009C2FED"/>
    <w:rsid w:val="009C3022"/>
    <w:rsid w:val="009C312B"/>
    <w:rsid w:val="009C3142"/>
    <w:rsid w:val="009C356B"/>
    <w:rsid w:val="009C363F"/>
    <w:rsid w:val="009C36AD"/>
    <w:rsid w:val="009C38F5"/>
    <w:rsid w:val="009C396E"/>
    <w:rsid w:val="009C3984"/>
    <w:rsid w:val="009C39E8"/>
    <w:rsid w:val="009C3C5A"/>
    <w:rsid w:val="009C3C86"/>
    <w:rsid w:val="009C3D77"/>
    <w:rsid w:val="009C3E12"/>
    <w:rsid w:val="009C3F8F"/>
    <w:rsid w:val="009C3FD9"/>
    <w:rsid w:val="009C40DA"/>
    <w:rsid w:val="009C42B6"/>
    <w:rsid w:val="009C430D"/>
    <w:rsid w:val="009C43A8"/>
    <w:rsid w:val="009C453F"/>
    <w:rsid w:val="009C4549"/>
    <w:rsid w:val="009C4670"/>
    <w:rsid w:val="009C4704"/>
    <w:rsid w:val="009C478D"/>
    <w:rsid w:val="009C479C"/>
    <w:rsid w:val="009C48EF"/>
    <w:rsid w:val="009C496C"/>
    <w:rsid w:val="009C4AAB"/>
    <w:rsid w:val="009C4E2D"/>
    <w:rsid w:val="009C4E75"/>
    <w:rsid w:val="009C4E85"/>
    <w:rsid w:val="009C4E96"/>
    <w:rsid w:val="009C4EDD"/>
    <w:rsid w:val="009C4F0A"/>
    <w:rsid w:val="009C4FBC"/>
    <w:rsid w:val="009C5175"/>
    <w:rsid w:val="009C518F"/>
    <w:rsid w:val="009C526F"/>
    <w:rsid w:val="009C53A5"/>
    <w:rsid w:val="009C5513"/>
    <w:rsid w:val="009C5569"/>
    <w:rsid w:val="009C5707"/>
    <w:rsid w:val="009C5731"/>
    <w:rsid w:val="009C576D"/>
    <w:rsid w:val="009C5A5D"/>
    <w:rsid w:val="009C5A6E"/>
    <w:rsid w:val="009C5AB6"/>
    <w:rsid w:val="009C5D19"/>
    <w:rsid w:val="009C5D2B"/>
    <w:rsid w:val="009C5D45"/>
    <w:rsid w:val="009C5D64"/>
    <w:rsid w:val="009C5EDF"/>
    <w:rsid w:val="009C5F58"/>
    <w:rsid w:val="009C5F7F"/>
    <w:rsid w:val="009C6055"/>
    <w:rsid w:val="009C6096"/>
    <w:rsid w:val="009C60EF"/>
    <w:rsid w:val="009C6193"/>
    <w:rsid w:val="009C623A"/>
    <w:rsid w:val="009C62EC"/>
    <w:rsid w:val="009C6335"/>
    <w:rsid w:val="009C6543"/>
    <w:rsid w:val="009C6576"/>
    <w:rsid w:val="009C6674"/>
    <w:rsid w:val="009C6722"/>
    <w:rsid w:val="009C673E"/>
    <w:rsid w:val="009C67C5"/>
    <w:rsid w:val="009C68F6"/>
    <w:rsid w:val="009C6914"/>
    <w:rsid w:val="009C69EF"/>
    <w:rsid w:val="009C6A0E"/>
    <w:rsid w:val="009C6A5B"/>
    <w:rsid w:val="009C6BD0"/>
    <w:rsid w:val="009C6C3E"/>
    <w:rsid w:val="009C6CFE"/>
    <w:rsid w:val="009C6F58"/>
    <w:rsid w:val="009C7044"/>
    <w:rsid w:val="009C7082"/>
    <w:rsid w:val="009C71D1"/>
    <w:rsid w:val="009C7200"/>
    <w:rsid w:val="009C72F0"/>
    <w:rsid w:val="009C732B"/>
    <w:rsid w:val="009C734C"/>
    <w:rsid w:val="009C73DD"/>
    <w:rsid w:val="009C7467"/>
    <w:rsid w:val="009C7483"/>
    <w:rsid w:val="009C7622"/>
    <w:rsid w:val="009C764A"/>
    <w:rsid w:val="009C7753"/>
    <w:rsid w:val="009C7903"/>
    <w:rsid w:val="009C793E"/>
    <w:rsid w:val="009C7B0B"/>
    <w:rsid w:val="009C7BB5"/>
    <w:rsid w:val="009C7BD2"/>
    <w:rsid w:val="009C7E70"/>
    <w:rsid w:val="009C7EE5"/>
    <w:rsid w:val="009C7F2A"/>
    <w:rsid w:val="009C7F4B"/>
    <w:rsid w:val="009C7F92"/>
    <w:rsid w:val="009C7FAA"/>
    <w:rsid w:val="009D008B"/>
    <w:rsid w:val="009D0091"/>
    <w:rsid w:val="009D018A"/>
    <w:rsid w:val="009D049D"/>
    <w:rsid w:val="009D0532"/>
    <w:rsid w:val="009D053E"/>
    <w:rsid w:val="009D05C0"/>
    <w:rsid w:val="009D05E4"/>
    <w:rsid w:val="009D06DE"/>
    <w:rsid w:val="009D07A1"/>
    <w:rsid w:val="009D07CB"/>
    <w:rsid w:val="009D0835"/>
    <w:rsid w:val="009D0846"/>
    <w:rsid w:val="009D0D30"/>
    <w:rsid w:val="009D0E73"/>
    <w:rsid w:val="009D0EEA"/>
    <w:rsid w:val="009D0FA3"/>
    <w:rsid w:val="009D111E"/>
    <w:rsid w:val="009D118C"/>
    <w:rsid w:val="009D11F9"/>
    <w:rsid w:val="009D1218"/>
    <w:rsid w:val="009D1395"/>
    <w:rsid w:val="009D13C1"/>
    <w:rsid w:val="009D152F"/>
    <w:rsid w:val="009D169B"/>
    <w:rsid w:val="009D18A1"/>
    <w:rsid w:val="009D1960"/>
    <w:rsid w:val="009D1AEB"/>
    <w:rsid w:val="009D1B0F"/>
    <w:rsid w:val="009D1BEE"/>
    <w:rsid w:val="009D1C1D"/>
    <w:rsid w:val="009D1CB8"/>
    <w:rsid w:val="009D1CCA"/>
    <w:rsid w:val="009D1D63"/>
    <w:rsid w:val="009D1DD2"/>
    <w:rsid w:val="009D1EAD"/>
    <w:rsid w:val="009D1FA2"/>
    <w:rsid w:val="009D1FA8"/>
    <w:rsid w:val="009D218F"/>
    <w:rsid w:val="009D219E"/>
    <w:rsid w:val="009D2297"/>
    <w:rsid w:val="009D22C6"/>
    <w:rsid w:val="009D22EA"/>
    <w:rsid w:val="009D2414"/>
    <w:rsid w:val="009D246E"/>
    <w:rsid w:val="009D2697"/>
    <w:rsid w:val="009D271F"/>
    <w:rsid w:val="009D28CF"/>
    <w:rsid w:val="009D29DB"/>
    <w:rsid w:val="009D29E2"/>
    <w:rsid w:val="009D2A21"/>
    <w:rsid w:val="009D2A2B"/>
    <w:rsid w:val="009D2A37"/>
    <w:rsid w:val="009D2B4C"/>
    <w:rsid w:val="009D2F63"/>
    <w:rsid w:val="009D2FD1"/>
    <w:rsid w:val="009D306C"/>
    <w:rsid w:val="009D31BE"/>
    <w:rsid w:val="009D334A"/>
    <w:rsid w:val="009D34C2"/>
    <w:rsid w:val="009D35F4"/>
    <w:rsid w:val="009D3605"/>
    <w:rsid w:val="009D361C"/>
    <w:rsid w:val="009D3623"/>
    <w:rsid w:val="009D36DD"/>
    <w:rsid w:val="009D371D"/>
    <w:rsid w:val="009D38C7"/>
    <w:rsid w:val="009D3900"/>
    <w:rsid w:val="009D3951"/>
    <w:rsid w:val="009D3B7B"/>
    <w:rsid w:val="009D3BAF"/>
    <w:rsid w:val="009D3C2B"/>
    <w:rsid w:val="009D3C96"/>
    <w:rsid w:val="009D3D53"/>
    <w:rsid w:val="009D3DB6"/>
    <w:rsid w:val="009D3E89"/>
    <w:rsid w:val="009D3EFF"/>
    <w:rsid w:val="009D3F66"/>
    <w:rsid w:val="009D3F75"/>
    <w:rsid w:val="009D3FE0"/>
    <w:rsid w:val="009D4221"/>
    <w:rsid w:val="009D4243"/>
    <w:rsid w:val="009D4293"/>
    <w:rsid w:val="009D4350"/>
    <w:rsid w:val="009D43E0"/>
    <w:rsid w:val="009D443F"/>
    <w:rsid w:val="009D455B"/>
    <w:rsid w:val="009D45D9"/>
    <w:rsid w:val="009D46E2"/>
    <w:rsid w:val="009D4827"/>
    <w:rsid w:val="009D48F1"/>
    <w:rsid w:val="009D4A10"/>
    <w:rsid w:val="009D4B33"/>
    <w:rsid w:val="009D4B77"/>
    <w:rsid w:val="009D4C05"/>
    <w:rsid w:val="009D4DDD"/>
    <w:rsid w:val="009D4DEE"/>
    <w:rsid w:val="009D4EF5"/>
    <w:rsid w:val="009D4FA3"/>
    <w:rsid w:val="009D4FD2"/>
    <w:rsid w:val="009D5042"/>
    <w:rsid w:val="009D50CE"/>
    <w:rsid w:val="009D5175"/>
    <w:rsid w:val="009D5259"/>
    <w:rsid w:val="009D5280"/>
    <w:rsid w:val="009D5552"/>
    <w:rsid w:val="009D5561"/>
    <w:rsid w:val="009D5781"/>
    <w:rsid w:val="009D5B31"/>
    <w:rsid w:val="009D5B33"/>
    <w:rsid w:val="009D5BFD"/>
    <w:rsid w:val="009D5C2C"/>
    <w:rsid w:val="009D5C5C"/>
    <w:rsid w:val="009D5CE7"/>
    <w:rsid w:val="009D5D55"/>
    <w:rsid w:val="009D5D57"/>
    <w:rsid w:val="009D5D80"/>
    <w:rsid w:val="009D611E"/>
    <w:rsid w:val="009D6257"/>
    <w:rsid w:val="009D628E"/>
    <w:rsid w:val="009D62D9"/>
    <w:rsid w:val="009D6310"/>
    <w:rsid w:val="009D63C1"/>
    <w:rsid w:val="009D6490"/>
    <w:rsid w:val="009D6579"/>
    <w:rsid w:val="009D666B"/>
    <w:rsid w:val="009D6747"/>
    <w:rsid w:val="009D689F"/>
    <w:rsid w:val="009D68D3"/>
    <w:rsid w:val="009D6B42"/>
    <w:rsid w:val="009D6B7B"/>
    <w:rsid w:val="009D6D4F"/>
    <w:rsid w:val="009D6D85"/>
    <w:rsid w:val="009D6FE0"/>
    <w:rsid w:val="009D719C"/>
    <w:rsid w:val="009D71D4"/>
    <w:rsid w:val="009D71F3"/>
    <w:rsid w:val="009D71F6"/>
    <w:rsid w:val="009D7267"/>
    <w:rsid w:val="009D72BE"/>
    <w:rsid w:val="009D73BC"/>
    <w:rsid w:val="009D7520"/>
    <w:rsid w:val="009D790E"/>
    <w:rsid w:val="009D7A30"/>
    <w:rsid w:val="009D7AB8"/>
    <w:rsid w:val="009D7B6C"/>
    <w:rsid w:val="009D7C10"/>
    <w:rsid w:val="009D7D14"/>
    <w:rsid w:val="009D7EE8"/>
    <w:rsid w:val="009E00FD"/>
    <w:rsid w:val="009E015B"/>
    <w:rsid w:val="009E03FE"/>
    <w:rsid w:val="009E0412"/>
    <w:rsid w:val="009E0467"/>
    <w:rsid w:val="009E04DE"/>
    <w:rsid w:val="009E05A4"/>
    <w:rsid w:val="009E07C9"/>
    <w:rsid w:val="009E07D4"/>
    <w:rsid w:val="009E0863"/>
    <w:rsid w:val="009E087D"/>
    <w:rsid w:val="009E08C6"/>
    <w:rsid w:val="009E09B9"/>
    <w:rsid w:val="009E0A24"/>
    <w:rsid w:val="009E0A97"/>
    <w:rsid w:val="009E0B41"/>
    <w:rsid w:val="009E0CE9"/>
    <w:rsid w:val="009E0E66"/>
    <w:rsid w:val="009E0EE3"/>
    <w:rsid w:val="009E0F53"/>
    <w:rsid w:val="009E1191"/>
    <w:rsid w:val="009E1260"/>
    <w:rsid w:val="009E12A1"/>
    <w:rsid w:val="009E12C1"/>
    <w:rsid w:val="009E131E"/>
    <w:rsid w:val="009E13D8"/>
    <w:rsid w:val="009E1485"/>
    <w:rsid w:val="009E158B"/>
    <w:rsid w:val="009E17A6"/>
    <w:rsid w:val="009E17E4"/>
    <w:rsid w:val="009E1971"/>
    <w:rsid w:val="009E1C5A"/>
    <w:rsid w:val="009E1D2F"/>
    <w:rsid w:val="009E1D55"/>
    <w:rsid w:val="009E1F19"/>
    <w:rsid w:val="009E2099"/>
    <w:rsid w:val="009E218D"/>
    <w:rsid w:val="009E231E"/>
    <w:rsid w:val="009E259C"/>
    <w:rsid w:val="009E265B"/>
    <w:rsid w:val="009E27BB"/>
    <w:rsid w:val="009E29C9"/>
    <w:rsid w:val="009E2ABB"/>
    <w:rsid w:val="009E2B3C"/>
    <w:rsid w:val="009E2B55"/>
    <w:rsid w:val="009E2B62"/>
    <w:rsid w:val="009E2EE8"/>
    <w:rsid w:val="009E2EED"/>
    <w:rsid w:val="009E2F4E"/>
    <w:rsid w:val="009E2F97"/>
    <w:rsid w:val="009E327D"/>
    <w:rsid w:val="009E3307"/>
    <w:rsid w:val="009E3474"/>
    <w:rsid w:val="009E356E"/>
    <w:rsid w:val="009E3734"/>
    <w:rsid w:val="009E37C0"/>
    <w:rsid w:val="009E38FA"/>
    <w:rsid w:val="009E392F"/>
    <w:rsid w:val="009E3A85"/>
    <w:rsid w:val="009E3ABD"/>
    <w:rsid w:val="009E3AE1"/>
    <w:rsid w:val="009E3D7B"/>
    <w:rsid w:val="009E3F38"/>
    <w:rsid w:val="009E3F96"/>
    <w:rsid w:val="009E4148"/>
    <w:rsid w:val="009E4186"/>
    <w:rsid w:val="009E42A5"/>
    <w:rsid w:val="009E4316"/>
    <w:rsid w:val="009E4362"/>
    <w:rsid w:val="009E449E"/>
    <w:rsid w:val="009E4518"/>
    <w:rsid w:val="009E45E9"/>
    <w:rsid w:val="009E478C"/>
    <w:rsid w:val="009E489E"/>
    <w:rsid w:val="009E48A7"/>
    <w:rsid w:val="009E49CF"/>
    <w:rsid w:val="009E4A08"/>
    <w:rsid w:val="009E4BF0"/>
    <w:rsid w:val="009E4C10"/>
    <w:rsid w:val="009E4C38"/>
    <w:rsid w:val="009E4DE8"/>
    <w:rsid w:val="009E4E1E"/>
    <w:rsid w:val="009E4F15"/>
    <w:rsid w:val="009E4F57"/>
    <w:rsid w:val="009E50DC"/>
    <w:rsid w:val="009E50E7"/>
    <w:rsid w:val="009E523D"/>
    <w:rsid w:val="009E54F0"/>
    <w:rsid w:val="009E55CF"/>
    <w:rsid w:val="009E5672"/>
    <w:rsid w:val="009E56D5"/>
    <w:rsid w:val="009E58E4"/>
    <w:rsid w:val="009E5980"/>
    <w:rsid w:val="009E5B37"/>
    <w:rsid w:val="009E5B90"/>
    <w:rsid w:val="009E5C7C"/>
    <w:rsid w:val="009E5CEA"/>
    <w:rsid w:val="009E5D36"/>
    <w:rsid w:val="009E5E16"/>
    <w:rsid w:val="009E5EA7"/>
    <w:rsid w:val="009E5F76"/>
    <w:rsid w:val="009E5FC0"/>
    <w:rsid w:val="009E6375"/>
    <w:rsid w:val="009E63A2"/>
    <w:rsid w:val="009E65E2"/>
    <w:rsid w:val="009E678E"/>
    <w:rsid w:val="009E682B"/>
    <w:rsid w:val="009E6958"/>
    <w:rsid w:val="009E6A11"/>
    <w:rsid w:val="009E6A45"/>
    <w:rsid w:val="009E6AF0"/>
    <w:rsid w:val="009E6C92"/>
    <w:rsid w:val="009E6E05"/>
    <w:rsid w:val="009E7021"/>
    <w:rsid w:val="009E7140"/>
    <w:rsid w:val="009E716D"/>
    <w:rsid w:val="009E7203"/>
    <w:rsid w:val="009E729D"/>
    <w:rsid w:val="009E7343"/>
    <w:rsid w:val="009E73E2"/>
    <w:rsid w:val="009E74C6"/>
    <w:rsid w:val="009E7508"/>
    <w:rsid w:val="009E751C"/>
    <w:rsid w:val="009E756F"/>
    <w:rsid w:val="009E7895"/>
    <w:rsid w:val="009E789F"/>
    <w:rsid w:val="009E78B1"/>
    <w:rsid w:val="009E7963"/>
    <w:rsid w:val="009E7A5F"/>
    <w:rsid w:val="009E7BBE"/>
    <w:rsid w:val="009E7C91"/>
    <w:rsid w:val="009E7CA0"/>
    <w:rsid w:val="009E7D27"/>
    <w:rsid w:val="009E7E52"/>
    <w:rsid w:val="009E7E61"/>
    <w:rsid w:val="009E7E7A"/>
    <w:rsid w:val="009E7F02"/>
    <w:rsid w:val="009F0021"/>
    <w:rsid w:val="009F01FE"/>
    <w:rsid w:val="009F02E6"/>
    <w:rsid w:val="009F0321"/>
    <w:rsid w:val="009F0407"/>
    <w:rsid w:val="009F05EA"/>
    <w:rsid w:val="009F06C6"/>
    <w:rsid w:val="009F088E"/>
    <w:rsid w:val="009F0909"/>
    <w:rsid w:val="009F09CA"/>
    <w:rsid w:val="009F0A11"/>
    <w:rsid w:val="009F0CCD"/>
    <w:rsid w:val="009F0E39"/>
    <w:rsid w:val="009F0F82"/>
    <w:rsid w:val="009F1043"/>
    <w:rsid w:val="009F1233"/>
    <w:rsid w:val="009F126D"/>
    <w:rsid w:val="009F12D2"/>
    <w:rsid w:val="009F132D"/>
    <w:rsid w:val="009F13DC"/>
    <w:rsid w:val="009F162E"/>
    <w:rsid w:val="009F1712"/>
    <w:rsid w:val="009F17D8"/>
    <w:rsid w:val="009F1867"/>
    <w:rsid w:val="009F186A"/>
    <w:rsid w:val="009F1931"/>
    <w:rsid w:val="009F1935"/>
    <w:rsid w:val="009F19B3"/>
    <w:rsid w:val="009F1BE1"/>
    <w:rsid w:val="009F1CB4"/>
    <w:rsid w:val="009F1CC1"/>
    <w:rsid w:val="009F1DD9"/>
    <w:rsid w:val="009F1DDB"/>
    <w:rsid w:val="009F1E65"/>
    <w:rsid w:val="009F1F41"/>
    <w:rsid w:val="009F1F53"/>
    <w:rsid w:val="009F1F6F"/>
    <w:rsid w:val="009F201F"/>
    <w:rsid w:val="009F2079"/>
    <w:rsid w:val="009F2143"/>
    <w:rsid w:val="009F233E"/>
    <w:rsid w:val="009F23EB"/>
    <w:rsid w:val="009F242B"/>
    <w:rsid w:val="009F2446"/>
    <w:rsid w:val="009F25AF"/>
    <w:rsid w:val="009F2722"/>
    <w:rsid w:val="009F2845"/>
    <w:rsid w:val="009F296A"/>
    <w:rsid w:val="009F29B6"/>
    <w:rsid w:val="009F2D95"/>
    <w:rsid w:val="009F2E5C"/>
    <w:rsid w:val="009F2E85"/>
    <w:rsid w:val="009F2F9F"/>
    <w:rsid w:val="009F3022"/>
    <w:rsid w:val="009F34EA"/>
    <w:rsid w:val="009F387C"/>
    <w:rsid w:val="009F389B"/>
    <w:rsid w:val="009F3A25"/>
    <w:rsid w:val="009F3A31"/>
    <w:rsid w:val="009F3B0B"/>
    <w:rsid w:val="009F3C6B"/>
    <w:rsid w:val="009F3D55"/>
    <w:rsid w:val="009F3EE2"/>
    <w:rsid w:val="009F4057"/>
    <w:rsid w:val="009F41CC"/>
    <w:rsid w:val="009F4240"/>
    <w:rsid w:val="009F42AC"/>
    <w:rsid w:val="009F44B9"/>
    <w:rsid w:val="009F45B2"/>
    <w:rsid w:val="009F45BD"/>
    <w:rsid w:val="009F464E"/>
    <w:rsid w:val="009F478A"/>
    <w:rsid w:val="009F47F4"/>
    <w:rsid w:val="009F4887"/>
    <w:rsid w:val="009F490B"/>
    <w:rsid w:val="009F4B5F"/>
    <w:rsid w:val="009F4C98"/>
    <w:rsid w:val="009F4CE8"/>
    <w:rsid w:val="009F4D95"/>
    <w:rsid w:val="009F4DA8"/>
    <w:rsid w:val="009F4F55"/>
    <w:rsid w:val="009F4FF8"/>
    <w:rsid w:val="009F50E1"/>
    <w:rsid w:val="009F5180"/>
    <w:rsid w:val="009F51C7"/>
    <w:rsid w:val="009F5208"/>
    <w:rsid w:val="009F53E1"/>
    <w:rsid w:val="009F5435"/>
    <w:rsid w:val="009F5449"/>
    <w:rsid w:val="009F55E4"/>
    <w:rsid w:val="009F55ED"/>
    <w:rsid w:val="009F575A"/>
    <w:rsid w:val="009F590B"/>
    <w:rsid w:val="009F596A"/>
    <w:rsid w:val="009F5995"/>
    <w:rsid w:val="009F5A30"/>
    <w:rsid w:val="009F5B99"/>
    <w:rsid w:val="009F5BEA"/>
    <w:rsid w:val="009F5C86"/>
    <w:rsid w:val="009F5F21"/>
    <w:rsid w:val="009F5FC1"/>
    <w:rsid w:val="009F60EF"/>
    <w:rsid w:val="009F62A1"/>
    <w:rsid w:val="009F6488"/>
    <w:rsid w:val="009F6552"/>
    <w:rsid w:val="009F667F"/>
    <w:rsid w:val="009F66E4"/>
    <w:rsid w:val="009F674C"/>
    <w:rsid w:val="009F6753"/>
    <w:rsid w:val="009F68FB"/>
    <w:rsid w:val="009F6C18"/>
    <w:rsid w:val="009F6C51"/>
    <w:rsid w:val="009F6C69"/>
    <w:rsid w:val="009F6C91"/>
    <w:rsid w:val="009F6DBF"/>
    <w:rsid w:val="009F6DD6"/>
    <w:rsid w:val="009F6EDB"/>
    <w:rsid w:val="009F6F00"/>
    <w:rsid w:val="009F6FD0"/>
    <w:rsid w:val="009F7173"/>
    <w:rsid w:val="009F7254"/>
    <w:rsid w:val="009F729C"/>
    <w:rsid w:val="009F732C"/>
    <w:rsid w:val="009F7429"/>
    <w:rsid w:val="009F74A7"/>
    <w:rsid w:val="009F74FD"/>
    <w:rsid w:val="009F75FF"/>
    <w:rsid w:val="009F79E1"/>
    <w:rsid w:val="009F7BB0"/>
    <w:rsid w:val="009F7D99"/>
    <w:rsid w:val="009F7E8B"/>
    <w:rsid w:val="009F7F44"/>
    <w:rsid w:val="009F7FE4"/>
    <w:rsid w:val="00A00099"/>
    <w:rsid w:val="00A00160"/>
    <w:rsid w:val="00A0024E"/>
    <w:rsid w:val="00A002EA"/>
    <w:rsid w:val="00A003E1"/>
    <w:rsid w:val="00A00459"/>
    <w:rsid w:val="00A005F0"/>
    <w:rsid w:val="00A00810"/>
    <w:rsid w:val="00A0087D"/>
    <w:rsid w:val="00A009A7"/>
    <w:rsid w:val="00A00AC3"/>
    <w:rsid w:val="00A00B25"/>
    <w:rsid w:val="00A00BE6"/>
    <w:rsid w:val="00A00C6B"/>
    <w:rsid w:val="00A00CF5"/>
    <w:rsid w:val="00A00D05"/>
    <w:rsid w:val="00A00DB8"/>
    <w:rsid w:val="00A0147A"/>
    <w:rsid w:val="00A015F2"/>
    <w:rsid w:val="00A0169C"/>
    <w:rsid w:val="00A0177D"/>
    <w:rsid w:val="00A01900"/>
    <w:rsid w:val="00A019A6"/>
    <w:rsid w:val="00A01B02"/>
    <w:rsid w:val="00A01D75"/>
    <w:rsid w:val="00A01DFE"/>
    <w:rsid w:val="00A01EDF"/>
    <w:rsid w:val="00A01F48"/>
    <w:rsid w:val="00A01F56"/>
    <w:rsid w:val="00A02000"/>
    <w:rsid w:val="00A02029"/>
    <w:rsid w:val="00A02081"/>
    <w:rsid w:val="00A020C7"/>
    <w:rsid w:val="00A0219E"/>
    <w:rsid w:val="00A021E8"/>
    <w:rsid w:val="00A0229A"/>
    <w:rsid w:val="00A02302"/>
    <w:rsid w:val="00A023C6"/>
    <w:rsid w:val="00A02407"/>
    <w:rsid w:val="00A02508"/>
    <w:rsid w:val="00A025D7"/>
    <w:rsid w:val="00A025F9"/>
    <w:rsid w:val="00A02712"/>
    <w:rsid w:val="00A02717"/>
    <w:rsid w:val="00A02760"/>
    <w:rsid w:val="00A027CA"/>
    <w:rsid w:val="00A02A16"/>
    <w:rsid w:val="00A02A85"/>
    <w:rsid w:val="00A02BF4"/>
    <w:rsid w:val="00A02CDA"/>
    <w:rsid w:val="00A02E9C"/>
    <w:rsid w:val="00A02F41"/>
    <w:rsid w:val="00A030CD"/>
    <w:rsid w:val="00A03122"/>
    <w:rsid w:val="00A03195"/>
    <w:rsid w:val="00A032BC"/>
    <w:rsid w:val="00A032DE"/>
    <w:rsid w:val="00A03334"/>
    <w:rsid w:val="00A033E3"/>
    <w:rsid w:val="00A03615"/>
    <w:rsid w:val="00A03616"/>
    <w:rsid w:val="00A036B6"/>
    <w:rsid w:val="00A03A62"/>
    <w:rsid w:val="00A03B30"/>
    <w:rsid w:val="00A03C97"/>
    <w:rsid w:val="00A03D10"/>
    <w:rsid w:val="00A03EF1"/>
    <w:rsid w:val="00A04136"/>
    <w:rsid w:val="00A04180"/>
    <w:rsid w:val="00A04392"/>
    <w:rsid w:val="00A04446"/>
    <w:rsid w:val="00A04464"/>
    <w:rsid w:val="00A04496"/>
    <w:rsid w:val="00A044D7"/>
    <w:rsid w:val="00A0451A"/>
    <w:rsid w:val="00A0458C"/>
    <w:rsid w:val="00A045CE"/>
    <w:rsid w:val="00A0460A"/>
    <w:rsid w:val="00A04830"/>
    <w:rsid w:val="00A049D2"/>
    <w:rsid w:val="00A049F1"/>
    <w:rsid w:val="00A04A8B"/>
    <w:rsid w:val="00A04ACC"/>
    <w:rsid w:val="00A04C9E"/>
    <w:rsid w:val="00A05032"/>
    <w:rsid w:val="00A0518C"/>
    <w:rsid w:val="00A051F2"/>
    <w:rsid w:val="00A052AC"/>
    <w:rsid w:val="00A0530A"/>
    <w:rsid w:val="00A0536D"/>
    <w:rsid w:val="00A05401"/>
    <w:rsid w:val="00A05444"/>
    <w:rsid w:val="00A055F6"/>
    <w:rsid w:val="00A0565E"/>
    <w:rsid w:val="00A0578D"/>
    <w:rsid w:val="00A05850"/>
    <w:rsid w:val="00A0595A"/>
    <w:rsid w:val="00A059BA"/>
    <w:rsid w:val="00A059DC"/>
    <w:rsid w:val="00A05C69"/>
    <w:rsid w:val="00A05CC2"/>
    <w:rsid w:val="00A05D56"/>
    <w:rsid w:val="00A05EF7"/>
    <w:rsid w:val="00A060B9"/>
    <w:rsid w:val="00A061A7"/>
    <w:rsid w:val="00A0621A"/>
    <w:rsid w:val="00A06288"/>
    <w:rsid w:val="00A06469"/>
    <w:rsid w:val="00A06481"/>
    <w:rsid w:val="00A064B9"/>
    <w:rsid w:val="00A06623"/>
    <w:rsid w:val="00A0676D"/>
    <w:rsid w:val="00A06918"/>
    <w:rsid w:val="00A06934"/>
    <w:rsid w:val="00A069CE"/>
    <w:rsid w:val="00A069FE"/>
    <w:rsid w:val="00A06A68"/>
    <w:rsid w:val="00A06AD1"/>
    <w:rsid w:val="00A06B57"/>
    <w:rsid w:val="00A06CA0"/>
    <w:rsid w:val="00A06D4A"/>
    <w:rsid w:val="00A06D8A"/>
    <w:rsid w:val="00A06FF8"/>
    <w:rsid w:val="00A070B8"/>
    <w:rsid w:val="00A07154"/>
    <w:rsid w:val="00A072CF"/>
    <w:rsid w:val="00A07416"/>
    <w:rsid w:val="00A07454"/>
    <w:rsid w:val="00A07594"/>
    <w:rsid w:val="00A075D1"/>
    <w:rsid w:val="00A07616"/>
    <w:rsid w:val="00A0770A"/>
    <w:rsid w:val="00A07813"/>
    <w:rsid w:val="00A0798A"/>
    <w:rsid w:val="00A07C3E"/>
    <w:rsid w:val="00A07C75"/>
    <w:rsid w:val="00A07F33"/>
    <w:rsid w:val="00A0B39D"/>
    <w:rsid w:val="00A10109"/>
    <w:rsid w:val="00A10319"/>
    <w:rsid w:val="00A10353"/>
    <w:rsid w:val="00A103FF"/>
    <w:rsid w:val="00A10437"/>
    <w:rsid w:val="00A10439"/>
    <w:rsid w:val="00A104AF"/>
    <w:rsid w:val="00A10595"/>
    <w:rsid w:val="00A109D8"/>
    <w:rsid w:val="00A109FC"/>
    <w:rsid w:val="00A10A69"/>
    <w:rsid w:val="00A10A9E"/>
    <w:rsid w:val="00A10B49"/>
    <w:rsid w:val="00A10BDD"/>
    <w:rsid w:val="00A10CC3"/>
    <w:rsid w:val="00A10CD0"/>
    <w:rsid w:val="00A10D3A"/>
    <w:rsid w:val="00A10E0B"/>
    <w:rsid w:val="00A10ED6"/>
    <w:rsid w:val="00A10F63"/>
    <w:rsid w:val="00A10F75"/>
    <w:rsid w:val="00A10FB7"/>
    <w:rsid w:val="00A1117A"/>
    <w:rsid w:val="00A11203"/>
    <w:rsid w:val="00A11397"/>
    <w:rsid w:val="00A11461"/>
    <w:rsid w:val="00A11673"/>
    <w:rsid w:val="00A1169A"/>
    <w:rsid w:val="00A1179B"/>
    <w:rsid w:val="00A117B2"/>
    <w:rsid w:val="00A11915"/>
    <w:rsid w:val="00A1197A"/>
    <w:rsid w:val="00A119C6"/>
    <w:rsid w:val="00A11A4A"/>
    <w:rsid w:val="00A11A6E"/>
    <w:rsid w:val="00A11AAA"/>
    <w:rsid w:val="00A11B72"/>
    <w:rsid w:val="00A11EB1"/>
    <w:rsid w:val="00A11EF8"/>
    <w:rsid w:val="00A11FBC"/>
    <w:rsid w:val="00A12037"/>
    <w:rsid w:val="00A12187"/>
    <w:rsid w:val="00A121CB"/>
    <w:rsid w:val="00A12201"/>
    <w:rsid w:val="00A12457"/>
    <w:rsid w:val="00A124D5"/>
    <w:rsid w:val="00A12547"/>
    <w:rsid w:val="00A126BB"/>
    <w:rsid w:val="00A126FE"/>
    <w:rsid w:val="00A127F3"/>
    <w:rsid w:val="00A12837"/>
    <w:rsid w:val="00A128E1"/>
    <w:rsid w:val="00A129AA"/>
    <w:rsid w:val="00A12A29"/>
    <w:rsid w:val="00A12A47"/>
    <w:rsid w:val="00A12B24"/>
    <w:rsid w:val="00A12BBD"/>
    <w:rsid w:val="00A12BCE"/>
    <w:rsid w:val="00A12BEC"/>
    <w:rsid w:val="00A12C3D"/>
    <w:rsid w:val="00A12DFF"/>
    <w:rsid w:val="00A12E77"/>
    <w:rsid w:val="00A12EEC"/>
    <w:rsid w:val="00A12F08"/>
    <w:rsid w:val="00A12F7E"/>
    <w:rsid w:val="00A12F85"/>
    <w:rsid w:val="00A1303C"/>
    <w:rsid w:val="00A1328B"/>
    <w:rsid w:val="00A132A5"/>
    <w:rsid w:val="00A133CC"/>
    <w:rsid w:val="00A1343E"/>
    <w:rsid w:val="00A134A8"/>
    <w:rsid w:val="00A13536"/>
    <w:rsid w:val="00A135B3"/>
    <w:rsid w:val="00A13633"/>
    <w:rsid w:val="00A136DC"/>
    <w:rsid w:val="00A136EE"/>
    <w:rsid w:val="00A1384E"/>
    <w:rsid w:val="00A13922"/>
    <w:rsid w:val="00A13AFD"/>
    <w:rsid w:val="00A13CE0"/>
    <w:rsid w:val="00A13CEF"/>
    <w:rsid w:val="00A13F4C"/>
    <w:rsid w:val="00A13F71"/>
    <w:rsid w:val="00A13FDF"/>
    <w:rsid w:val="00A14006"/>
    <w:rsid w:val="00A1401F"/>
    <w:rsid w:val="00A14134"/>
    <w:rsid w:val="00A1434E"/>
    <w:rsid w:val="00A144CD"/>
    <w:rsid w:val="00A144EC"/>
    <w:rsid w:val="00A14712"/>
    <w:rsid w:val="00A14728"/>
    <w:rsid w:val="00A1475A"/>
    <w:rsid w:val="00A14767"/>
    <w:rsid w:val="00A14928"/>
    <w:rsid w:val="00A149AA"/>
    <w:rsid w:val="00A14A70"/>
    <w:rsid w:val="00A14A72"/>
    <w:rsid w:val="00A14C1E"/>
    <w:rsid w:val="00A14CDB"/>
    <w:rsid w:val="00A14DEB"/>
    <w:rsid w:val="00A14DFB"/>
    <w:rsid w:val="00A14E42"/>
    <w:rsid w:val="00A14F27"/>
    <w:rsid w:val="00A14F57"/>
    <w:rsid w:val="00A14FF6"/>
    <w:rsid w:val="00A15003"/>
    <w:rsid w:val="00A15056"/>
    <w:rsid w:val="00A150B5"/>
    <w:rsid w:val="00A150FD"/>
    <w:rsid w:val="00A1516D"/>
    <w:rsid w:val="00A15287"/>
    <w:rsid w:val="00A15317"/>
    <w:rsid w:val="00A15360"/>
    <w:rsid w:val="00A15639"/>
    <w:rsid w:val="00A1569A"/>
    <w:rsid w:val="00A156B4"/>
    <w:rsid w:val="00A15784"/>
    <w:rsid w:val="00A15819"/>
    <w:rsid w:val="00A1589A"/>
    <w:rsid w:val="00A158A0"/>
    <w:rsid w:val="00A158B8"/>
    <w:rsid w:val="00A15986"/>
    <w:rsid w:val="00A15A37"/>
    <w:rsid w:val="00A15AB5"/>
    <w:rsid w:val="00A15B20"/>
    <w:rsid w:val="00A15CE5"/>
    <w:rsid w:val="00A15D6D"/>
    <w:rsid w:val="00A15E8C"/>
    <w:rsid w:val="00A15EC7"/>
    <w:rsid w:val="00A16003"/>
    <w:rsid w:val="00A160AF"/>
    <w:rsid w:val="00A160D9"/>
    <w:rsid w:val="00A161AD"/>
    <w:rsid w:val="00A161E6"/>
    <w:rsid w:val="00A1638B"/>
    <w:rsid w:val="00A1648E"/>
    <w:rsid w:val="00A1649C"/>
    <w:rsid w:val="00A16513"/>
    <w:rsid w:val="00A16625"/>
    <w:rsid w:val="00A1672F"/>
    <w:rsid w:val="00A167A2"/>
    <w:rsid w:val="00A167D7"/>
    <w:rsid w:val="00A1682A"/>
    <w:rsid w:val="00A16867"/>
    <w:rsid w:val="00A16912"/>
    <w:rsid w:val="00A169A5"/>
    <w:rsid w:val="00A16C95"/>
    <w:rsid w:val="00A16CC2"/>
    <w:rsid w:val="00A16E26"/>
    <w:rsid w:val="00A16EF2"/>
    <w:rsid w:val="00A16F23"/>
    <w:rsid w:val="00A1717A"/>
    <w:rsid w:val="00A1722E"/>
    <w:rsid w:val="00A17272"/>
    <w:rsid w:val="00A17390"/>
    <w:rsid w:val="00A17496"/>
    <w:rsid w:val="00A17559"/>
    <w:rsid w:val="00A176B3"/>
    <w:rsid w:val="00A1771C"/>
    <w:rsid w:val="00A17923"/>
    <w:rsid w:val="00A17C92"/>
    <w:rsid w:val="00A17CFB"/>
    <w:rsid w:val="00A17D95"/>
    <w:rsid w:val="00A17E35"/>
    <w:rsid w:val="00A17F5A"/>
    <w:rsid w:val="00A17F67"/>
    <w:rsid w:val="00A17FD9"/>
    <w:rsid w:val="00A20011"/>
    <w:rsid w:val="00A20070"/>
    <w:rsid w:val="00A200A2"/>
    <w:rsid w:val="00A201C0"/>
    <w:rsid w:val="00A201F8"/>
    <w:rsid w:val="00A202F6"/>
    <w:rsid w:val="00A2030D"/>
    <w:rsid w:val="00A2074C"/>
    <w:rsid w:val="00A208D8"/>
    <w:rsid w:val="00A20963"/>
    <w:rsid w:val="00A20A30"/>
    <w:rsid w:val="00A20A5C"/>
    <w:rsid w:val="00A20BD9"/>
    <w:rsid w:val="00A20D7C"/>
    <w:rsid w:val="00A20F44"/>
    <w:rsid w:val="00A20FA2"/>
    <w:rsid w:val="00A2111B"/>
    <w:rsid w:val="00A21247"/>
    <w:rsid w:val="00A21739"/>
    <w:rsid w:val="00A21807"/>
    <w:rsid w:val="00A21918"/>
    <w:rsid w:val="00A2192A"/>
    <w:rsid w:val="00A21960"/>
    <w:rsid w:val="00A219DE"/>
    <w:rsid w:val="00A21A6E"/>
    <w:rsid w:val="00A21BA2"/>
    <w:rsid w:val="00A21C3C"/>
    <w:rsid w:val="00A21CE7"/>
    <w:rsid w:val="00A21F4D"/>
    <w:rsid w:val="00A21F79"/>
    <w:rsid w:val="00A21FEF"/>
    <w:rsid w:val="00A2205F"/>
    <w:rsid w:val="00A221AE"/>
    <w:rsid w:val="00A2237B"/>
    <w:rsid w:val="00A223F6"/>
    <w:rsid w:val="00A22701"/>
    <w:rsid w:val="00A227EE"/>
    <w:rsid w:val="00A22968"/>
    <w:rsid w:val="00A229B7"/>
    <w:rsid w:val="00A22A53"/>
    <w:rsid w:val="00A22BE6"/>
    <w:rsid w:val="00A22CBA"/>
    <w:rsid w:val="00A22DFB"/>
    <w:rsid w:val="00A23032"/>
    <w:rsid w:val="00A23287"/>
    <w:rsid w:val="00A232EE"/>
    <w:rsid w:val="00A23317"/>
    <w:rsid w:val="00A2349C"/>
    <w:rsid w:val="00A236E8"/>
    <w:rsid w:val="00A238CD"/>
    <w:rsid w:val="00A2392D"/>
    <w:rsid w:val="00A23950"/>
    <w:rsid w:val="00A23A7F"/>
    <w:rsid w:val="00A23A95"/>
    <w:rsid w:val="00A23D06"/>
    <w:rsid w:val="00A23D15"/>
    <w:rsid w:val="00A23D39"/>
    <w:rsid w:val="00A23D77"/>
    <w:rsid w:val="00A23D8A"/>
    <w:rsid w:val="00A23DA1"/>
    <w:rsid w:val="00A23EC2"/>
    <w:rsid w:val="00A2412D"/>
    <w:rsid w:val="00A24141"/>
    <w:rsid w:val="00A24281"/>
    <w:rsid w:val="00A2428B"/>
    <w:rsid w:val="00A24352"/>
    <w:rsid w:val="00A24381"/>
    <w:rsid w:val="00A24382"/>
    <w:rsid w:val="00A2439E"/>
    <w:rsid w:val="00A24462"/>
    <w:rsid w:val="00A24472"/>
    <w:rsid w:val="00A24490"/>
    <w:rsid w:val="00A2472E"/>
    <w:rsid w:val="00A24945"/>
    <w:rsid w:val="00A24AC3"/>
    <w:rsid w:val="00A24AF5"/>
    <w:rsid w:val="00A24B41"/>
    <w:rsid w:val="00A24BBA"/>
    <w:rsid w:val="00A24DF7"/>
    <w:rsid w:val="00A24ED5"/>
    <w:rsid w:val="00A24F2A"/>
    <w:rsid w:val="00A24F59"/>
    <w:rsid w:val="00A24FBB"/>
    <w:rsid w:val="00A25126"/>
    <w:rsid w:val="00A253FB"/>
    <w:rsid w:val="00A25517"/>
    <w:rsid w:val="00A25530"/>
    <w:rsid w:val="00A2553D"/>
    <w:rsid w:val="00A25551"/>
    <w:rsid w:val="00A25697"/>
    <w:rsid w:val="00A257EA"/>
    <w:rsid w:val="00A258A6"/>
    <w:rsid w:val="00A2591D"/>
    <w:rsid w:val="00A259D0"/>
    <w:rsid w:val="00A259DD"/>
    <w:rsid w:val="00A259E5"/>
    <w:rsid w:val="00A25A03"/>
    <w:rsid w:val="00A25A58"/>
    <w:rsid w:val="00A25AA2"/>
    <w:rsid w:val="00A25AF7"/>
    <w:rsid w:val="00A25B73"/>
    <w:rsid w:val="00A25C7F"/>
    <w:rsid w:val="00A25CA4"/>
    <w:rsid w:val="00A25E00"/>
    <w:rsid w:val="00A25E32"/>
    <w:rsid w:val="00A25FD4"/>
    <w:rsid w:val="00A26167"/>
    <w:rsid w:val="00A26608"/>
    <w:rsid w:val="00A2664D"/>
    <w:rsid w:val="00A2666D"/>
    <w:rsid w:val="00A26839"/>
    <w:rsid w:val="00A26960"/>
    <w:rsid w:val="00A269FD"/>
    <w:rsid w:val="00A26B91"/>
    <w:rsid w:val="00A26C6E"/>
    <w:rsid w:val="00A27026"/>
    <w:rsid w:val="00A27052"/>
    <w:rsid w:val="00A275E0"/>
    <w:rsid w:val="00A27722"/>
    <w:rsid w:val="00A27877"/>
    <w:rsid w:val="00A27895"/>
    <w:rsid w:val="00A2796F"/>
    <w:rsid w:val="00A27A99"/>
    <w:rsid w:val="00A27B23"/>
    <w:rsid w:val="00A27B5C"/>
    <w:rsid w:val="00A27B94"/>
    <w:rsid w:val="00A27BA5"/>
    <w:rsid w:val="00A27C1A"/>
    <w:rsid w:val="00A27D02"/>
    <w:rsid w:val="00A27D58"/>
    <w:rsid w:val="00A27F00"/>
    <w:rsid w:val="00A27F5A"/>
    <w:rsid w:val="00A30299"/>
    <w:rsid w:val="00A3037A"/>
    <w:rsid w:val="00A30460"/>
    <w:rsid w:val="00A3046E"/>
    <w:rsid w:val="00A3065A"/>
    <w:rsid w:val="00A30738"/>
    <w:rsid w:val="00A307A8"/>
    <w:rsid w:val="00A307B0"/>
    <w:rsid w:val="00A308F7"/>
    <w:rsid w:val="00A30916"/>
    <w:rsid w:val="00A30966"/>
    <w:rsid w:val="00A30AA2"/>
    <w:rsid w:val="00A30D29"/>
    <w:rsid w:val="00A3109A"/>
    <w:rsid w:val="00A31224"/>
    <w:rsid w:val="00A3131B"/>
    <w:rsid w:val="00A31381"/>
    <w:rsid w:val="00A313A5"/>
    <w:rsid w:val="00A314DA"/>
    <w:rsid w:val="00A31607"/>
    <w:rsid w:val="00A31967"/>
    <w:rsid w:val="00A31977"/>
    <w:rsid w:val="00A319AC"/>
    <w:rsid w:val="00A319C3"/>
    <w:rsid w:val="00A31A3E"/>
    <w:rsid w:val="00A31A47"/>
    <w:rsid w:val="00A31A65"/>
    <w:rsid w:val="00A31AE3"/>
    <w:rsid w:val="00A31B55"/>
    <w:rsid w:val="00A31BE9"/>
    <w:rsid w:val="00A31CF5"/>
    <w:rsid w:val="00A31DC3"/>
    <w:rsid w:val="00A31E52"/>
    <w:rsid w:val="00A3202F"/>
    <w:rsid w:val="00A32166"/>
    <w:rsid w:val="00A32178"/>
    <w:rsid w:val="00A322D3"/>
    <w:rsid w:val="00A32374"/>
    <w:rsid w:val="00A323DA"/>
    <w:rsid w:val="00A32447"/>
    <w:rsid w:val="00A32474"/>
    <w:rsid w:val="00A32491"/>
    <w:rsid w:val="00A32624"/>
    <w:rsid w:val="00A326A9"/>
    <w:rsid w:val="00A326EC"/>
    <w:rsid w:val="00A3272E"/>
    <w:rsid w:val="00A32819"/>
    <w:rsid w:val="00A32835"/>
    <w:rsid w:val="00A328D5"/>
    <w:rsid w:val="00A32952"/>
    <w:rsid w:val="00A32BFD"/>
    <w:rsid w:val="00A32CBD"/>
    <w:rsid w:val="00A32CE8"/>
    <w:rsid w:val="00A32E24"/>
    <w:rsid w:val="00A32E97"/>
    <w:rsid w:val="00A32EBB"/>
    <w:rsid w:val="00A32F0B"/>
    <w:rsid w:val="00A33050"/>
    <w:rsid w:val="00A33213"/>
    <w:rsid w:val="00A33293"/>
    <w:rsid w:val="00A332B1"/>
    <w:rsid w:val="00A3333A"/>
    <w:rsid w:val="00A33575"/>
    <w:rsid w:val="00A337FD"/>
    <w:rsid w:val="00A33899"/>
    <w:rsid w:val="00A33988"/>
    <w:rsid w:val="00A339ED"/>
    <w:rsid w:val="00A33ADD"/>
    <w:rsid w:val="00A33C18"/>
    <w:rsid w:val="00A33D2F"/>
    <w:rsid w:val="00A33D3E"/>
    <w:rsid w:val="00A33E72"/>
    <w:rsid w:val="00A34017"/>
    <w:rsid w:val="00A3403C"/>
    <w:rsid w:val="00A34091"/>
    <w:rsid w:val="00A3420D"/>
    <w:rsid w:val="00A342A5"/>
    <w:rsid w:val="00A34311"/>
    <w:rsid w:val="00A34338"/>
    <w:rsid w:val="00A3453E"/>
    <w:rsid w:val="00A34581"/>
    <w:rsid w:val="00A345B1"/>
    <w:rsid w:val="00A34656"/>
    <w:rsid w:val="00A3473C"/>
    <w:rsid w:val="00A34813"/>
    <w:rsid w:val="00A348E8"/>
    <w:rsid w:val="00A34BBF"/>
    <w:rsid w:val="00A34C8B"/>
    <w:rsid w:val="00A34D8C"/>
    <w:rsid w:val="00A34D9F"/>
    <w:rsid w:val="00A3500F"/>
    <w:rsid w:val="00A35117"/>
    <w:rsid w:val="00A35171"/>
    <w:rsid w:val="00A35199"/>
    <w:rsid w:val="00A35257"/>
    <w:rsid w:val="00A3525A"/>
    <w:rsid w:val="00A352E8"/>
    <w:rsid w:val="00A35357"/>
    <w:rsid w:val="00A3537A"/>
    <w:rsid w:val="00A35461"/>
    <w:rsid w:val="00A355FE"/>
    <w:rsid w:val="00A3560C"/>
    <w:rsid w:val="00A35794"/>
    <w:rsid w:val="00A357CC"/>
    <w:rsid w:val="00A357DD"/>
    <w:rsid w:val="00A358E4"/>
    <w:rsid w:val="00A35975"/>
    <w:rsid w:val="00A359AA"/>
    <w:rsid w:val="00A35B1E"/>
    <w:rsid w:val="00A35C7D"/>
    <w:rsid w:val="00A35CF3"/>
    <w:rsid w:val="00A35D94"/>
    <w:rsid w:val="00A35F1C"/>
    <w:rsid w:val="00A36003"/>
    <w:rsid w:val="00A36088"/>
    <w:rsid w:val="00A360C8"/>
    <w:rsid w:val="00A36190"/>
    <w:rsid w:val="00A361B5"/>
    <w:rsid w:val="00A36200"/>
    <w:rsid w:val="00A362A8"/>
    <w:rsid w:val="00A362BB"/>
    <w:rsid w:val="00A364B7"/>
    <w:rsid w:val="00A364DF"/>
    <w:rsid w:val="00A36501"/>
    <w:rsid w:val="00A3653C"/>
    <w:rsid w:val="00A36590"/>
    <w:rsid w:val="00A366AD"/>
    <w:rsid w:val="00A36791"/>
    <w:rsid w:val="00A367A7"/>
    <w:rsid w:val="00A3689A"/>
    <w:rsid w:val="00A36B89"/>
    <w:rsid w:val="00A36C83"/>
    <w:rsid w:val="00A36CBA"/>
    <w:rsid w:val="00A36D45"/>
    <w:rsid w:val="00A36E12"/>
    <w:rsid w:val="00A36E15"/>
    <w:rsid w:val="00A36EF8"/>
    <w:rsid w:val="00A371EF"/>
    <w:rsid w:val="00A37259"/>
    <w:rsid w:val="00A37308"/>
    <w:rsid w:val="00A37665"/>
    <w:rsid w:val="00A3768A"/>
    <w:rsid w:val="00A3769F"/>
    <w:rsid w:val="00A37746"/>
    <w:rsid w:val="00A379A4"/>
    <w:rsid w:val="00A37A6F"/>
    <w:rsid w:val="00A37AE6"/>
    <w:rsid w:val="00A37B76"/>
    <w:rsid w:val="00A37BC6"/>
    <w:rsid w:val="00A37C50"/>
    <w:rsid w:val="00A37E54"/>
    <w:rsid w:val="00A37FBE"/>
    <w:rsid w:val="00A3B664"/>
    <w:rsid w:val="00A400F0"/>
    <w:rsid w:val="00A401D7"/>
    <w:rsid w:val="00A40227"/>
    <w:rsid w:val="00A40303"/>
    <w:rsid w:val="00A40306"/>
    <w:rsid w:val="00A4031E"/>
    <w:rsid w:val="00A40680"/>
    <w:rsid w:val="00A406FB"/>
    <w:rsid w:val="00A40994"/>
    <w:rsid w:val="00A40B1B"/>
    <w:rsid w:val="00A40CE0"/>
    <w:rsid w:val="00A40CE1"/>
    <w:rsid w:val="00A40E5A"/>
    <w:rsid w:val="00A40EC8"/>
    <w:rsid w:val="00A40F2B"/>
    <w:rsid w:val="00A41002"/>
    <w:rsid w:val="00A410A3"/>
    <w:rsid w:val="00A410F4"/>
    <w:rsid w:val="00A411EB"/>
    <w:rsid w:val="00A412DE"/>
    <w:rsid w:val="00A41409"/>
    <w:rsid w:val="00A41419"/>
    <w:rsid w:val="00A41438"/>
    <w:rsid w:val="00A4160B"/>
    <w:rsid w:val="00A41632"/>
    <w:rsid w:val="00A41636"/>
    <w:rsid w:val="00A41654"/>
    <w:rsid w:val="00A41831"/>
    <w:rsid w:val="00A418AF"/>
    <w:rsid w:val="00A418F0"/>
    <w:rsid w:val="00A41955"/>
    <w:rsid w:val="00A4196E"/>
    <w:rsid w:val="00A419C1"/>
    <w:rsid w:val="00A419E8"/>
    <w:rsid w:val="00A41B14"/>
    <w:rsid w:val="00A41BC9"/>
    <w:rsid w:val="00A41BCB"/>
    <w:rsid w:val="00A41DF0"/>
    <w:rsid w:val="00A41E15"/>
    <w:rsid w:val="00A41F25"/>
    <w:rsid w:val="00A41FF8"/>
    <w:rsid w:val="00A4222C"/>
    <w:rsid w:val="00A422B0"/>
    <w:rsid w:val="00A422C7"/>
    <w:rsid w:val="00A42357"/>
    <w:rsid w:val="00A424E9"/>
    <w:rsid w:val="00A4250B"/>
    <w:rsid w:val="00A42545"/>
    <w:rsid w:val="00A42765"/>
    <w:rsid w:val="00A42818"/>
    <w:rsid w:val="00A4285A"/>
    <w:rsid w:val="00A429B8"/>
    <w:rsid w:val="00A42A0C"/>
    <w:rsid w:val="00A42A1C"/>
    <w:rsid w:val="00A42A7D"/>
    <w:rsid w:val="00A42C49"/>
    <w:rsid w:val="00A42CCD"/>
    <w:rsid w:val="00A42D36"/>
    <w:rsid w:val="00A42DDB"/>
    <w:rsid w:val="00A42E0D"/>
    <w:rsid w:val="00A42E55"/>
    <w:rsid w:val="00A42E87"/>
    <w:rsid w:val="00A42ED2"/>
    <w:rsid w:val="00A43004"/>
    <w:rsid w:val="00A43014"/>
    <w:rsid w:val="00A43059"/>
    <w:rsid w:val="00A4308B"/>
    <w:rsid w:val="00A430B0"/>
    <w:rsid w:val="00A430CC"/>
    <w:rsid w:val="00A431D1"/>
    <w:rsid w:val="00A43241"/>
    <w:rsid w:val="00A432E4"/>
    <w:rsid w:val="00A432F9"/>
    <w:rsid w:val="00A43347"/>
    <w:rsid w:val="00A43363"/>
    <w:rsid w:val="00A4336B"/>
    <w:rsid w:val="00A43397"/>
    <w:rsid w:val="00A433A0"/>
    <w:rsid w:val="00A433BB"/>
    <w:rsid w:val="00A43405"/>
    <w:rsid w:val="00A43406"/>
    <w:rsid w:val="00A43432"/>
    <w:rsid w:val="00A43631"/>
    <w:rsid w:val="00A436EF"/>
    <w:rsid w:val="00A438A4"/>
    <w:rsid w:val="00A4391E"/>
    <w:rsid w:val="00A43955"/>
    <w:rsid w:val="00A439EB"/>
    <w:rsid w:val="00A43A2A"/>
    <w:rsid w:val="00A43B2C"/>
    <w:rsid w:val="00A43B94"/>
    <w:rsid w:val="00A43C53"/>
    <w:rsid w:val="00A43CC7"/>
    <w:rsid w:val="00A43E04"/>
    <w:rsid w:val="00A43FEC"/>
    <w:rsid w:val="00A44008"/>
    <w:rsid w:val="00A44049"/>
    <w:rsid w:val="00A440A4"/>
    <w:rsid w:val="00A44280"/>
    <w:rsid w:val="00A442AD"/>
    <w:rsid w:val="00A442E0"/>
    <w:rsid w:val="00A4431F"/>
    <w:rsid w:val="00A4438C"/>
    <w:rsid w:val="00A44440"/>
    <w:rsid w:val="00A4453D"/>
    <w:rsid w:val="00A44631"/>
    <w:rsid w:val="00A446BD"/>
    <w:rsid w:val="00A44805"/>
    <w:rsid w:val="00A448B8"/>
    <w:rsid w:val="00A44A49"/>
    <w:rsid w:val="00A44B33"/>
    <w:rsid w:val="00A44BCD"/>
    <w:rsid w:val="00A44D0B"/>
    <w:rsid w:val="00A44F9E"/>
    <w:rsid w:val="00A44FD3"/>
    <w:rsid w:val="00A4505E"/>
    <w:rsid w:val="00A4512B"/>
    <w:rsid w:val="00A45270"/>
    <w:rsid w:val="00A45396"/>
    <w:rsid w:val="00A4551E"/>
    <w:rsid w:val="00A455A2"/>
    <w:rsid w:val="00A45A4F"/>
    <w:rsid w:val="00A45BB3"/>
    <w:rsid w:val="00A45C7A"/>
    <w:rsid w:val="00A45CA0"/>
    <w:rsid w:val="00A45E3B"/>
    <w:rsid w:val="00A45E7E"/>
    <w:rsid w:val="00A45F42"/>
    <w:rsid w:val="00A45FCF"/>
    <w:rsid w:val="00A45FE4"/>
    <w:rsid w:val="00A45FFA"/>
    <w:rsid w:val="00A4600D"/>
    <w:rsid w:val="00A46043"/>
    <w:rsid w:val="00A46099"/>
    <w:rsid w:val="00A463B5"/>
    <w:rsid w:val="00A46410"/>
    <w:rsid w:val="00A464CF"/>
    <w:rsid w:val="00A46853"/>
    <w:rsid w:val="00A4688F"/>
    <w:rsid w:val="00A46905"/>
    <w:rsid w:val="00A46933"/>
    <w:rsid w:val="00A469E6"/>
    <w:rsid w:val="00A46A91"/>
    <w:rsid w:val="00A46C42"/>
    <w:rsid w:val="00A46D1F"/>
    <w:rsid w:val="00A46D4C"/>
    <w:rsid w:val="00A46E7C"/>
    <w:rsid w:val="00A46EDA"/>
    <w:rsid w:val="00A46F6C"/>
    <w:rsid w:val="00A46FF4"/>
    <w:rsid w:val="00A47096"/>
    <w:rsid w:val="00A470F0"/>
    <w:rsid w:val="00A4723F"/>
    <w:rsid w:val="00A4735D"/>
    <w:rsid w:val="00A473DA"/>
    <w:rsid w:val="00A4744E"/>
    <w:rsid w:val="00A4749A"/>
    <w:rsid w:val="00A475AB"/>
    <w:rsid w:val="00A477E1"/>
    <w:rsid w:val="00A47853"/>
    <w:rsid w:val="00A478BE"/>
    <w:rsid w:val="00A4793D"/>
    <w:rsid w:val="00A47A51"/>
    <w:rsid w:val="00A47A76"/>
    <w:rsid w:val="00A47C26"/>
    <w:rsid w:val="00A47C72"/>
    <w:rsid w:val="00A47E15"/>
    <w:rsid w:val="00A47EAA"/>
    <w:rsid w:val="00A47F3D"/>
    <w:rsid w:val="00A47F4A"/>
    <w:rsid w:val="00A50078"/>
    <w:rsid w:val="00A5008E"/>
    <w:rsid w:val="00A5017D"/>
    <w:rsid w:val="00A502A0"/>
    <w:rsid w:val="00A504B3"/>
    <w:rsid w:val="00A504B7"/>
    <w:rsid w:val="00A50561"/>
    <w:rsid w:val="00A5059B"/>
    <w:rsid w:val="00A50704"/>
    <w:rsid w:val="00A50745"/>
    <w:rsid w:val="00A50888"/>
    <w:rsid w:val="00A508DE"/>
    <w:rsid w:val="00A50906"/>
    <w:rsid w:val="00A509FE"/>
    <w:rsid w:val="00A50A0C"/>
    <w:rsid w:val="00A50C41"/>
    <w:rsid w:val="00A50D0A"/>
    <w:rsid w:val="00A50DC6"/>
    <w:rsid w:val="00A50DEA"/>
    <w:rsid w:val="00A50E00"/>
    <w:rsid w:val="00A5101C"/>
    <w:rsid w:val="00A5107F"/>
    <w:rsid w:val="00A512A1"/>
    <w:rsid w:val="00A512D6"/>
    <w:rsid w:val="00A514DB"/>
    <w:rsid w:val="00A5160C"/>
    <w:rsid w:val="00A5161B"/>
    <w:rsid w:val="00A516E5"/>
    <w:rsid w:val="00A51A0C"/>
    <w:rsid w:val="00A51A61"/>
    <w:rsid w:val="00A51AF5"/>
    <w:rsid w:val="00A51B2D"/>
    <w:rsid w:val="00A51B50"/>
    <w:rsid w:val="00A51CC7"/>
    <w:rsid w:val="00A51E35"/>
    <w:rsid w:val="00A51E63"/>
    <w:rsid w:val="00A51E98"/>
    <w:rsid w:val="00A51F08"/>
    <w:rsid w:val="00A52087"/>
    <w:rsid w:val="00A520EA"/>
    <w:rsid w:val="00A5215D"/>
    <w:rsid w:val="00A521CA"/>
    <w:rsid w:val="00A52375"/>
    <w:rsid w:val="00A52408"/>
    <w:rsid w:val="00A524A8"/>
    <w:rsid w:val="00A52529"/>
    <w:rsid w:val="00A52611"/>
    <w:rsid w:val="00A5265F"/>
    <w:rsid w:val="00A52722"/>
    <w:rsid w:val="00A529A8"/>
    <w:rsid w:val="00A52A31"/>
    <w:rsid w:val="00A52AC8"/>
    <w:rsid w:val="00A52B16"/>
    <w:rsid w:val="00A52B2F"/>
    <w:rsid w:val="00A52BCD"/>
    <w:rsid w:val="00A52C33"/>
    <w:rsid w:val="00A52D69"/>
    <w:rsid w:val="00A52D6F"/>
    <w:rsid w:val="00A52F10"/>
    <w:rsid w:val="00A52F42"/>
    <w:rsid w:val="00A530BA"/>
    <w:rsid w:val="00A53241"/>
    <w:rsid w:val="00A53446"/>
    <w:rsid w:val="00A53455"/>
    <w:rsid w:val="00A53624"/>
    <w:rsid w:val="00A537C7"/>
    <w:rsid w:val="00A5382B"/>
    <w:rsid w:val="00A538D6"/>
    <w:rsid w:val="00A53903"/>
    <w:rsid w:val="00A53939"/>
    <w:rsid w:val="00A53C09"/>
    <w:rsid w:val="00A53C14"/>
    <w:rsid w:val="00A53C5C"/>
    <w:rsid w:val="00A53DB8"/>
    <w:rsid w:val="00A53E43"/>
    <w:rsid w:val="00A53E8B"/>
    <w:rsid w:val="00A5406C"/>
    <w:rsid w:val="00A5410F"/>
    <w:rsid w:val="00A541D2"/>
    <w:rsid w:val="00A54413"/>
    <w:rsid w:val="00A5477A"/>
    <w:rsid w:val="00A547DA"/>
    <w:rsid w:val="00A54A55"/>
    <w:rsid w:val="00A54B67"/>
    <w:rsid w:val="00A54B82"/>
    <w:rsid w:val="00A54BD4"/>
    <w:rsid w:val="00A54C6D"/>
    <w:rsid w:val="00A54D0A"/>
    <w:rsid w:val="00A54D89"/>
    <w:rsid w:val="00A54E04"/>
    <w:rsid w:val="00A5505B"/>
    <w:rsid w:val="00A550A5"/>
    <w:rsid w:val="00A55411"/>
    <w:rsid w:val="00A5545A"/>
    <w:rsid w:val="00A5551A"/>
    <w:rsid w:val="00A556AC"/>
    <w:rsid w:val="00A557A2"/>
    <w:rsid w:val="00A5588D"/>
    <w:rsid w:val="00A558A0"/>
    <w:rsid w:val="00A55A6F"/>
    <w:rsid w:val="00A55AF4"/>
    <w:rsid w:val="00A55B6F"/>
    <w:rsid w:val="00A55BCA"/>
    <w:rsid w:val="00A55C60"/>
    <w:rsid w:val="00A55E00"/>
    <w:rsid w:val="00A55E9C"/>
    <w:rsid w:val="00A55EAF"/>
    <w:rsid w:val="00A55F29"/>
    <w:rsid w:val="00A55F56"/>
    <w:rsid w:val="00A55FF9"/>
    <w:rsid w:val="00A5601B"/>
    <w:rsid w:val="00A56327"/>
    <w:rsid w:val="00A5638B"/>
    <w:rsid w:val="00A5653D"/>
    <w:rsid w:val="00A5672A"/>
    <w:rsid w:val="00A568AC"/>
    <w:rsid w:val="00A5690F"/>
    <w:rsid w:val="00A56958"/>
    <w:rsid w:val="00A56AE2"/>
    <w:rsid w:val="00A56DE5"/>
    <w:rsid w:val="00A56EA4"/>
    <w:rsid w:val="00A56F2A"/>
    <w:rsid w:val="00A56F96"/>
    <w:rsid w:val="00A571CF"/>
    <w:rsid w:val="00A571F8"/>
    <w:rsid w:val="00A57488"/>
    <w:rsid w:val="00A574D5"/>
    <w:rsid w:val="00A575FE"/>
    <w:rsid w:val="00A5766B"/>
    <w:rsid w:val="00A57773"/>
    <w:rsid w:val="00A57775"/>
    <w:rsid w:val="00A57781"/>
    <w:rsid w:val="00A57824"/>
    <w:rsid w:val="00A57862"/>
    <w:rsid w:val="00A578C2"/>
    <w:rsid w:val="00A579C9"/>
    <w:rsid w:val="00A57A21"/>
    <w:rsid w:val="00A57B4D"/>
    <w:rsid w:val="00A57CC4"/>
    <w:rsid w:val="00A57DB9"/>
    <w:rsid w:val="00A57DF6"/>
    <w:rsid w:val="00A57EC2"/>
    <w:rsid w:val="00A57F84"/>
    <w:rsid w:val="00A5DA99"/>
    <w:rsid w:val="00A60023"/>
    <w:rsid w:val="00A600E5"/>
    <w:rsid w:val="00A6017F"/>
    <w:rsid w:val="00A60225"/>
    <w:rsid w:val="00A604CB"/>
    <w:rsid w:val="00A604EF"/>
    <w:rsid w:val="00A606A9"/>
    <w:rsid w:val="00A607C8"/>
    <w:rsid w:val="00A60862"/>
    <w:rsid w:val="00A60863"/>
    <w:rsid w:val="00A60877"/>
    <w:rsid w:val="00A6089F"/>
    <w:rsid w:val="00A608B1"/>
    <w:rsid w:val="00A60A82"/>
    <w:rsid w:val="00A60C51"/>
    <w:rsid w:val="00A60C64"/>
    <w:rsid w:val="00A60D21"/>
    <w:rsid w:val="00A60D46"/>
    <w:rsid w:val="00A60E10"/>
    <w:rsid w:val="00A61029"/>
    <w:rsid w:val="00A6102E"/>
    <w:rsid w:val="00A61090"/>
    <w:rsid w:val="00A611A1"/>
    <w:rsid w:val="00A61244"/>
    <w:rsid w:val="00A612D2"/>
    <w:rsid w:val="00A614EF"/>
    <w:rsid w:val="00A6155F"/>
    <w:rsid w:val="00A615C1"/>
    <w:rsid w:val="00A6168F"/>
    <w:rsid w:val="00A61721"/>
    <w:rsid w:val="00A618A7"/>
    <w:rsid w:val="00A61924"/>
    <w:rsid w:val="00A6196C"/>
    <w:rsid w:val="00A61D4E"/>
    <w:rsid w:val="00A61D5B"/>
    <w:rsid w:val="00A61F0A"/>
    <w:rsid w:val="00A61FD2"/>
    <w:rsid w:val="00A62036"/>
    <w:rsid w:val="00A62114"/>
    <w:rsid w:val="00A62127"/>
    <w:rsid w:val="00A621F2"/>
    <w:rsid w:val="00A622BB"/>
    <w:rsid w:val="00A627B0"/>
    <w:rsid w:val="00A62818"/>
    <w:rsid w:val="00A628F7"/>
    <w:rsid w:val="00A629D2"/>
    <w:rsid w:val="00A62A0B"/>
    <w:rsid w:val="00A62A37"/>
    <w:rsid w:val="00A62BDE"/>
    <w:rsid w:val="00A62D43"/>
    <w:rsid w:val="00A62DC8"/>
    <w:rsid w:val="00A62DD5"/>
    <w:rsid w:val="00A62E34"/>
    <w:rsid w:val="00A62FF2"/>
    <w:rsid w:val="00A630C9"/>
    <w:rsid w:val="00A630CD"/>
    <w:rsid w:val="00A631E6"/>
    <w:rsid w:val="00A633BE"/>
    <w:rsid w:val="00A633D1"/>
    <w:rsid w:val="00A633F0"/>
    <w:rsid w:val="00A6348C"/>
    <w:rsid w:val="00A63504"/>
    <w:rsid w:val="00A637DF"/>
    <w:rsid w:val="00A6383A"/>
    <w:rsid w:val="00A63897"/>
    <w:rsid w:val="00A638C3"/>
    <w:rsid w:val="00A63902"/>
    <w:rsid w:val="00A63A76"/>
    <w:rsid w:val="00A63AE8"/>
    <w:rsid w:val="00A63AF1"/>
    <w:rsid w:val="00A63B71"/>
    <w:rsid w:val="00A63E84"/>
    <w:rsid w:val="00A63F3B"/>
    <w:rsid w:val="00A63FD5"/>
    <w:rsid w:val="00A63FEA"/>
    <w:rsid w:val="00A641DD"/>
    <w:rsid w:val="00A643F1"/>
    <w:rsid w:val="00A644D6"/>
    <w:rsid w:val="00A64689"/>
    <w:rsid w:val="00A647E3"/>
    <w:rsid w:val="00A64809"/>
    <w:rsid w:val="00A64826"/>
    <w:rsid w:val="00A64A86"/>
    <w:rsid w:val="00A64ACD"/>
    <w:rsid w:val="00A64B5A"/>
    <w:rsid w:val="00A64BCC"/>
    <w:rsid w:val="00A64CF2"/>
    <w:rsid w:val="00A64D65"/>
    <w:rsid w:val="00A64D66"/>
    <w:rsid w:val="00A64D85"/>
    <w:rsid w:val="00A64EEA"/>
    <w:rsid w:val="00A64F8B"/>
    <w:rsid w:val="00A65276"/>
    <w:rsid w:val="00A652A6"/>
    <w:rsid w:val="00A6539A"/>
    <w:rsid w:val="00A653BB"/>
    <w:rsid w:val="00A6540D"/>
    <w:rsid w:val="00A65573"/>
    <w:rsid w:val="00A655F3"/>
    <w:rsid w:val="00A65732"/>
    <w:rsid w:val="00A65AD8"/>
    <w:rsid w:val="00A65B47"/>
    <w:rsid w:val="00A65D3B"/>
    <w:rsid w:val="00A65E08"/>
    <w:rsid w:val="00A65E46"/>
    <w:rsid w:val="00A65F0B"/>
    <w:rsid w:val="00A65FD9"/>
    <w:rsid w:val="00A660B6"/>
    <w:rsid w:val="00A660FA"/>
    <w:rsid w:val="00A66123"/>
    <w:rsid w:val="00A66150"/>
    <w:rsid w:val="00A6619E"/>
    <w:rsid w:val="00A6642C"/>
    <w:rsid w:val="00A66535"/>
    <w:rsid w:val="00A66551"/>
    <w:rsid w:val="00A665C8"/>
    <w:rsid w:val="00A665F4"/>
    <w:rsid w:val="00A666E9"/>
    <w:rsid w:val="00A66821"/>
    <w:rsid w:val="00A66866"/>
    <w:rsid w:val="00A66871"/>
    <w:rsid w:val="00A669E4"/>
    <w:rsid w:val="00A66ACB"/>
    <w:rsid w:val="00A66AD9"/>
    <w:rsid w:val="00A66BBF"/>
    <w:rsid w:val="00A66D27"/>
    <w:rsid w:val="00A66ED4"/>
    <w:rsid w:val="00A670D0"/>
    <w:rsid w:val="00A670F0"/>
    <w:rsid w:val="00A670F9"/>
    <w:rsid w:val="00A671A8"/>
    <w:rsid w:val="00A671DF"/>
    <w:rsid w:val="00A671F5"/>
    <w:rsid w:val="00A6721C"/>
    <w:rsid w:val="00A6755B"/>
    <w:rsid w:val="00A67697"/>
    <w:rsid w:val="00A6769B"/>
    <w:rsid w:val="00A676E2"/>
    <w:rsid w:val="00A677E5"/>
    <w:rsid w:val="00A679A0"/>
    <w:rsid w:val="00A679A6"/>
    <w:rsid w:val="00A67B2B"/>
    <w:rsid w:val="00A67B76"/>
    <w:rsid w:val="00A67C4A"/>
    <w:rsid w:val="00A67C92"/>
    <w:rsid w:val="00A67CA2"/>
    <w:rsid w:val="00A67CB1"/>
    <w:rsid w:val="00A67CF5"/>
    <w:rsid w:val="00A67DD1"/>
    <w:rsid w:val="00A67E1C"/>
    <w:rsid w:val="00A67EEB"/>
    <w:rsid w:val="00A67FA1"/>
    <w:rsid w:val="00A70000"/>
    <w:rsid w:val="00A700BE"/>
    <w:rsid w:val="00A70183"/>
    <w:rsid w:val="00A70211"/>
    <w:rsid w:val="00A7022D"/>
    <w:rsid w:val="00A7031A"/>
    <w:rsid w:val="00A70463"/>
    <w:rsid w:val="00A704DF"/>
    <w:rsid w:val="00A7058B"/>
    <w:rsid w:val="00A708BD"/>
    <w:rsid w:val="00A70B11"/>
    <w:rsid w:val="00A70B76"/>
    <w:rsid w:val="00A70BC8"/>
    <w:rsid w:val="00A70DC3"/>
    <w:rsid w:val="00A70DDC"/>
    <w:rsid w:val="00A70F5B"/>
    <w:rsid w:val="00A71398"/>
    <w:rsid w:val="00A715C9"/>
    <w:rsid w:val="00A715E6"/>
    <w:rsid w:val="00A717FE"/>
    <w:rsid w:val="00A71843"/>
    <w:rsid w:val="00A71A00"/>
    <w:rsid w:val="00A71A1C"/>
    <w:rsid w:val="00A71A1F"/>
    <w:rsid w:val="00A71AF3"/>
    <w:rsid w:val="00A71B4A"/>
    <w:rsid w:val="00A71CA8"/>
    <w:rsid w:val="00A71D23"/>
    <w:rsid w:val="00A71E71"/>
    <w:rsid w:val="00A71F79"/>
    <w:rsid w:val="00A71F91"/>
    <w:rsid w:val="00A71FBC"/>
    <w:rsid w:val="00A7216C"/>
    <w:rsid w:val="00A72179"/>
    <w:rsid w:val="00A72252"/>
    <w:rsid w:val="00A7232F"/>
    <w:rsid w:val="00A72370"/>
    <w:rsid w:val="00A724DD"/>
    <w:rsid w:val="00A72660"/>
    <w:rsid w:val="00A7269E"/>
    <w:rsid w:val="00A726AA"/>
    <w:rsid w:val="00A726B8"/>
    <w:rsid w:val="00A72718"/>
    <w:rsid w:val="00A7272A"/>
    <w:rsid w:val="00A727A4"/>
    <w:rsid w:val="00A728CA"/>
    <w:rsid w:val="00A729EF"/>
    <w:rsid w:val="00A72B1B"/>
    <w:rsid w:val="00A72DC8"/>
    <w:rsid w:val="00A72F59"/>
    <w:rsid w:val="00A72FC1"/>
    <w:rsid w:val="00A73096"/>
    <w:rsid w:val="00A73248"/>
    <w:rsid w:val="00A73290"/>
    <w:rsid w:val="00A7338D"/>
    <w:rsid w:val="00A73405"/>
    <w:rsid w:val="00A73573"/>
    <w:rsid w:val="00A735AC"/>
    <w:rsid w:val="00A735DA"/>
    <w:rsid w:val="00A7366B"/>
    <w:rsid w:val="00A736D2"/>
    <w:rsid w:val="00A738B9"/>
    <w:rsid w:val="00A73929"/>
    <w:rsid w:val="00A73D18"/>
    <w:rsid w:val="00A73D60"/>
    <w:rsid w:val="00A73DCA"/>
    <w:rsid w:val="00A73E07"/>
    <w:rsid w:val="00A73ED5"/>
    <w:rsid w:val="00A73F26"/>
    <w:rsid w:val="00A73F59"/>
    <w:rsid w:val="00A74038"/>
    <w:rsid w:val="00A7407B"/>
    <w:rsid w:val="00A740F2"/>
    <w:rsid w:val="00A7417C"/>
    <w:rsid w:val="00A741D9"/>
    <w:rsid w:val="00A74261"/>
    <w:rsid w:val="00A742C7"/>
    <w:rsid w:val="00A7442F"/>
    <w:rsid w:val="00A74551"/>
    <w:rsid w:val="00A74606"/>
    <w:rsid w:val="00A74643"/>
    <w:rsid w:val="00A74657"/>
    <w:rsid w:val="00A74771"/>
    <w:rsid w:val="00A74A0E"/>
    <w:rsid w:val="00A74A37"/>
    <w:rsid w:val="00A74AEE"/>
    <w:rsid w:val="00A74BB3"/>
    <w:rsid w:val="00A74E4A"/>
    <w:rsid w:val="00A74FCE"/>
    <w:rsid w:val="00A750F3"/>
    <w:rsid w:val="00A751B3"/>
    <w:rsid w:val="00A752A3"/>
    <w:rsid w:val="00A75376"/>
    <w:rsid w:val="00A7561B"/>
    <w:rsid w:val="00A75673"/>
    <w:rsid w:val="00A756BC"/>
    <w:rsid w:val="00A75811"/>
    <w:rsid w:val="00A7599B"/>
    <w:rsid w:val="00A7599D"/>
    <w:rsid w:val="00A75A22"/>
    <w:rsid w:val="00A75A30"/>
    <w:rsid w:val="00A75B87"/>
    <w:rsid w:val="00A75C93"/>
    <w:rsid w:val="00A75ECD"/>
    <w:rsid w:val="00A75FAB"/>
    <w:rsid w:val="00A75FBC"/>
    <w:rsid w:val="00A76045"/>
    <w:rsid w:val="00A7640C"/>
    <w:rsid w:val="00A76432"/>
    <w:rsid w:val="00A764E7"/>
    <w:rsid w:val="00A7675A"/>
    <w:rsid w:val="00A76819"/>
    <w:rsid w:val="00A7695F"/>
    <w:rsid w:val="00A76BB0"/>
    <w:rsid w:val="00A76D50"/>
    <w:rsid w:val="00A76EAF"/>
    <w:rsid w:val="00A770DC"/>
    <w:rsid w:val="00A77332"/>
    <w:rsid w:val="00A773B8"/>
    <w:rsid w:val="00A773FB"/>
    <w:rsid w:val="00A77512"/>
    <w:rsid w:val="00A77529"/>
    <w:rsid w:val="00A77554"/>
    <w:rsid w:val="00A7758E"/>
    <w:rsid w:val="00A77595"/>
    <w:rsid w:val="00A775AF"/>
    <w:rsid w:val="00A775E6"/>
    <w:rsid w:val="00A776D2"/>
    <w:rsid w:val="00A77789"/>
    <w:rsid w:val="00A7778A"/>
    <w:rsid w:val="00A7791E"/>
    <w:rsid w:val="00A779F5"/>
    <w:rsid w:val="00A77B86"/>
    <w:rsid w:val="00A77B8F"/>
    <w:rsid w:val="00A77C19"/>
    <w:rsid w:val="00A77C45"/>
    <w:rsid w:val="00A77C6F"/>
    <w:rsid w:val="00A77C7A"/>
    <w:rsid w:val="00A77DB8"/>
    <w:rsid w:val="00A77F3D"/>
    <w:rsid w:val="00A8009C"/>
    <w:rsid w:val="00A801EA"/>
    <w:rsid w:val="00A804FA"/>
    <w:rsid w:val="00A805DC"/>
    <w:rsid w:val="00A80649"/>
    <w:rsid w:val="00A8086C"/>
    <w:rsid w:val="00A808C7"/>
    <w:rsid w:val="00A808E8"/>
    <w:rsid w:val="00A80917"/>
    <w:rsid w:val="00A8093C"/>
    <w:rsid w:val="00A80966"/>
    <w:rsid w:val="00A80973"/>
    <w:rsid w:val="00A80AD7"/>
    <w:rsid w:val="00A80B84"/>
    <w:rsid w:val="00A80C8A"/>
    <w:rsid w:val="00A8102F"/>
    <w:rsid w:val="00A81146"/>
    <w:rsid w:val="00A812A9"/>
    <w:rsid w:val="00A813F6"/>
    <w:rsid w:val="00A8144E"/>
    <w:rsid w:val="00A81678"/>
    <w:rsid w:val="00A816E9"/>
    <w:rsid w:val="00A81718"/>
    <w:rsid w:val="00A8183A"/>
    <w:rsid w:val="00A818AB"/>
    <w:rsid w:val="00A819DF"/>
    <w:rsid w:val="00A81A96"/>
    <w:rsid w:val="00A81C2A"/>
    <w:rsid w:val="00A81C8F"/>
    <w:rsid w:val="00A81C9A"/>
    <w:rsid w:val="00A81D2C"/>
    <w:rsid w:val="00A81E75"/>
    <w:rsid w:val="00A81F04"/>
    <w:rsid w:val="00A81FB8"/>
    <w:rsid w:val="00A82003"/>
    <w:rsid w:val="00A8217E"/>
    <w:rsid w:val="00A82212"/>
    <w:rsid w:val="00A822A3"/>
    <w:rsid w:val="00A823AA"/>
    <w:rsid w:val="00A82437"/>
    <w:rsid w:val="00A8248A"/>
    <w:rsid w:val="00A82540"/>
    <w:rsid w:val="00A82579"/>
    <w:rsid w:val="00A82583"/>
    <w:rsid w:val="00A825EB"/>
    <w:rsid w:val="00A8267D"/>
    <w:rsid w:val="00A828CC"/>
    <w:rsid w:val="00A828E0"/>
    <w:rsid w:val="00A82A2D"/>
    <w:rsid w:val="00A82A65"/>
    <w:rsid w:val="00A82B09"/>
    <w:rsid w:val="00A82CB9"/>
    <w:rsid w:val="00A82D49"/>
    <w:rsid w:val="00A82D91"/>
    <w:rsid w:val="00A82DDB"/>
    <w:rsid w:val="00A82DFC"/>
    <w:rsid w:val="00A82E80"/>
    <w:rsid w:val="00A82F02"/>
    <w:rsid w:val="00A82F5A"/>
    <w:rsid w:val="00A82FCA"/>
    <w:rsid w:val="00A83011"/>
    <w:rsid w:val="00A83025"/>
    <w:rsid w:val="00A83219"/>
    <w:rsid w:val="00A832F7"/>
    <w:rsid w:val="00A83331"/>
    <w:rsid w:val="00A83356"/>
    <w:rsid w:val="00A833EB"/>
    <w:rsid w:val="00A83478"/>
    <w:rsid w:val="00A8348E"/>
    <w:rsid w:val="00A834B3"/>
    <w:rsid w:val="00A834E9"/>
    <w:rsid w:val="00A83506"/>
    <w:rsid w:val="00A836BD"/>
    <w:rsid w:val="00A836DF"/>
    <w:rsid w:val="00A83747"/>
    <w:rsid w:val="00A83810"/>
    <w:rsid w:val="00A8383B"/>
    <w:rsid w:val="00A83896"/>
    <w:rsid w:val="00A83953"/>
    <w:rsid w:val="00A839AA"/>
    <w:rsid w:val="00A83ABB"/>
    <w:rsid w:val="00A83B03"/>
    <w:rsid w:val="00A83B12"/>
    <w:rsid w:val="00A83B3C"/>
    <w:rsid w:val="00A83BA2"/>
    <w:rsid w:val="00A83C2D"/>
    <w:rsid w:val="00A83F6C"/>
    <w:rsid w:val="00A84025"/>
    <w:rsid w:val="00A84087"/>
    <w:rsid w:val="00A840C2"/>
    <w:rsid w:val="00A8411D"/>
    <w:rsid w:val="00A841A1"/>
    <w:rsid w:val="00A84234"/>
    <w:rsid w:val="00A84241"/>
    <w:rsid w:val="00A84355"/>
    <w:rsid w:val="00A84531"/>
    <w:rsid w:val="00A845A3"/>
    <w:rsid w:val="00A845A4"/>
    <w:rsid w:val="00A84639"/>
    <w:rsid w:val="00A84774"/>
    <w:rsid w:val="00A84948"/>
    <w:rsid w:val="00A849A6"/>
    <w:rsid w:val="00A84A59"/>
    <w:rsid w:val="00A84AFC"/>
    <w:rsid w:val="00A84BB2"/>
    <w:rsid w:val="00A84C6A"/>
    <w:rsid w:val="00A84C6F"/>
    <w:rsid w:val="00A84CAA"/>
    <w:rsid w:val="00A84D4B"/>
    <w:rsid w:val="00A84DE4"/>
    <w:rsid w:val="00A84E8E"/>
    <w:rsid w:val="00A84E91"/>
    <w:rsid w:val="00A84FF9"/>
    <w:rsid w:val="00A85145"/>
    <w:rsid w:val="00A85210"/>
    <w:rsid w:val="00A852F3"/>
    <w:rsid w:val="00A85324"/>
    <w:rsid w:val="00A85342"/>
    <w:rsid w:val="00A853DB"/>
    <w:rsid w:val="00A85422"/>
    <w:rsid w:val="00A85567"/>
    <w:rsid w:val="00A855E2"/>
    <w:rsid w:val="00A85621"/>
    <w:rsid w:val="00A85706"/>
    <w:rsid w:val="00A857C8"/>
    <w:rsid w:val="00A85ACB"/>
    <w:rsid w:val="00A85B16"/>
    <w:rsid w:val="00A85C1E"/>
    <w:rsid w:val="00A85C34"/>
    <w:rsid w:val="00A85CE7"/>
    <w:rsid w:val="00A85D66"/>
    <w:rsid w:val="00A85DD0"/>
    <w:rsid w:val="00A85DDA"/>
    <w:rsid w:val="00A85DFE"/>
    <w:rsid w:val="00A85EE7"/>
    <w:rsid w:val="00A85F3B"/>
    <w:rsid w:val="00A85F7C"/>
    <w:rsid w:val="00A85FA4"/>
    <w:rsid w:val="00A860CB"/>
    <w:rsid w:val="00A86167"/>
    <w:rsid w:val="00A86177"/>
    <w:rsid w:val="00A861D4"/>
    <w:rsid w:val="00A86254"/>
    <w:rsid w:val="00A86258"/>
    <w:rsid w:val="00A86327"/>
    <w:rsid w:val="00A863A8"/>
    <w:rsid w:val="00A863E3"/>
    <w:rsid w:val="00A8641C"/>
    <w:rsid w:val="00A86422"/>
    <w:rsid w:val="00A86476"/>
    <w:rsid w:val="00A86517"/>
    <w:rsid w:val="00A8666C"/>
    <w:rsid w:val="00A86678"/>
    <w:rsid w:val="00A86747"/>
    <w:rsid w:val="00A8682A"/>
    <w:rsid w:val="00A868B3"/>
    <w:rsid w:val="00A86ABD"/>
    <w:rsid w:val="00A86BD2"/>
    <w:rsid w:val="00A86E5C"/>
    <w:rsid w:val="00A87271"/>
    <w:rsid w:val="00A8750F"/>
    <w:rsid w:val="00A876AC"/>
    <w:rsid w:val="00A87896"/>
    <w:rsid w:val="00A87B45"/>
    <w:rsid w:val="00A87BB7"/>
    <w:rsid w:val="00A87C02"/>
    <w:rsid w:val="00A87DA4"/>
    <w:rsid w:val="00A87DB2"/>
    <w:rsid w:val="00A87DE9"/>
    <w:rsid w:val="00A87EBC"/>
    <w:rsid w:val="00A87EC5"/>
    <w:rsid w:val="00A87F25"/>
    <w:rsid w:val="00A87F3C"/>
    <w:rsid w:val="00A9028D"/>
    <w:rsid w:val="00A902DB"/>
    <w:rsid w:val="00A902EE"/>
    <w:rsid w:val="00A903A2"/>
    <w:rsid w:val="00A904CE"/>
    <w:rsid w:val="00A90639"/>
    <w:rsid w:val="00A907A9"/>
    <w:rsid w:val="00A90841"/>
    <w:rsid w:val="00A90933"/>
    <w:rsid w:val="00A9096D"/>
    <w:rsid w:val="00A90AAB"/>
    <w:rsid w:val="00A90B89"/>
    <w:rsid w:val="00A90BD7"/>
    <w:rsid w:val="00A90C2D"/>
    <w:rsid w:val="00A90C3A"/>
    <w:rsid w:val="00A90D07"/>
    <w:rsid w:val="00A90D6C"/>
    <w:rsid w:val="00A90E98"/>
    <w:rsid w:val="00A9101C"/>
    <w:rsid w:val="00A91229"/>
    <w:rsid w:val="00A912BC"/>
    <w:rsid w:val="00A9137B"/>
    <w:rsid w:val="00A913DB"/>
    <w:rsid w:val="00A9154E"/>
    <w:rsid w:val="00A9183B"/>
    <w:rsid w:val="00A91A97"/>
    <w:rsid w:val="00A91AE6"/>
    <w:rsid w:val="00A91AF4"/>
    <w:rsid w:val="00A91C25"/>
    <w:rsid w:val="00A91C98"/>
    <w:rsid w:val="00A91E05"/>
    <w:rsid w:val="00A91E3F"/>
    <w:rsid w:val="00A92103"/>
    <w:rsid w:val="00A92112"/>
    <w:rsid w:val="00A92181"/>
    <w:rsid w:val="00A92206"/>
    <w:rsid w:val="00A922E1"/>
    <w:rsid w:val="00A9237B"/>
    <w:rsid w:val="00A924AA"/>
    <w:rsid w:val="00A9269D"/>
    <w:rsid w:val="00A926D7"/>
    <w:rsid w:val="00A92761"/>
    <w:rsid w:val="00A92911"/>
    <w:rsid w:val="00A9295A"/>
    <w:rsid w:val="00A92984"/>
    <w:rsid w:val="00A929A6"/>
    <w:rsid w:val="00A929DC"/>
    <w:rsid w:val="00A92C2B"/>
    <w:rsid w:val="00A92D02"/>
    <w:rsid w:val="00A92D03"/>
    <w:rsid w:val="00A92DA7"/>
    <w:rsid w:val="00A92E19"/>
    <w:rsid w:val="00A92E9A"/>
    <w:rsid w:val="00A92EAB"/>
    <w:rsid w:val="00A92EC6"/>
    <w:rsid w:val="00A9308F"/>
    <w:rsid w:val="00A93145"/>
    <w:rsid w:val="00A9318A"/>
    <w:rsid w:val="00A93233"/>
    <w:rsid w:val="00A934D0"/>
    <w:rsid w:val="00A935DF"/>
    <w:rsid w:val="00A935EB"/>
    <w:rsid w:val="00A9365E"/>
    <w:rsid w:val="00A93918"/>
    <w:rsid w:val="00A93A3E"/>
    <w:rsid w:val="00A93A58"/>
    <w:rsid w:val="00A93AED"/>
    <w:rsid w:val="00A93B3F"/>
    <w:rsid w:val="00A93BD8"/>
    <w:rsid w:val="00A93C10"/>
    <w:rsid w:val="00A93C49"/>
    <w:rsid w:val="00A93D16"/>
    <w:rsid w:val="00A93EA5"/>
    <w:rsid w:val="00A93FAB"/>
    <w:rsid w:val="00A94012"/>
    <w:rsid w:val="00A94161"/>
    <w:rsid w:val="00A94259"/>
    <w:rsid w:val="00A9432F"/>
    <w:rsid w:val="00A9438A"/>
    <w:rsid w:val="00A9442F"/>
    <w:rsid w:val="00A94661"/>
    <w:rsid w:val="00A94675"/>
    <w:rsid w:val="00A946A6"/>
    <w:rsid w:val="00A946CA"/>
    <w:rsid w:val="00A94709"/>
    <w:rsid w:val="00A94986"/>
    <w:rsid w:val="00A949A5"/>
    <w:rsid w:val="00A94D18"/>
    <w:rsid w:val="00A94D89"/>
    <w:rsid w:val="00A94EE4"/>
    <w:rsid w:val="00A95005"/>
    <w:rsid w:val="00A950D6"/>
    <w:rsid w:val="00A95124"/>
    <w:rsid w:val="00A9519E"/>
    <w:rsid w:val="00A951FF"/>
    <w:rsid w:val="00A95244"/>
    <w:rsid w:val="00A9533E"/>
    <w:rsid w:val="00A95453"/>
    <w:rsid w:val="00A9546A"/>
    <w:rsid w:val="00A9549F"/>
    <w:rsid w:val="00A956C1"/>
    <w:rsid w:val="00A9579D"/>
    <w:rsid w:val="00A95843"/>
    <w:rsid w:val="00A95918"/>
    <w:rsid w:val="00A95ABE"/>
    <w:rsid w:val="00A95B80"/>
    <w:rsid w:val="00A95BF1"/>
    <w:rsid w:val="00A95C0A"/>
    <w:rsid w:val="00A95C40"/>
    <w:rsid w:val="00A95C63"/>
    <w:rsid w:val="00A95C72"/>
    <w:rsid w:val="00A95E35"/>
    <w:rsid w:val="00A95FEF"/>
    <w:rsid w:val="00A9602E"/>
    <w:rsid w:val="00A960B6"/>
    <w:rsid w:val="00A961C6"/>
    <w:rsid w:val="00A962A0"/>
    <w:rsid w:val="00A962F5"/>
    <w:rsid w:val="00A964D8"/>
    <w:rsid w:val="00A964E5"/>
    <w:rsid w:val="00A967B5"/>
    <w:rsid w:val="00A9680F"/>
    <w:rsid w:val="00A96847"/>
    <w:rsid w:val="00A9684F"/>
    <w:rsid w:val="00A9685B"/>
    <w:rsid w:val="00A968A5"/>
    <w:rsid w:val="00A96972"/>
    <w:rsid w:val="00A96A08"/>
    <w:rsid w:val="00A96A2B"/>
    <w:rsid w:val="00A96A49"/>
    <w:rsid w:val="00A96D1C"/>
    <w:rsid w:val="00A96D65"/>
    <w:rsid w:val="00A96DA7"/>
    <w:rsid w:val="00A96E36"/>
    <w:rsid w:val="00A96F37"/>
    <w:rsid w:val="00A96FC0"/>
    <w:rsid w:val="00A9704E"/>
    <w:rsid w:val="00A9716A"/>
    <w:rsid w:val="00A97184"/>
    <w:rsid w:val="00A97191"/>
    <w:rsid w:val="00A9729D"/>
    <w:rsid w:val="00A97319"/>
    <w:rsid w:val="00A9748D"/>
    <w:rsid w:val="00A9755A"/>
    <w:rsid w:val="00A97616"/>
    <w:rsid w:val="00A97652"/>
    <w:rsid w:val="00A976AE"/>
    <w:rsid w:val="00A978E3"/>
    <w:rsid w:val="00A97961"/>
    <w:rsid w:val="00A979B2"/>
    <w:rsid w:val="00A97A14"/>
    <w:rsid w:val="00A97A31"/>
    <w:rsid w:val="00A97B38"/>
    <w:rsid w:val="00A97BFB"/>
    <w:rsid w:val="00A97C8E"/>
    <w:rsid w:val="00A97E35"/>
    <w:rsid w:val="00A97E5A"/>
    <w:rsid w:val="00A97F35"/>
    <w:rsid w:val="00A97F96"/>
    <w:rsid w:val="00A97FC7"/>
    <w:rsid w:val="00AA007B"/>
    <w:rsid w:val="00AA015B"/>
    <w:rsid w:val="00AA0332"/>
    <w:rsid w:val="00AA038B"/>
    <w:rsid w:val="00AA058E"/>
    <w:rsid w:val="00AA0759"/>
    <w:rsid w:val="00AA07BC"/>
    <w:rsid w:val="00AA091E"/>
    <w:rsid w:val="00AA096D"/>
    <w:rsid w:val="00AA0ABD"/>
    <w:rsid w:val="00AA0C66"/>
    <w:rsid w:val="00AA0E62"/>
    <w:rsid w:val="00AA0ED9"/>
    <w:rsid w:val="00AA0F7D"/>
    <w:rsid w:val="00AA1044"/>
    <w:rsid w:val="00AA115C"/>
    <w:rsid w:val="00AA1386"/>
    <w:rsid w:val="00AA141A"/>
    <w:rsid w:val="00AA1423"/>
    <w:rsid w:val="00AA14A5"/>
    <w:rsid w:val="00AA1672"/>
    <w:rsid w:val="00AA16DC"/>
    <w:rsid w:val="00AA174B"/>
    <w:rsid w:val="00AA17DA"/>
    <w:rsid w:val="00AA1B55"/>
    <w:rsid w:val="00AA1D98"/>
    <w:rsid w:val="00AA1DAD"/>
    <w:rsid w:val="00AA1DB8"/>
    <w:rsid w:val="00AA1EDB"/>
    <w:rsid w:val="00AA1EF0"/>
    <w:rsid w:val="00AA1FCC"/>
    <w:rsid w:val="00AA1FDD"/>
    <w:rsid w:val="00AA202A"/>
    <w:rsid w:val="00AA225C"/>
    <w:rsid w:val="00AA2389"/>
    <w:rsid w:val="00AA24D3"/>
    <w:rsid w:val="00AA25DE"/>
    <w:rsid w:val="00AA262E"/>
    <w:rsid w:val="00AA264E"/>
    <w:rsid w:val="00AA2A63"/>
    <w:rsid w:val="00AA2AA7"/>
    <w:rsid w:val="00AA2CCA"/>
    <w:rsid w:val="00AA2D2A"/>
    <w:rsid w:val="00AA2DFE"/>
    <w:rsid w:val="00AA2E3F"/>
    <w:rsid w:val="00AA2EDE"/>
    <w:rsid w:val="00AA3487"/>
    <w:rsid w:val="00AA34E1"/>
    <w:rsid w:val="00AA385F"/>
    <w:rsid w:val="00AA3903"/>
    <w:rsid w:val="00AA3AB8"/>
    <w:rsid w:val="00AA3CE0"/>
    <w:rsid w:val="00AA3EA4"/>
    <w:rsid w:val="00AA3F27"/>
    <w:rsid w:val="00AA3F64"/>
    <w:rsid w:val="00AA4073"/>
    <w:rsid w:val="00AA412D"/>
    <w:rsid w:val="00AA41E3"/>
    <w:rsid w:val="00AA449B"/>
    <w:rsid w:val="00AA45DF"/>
    <w:rsid w:val="00AA4640"/>
    <w:rsid w:val="00AA473C"/>
    <w:rsid w:val="00AA4751"/>
    <w:rsid w:val="00AA476A"/>
    <w:rsid w:val="00AA477F"/>
    <w:rsid w:val="00AA47E5"/>
    <w:rsid w:val="00AA4852"/>
    <w:rsid w:val="00AA48CA"/>
    <w:rsid w:val="00AA4905"/>
    <w:rsid w:val="00AA49A4"/>
    <w:rsid w:val="00AA49A6"/>
    <w:rsid w:val="00AA4AB4"/>
    <w:rsid w:val="00AA4B14"/>
    <w:rsid w:val="00AA4E02"/>
    <w:rsid w:val="00AA52EF"/>
    <w:rsid w:val="00AA5319"/>
    <w:rsid w:val="00AA54AD"/>
    <w:rsid w:val="00AA54AE"/>
    <w:rsid w:val="00AA55F7"/>
    <w:rsid w:val="00AA5615"/>
    <w:rsid w:val="00AA56A9"/>
    <w:rsid w:val="00AA5723"/>
    <w:rsid w:val="00AA5725"/>
    <w:rsid w:val="00AA575B"/>
    <w:rsid w:val="00AA5EC0"/>
    <w:rsid w:val="00AA5ED2"/>
    <w:rsid w:val="00AA6009"/>
    <w:rsid w:val="00AA6015"/>
    <w:rsid w:val="00AA6101"/>
    <w:rsid w:val="00AA6210"/>
    <w:rsid w:val="00AA622B"/>
    <w:rsid w:val="00AA62C8"/>
    <w:rsid w:val="00AA634D"/>
    <w:rsid w:val="00AA636D"/>
    <w:rsid w:val="00AA6409"/>
    <w:rsid w:val="00AA648E"/>
    <w:rsid w:val="00AA64A1"/>
    <w:rsid w:val="00AA64FA"/>
    <w:rsid w:val="00AA658F"/>
    <w:rsid w:val="00AA6718"/>
    <w:rsid w:val="00AA6720"/>
    <w:rsid w:val="00AA6764"/>
    <w:rsid w:val="00AA6932"/>
    <w:rsid w:val="00AA69B1"/>
    <w:rsid w:val="00AA6A74"/>
    <w:rsid w:val="00AA6BCC"/>
    <w:rsid w:val="00AA6BD2"/>
    <w:rsid w:val="00AA6C09"/>
    <w:rsid w:val="00AA6C4C"/>
    <w:rsid w:val="00AA6D12"/>
    <w:rsid w:val="00AA6D80"/>
    <w:rsid w:val="00AA6E5C"/>
    <w:rsid w:val="00AA6F4C"/>
    <w:rsid w:val="00AA6F6E"/>
    <w:rsid w:val="00AA6F8A"/>
    <w:rsid w:val="00AA7122"/>
    <w:rsid w:val="00AA7260"/>
    <w:rsid w:val="00AA7288"/>
    <w:rsid w:val="00AA73C6"/>
    <w:rsid w:val="00AA751C"/>
    <w:rsid w:val="00AA767D"/>
    <w:rsid w:val="00AA777C"/>
    <w:rsid w:val="00AA788C"/>
    <w:rsid w:val="00AA78F1"/>
    <w:rsid w:val="00AA793B"/>
    <w:rsid w:val="00AA7955"/>
    <w:rsid w:val="00AA7BDE"/>
    <w:rsid w:val="00AA7BE4"/>
    <w:rsid w:val="00AA7C00"/>
    <w:rsid w:val="00AA7C32"/>
    <w:rsid w:val="00AA7C9D"/>
    <w:rsid w:val="00AA7D53"/>
    <w:rsid w:val="00AA7D65"/>
    <w:rsid w:val="00AA7E0F"/>
    <w:rsid w:val="00AA7E47"/>
    <w:rsid w:val="00AA7EE3"/>
    <w:rsid w:val="00AA7F63"/>
    <w:rsid w:val="00AA7FF0"/>
    <w:rsid w:val="00AB014C"/>
    <w:rsid w:val="00AB016A"/>
    <w:rsid w:val="00AB0245"/>
    <w:rsid w:val="00AB034C"/>
    <w:rsid w:val="00AB0411"/>
    <w:rsid w:val="00AB056E"/>
    <w:rsid w:val="00AB05F4"/>
    <w:rsid w:val="00AB0691"/>
    <w:rsid w:val="00AB06B1"/>
    <w:rsid w:val="00AB070C"/>
    <w:rsid w:val="00AB08AD"/>
    <w:rsid w:val="00AB0939"/>
    <w:rsid w:val="00AB099B"/>
    <w:rsid w:val="00AB0B78"/>
    <w:rsid w:val="00AB0B98"/>
    <w:rsid w:val="00AB0BA8"/>
    <w:rsid w:val="00AB0BBC"/>
    <w:rsid w:val="00AB0BD3"/>
    <w:rsid w:val="00AB0CB4"/>
    <w:rsid w:val="00AB108A"/>
    <w:rsid w:val="00AB1161"/>
    <w:rsid w:val="00AB1222"/>
    <w:rsid w:val="00AB1225"/>
    <w:rsid w:val="00AB1375"/>
    <w:rsid w:val="00AB1628"/>
    <w:rsid w:val="00AB16DE"/>
    <w:rsid w:val="00AB179A"/>
    <w:rsid w:val="00AB1A7E"/>
    <w:rsid w:val="00AB1ADA"/>
    <w:rsid w:val="00AB1D2B"/>
    <w:rsid w:val="00AB1D40"/>
    <w:rsid w:val="00AB1DFA"/>
    <w:rsid w:val="00AB1E52"/>
    <w:rsid w:val="00AB1F03"/>
    <w:rsid w:val="00AB1FA3"/>
    <w:rsid w:val="00AB1FB5"/>
    <w:rsid w:val="00AB2048"/>
    <w:rsid w:val="00AB20B8"/>
    <w:rsid w:val="00AB225B"/>
    <w:rsid w:val="00AB2350"/>
    <w:rsid w:val="00AB2486"/>
    <w:rsid w:val="00AB2500"/>
    <w:rsid w:val="00AB257E"/>
    <w:rsid w:val="00AB27A4"/>
    <w:rsid w:val="00AB291E"/>
    <w:rsid w:val="00AB29FC"/>
    <w:rsid w:val="00AB2A2B"/>
    <w:rsid w:val="00AB2B8C"/>
    <w:rsid w:val="00AB2C82"/>
    <w:rsid w:val="00AB2D8B"/>
    <w:rsid w:val="00AB2E1C"/>
    <w:rsid w:val="00AB2E58"/>
    <w:rsid w:val="00AB2F76"/>
    <w:rsid w:val="00AB3173"/>
    <w:rsid w:val="00AB31E0"/>
    <w:rsid w:val="00AB3247"/>
    <w:rsid w:val="00AB346B"/>
    <w:rsid w:val="00AB3774"/>
    <w:rsid w:val="00AB37AA"/>
    <w:rsid w:val="00AB37F4"/>
    <w:rsid w:val="00AB388E"/>
    <w:rsid w:val="00AB38C6"/>
    <w:rsid w:val="00AB3967"/>
    <w:rsid w:val="00AB39C2"/>
    <w:rsid w:val="00AB3A12"/>
    <w:rsid w:val="00AB3A92"/>
    <w:rsid w:val="00AB3BBA"/>
    <w:rsid w:val="00AB3C47"/>
    <w:rsid w:val="00AB3C65"/>
    <w:rsid w:val="00AB3F7E"/>
    <w:rsid w:val="00AB3FF7"/>
    <w:rsid w:val="00AB4110"/>
    <w:rsid w:val="00AB42E3"/>
    <w:rsid w:val="00AB43B2"/>
    <w:rsid w:val="00AB478B"/>
    <w:rsid w:val="00AB4793"/>
    <w:rsid w:val="00AB47AC"/>
    <w:rsid w:val="00AB47C6"/>
    <w:rsid w:val="00AB47F4"/>
    <w:rsid w:val="00AB4825"/>
    <w:rsid w:val="00AB49C2"/>
    <w:rsid w:val="00AB4A3A"/>
    <w:rsid w:val="00AB4AD9"/>
    <w:rsid w:val="00AB4AE6"/>
    <w:rsid w:val="00AB4E17"/>
    <w:rsid w:val="00AB4E3C"/>
    <w:rsid w:val="00AB5006"/>
    <w:rsid w:val="00AB5299"/>
    <w:rsid w:val="00AB533B"/>
    <w:rsid w:val="00AB5412"/>
    <w:rsid w:val="00AB542D"/>
    <w:rsid w:val="00AB56DF"/>
    <w:rsid w:val="00AB578D"/>
    <w:rsid w:val="00AB588B"/>
    <w:rsid w:val="00AB5909"/>
    <w:rsid w:val="00AB5A72"/>
    <w:rsid w:val="00AB5BB1"/>
    <w:rsid w:val="00AB5BDA"/>
    <w:rsid w:val="00AB5CA7"/>
    <w:rsid w:val="00AB5D6A"/>
    <w:rsid w:val="00AB5DD1"/>
    <w:rsid w:val="00AB5FAF"/>
    <w:rsid w:val="00AB6007"/>
    <w:rsid w:val="00AB601B"/>
    <w:rsid w:val="00AB6084"/>
    <w:rsid w:val="00AB63E2"/>
    <w:rsid w:val="00AB657F"/>
    <w:rsid w:val="00AB65D1"/>
    <w:rsid w:val="00AB665E"/>
    <w:rsid w:val="00AB666D"/>
    <w:rsid w:val="00AB669C"/>
    <w:rsid w:val="00AB66BA"/>
    <w:rsid w:val="00AB67DF"/>
    <w:rsid w:val="00AB6871"/>
    <w:rsid w:val="00AB6908"/>
    <w:rsid w:val="00AB695A"/>
    <w:rsid w:val="00AB6A07"/>
    <w:rsid w:val="00AB6B05"/>
    <w:rsid w:val="00AB6C73"/>
    <w:rsid w:val="00AB6F31"/>
    <w:rsid w:val="00AB6F58"/>
    <w:rsid w:val="00AB702E"/>
    <w:rsid w:val="00AB7096"/>
    <w:rsid w:val="00AB7275"/>
    <w:rsid w:val="00AB73F6"/>
    <w:rsid w:val="00AB740B"/>
    <w:rsid w:val="00AB74A4"/>
    <w:rsid w:val="00AB74D0"/>
    <w:rsid w:val="00AB7523"/>
    <w:rsid w:val="00AB759A"/>
    <w:rsid w:val="00AB75B0"/>
    <w:rsid w:val="00AB77C5"/>
    <w:rsid w:val="00AB77DC"/>
    <w:rsid w:val="00AB77F7"/>
    <w:rsid w:val="00AB7833"/>
    <w:rsid w:val="00AB795A"/>
    <w:rsid w:val="00AB7972"/>
    <w:rsid w:val="00AB7998"/>
    <w:rsid w:val="00AB7C17"/>
    <w:rsid w:val="00AB7C6B"/>
    <w:rsid w:val="00AB7D37"/>
    <w:rsid w:val="00AB7DA4"/>
    <w:rsid w:val="00AB7DA8"/>
    <w:rsid w:val="00AB7DDB"/>
    <w:rsid w:val="00AB7EEC"/>
    <w:rsid w:val="00AB7EF3"/>
    <w:rsid w:val="00AB7F55"/>
    <w:rsid w:val="00AB7FF6"/>
    <w:rsid w:val="00AC024E"/>
    <w:rsid w:val="00AC0363"/>
    <w:rsid w:val="00AC03F3"/>
    <w:rsid w:val="00AC042E"/>
    <w:rsid w:val="00AC061B"/>
    <w:rsid w:val="00AC0701"/>
    <w:rsid w:val="00AC0B5E"/>
    <w:rsid w:val="00AC0B72"/>
    <w:rsid w:val="00AC0BCB"/>
    <w:rsid w:val="00AC0C8B"/>
    <w:rsid w:val="00AC0E50"/>
    <w:rsid w:val="00AC0FD0"/>
    <w:rsid w:val="00AC11B0"/>
    <w:rsid w:val="00AC11E0"/>
    <w:rsid w:val="00AC122F"/>
    <w:rsid w:val="00AC13A7"/>
    <w:rsid w:val="00AC13D6"/>
    <w:rsid w:val="00AC1479"/>
    <w:rsid w:val="00AC14DA"/>
    <w:rsid w:val="00AC1530"/>
    <w:rsid w:val="00AC16B2"/>
    <w:rsid w:val="00AC1762"/>
    <w:rsid w:val="00AC17A9"/>
    <w:rsid w:val="00AC181B"/>
    <w:rsid w:val="00AC18AA"/>
    <w:rsid w:val="00AC1981"/>
    <w:rsid w:val="00AC1B89"/>
    <w:rsid w:val="00AC1CDC"/>
    <w:rsid w:val="00AC1F1D"/>
    <w:rsid w:val="00AC1F97"/>
    <w:rsid w:val="00AC253C"/>
    <w:rsid w:val="00AC255D"/>
    <w:rsid w:val="00AC257A"/>
    <w:rsid w:val="00AC2760"/>
    <w:rsid w:val="00AC27BB"/>
    <w:rsid w:val="00AC28DD"/>
    <w:rsid w:val="00AC2969"/>
    <w:rsid w:val="00AC29A7"/>
    <w:rsid w:val="00AC2A93"/>
    <w:rsid w:val="00AC2B02"/>
    <w:rsid w:val="00AC2B66"/>
    <w:rsid w:val="00AC2B68"/>
    <w:rsid w:val="00AC2BF6"/>
    <w:rsid w:val="00AC2C9F"/>
    <w:rsid w:val="00AC2FDA"/>
    <w:rsid w:val="00AC3307"/>
    <w:rsid w:val="00AC363B"/>
    <w:rsid w:val="00AC36FD"/>
    <w:rsid w:val="00AC37D7"/>
    <w:rsid w:val="00AC38B1"/>
    <w:rsid w:val="00AC38B2"/>
    <w:rsid w:val="00AC38EB"/>
    <w:rsid w:val="00AC3B3E"/>
    <w:rsid w:val="00AC3D6B"/>
    <w:rsid w:val="00AC3E19"/>
    <w:rsid w:val="00AC405B"/>
    <w:rsid w:val="00AC4071"/>
    <w:rsid w:val="00AC4201"/>
    <w:rsid w:val="00AC42BC"/>
    <w:rsid w:val="00AC42DC"/>
    <w:rsid w:val="00AC4341"/>
    <w:rsid w:val="00AC445C"/>
    <w:rsid w:val="00AC4495"/>
    <w:rsid w:val="00AC4533"/>
    <w:rsid w:val="00AC455A"/>
    <w:rsid w:val="00AC4565"/>
    <w:rsid w:val="00AC459F"/>
    <w:rsid w:val="00AC4669"/>
    <w:rsid w:val="00AC47C1"/>
    <w:rsid w:val="00AC48B4"/>
    <w:rsid w:val="00AC4B16"/>
    <w:rsid w:val="00AC4B24"/>
    <w:rsid w:val="00AC4BA2"/>
    <w:rsid w:val="00AC4C3B"/>
    <w:rsid w:val="00AC4C9B"/>
    <w:rsid w:val="00AC505E"/>
    <w:rsid w:val="00AC50A2"/>
    <w:rsid w:val="00AC543B"/>
    <w:rsid w:val="00AC54A2"/>
    <w:rsid w:val="00AC54D9"/>
    <w:rsid w:val="00AC561C"/>
    <w:rsid w:val="00AC56D4"/>
    <w:rsid w:val="00AC5730"/>
    <w:rsid w:val="00AC5780"/>
    <w:rsid w:val="00AC5A53"/>
    <w:rsid w:val="00AC5BA3"/>
    <w:rsid w:val="00AC5C18"/>
    <w:rsid w:val="00AC5CE1"/>
    <w:rsid w:val="00AC5E91"/>
    <w:rsid w:val="00AC5F04"/>
    <w:rsid w:val="00AC600D"/>
    <w:rsid w:val="00AC6247"/>
    <w:rsid w:val="00AC6291"/>
    <w:rsid w:val="00AC6536"/>
    <w:rsid w:val="00AC65A6"/>
    <w:rsid w:val="00AC65E1"/>
    <w:rsid w:val="00AC683B"/>
    <w:rsid w:val="00AC687F"/>
    <w:rsid w:val="00AC694F"/>
    <w:rsid w:val="00AC6ABF"/>
    <w:rsid w:val="00AC6C12"/>
    <w:rsid w:val="00AC6D54"/>
    <w:rsid w:val="00AC6DC3"/>
    <w:rsid w:val="00AC6EB1"/>
    <w:rsid w:val="00AC71DE"/>
    <w:rsid w:val="00AC73A1"/>
    <w:rsid w:val="00AC73A3"/>
    <w:rsid w:val="00AC7459"/>
    <w:rsid w:val="00AC74DB"/>
    <w:rsid w:val="00AC75F2"/>
    <w:rsid w:val="00AC7687"/>
    <w:rsid w:val="00AC76D8"/>
    <w:rsid w:val="00AC76EA"/>
    <w:rsid w:val="00AC7762"/>
    <w:rsid w:val="00AC7764"/>
    <w:rsid w:val="00AC77F5"/>
    <w:rsid w:val="00AC77FB"/>
    <w:rsid w:val="00AC785B"/>
    <w:rsid w:val="00AC794F"/>
    <w:rsid w:val="00AC7B66"/>
    <w:rsid w:val="00AC7B67"/>
    <w:rsid w:val="00AC7C51"/>
    <w:rsid w:val="00AC7D06"/>
    <w:rsid w:val="00AC7F91"/>
    <w:rsid w:val="00AD001D"/>
    <w:rsid w:val="00AD011A"/>
    <w:rsid w:val="00AD012A"/>
    <w:rsid w:val="00AD0204"/>
    <w:rsid w:val="00AD030F"/>
    <w:rsid w:val="00AD03D8"/>
    <w:rsid w:val="00AD03F2"/>
    <w:rsid w:val="00AD048A"/>
    <w:rsid w:val="00AD0657"/>
    <w:rsid w:val="00AD0771"/>
    <w:rsid w:val="00AD0850"/>
    <w:rsid w:val="00AD08CF"/>
    <w:rsid w:val="00AD0930"/>
    <w:rsid w:val="00AD0A2F"/>
    <w:rsid w:val="00AD0B9B"/>
    <w:rsid w:val="00AD0CC6"/>
    <w:rsid w:val="00AD0D3C"/>
    <w:rsid w:val="00AD0D6E"/>
    <w:rsid w:val="00AD0DCC"/>
    <w:rsid w:val="00AD0E25"/>
    <w:rsid w:val="00AD0E93"/>
    <w:rsid w:val="00AD0EAA"/>
    <w:rsid w:val="00AD0F01"/>
    <w:rsid w:val="00AD0F70"/>
    <w:rsid w:val="00AD111E"/>
    <w:rsid w:val="00AD1283"/>
    <w:rsid w:val="00AD1347"/>
    <w:rsid w:val="00AD1414"/>
    <w:rsid w:val="00AD1474"/>
    <w:rsid w:val="00AD15AA"/>
    <w:rsid w:val="00AD15D3"/>
    <w:rsid w:val="00AD1619"/>
    <w:rsid w:val="00AD162A"/>
    <w:rsid w:val="00AD1644"/>
    <w:rsid w:val="00AD16E9"/>
    <w:rsid w:val="00AD1705"/>
    <w:rsid w:val="00AD18DA"/>
    <w:rsid w:val="00AD19C6"/>
    <w:rsid w:val="00AD1A32"/>
    <w:rsid w:val="00AD1BEE"/>
    <w:rsid w:val="00AD1D98"/>
    <w:rsid w:val="00AD1E09"/>
    <w:rsid w:val="00AD1E76"/>
    <w:rsid w:val="00AD1FA3"/>
    <w:rsid w:val="00AD1FF9"/>
    <w:rsid w:val="00AD20E2"/>
    <w:rsid w:val="00AD216B"/>
    <w:rsid w:val="00AD2298"/>
    <w:rsid w:val="00AD2344"/>
    <w:rsid w:val="00AD25DA"/>
    <w:rsid w:val="00AD2699"/>
    <w:rsid w:val="00AD2720"/>
    <w:rsid w:val="00AD2765"/>
    <w:rsid w:val="00AD27F3"/>
    <w:rsid w:val="00AD2AF2"/>
    <w:rsid w:val="00AD2B7C"/>
    <w:rsid w:val="00AD2CC8"/>
    <w:rsid w:val="00AD2E3C"/>
    <w:rsid w:val="00AD2E8F"/>
    <w:rsid w:val="00AD2F62"/>
    <w:rsid w:val="00AD3185"/>
    <w:rsid w:val="00AD3273"/>
    <w:rsid w:val="00AD329B"/>
    <w:rsid w:val="00AD331B"/>
    <w:rsid w:val="00AD33B6"/>
    <w:rsid w:val="00AD3490"/>
    <w:rsid w:val="00AD349A"/>
    <w:rsid w:val="00AD365E"/>
    <w:rsid w:val="00AD375A"/>
    <w:rsid w:val="00AD3793"/>
    <w:rsid w:val="00AD37F5"/>
    <w:rsid w:val="00AD38D8"/>
    <w:rsid w:val="00AD39DD"/>
    <w:rsid w:val="00AD39F4"/>
    <w:rsid w:val="00AD3AB8"/>
    <w:rsid w:val="00AD3B38"/>
    <w:rsid w:val="00AD3D73"/>
    <w:rsid w:val="00AD3F59"/>
    <w:rsid w:val="00AD3F7A"/>
    <w:rsid w:val="00AD3FC4"/>
    <w:rsid w:val="00AD411E"/>
    <w:rsid w:val="00AD41B8"/>
    <w:rsid w:val="00AD4213"/>
    <w:rsid w:val="00AD423A"/>
    <w:rsid w:val="00AD42DB"/>
    <w:rsid w:val="00AD44B2"/>
    <w:rsid w:val="00AD44C5"/>
    <w:rsid w:val="00AD45CD"/>
    <w:rsid w:val="00AD4621"/>
    <w:rsid w:val="00AD4732"/>
    <w:rsid w:val="00AD47DA"/>
    <w:rsid w:val="00AD48DB"/>
    <w:rsid w:val="00AD4957"/>
    <w:rsid w:val="00AD4A24"/>
    <w:rsid w:val="00AD4A46"/>
    <w:rsid w:val="00AD4C09"/>
    <w:rsid w:val="00AD4C28"/>
    <w:rsid w:val="00AD4CAC"/>
    <w:rsid w:val="00AD4D00"/>
    <w:rsid w:val="00AD4DD0"/>
    <w:rsid w:val="00AD4E3A"/>
    <w:rsid w:val="00AD4F79"/>
    <w:rsid w:val="00AD4F9B"/>
    <w:rsid w:val="00AD506A"/>
    <w:rsid w:val="00AD50B1"/>
    <w:rsid w:val="00AD5143"/>
    <w:rsid w:val="00AD5209"/>
    <w:rsid w:val="00AD5378"/>
    <w:rsid w:val="00AD53E8"/>
    <w:rsid w:val="00AD54A3"/>
    <w:rsid w:val="00AD55DF"/>
    <w:rsid w:val="00AD5666"/>
    <w:rsid w:val="00AD5682"/>
    <w:rsid w:val="00AD57C3"/>
    <w:rsid w:val="00AD5A43"/>
    <w:rsid w:val="00AD5A99"/>
    <w:rsid w:val="00AD5B08"/>
    <w:rsid w:val="00AD5B2A"/>
    <w:rsid w:val="00AD5B86"/>
    <w:rsid w:val="00AD5C23"/>
    <w:rsid w:val="00AD5C43"/>
    <w:rsid w:val="00AD5CB0"/>
    <w:rsid w:val="00AD5D39"/>
    <w:rsid w:val="00AD5DD9"/>
    <w:rsid w:val="00AD5F9F"/>
    <w:rsid w:val="00AD5FE3"/>
    <w:rsid w:val="00AD607E"/>
    <w:rsid w:val="00AD61A8"/>
    <w:rsid w:val="00AD63F3"/>
    <w:rsid w:val="00AD653D"/>
    <w:rsid w:val="00AD677C"/>
    <w:rsid w:val="00AD68B0"/>
    <w:rsid w:val="00AD6A85"/>
    <w:rsid w:val="00AD6CF4"/>
    <w:rsid w:val="00AD6D67"/>
    <w:rsid w:val="00AD6E3F"/>
    <w:rsid w:val="00AD6E77"/>
    <w:rsid w:val="00AD6F72"/>
    <w:rsid w:val="00AD6FAC"/>
    <w:rsid w:val="00AD6FC4"/>
    <w:rsid w:val="00AD6FC7"/>
    <w:rsid w:val="00AD7039"/>
    <w:rsid w:val="00AD7128"/>
    <w:rsid w:val="00AD71B9"/>
    <w:rsid w:val="00AD72EF"/>
    <w:rsid w:val="00AD736D"/>
    <w:rsid w:val="00AD751D"/>
    <w:rsid w:val="00AD76B6"/>
    <w:rsid w:val="00AD77AD"/>
    <w:rsid w:val="00AD784D"/>
    <w:rsid w:val="00AD7896"/>
    <w:rsid w:val="00AD794F"/>
    <w:rsid w:val="00AD7A25"/>
    <w:rsid w:val="00AD7E4A"/>
    <w:rsid w:val="00AE0000"/>
    <w:rsid w:val="00AE0099"/>
    <w:rsid w:val="00AE00B4"/>
    <w:rsid w:val="00AE00CA"/>
    <w:rsid w:val="00AE00D2"/>
    <w:rsid w:val="00AE0184"/>
    <w:rsid w:val="00AE0263"/>
    <w:rsid w:val="00AE031D"/>
    <w:rsid w:val="00AE0417"/>
    <w:rsid w:val="00AE041D"/>
    <w:rsid w:val="00AE0476"/>
    <w:rsid w:val="00AE04A1"/>
    <w:rsid w:val="00AE04EE"/>
    <w:rsid w:val="00AE055C"/>
    <w:rsid w:val="00AE05BC"/>
    <w:rsid w:val="00AE07C2"/>
    <w:rsid w:val="00AE08A0"/>
    <w:rsid w:val="00AE0BB1"/>
    <w:rsid w:val="00AE0BF5"/>
    <w:rsid w:val="00AE0C01"/>
    <w:rsid w:val="00AE0C6C"/>
    <w:rsid w:val="00AE0CC7"/>
    <w:rsid w:val="00AE0E5B"/>
    <w:rsid w:val="00AE12BC"/>
    <w:rsid w:val="00AE1357"/>
    <w:rsid w:val="00AE13FB"/>
    <w:rsid w:val="00AE1477"/>
    <w:rsid w:val="00AE14D7"/>
    <w:rsid w:val="00AE15F4"/>
    <w:rsid w:val="00AE162C"/>
    <w:rsid w:val="00AE1746"/>
    <w:rsid w:val="00AE18AD"/>
    <w:rsid w:val="00AE1A1A"/>
    <w:rsid w:val="00AE1A94"/>
    <w:rsid w:val="00AE1AF8"/>
    <w:rsid w:val="00AE1B75"/>
    <w:rsid w:val="00AE1BC1"/>
    <w:rsid w:val="00AE1C0C"/>
    <w:rsid w:val="00AE1C35"/>
    <w:rsid w:val="00AE1E48"/>
    <w:rsid w:val="00AE1EF3"/>
    <w:rsid w:val="00AE2183"/>
    <w:rsid w:val="00AE219D"/>
    <w:rsid w:val="00AE21A0"/>
    <w:rsid w:val="00AE247A"/>
    <w:rsid w:val="00AE249D"/>
    <w:rsid w:val="00AE2640"/>
    <w:rsid w:val="00AE2665"/>
    <w:rsid w:val="00AE2666"/>
    <w:rsid w:val="00AE2726"/>
    <w:rsid w:val="00AE277C"/>
    <w:rsid w:val="00AE29A0"/>
    <w:rsid w:val="00AE29BC"/>
    <w:rsid w:val="00AE2C48"/>
    <w:rsid w:val="00AE2D10"/>
    <w:rsid w:val="00AE2D32"/>
    <w:rsid w:val="00AE2E34"/>
    <w:rsid w:val="00AE2FA0"/>
    <w:rsid w:val="00AE31AD"/>
    <w:rsid w:val="00AE31CC"/>
    <w:rsid w:val="00AE32EF"/>
    <w:rsid w:val="00AE33C2"/>
    <w:rsid w:val="00AE340C"/>
    <w:rsid w:val="00AE34E5"/>
    <w:rsid w:val="00AE3568"/>
    <w:rsid w:val="00AE36E4"/>
    <w:rsid w:val="00AE37BB"/>
    <w:rsid w:val="00AE3897"/>
    <w:rsid w:val="00AE38CB"/>
    <w:rsid w:val="00AE3AAF"/>
    <w:rsid w:val="00AE3B31"/>
    <w:rsid w:val="00AE3C68"/>
    <w:rsid w:val="00AE3CC6"/>
    <w:rsid w:val="00AE4060"/>
    <w:rsid w:val="00AE411B"/>
    <w:rsid w:val="00AE426D"/>
    <w:rsid w:val="00AE435C"/>
    <w:rsid w:val="00AE4385"/>
    <w:rsid w:val="00AE43BA"/>
    <w:rsid w:val="00AE44E7"/>
    <w:rsid w:val="00AE4553"/>
    <w:rsid w:val="00AE45B0"/>
    <w:rsid w:val="00AE478C"/>
    <w:rsid w:val="00AE4996"/>
    <w:rsid w:val="00AE49D1"/>
    <w:rsid w:val="00AE49D3"/>
    <w:rsid w:val="00AE4A3C"/>
    <w:rsid w:val="00AE4B45"/>
    <w:rsid w:val="00AE4C3A"/>
    <w:rsid w:val="00AE4DE1"/>
    <w:rsid w:val="00AE4E8E"/>
    <w:rsid w:val="00AE4EE9"/>
    <w:rsid w:val="00AE4EF2"/>
    <w:rsid w:val="00AE4F4D"/>
    <w:rsid w:val="00AE4FB7"/>
    <w:rsid w:val="00AE5158"/>
    <w:rsid w:val="00AE5242"/>
    <w:rsid w:val="00AE5262"/>
    <w:rsid w:val="00AE5397"/>
    <w:rsid w:val="00AE54B8"/>
    <w:rsid w:val="00AE5614"/>
    <w:rsid w:val="00AE566A"/>
    <w:rsid w:val="00AE5689"/>
    <w:rsid w:val="00AE584F"/>
    <w:rsid w:val="00AE5995"/>
    <w:rsid w:val="00AE5A21"/>
    <w:rsid w:val="00AE5B2A"/>
    <w:rsid w:val="00AE5C65"/>
    <w:rsid w:val="00AE5CAB"/>
    <w:rsid w:val="00AE5F14"/>
    <w:rsid w:val="00AE601D"/>
    <w:rsid w:val="00AE621E"/>
    <w:rsid w:val="00AE63E0"/>
    <w:rsid w:val="00AE64A0"/>
    <w:rsid w:val="00AE65DC"/>
    <w:rsid w:val="00AE6794"/>
    <w:rsid w:val="00AE68E8"/>
    <w:rsid w:val="00AE6908"/>
    <w:rsid w:val="00AE69ED"/>
    <w:rsid w:val="00AE6B5F"/>
    <w:rsid w:val="00AE6B9C"/>
    <w:rsid w:val="00AE6C1D"/>
    <w:rsid w:val="00AE6D72"/>
    <w:rsid w:val="00AE6E47"/>
    <w:rsid w:val="00AE6EAE"/>
    <w:rsid w:val="00AE7193"/>
    <w:rsid w:val="00AE722A"/>
    <w:rsid w:val="00AE7321"/>
    <w:rsid w:val="00AE743B"/>
    <w:rsid w:val="00AE7518"/>
    <w:rsid w:val="00AE7574"/>
    <w:rsid w:val="00AE75D1"/>
    <w:rsid w:val="00AE7607"/>
    <w:rsid w:val="00AE7997"/>
    <w:rsid w:val="00AE7A6F"/>
    <w:rsid w:val="00AE7C85"/>
    <w:rsid w:val="00AE7E9C"/>
    <w:rsid w:val="00AE7F1E"/>
    <w:rsid w:val="00AE7FDD"/>
    <w:rsid w:val="00AF001A"/>
    <w:rsid w:val="00AF021A"/>
    <w:rsid w:val="00AF04CD"/>
    <w:rsid w:val="00AF0648"/>
    <w:rsid w:val="00AF06B3"/>
    <w:rsid w:val="00AF06CC"/>
    <w:rsid w:val="00AF080F"/>
    <w:rsid w:val="00AF08A8"/>
    <w:rsid w:val="00AF09BD"/>
    <w:rsid w:val="00AF0A8D"/>
    <w:rsid w:val="00AF0AA7"/>
    <w:rsid w:val="00AF0ACA"/>
    <w:rsid w:val="00AF0AF3"/>
    <w:rsid w:val="00AF0D3D"/>
    <w:rsid w:val="00AF0D54"/>
    <w:rsid w:val="00AF0E73"/>
    <w:rsid w:val="00AF0E88"/>
    <w:rsid w:val="00AF10CE"/>
    <w:rsid w:val="00AF1207"/>
    <w:rsid w:val="00AF1262"/>
    <w:rsid w:val="00AF127B"/>
    <w:rsid w:val="00AF1318"/>
    <w:rsid w:val="00AF13F7"/>
    <w:rsid w:val="00AF14B9"/>
    <w:rsid w:val="00AF1630"/>
    <w:rsid w:val="00AF16FB"/>
    <w:rsid w:val="00AF1805"/>
    <w:rsid w:val="00AF1AB4"/>
    <w:rsid w:val="00AF1B8F"/>
    <w:rsid w:val="00AF1BC6"/>
    <w:rsid w:val="00AF1C34"/>
    <w:rsid w:val="00AF1D54"/>
    <w:rsid w:val="00AF206A"/>
    <w:rsid w:val="00AF2146"/>
    <w:rsid w:val="00AF2540"/>
    <w:rsid w:val="00AF2591"/>
    <w:rsid w:val="00AF25A0"/>
    <w:rsid w:val="00AF2954"/>
    <w:rsid w:val="00AF2A8C"/>
    <w:rsid w:val="00AF2B1A"/>
    <w:rsid w:val="00AF2B53"/>
    <w:rsid w:val="00AF2D17"/>
    <w:rsid w:val="00AF2D81"/>
    <w:rsid w:val="00AF2DB8"/>
    <w:rsid w:val="00AF2E53"/>
    <w:rsid w:val="00AF2EC3"/>
    <w:rsid w:val="00AF3012"/>
    <w:rsid w:val="00AF3280"/>
    <w:rsid w:val="00AF3292"/>
    <w:rsid w:val="00AF33E3"/>
    <w:rsid w:val="00AF33F1"/>
    <w:rsid w:val="00AF3692"/>
    <w:rsid w:val="00AF36C8"/>
    <w:rsid w:val="00AF3857"/>
    <w:rsid w:val="00AF393C"/>
    <w:rsid w:val="00AF3A05"/>
    <w:rsid w:val="00AF3A5A"/>
    <w:rsid w:val="00AF3A89"/>
    <w:rsid w:val="00AF3B11"/>
    <w:rsid w:val="00AF3BC5"/>
    <w:rsid w:val="00AF3C57"/>
    <w:rsid w:val="00AF3C5D"/>
    <w:rsid w:val="00AF3C96"/>
    <w:rsid w:val="00AF3CF6"/>
    <w:rsid w:val="00AF3E15"/>
    <w:rsid w:val="00AF3E96"/>
    <w:rsid w:val="00AF3EC8"/>
    <w:rsid w:val="00AF3EDF"/>
    <w:rsid w:val="00AF400C"/>
    <w:rsid w:val="00AF40B4"/>
    <w:rsid w:val="00AF416F"/>
    <w:rsid w:val="00AF42CA"/>
    <w:rsid w:val="00AF42E7"/>
    <w:rsid w:val="00AF44CF"/>
    <w:rsid w:val="00AF4747"/>
    <w:rsid w:val="00AF498C"/>
    <w:rsid w:val="00AF4ACB"/>
    <w:rsid w:val="00AF4B35"/>
    <w:rsid w:val="00AF4E32"/>
    <w:rsid w:val="00AF4ED4"/>
    <w:rsid w:val="00AF50D6"/>
    <w:rsid w:val="00AF5108"/>
    <w:rsid w:val="00AF5218"/>
    <w:rsid w:val="00AF5333"/>
    <w:rsid w:val="00AF5379"/>
    <w:rsid w:val="00AF5386"/>
    <w:rsid w:val="00AF53DF"/>
    <w:rsid w:val="00AF5412"/>
    <w:rsid w:val="00AF55CA"/>
    <w:rsid w:val="00AF5715"/>
    <w:rsid w:val="00AF572E"/>
    <w:rsid w:val="00AF57C9"/>
    <w:rsid w:val="00AF5829"/>
    <w:rsid w:val="00AF597E"/>
    <w:rsid w:val="00AF5AE3"/>
    <w:rsid w:val="00AF5B5C"/>
    <w:rsid w:val="00AF5BD4"/>
    <w:rsid w:val="00AF5DB6"/>
    <w:rsid w:val="00AF60A0"/>
    <w:rsid w:val="00AF63C4"/>
    <w:rsid w:val="00AF645D"/>
    <w:rsid w:val="00AF6560"/>
    <w:rsid w:val="00AF68B8"/>
    <w:rsid w:val="00AF6ADA"/>
    <w:rsid w:val="00AF6C65"/>
    <w:rsid w:val="00AF6DC1"/>
    <w:rsid w:val="00AF6DDC"/>
    <w:rsid w:val="00AF6E2F"/>
    <w:rsid w:val="00AF6ED3"/>
    <w:rsid w:val="00AF6FCE"/>
    <w:rsid w:val="00AF7098"/>
    <w:rsid w:val="00AF7219"/>
    <w:rsid w:val="00AF7340"/>
    <w:rsid w:val="00AF73F8"/>
    <w:rsid w:val="00AF7402"/>
    <w:rsid w:val="00AF7568"/>
    <w:rsid w:val="00AF760D"/>
    <w:rsid w:val="00AF78F2"/>
    <w:rsid w:val="00AF7A43"/>
    <w:rsid w:val="00AF7AEC"/>
    <w:rsid w:val="00AF7B09"/>
    <w:rsid w:val="00AF7B64"/>
    <w:rsid w:val="00AF7BF1"/>
    <w:rsid w:val="00AF7D18"/>
    <w:rsid w:val="00AF7D4E"/>
    <w:rsid w:val="00AF7D4F"/>
    <w:rsid w:val="00AF7DA5"/>
    <w:rsid w:val="00AF7F58"/>
    <w:rsid w:val="00B0003E"/>
    <w:rsid w:val="00B0013D"/>
    <w:rsid w:val="00B0023E"/>
    <w:rsid w:val="00B00298"/>
    <w:rsid w:val="00B002D8"/>
    <w:rsid w:val="00B002DC"/>
    <w:rsid w:val="00B00304"/>
    <w:rsid w:val="00B00373"/>
    <w:rsid w:val="00B005C4"/>
    <w:rsid w:val="00B005F0"/>
    <w:rsid w:val="00B00649"/>
    <w:rsid w:val="00B0065E"/>
    <w:rsid w:val="00B00674"/>
    <w:rsid w:val="00B0070B"/>
    <w:rsid w:val="00B00774"/>
    <w:rsid w:val="00B00A2B"/>
    <w:rsid w:val="00B00C7D"/>
    <w:rsid w:val="00B00C90"/>
    <w:rsid w:val="00B00D67"/>
    <w:rsid w:val="00B00DB1"/>
    <w:rsid w:val="00B00E2F"/>
    <w:rsid w:val="00B00E3E"/>
    <w:rsid w:val="00B00E68"/>
    <w:rsid w:val="00B00F42"/>
    <w:rsid w:val="00B00F7E"/>
    <w:rsid w:val="00B010C6"/>
    <w:rsid w:val="00B0112F"/>
    <w:rsid w:val="00B01240"/>
    <w:rsid w:val="00B0151F"/>
    <w:rsid w:val="00B01586"/>
    <w:rsid w:val="00B01617"/>
    <w:rsid w:val="00B017F9"/>
    <w:rsid w:val="00B01979"/>
    <w:rsid w:val="00B019A6"/>
    <w:rsid w:val="00B01A6F"/>
    <w:rsid w:val="00B01A75"/>
    <w:rsid w:val="00B01B47"/>
    <w:rsid w:val="00B01BDA"/>
    <w:rsid w:val="00B01C2B"/>
    <w:rsid w:val="00B01C56"/>
    <w:rsid w:val="00B01C71"/>
    <w:rsid w:val="00B01EA4"/>
    <w:rsid w:val="00B01EE5"/>
    <w:rsid w:val="00B01F53"/>
    <w:rsid w:val="00B02049"/>
    <w:rsid w:val="00B0204F"/>
    <w:rsid w:val="00B02116"/>
    <w:rsid w:val="00B02194"/>
    <w:rsid w:val="00B021CC"/>
    <w:rsid w:val="00B021D6"/>
    <w:rsid w:val="00B02220"/>
    <w:rsid w:val="00B0236A"/>
    <w:rsid w:val="00B0241F"/>
    <w:rsid w:val="00B024FE"/>
    <w:rsid w:val="00B02668"/>
    <w:rsid w:val="00B026C0"/>
    <w:rsid w:val="00B02960"/>
    <w:rsid w:val="00B029CA"/>
    <w:rsid w:val="00B02B5F"/>
    <w:rsid w:val="00B02BB1"/>
    <w:rsid w:val="00B02CEB"/>
    <w:rsid w:val="00B02D69"/>
    <w:rsid w:val="00B02E47"/>
    <w:rsid w:val="00B02F43"/>
    <w:rsid w:val="00B0304B"/>
    <w:rsid w:val="00B030E0"/>
    <w:rsid w:val="00B031CA"/>
    <w:rsid w:val="00B032A3"/>
    <w:rsid w:val="00B0344A"/>
    <w:rsid w:val="00B0356C"/>
    <w:rsid w:val="00B0357F"/>
    <w:rsid w:val="00B035EC"/>
    <w:rsid w:val="00B03620"/>
    <w:rsid w:val="00B03746"/>
    <w:rsid w:val="00B0391C"/>
    <w:rsid w:val="00B03C17"/>
    <w:rsid w:val="00B03DDE"/>
    <w:rsid w:val="00B03F25"/>
    <w:rsid w:val="00B04020"/>
    <w:rsid w:val="00B0404F"/>
    <w:rsid w:val="00B0427B"/>
    <w:rsid w:val="00B0440B"/>
    <w:rsid w:val="00B04488"/>
    <w:rsid w:val="00B044CB"/>
    <w:rsid w:val="00B044F6"/>
    <w:rsid w:val="00B046D5"/>
    <w:rsid w:val="00B0480E"/>
    <w:rsid w:val="00B04836"/>
    <w:rsid w:val="00B049B6"/>
    <w:rsid w:val="00B04AC5"/>
    <w:rsid w:val="00B04AFF"/>
    <w:rsid w:val="00B04C53"/>
    <w:rsid w:val="00B04C76"/>
    <w:rsid w:val="00B04C81"/>
    <w:rsid w:val="00B04D9B"/>
    <w:rsid w:val="00B04E17"/>
    <w:rsid w:val="00B04EDC"/>
    <w:rsid w:val="00B04F9A"/>
    <w:rsid w:val="00B04FC7"/>
    <w:rsid w:val="00B05040"/>
    <w:rsid w:val="00B0517D"/>
    <w:rsid w:val="00B051E2"/>
    <w:rsid w:val="00B051E3"/>
    <w:rsid w:val="00B0520E"/>
    <w:rsid w:val="00B053D5"/>
    <w:rsid w:val="00B0542E"/>
    <w:rsid w:val="00B0544F"/>
    <w:rsid w:val="00B054D6"/>
    <w:rsid w:val="00B05683"/>
    <w:rsid w:val="00B056F8"/>
    <w:rsid w:val="00B05882"/>
    <w:rsid w:val="00B058C2"/>
    <w:rsid w:val="00B058CC"/>
    <w:rsid w:val="00B059FC"/>
    <w:rsid w:val="00B05A16"/>
    <w:rsid w:val="00B05B9A"/>
    <w:rsid w:val="00B05BD2"/>
    <w:rsid w:val="00B05C76"/>
    <w:rsid w:val="00B05CD2"/>
    <w:rsid w:val="00B05D95"/>
    <w:rsid w:val="00B05E32"/>
    <w:rsid w:val="00B05EBE"/>
    <w:rsid w:val="00B05FF7"/>
    <w:rsid w:val="00B06086"/>
    <w:rsid w:val="00B060AE"/>
    <w:rsid w:val="00B0620F"/>
    <w:rsid w:val="00B06261"/>
    <w:rsid w:val="00B062FF"/>
    <w:rsid w:val="00B06384"/>
    <w:rsid w:val="00B0661F"/>
    <w:rsid w:val="00B066B8"/>
    <w:rsid w:val="00B0677A"/>
    <w:rsid w:val="00B06D4E"/>
    <w:rsid w:val="00B06DFC"/>
    <w:rsid w:val="00B070BB"/>
    <w:rsid w:val="00B07322"/>
    <w:rsid w:val="00B07445"/>
    <w:rsid w:val="00B07555"/>
    <w:rsid w:val="00B075D3"/>
    <w:rsid w:val="00B07696"/>
    <w:rsid w:val="00B0774D"/>
    <w:rsid w:val="00B07762"/>
    <w:rsid w:val="00B077D6"/>
    <w:rsid w:val="00B0795E"/>
    <w:rsid w:val="00B07A16"/>
    <w:rsid w:val="00B07B18"/>
    <w:rsid w:val="00B07BB9"/>
    <w:rsid w:val="00B07BE1"/>
    <w:rsid w:val="00B07D53"/>
    <w:rsid w:val="00B07E90"/>
    <w:rsid w:val="00B1026A"/>
    <w:rsid w:val="00B1026B"/>
    <w:rsid w:val="00B103C8"/>
    <w:rsid w:val="00B10617"/>
    <w:rsid w:val="00B1067A"/>
    <w:rsid w:val="00B107C4"/>
    <w:rsid w:val="00B107DF"/>
    <w:rsid w:val="00B1086A"/>
    <w:rsid w:val="00B109C7"/>
    <w:rsid w:val="00B10A76"/>
    <w:rsid w:val="00B10AF0"/>
    <w:rsid w:val="00B10B99"/>
    <w:rsid w:val="00B10BBA"/>
    <w:rsid w:val="00B10D41"/>
    <w:rsid w:val="00B10FA0"/>
    <w:rsid w:val="00B11011"/>
    <w:rsid w:val="00B1107B"/>
    <w:rsid w:val="00B11088"/>
    <w:rsid w:val="00B11150"/>
    <w:rsid w:val="00B1119B"/>
    <w:rsid w:val="00B11217"/>
    <w:rsid w:val="00B11282"/>
    <w:rsid w:val="00B1154B"/>
    <w:rsid w:val="00B1157C"/>
    <w:rsid w:val="00B117AB"/>
    <w:rsid w:val="00B117C9"/>
    <w:rsid w:val="00B11B41"/>
    <w:rsid w:val="00B11C15"/>
    <w:rsid w:val="00B11F3F"/>
    <w:rsid w:val="00B11FC9"/>
    <w:rsid w:val="00B12098"/>
    <w:rsid w:val="00B12276"/>
    <w:rsid w:val="00B1238B"/>
    <w:rsid w:val="00B123A8"/>
    <w:rsid w:val="00B1241D"/>
    <w:rsid w:val="00B12464"/>
    <w:rsid w:val="00B12474"/>
    <w:rsid w:val="00B1268C"/>
    <w:rsid w:val="00B126A2"/>
    <w:rsid w:val="00B12791"/>
    <w:rsid w:val="00B12805"/>
    <w:rsid w:val="00B1282C"/>
    <w:rsid w:val="00B1282F"/>
    <w:rsid w:val="00B128B1"/>
    <w:rsid w:val="00B128E6"/>
    <w:rsid w:val="00B12918"/>
    <w:rsid w:val="00B12965"/>
    <w:rsid w:val="00B129F7"/>
    <w:rsid w:val="00B12A7F"/>
    <w:rsid w:val="00B12AEA"/>
    <w:rsid w:val="00B12E1F"/>
    <w:rsid w:val="00B12F0D"/>
    <w:rsid w:val="00B12F15"/>
    <w:rsid w:val="00B12F6E"/>
    <w:rsid w:val="00B13078"/>
    <w:rsid w:val="00B1308C"/>
    <w:rsid w:val="00B13134"/>
    <w:rsid w:val="00B1333D"/>
    <w:rsid w:val="00B134AD"/>
    <w:rsid w:val="00B13542"/>
    <w:rsid w:val="00B136B4"/>
    <w:rsid w:val="00B136CB"/>
    <w:rsid w:val="00B137A1"/>
    <w:rsid w:val="00B137D4"/>
    <w:rsid w:val="00B13818"/>
    <w:rsid w:val="00B138D7"/>
    <w:rsid w:val="00B13943"/>
    <w:rsid w:val="00B13BD5"/>
    <w:rsid w:val="00B13BFE"/>
    <w:rsid w:val="00B13C4B"/>
    <w:rsid w:val="00B13D2F"/>
    <w:rsid w:val="00B13D43"/>
    <w:rsid w:val="00B13D9A"/>
    <w:rsid w:val="00B13F2D"/>
    <w:rsid w:val="00B14118"/>
    <w:rsid w:val="00B145D4"/>
    <w:rsid w:val="00B145ED"/>
    <w:rsid w:val="00B1482A"/>
    <w:rsid w:val="00B148AB"/>
    <w:rsid w:val="00B1491F"/>
    <w:rsid w:val="00B14C3C"/>
    <w:rsid w:val="00B14C7C"/>
    <w:rsid w:val="00B14CBF"/>
    <w:rsid w:val="00B14DB7"/>
    <w:rsid w:val="00B14DEC"/>
    <w:rsid w:val="00B150C6"/>
    <w:rsid w:val="00B15186"/>
    <w:rsid w:val="00B152D0"/>
    <w:rsid w:val="00B1530C"/>
    <w:rsid w:val="00B154E6"/>
    <w:rsid w:val="00B1562D"/>
    <w:rsid w:val="00B15925"/>
    <w:rsid w:val="00B1597F"/>
    <w:rsid w:val="00B15A12"/>
    <w:rsid w:val="00B15A30"/>
    <w:rsid w:val="00B15C0A"/>
    <w:rsid w:val="00B15C7F"/>
    <w:rsid w:val="00B15DB8"/>
    <w:rsid w:val="00B15FD2"/>
    <w:rsid w:val="00B161F2"/>
    <w:rsid w:val="00B16532"/>
    <w:rsid w:val="00B166A4"/>
    <w:rsid w:val="00B166F6"/>
    <w:rsid w:val="00B16AD3"/>
    <w:rsid w:val="00B16B47"/>
    <w:rsid w:val="00B16B78"/>
    <w:rsid w:val="00B16E42"/>
    <w:rsid w:val="00B1705B"/>
    <w:rsid w:val="00B1706D"/>
    <w:rsid w:val="00B170A6"/>
    <w:rsid w:val="00B1714A"/>
    <w:rsid w:val="00B1718F"/>
    <w:rsid w:val="00B17269"/>
    <w:rsid w:val="00B17282"/>
    <w:rsid w:val="00B172F2"/>
    <w:rsid w:val="00B17412"/>
    <w:rsid w:val="00B17447"/>
    <w:rsid w:val="00B17478"/>
    <w:rsid w:val="00B1761D"/>
    <w:rsid w:val="00B17691"/>
    <w:rsid w:val="00B1773B"/>
    <w:rsid w:val="00B177F5"/>
    <w:rsid w:val="00B178B7"/>
    <w:rsid w:val="00B1794B"/>
    <w:rsid w:val="00B1794E"/>
    <w:rsid w:val="00B17A1A"/>
    <w:rsid w:val="00B17DA4"/>
    <w:rsid w:val="00B17E61"/>
    <w:rsid w:val="00B17EEA"/>
    <w:rsid w:val="00B17EF3"/>
    <w:rsid w:val="00B17F41"/>
    <w:rsid w:val="00B1EE6D"/>
    <w:rsid w:val="00B201A7"/>
    <w:rsid w:val="00B201D9"/>
    <w:rsid w:val="00B20218"/>
    <w:rsid w:val="00B20346"/>
    <w:rsid w:val="00B2038A"/>
    <w:rsid w:val="00B206E9"/>
    <w:rsid w:val="00B2076D"/>
    <w:rsid w:val="00B20864"/>
    <w:rsid w:val="00B208F8"/>
    <w:rsid w:val="00B20B4B"/>
    <w:rsid w:val="00B20BFF"/>
    <w:rsid w:val="00B20C65"/>
    <w:rsid w:val="00B20CBE"/>
    <w:rsid w:val="00B20CDD"/>
    <w:rsid w:val="00B20E32"/>
    <w:rsid w:val="00B20FAA"/>
    <w:rsid w:val="00B210CF"/>
    <w:rsid w:val="00B2111A"/>
    <w:rsid w:val="00B21166"/>
    <w:rsid w:val="00B211EC"/>
    <w:rsid w:val="00B21357"/>
    <w:rsid w:val="00B21376"/>
    <w:rsid w:val="00B213B5"/>
    <w:rsid w:val="00B213EF"/>
    <w:rsid w:val="00B214E6"/>
    <w:rsid w:val="00B216A4"/>
    <w:rsid w:val="00B217D5"/>
    <w:rsid w:val="00B21863"/>
    <w:rsid w:val="00B218DC"/>
    <w:rsid w:val="00B21A5D"/>
    <w:rsid w:val="00B21A66"/>
    <w:rsid w:val="00B21ACD"/>
    <w:rsid w:val="00B21C90"/>
    <w:rsid w:val="00B21DA4"/>
    <w:rsid w:val="00B21DC7"/>
    <w:rsid w:val="00B21DFE"/>
    <w:rsid w:val="00B21E44"/>
    <w:rsid w:val="00B220C2"/>
    <w:rsid w:val="00B220E4"/>
    <w:rsid w:val="00B22132"/>
    <w:rsid w:val="00B22253"/>
    <w:rsid w:val="00B22270"/>
    <w:rsid w:val="00B22426"/>
    <w:rsid w:val="00B2257B"/>
    <w:rsid w:val="00B227C2"/>
    <w:rsid w:val="00B2285F"/>
    <w:rsid w:val="00B228B8"/>
    <w:rsid w:val="00B228C2"/>
    <w:rsid w:val="00B229B2"/>
    <w:rsid w:val="00B22A11"/>
    <w:rsid w:val="00B22A93"/>
    <w:rsid w:val="00B22B4F"/>
    <w:rsid w:val="00B22B95"/>
    <w:rsid w:val="00B22BA5"/>
    <w:rsid w:val="00B22BF3"/>
    <w:rsid w:val="00B22C4A"/>
    <w:rsid w:val="00B22C6D"/>
    <w:rsid w:val="00B22D84"/>
    <w:rsid w:val="00B23066"/>
    <w:rsid w:val="00B23096"/>
    <w:rsid w:val="00B23188"/>
    <w:rsid w:val="00B2322A"/>
    <w:rsid w:val="00B23422"/>
    <w:rsid w:val="00B2359B"/>
    <w:rsid w:val="00B235FA"/>
    <w:rsid w:val="00B236FC"/>
    <w:rsid w:val="00B2376E"/>
    <w:rsid w:val="00B238B2"/>
    <w:rsid w:val="00B238BC"/>
    <w:rsid w:val="00B23B0A"/>
    <w:rsid w:val="00B23BF8"/>
    <w:rsid w:val="00B23D4D"/>
    <w:rsid w:val="00B23F9D"/>
    <w:rsid w:val="00B23FA6"/>
    <w:rsid w:val="00B240E7"/>
    <w:rsid w:val="00B241EC"/>
    <w:rsid w:val="00B2422D"/>
    <w:rsid w:val="00B242AD"/>
    <w:rsid w:val="00B24356"/>
    <w:rsid w:val="00B244E5"/>
    <w:rsid w:val="00B2465A"/>
    <w:rsid w:val="00B2488E"/>
    <w:rsid w:val="00B2496E"/>
    <w:rsid w:val="00B249FF"/>
    <w:rsid w:val="00B24A67"/>
    <w:rsid w:val="00B24A82"/>
    <w:rsid w:val="00B24A8F"/>
    <w:rsid w:val="00B24D4A"/>
    <w:rsid w:val="00B24E20"/>
    <w:rsid w:val="00B24E28"/>
    <w:rsid w:val="00B24FBE"/>
    <w:rsid w:val="00B24FCE"/>
    <w:rsid w:val="00B25082"/>
    <w:rsid w:val="00B251E1"/>
    <w:rsid w:val="00B251E7"/>
    <w:rsid w:val="00B251FE"/>
    <w:rsid w:val="00B25259"/>
    <w:rsid w:val="00B25348"/>
    <w:rsid w:val="00B25361"/>
    <w:rsid w:val="00B25377"/>
    <w:rsid w:val="00B25770"/>
    <w:rsid w:val="00B25773"/>
    <w:rsid w:val="00B257A6"/>
    <w:rsid w:val="00B259A5"/>
    <w:rsid w:val="00B25ADA"/>
    <w:rsid w:val="00B25BA6"/>
    <w:rsid w:val="00B25BD9"/>
    <w:rsid w:val="00B25D47"/>
    <w:rsid w:val="00B25ECB"/>
    <w:rsid w:val="00B25F06"/>
    <w:rsid w:val="00B26029"/>
    <w:rsid w:val="00B262B4"/>
    <w:rsid w:val="00B26379"/>
    <w:rsid w:val="00B263AE"/>
    <w:rsid w:val="00B263F7"/>
    <w:rsid w:val="00B266CB"/>
    <w:rsid w:val="00B26A15"/>
    <w:rsid w:val="00B26A62"/>
    <w:rsid w:val="00B26C6C"/>
    <w:rsid w:val="00B26D5B"/>
    <w:rsid w:val="00B26E08"/>
    <w:rsid w:val="00B26E30"/>
    <w:rsid w:val="00B26E65"/>
    <w:rsid w:val="00B26F55"/>
    <w:rsid w:val="00B26F57"/>
    <w:rsid w:val="00B2719D"/>
    <w:rsid w:val="00B273BD"/>
    <w:rsid w:val="00B27401"/>
    <w:rsid w:val="00B2758C"/>
    <w:rsid w:val="00B27714"/>
    <w:rsid w:val="00B277B1"/>
    <w:rsid w:val="00B27931"/>
    <w:rsid w:val="00B279B3"/>
    <w:rsid w:val="00B279F2"/>
    <w:rsid w:val="00B27A90"/>
    <w:rsid w:val="00B27B8A"/>
    <w:rsid w:val="00B27BF8"/>
    <w:rsid w:val="00B27CE6"/>
    <w:rsid w:val="00B27D31"/>
    <w:rsid w:val="00B27D60"/>
    <w:rsid w:val="00B27F22"/>
    <w:rsid w:val="00B27F8D"/>
    <w:rsid w:val="00B302F2"/>
    <w:rsid w:val="00B3040C"/>
    <w:rsid w:val="00B306EA"/>
    <w:rsid w:val="00B30719"/>
    <w:rsid w:val="00B30765"/>
    <w:rsid w:val="00B30802"/>
    <w:rsid w:val="00B30880"/>
    <w:rsid w:val="00B30897"/>
    <w:rsid w:val="00B309A2"/>
    <w:rsid w:val="00B309BA"/>
    <w:rsid w:val="00B30A35"/>
    <w:rsid w:val="00B30A3E"/>
    <w:rsid w:val="00B30C27"/>
    <w:rsid w:val="00B30C41"/>
    <w:rsid w:val="00B30D8E"/>
    <w:rsid w:val="00B30DED"/>
    <w:rsid w:val="00B30EB0"/>
    <w:rsid w:val="00B30F7E"/>
    <w:rsid w:val="00B31375"/>
    <w:rsid w:val="00B31697"/>
    <w:rsid w:val="00B31771"/>
    <w:rsid w:val="00B31883"/>
    <w:rsid w:val="00B318EE"/>
    <w:rsid w:val="00B31BF5"/>
    <w:rsid w:val="00B31BFD"/>
    <w:rsid w:val="00B31C18"/>
    <w:rsid w:val="00B31C80"/>
    <w:rsid w:val="00B31D55"/>
    <w:rsid w:val="00B31E7B"/>
    <w:rsid w:val="00B31FB1"/>
    <w:rsid w:val="00B3202B"/>
    <w:rsid w:val="00B322FC"/>
    <w:rsid w:val="00B3235E"/>
    <w:rsid w:val="00B3236D"/>
    <w:rsid w:val="00B323E9"/>
    <w:rsid w:val="00B3243A"/>
    <w:rsid w:val="00B3248B"/>
    <w:rsid w:val="00B32545"/>
    <w:rsid w:val="00B32551"/>
    <w:rsid w:val="00B325A7"/>
    <w:rsid w:val="00B325C5"/>
    <w:rsid w:val="00B32796"/>
    <w:rsid w:val="00B3285C"/>
    <w:rsid w:val="00B32D58"/>
    <w:rsid w:val="00B32E90"/>
    <w:rsid w:val="00B32F1D"/>
    <w:rsid w:val="00B32F34"/>
    <w:rsid w:val="00B32F8D"/>
    <w:rsid w:val="00B333BF"/>
    <w:rsid w:val="00B3351B"/>
    <w:rsid w:val="00B33560"/>
    <w:rsid w:val="00B33594"/>
    <w:rsid w:val="00B33615"/>
    <w:rsid w:val="00B337FD"/>
    <w:rsid w:val="00B339CC"/>
    <w:rsid w:val="00B339F6"/>
    <w:rsid w:val="00B33A6C"/>
    <w:rsid w:val="00B33C0E"/>
    <w:rsid w:val="00B33C1C"/>
    <w:rsid w:val="00B33C1F"/>
    <w:rsid w:val="00B33C52"/>
    <w:rsid w:val="00B33C9A"/>
    <w:rsid w:val="00B33D15"/>
    <w:rsid w:val="00B33EAB"/>
    <w:rsid w:val="00B33FC8"/>
    <w:rsid w:val="00B33FCA"/>
    <w:rsid w:val="00B341D7"/>
    <w:rsid w:val="00B3422F"/>
    <w:rsid w:val="00B34385"/>
    <w:rsid w:val="00B344CC"/>
    <w:rsid w:val="00B345AA"/>
    <w:rsid w:val="00B34648"/>
    <w:rsid w:val="00B346DF"/>
    <w:rsid w:val="00B3473B"/>
    <w:rsid w:val="00B34747"/>
    <w:rsid w:val="00B34985"/>
    <w:rsid w:val="00B34A87"/>
    <w:rsid w:val="00B34C18"/>
    <w:rsid w:val="00B34D4F"/>
    <w:rsid w:val="00B34DB2"/>
    <w:rsid w:val="00B34EB1"/>
    <w:rsid w:val="00B34EC7"/>
    <w:rsid w:val="00B34F6B"/>
    <w:rsid w:val="00B34F8C"/>
    <w:rsid w:val="00B35244"/>
    <w:rsid w:val="00B35293"/>
    <w:rsid w:val="00B35341"/>
    <w:rsid w:val="00B35366"/>
    <w:rsid w:val="00B35418"/>
    <w:rsid w:val="00B35784"/>
    <w:rsid w:val="00B3578D"/>
    <w:rsid w:val="00B357FE"/>
    <w:rsid w:val="00B358A7"/>
    <w:rsid w:val="00B35B0D"/>
    <w:rsid w:val="00B35C79"/>
    <w:rsid w:val="00B35CA3"/>
    <w:rsid w:val="00B35D5A"/>
    <w:rsid w:val="00B35DD0"/>
    <w:rsid w:val="00B35E4E"/>
    <w:rsid w:val="00B35E6C"/>
    <w:rsid w:val="00B35E96"/>
    <w:rsid w:val="00B35EC7"/>
    <w:rsid w:val="00B3603B"/>
    <w:rsid w:val="00B36081"/>
    <w:rsid w:val="00B3616C"/>
    <w:rsid w:val="00B36222"/>
    <w:rsid w:val="00B36301"/>
    <w:rsid w:val="00B36416"/>
    <w:rsid w:val="00B364D7"/>
    <w:rsid w:val="00B3655C"/>
    <w:rsid w:val="00B36592"/>
    <w:rsid w:val="00B36622"/>
    <w:rsid w:val="00B36623"/>
    <w:rsid w:val="00B36628"/>
    <w:rsid w:val="00B36640"/>
    <w:rsid w:val="00B368A7"/>
    <w:rsid w:val="00B368C3"/>
    <w:rsid w:val="00B3690B"/>
    <w:rsid w:val="00B36940"/>
    <w:rsid w:val="00B369F3"/>
    <w:rsid w:val="00B36B8F"/>
    <w:rsid w:val="00B36D6E"/>
    <w:rsid w:val="00B36DB7"/>
    <w:rsid w:val="00B36DD8"/>
    <w:rsid w:val="00B36F32"/>
    <w:rsid w:val="00B36F8D"/>
    <w:rsid w:val="00B3703A"/>
    <w:rsid w:val="00B370C8"/>
    <w:rsid w:val="00B37134"/>
    <w:rsid w:val="00B3736B"/>
    <w:rsid w:val="00B37371"/>
    <w:rsid w:val="00B373C6"/>
    <w:rsid w:val="00B373FC"/>
    <w:rsid w:val="00B37456"/>
    <w:rsid w:val="00B37475"/>
    <w:rsid w:val="00B37488"/>
    <w:rsid w:val="00B37528"/>
    <w:rsid w:val="00B37583"/>
    <w:rsid w:val="00B3763C"/>
    <w:rsid w:val="00B3766E"/>
    <w:rsid w:val="00B3796B"/>
    <w:rsid w:val="00B3796E"/>
    <w:rsid w:val="00B37B80"/>
    <w:rsid w:val="00B37D28"/>
    <w:rsid w:val="00B37FE2"/>
    <w:rsid w:val="00B400B5"/>
    <w:rsid w:val="00B400F1"/>
    <w:rsid w:val="00B400F3"/>
    <w:rsid w:val="00B40183"/>
    <w:rsid w:val="00B40312"/>
    <w:rsid w:val="00B40347"/>
    <w:rsid w:val="00B404AC"/>
    <w:rsid w:val="00B40596"/>
    <w:rsid w:val="00B405FF"/>
    <w:rsid w:val="00B4065B"/>
    <w:rsid w:val="00B40760"/>
    <w:rsid w:val="00B40968"/>
    <w:rsid w:val="00B4099C"/>
    <w:rsid w:val="00B409A5"/>
    <w:rsid w:val="00B40B5F"/>
    <w:rsid w:val="00B40C7C"/>
    <w:rsid w:val="00B40CE3"/>
    <w:rsid w:val="00B40F29"/>
    <w:rsid w:val="00B40F64"/>
    <w:rsid w:val="00B40FAF"/>
    <w:rsid w:val="00B4101D"/>
    <w:rsid w:val="00B410A7"/>
    <w:rsid w:val="00B41197"/>
    <w:rsid w:val="00B411ED"/>
    <w:rsid w:val="00B411F0"/>
    <w:rsid w:val="00B4136D"/>
    <w:rsid w:val="00B41504"/>
    <w:rsid w:val="00B416EF"/>
    <w:rsid w:val="00B41703"/>
    <w:rsid w:val="00B41794"/>
    <w:rsid w:val="00B417C1"/>
    <w:rsid w:val="00B4189E"/>
    <w:rsid w:val="00B418F5"/>
    <w:rsid w:val="00B4191F"/>
    <w:rsid w:val="00B41924"/>
    <w:rsid w:val="00B41A26"/>
    <w:rsid w:val="00B41A8F"/>
    <w:rsid w:val="00B41AE2"/>
    <w:rsid w:val="00B41AF9"/>
    <w:rsid w:val="00B41B24"/>
    <w:rsid w:val="00B41BCB"/>
    <w:rsid w:val="00B41C32"/>
    <w:rsid w:val="00B41C4F"/>
    <w:rsid w:val="00B41CAD"/>
    <w:rsid w:val="00B41EEB"/>
    <w:rsid w:val="00B421B1"/>
    <w:rsid w:val="00B421F8"/>
    <w:rsid w:val="00B42316"/>
    <w:rsid w:val="00B42394"/>
    <w:rsid w:val="00B423C6"/>
    <w:rsid w:val="00B423DE"/>
    <w:rsid w:val="00B424E4"/>
    <w:rsid w:val="00B424F3"/>
    <w:rsid w:val="00B425B2"/>
    <w:rsid w:val="00B4291C"/>
    <w:rsid w:val="00B42A16"/>
    <w:rsid w:val="00B42A3C"/>
    <w:rsid w:val="00B42D1F"/>
    <w:rsid w:val="00B42E3D"/>
    <w:rsid w:val="00B42EB4"/>
    <w:rsid w:val="00B42F17"/>
    <w:rsid w:val="00B42F27"/>
    <w:rsid w:val="00B42F9A"/>
    <w:rsid w:val="00B42FC9"/>
    <w:rsid w:val="00B430C8"/>
    <w:rsid w:val="00B4319E"/>
    <w:rsid w:val="00B43238"/>
    <w:rsid w:val="00B432C2"/>
    <w:rsid w:val="00B43414"/>
    <w:rsid w:val="00B43510"/>
    <w:rsid w:val="00B43532"/>
    <w:rsid w:val="00B438A5"/>
    <w:rsid w:val="00B43900"/>
    <w:rsid w:val="00B43942"/>
    <w:rsid w:val="00B4396E"/>
    <w:rsid w:val="00B43A02"/>
    <w:rsid w:val="00B43A76"/>
    <w:rsid w:val="00B43C97"/>
    <w:rsid w:val="00B43E28"/>
    <w:rsid w:val="00B43E3E"/>
    <w:rsid w:val="00B43E51"/>
    <w:rsid w:val="00B43ECE"/>
    <w:rsid w:val="00B43EF3"/>
    <w:rsid w:val="00B43F88"/>
    <w:rsid w:val="00B4402E"/>
    <w:rsid w:val="00B44041"/>
    <w:rsid w:val="00B440E2"/>
    <w:rsid w:val="00B44181"/>
    <w:rsid w:val="00B4427A"/>
    <w:rsid w:val="00B44455"/>
    <w:rsid w:val="00B4447C"/>
    <w:rsid w:val="00B444C3"/>
    <w:rsid w:val="00B445F6"/>
    <w:rsid w:val="00B44797"/>
    <w:rsid w:val="00B4486B"/>
    <w:rsid w:val="00B448E6"/>
    <w:rsid w:val="00B44961"/>
    <w:rsid w:val="00B449B4"/>
    <w:rsid w:val="00B44A7A"/>
    <w:rsid w:val="00B44B45"/>
    <w:rsid w:val="00B44B8F"/>
    <w:rsid w:val="00B44CC4"/>
    <w:rsid w:val="00B44CD2"/>
    <w:rsid w:val="00B44E01"/>
    <w:rsid w:val="00B44E03"/>
    <w:rsid w:val="00B44E4C"/>
    <w:rsid w:val="00B44E7C"/>
    <w:rsid w:val="00B44F08"/>
    <w:rsid w:val="00B44F62"/>
    <w:rsid w:val="00B45014"/>
    <w:rsid w:val="00B45495"/>
    <w:rsid w:val="00B45618"/>
    <w:rsid w:val="00B456D4"/>
    <w:rsid w:val="00B45842"/>
    <w:rsid w:val="00B458EE"/>
    <w:rsid w:val="00B459C3"/>
    <w:rsid w:val="00B45A23"/>
    <w:rsid w:val="00B45C10"/>
    <w:rsid w:val="00B45C23"/>
    <w:rsid w:val="00B45C8B"/>
    <w:rsid w:val="00B45CE1"/>
    <w:rsid w:val="00B45D8A"/>
    <w:rsid w:val="00B45E80"/>
    <w:rsid w:val="00B46019"/>
    <w:rsid w:val="00B4610B"/>
    <w:rsid w:val="00B461D0"/>
    <w:rsid w:val="00B461F5"/>
    <w:rsid w:val="00B46269"/>
    <w:rsid w:val="00B46368"/>
    <w:rsid w:val="00B463E9"/>
    <w:rsid w:val="00B46460"/>
    <w:rsid w:val="00B464E6"/>
    <w:rsid w:val="00B4652F"/>
    <w:rsid w:val="00B46657"/>
    <w:rsid w:val="00B466B7"/>
    <w:rsid w:val="00B466C1"/>
    <w:rsid w:val="00B46884"/>
    <w:rsid w:val="00B46C44"/>
    <w:rsid w:val="00B46C65"/>
    <w:rsid w:val="00B46CC5"/>
    <w:rsid w:val="00B46F36"/>
    <w:rsid w:val="00B46F74"/>
    <w:rsid w:val="00B46F7E"/>
    <w:rsid w:val="00B46F99"/>
    <w:rsid w:val="00B4705D"/>
    <w:rsid w:val="00B47091"/>
    <w:rsid w:val="00B470E2"/>
    <w:rsid w:val="00B471F3"/>
    <w:rsid w:val="00B47367"/>
    <w:rsid w:val="00B47478"/>
    <w:rsid w:val="00B474EF"/>
    <w:rsid w:val="00B4757D"/>
    <w:rsid w:val="00B4775D"/>
    <w:rsid w:val="00B4778B"/>
    <w:rsid w:val="00B478A7"/>
    <w:rsid w:val="00B479BB"/>
    <w:rsid w:val="00B479CA"/>
    <w:rsid w:val="00B47ADB"/>
    <w:rsid w:val="00B47BBC"/>
    <w:rsid w:val="00B47C94"/>
    <w:rsid w:val="00B47E15"/>
    <w:rsid w:val="00B47EB0"/>
    <w:rsid w:val="00B47F03"/>
    <w:rsid w:val="00B47F89"/>
    <w:rsid w:val="00B47F9C"/>
    <w:rsid w:val="00B47FA6"/>
    <w:rsid w:val="00B502E8"/>
    <w:rsid w:val="00B504FB"/>
    <w:rsid w:val="00B50718"/>
    <w:rsid w:val="00B5086B"/>
    <w:rsid w:val="00B508E7"/>
    <w:rsid w:val="00B509A1"/>
    <w:rsid w:val="00B50A1E"/>
    <w:rsid w:val="00B50AEB"/>
    <w:rsid w:val="00B50B39"/>
    <w:rsid w:val="00B50B84"/>
    <w:rsid w:val="00B50C3C"/>
    <w:rsid w:val="00B50D23"/>
    <w:rsid w:val="00B50D5B"/>
    <w:rsid w:val="00B50DAC"/>
    <w:rsid w:val="00B50DF1"/>
    <w:rsid w:val="00B50DFF"/>
    <w:rsid w:val="00B50EB1"/>
    <w:rsid w:val="00B50EF0"/>
    <w:rsid w:val="00B50F40"/>
    <w:rsid w:val="00B50FE1"/>
    <w:rsid w:val="00B50FED"/>
    <w:rsid w:val="00B510C8"/>
    <w:rsid w:val="00B51132"/>
    <w:rsid w:val="00B511FB"/>
    <w:rsid w:val="00B51257"/>
    <w:rsid w:val="00B51259"/>
    <w:rsid w:val="00B512F1"/>
    <w:rsid w:val="00B513B8"/>
    <w:rsid w:val="00B5140F"/>
    <w:rsid w:val="00B515A8"/>
    <w:rsid w:val="00B515EC"/>
    <w:rsid w:val="00B515FD"/>
    <w:rsid w:val="00B5172A"/>
    <w:rsid w:val="00B51B98"/>
    <w:rsid w:val="00B51C78"/>
    <w:rsid w:val="00B51F3C"/>
    <w:rsid w:val="00B51F40"/>
    <w:rsid w:val="00B51FA8"/>
    <w:rsid w:val="00B51FF6"/>
    <w:rsid w:val="00B52007"/>
    <w:rsid w:val="00B5209A"/>
    <w:rsid w:val="00B521D0"/>
    <w:rsid w:val="00B521DF"/>
    <w:rsid w:val="00B5222C"/>
    <w:rsid w:val="00B52340"/>
    <w:rsid w:val="00B523D1"/>
    <w:rsid w:val="00B523E0"/>
    <w:rsid w:val="00B52606"/>
    <w:rsid w:val="00B52614"/>
    <w:rsid w:val="00B52687"/>
    <w:rsid w:val="00B526A3"/>
    <w:rsid w:val="00B526AB"/>
    <w:rsid w:val="00B526D8"/>
    <w:rsid w:val="00B5278D"/>
    <w:rsid w:val="00B527F6"/>
    <w:rsid w:val="00B528F1"/>
    <w:rsid w:val="00B52920"/>
    <w:rsid w:val="00B5296E"/>
    <w:rsid w:val="00B52980"/>
    <w:rsid w:val="00B52C63"/>
    <w:rsid w:val="00B52CDC"/>
    <w:rsid w:val="00B52D06"/>
    <w:rsid w:val="00B52E94"/>
    <w:rsid w:val="00B52F09"/>
    <w:rsid w:val="00B52FE4"/>
    <w:rsid w:val="00B53046"/>
    <w:rsid w:val="00B53199"/>
    <w:rsid w:val="00B531BE"/>
    <w:rsid w:val="00B531DC"/>
    <w:rsid w:val="00B5325A"/>
    <w:rsid w:val="00B5325E"/>
    <w:rsid w:val="00B532A6"/>
    <w:rsid w:val="00B532BB"/>
    <w:rsid w:val="00B5353F"/>
    <w:rsid w:val="00B53658"/>
    <w:rsid w:val="00B536E6"/>
    <w:rsid w:val="00B53765"/>
    <w:rsid w:val="00B5376A"/>
    <w:rsid w:val="00B539C1"/>
    <w:rsid w:val="00B539C9"/>
    <w:rsid w:val="00B539DC"/>
    <w:rsid w:val="00B53A18"/>
    <w:rsid w:val="00B53B11"/>
    <w:rsid w:val="00B53C46"/>
    <w:rsid w:val="00B53D79"/>
    <w:rsid w:val="00B53FC8"/>
    <w:rsid w:val="00B53FCE"/>
    <w:rsid w:val="00B5412B"/>
    <w:rsid w:val="00B541F9"/>
    <w:rsid w:val="00B54308"/>
    <w:rsid w:val="00B54353"/>
    <w:rsid w:val="00B543C6"/>
    <w:rsid w:val="00B5444D"/>
    <w:rsid w:val="00B54452"/>
    <w:rsid w:val="00B54466"/>
    <w:rsid w:val="00B545A4"/>
    <w:rsid w:val="00B545C6"/>
    <w:rsid w:val="00B54803"/>
    <w:rsid w:val="00B549F9"/>
    <w:rsid w:val="00B54A5C"/>
    <w:rsid w:val="00B54CDE"/>
    <w:rsid w:val="00B54EF7"/>
    <w:rsid w:val="00B54F06"/>
    <w:rsid w:val="00B54F98"/>
    <w:rsid w:val="00B5513A"/>
    <w:rsid w:val="00B55179"/>
    <w:rsid w:val="00B551C7"/>
    <w:rsid w:val="00B55467"/>
    <w:rsid w:val="00B555A3"/>
    <w:rsid w:val="00B555ED"/>
    <w:rsid w:val="00B556EB"/>
    <w:rsid w:val="00B556FD"/>
    <w:rsid w:val="00B55709"/>
    <w:rsid w:val="00B55735"/>
    <w:rsid w:val="00B5599B"/>
    <w:rsid w:val="00B55A1C"/>
    <w:rsid w:val="00B55B28"/>
    <w:rsid w:val="00B55E01"/>
    <w:rsid w:val="00B56019"/>
    <w:rsid w:val="00B5614A"/>
    <w:rsid w:val="00B561E7"/>
    <w:rsid w:val="00B562AA"/>
    <w:rsid w:val="00B563C6"/>
    <w:rsid w:val="00B563F1"/>
    <w:rsid w:val="00B564DF"/>
    <w:rsid w:val="00B564FD"/>
    <w:rsid w:val="00B56534"/>
    <w:rsid w:val="00B56638"/>
    <w:rsid w:val="00B5670D"/>
    <w:rsid w:val="00B56919"/>
    <w:rsid w:val="00B569BE"/>
    <w:rsid w:val="00B56A4C"/>
    <w:rsid w:val="00B56B52"/>
    <w:rsid w:val="00B56B9B"/>
    <w:rsid w:val="00B56BE7"/>
    <w:rsid w:val="00B56C20"/>
    <w:rsid w:val="00B56DB9"/>
    <w:rsid w:val="00B56E35"/>
    <w:rsid w:val="00B57036"/>
    <w:rsid w:val="00B570FF"/>
    <w:rsid w:val="00B571E4"/>
    <w:rsid w:val="00B57229"/>
    <w:rsid w:val="00B57252"/>
    <w:rsid w:val="00B5731D"/>
    <w:rsid w:val="00B57343"/>
    <w:rsid w:val="00B57367"/>
    <w:rsid w:val="00B57570"/>
    <w:rsid w:val="00B575E7"/>
    <w:rsid w:val="00B5766A"/>
    <w:rsid w:val="00B576AB"/>
    <w:rsid w:val="00B576FF"/>
    <w:rsid w:val="00B5775C"/>
    <w:rsid w:val="00B577B3"/>
    <w:rsid w:val="00B5780D"/>
    <w:rsid w:val="00B5788B"/>
    <w:rsid w:val="00B578B2"/>
    <w:rsid w:val="00B578D0"/>
    <w:rsid w:val="00B579AF"/>
    <w:rsid w:val="00B579D9"/>
    <w:rsid w:val="00B57A21"/>
    <w:rsid w:val="00B57A8D"/>
    <w:rsid w:val="00B57C25"/>
    <w:rsid w:val="00B57D41"/>
    <w:rsid w:val="00B57D9F"/>
    <w:rsid w:val="00B57DE5"/>
    <w:rsid w:val="00B57E8E"/>
    <w:rsid w:val="00B57F06"/>
    <w:rsid w:val="00B57F7A"/>
    <w:rsid w:val="00B60001"/>
    <w:rsid w:val="00B60095"/>
    <w:rsid w:val="00B60101"/>
    <w:rsid w:val="00B601BF"/>
    <w:rsid w:val="00B60245"/>
    <w:rsid w:val="00B6041A"/>
    <w:rsid w:val="00B60512"/>
    <w:rsid w:val="00B6054A"/>
    <w:rsid w:val="00B605ED"/>
    <w:rsid w:val="00B605F1"/>
    <w:rsid w:val="00B60624"/>
    <w:rsid w:val="00B60944"/>
    <w:rsid w:val="00B60975"/>
    <w:rsid w:val="00B609FE"/>
    <w:rsid w:val="00B60B11"/>
    <w:rsid w:val="00B60B4D"/>
    <w:rsid w:val="00B60D67"/>
    <w:rsid w:val="00B60F4B"/>
    <w:rsid w:val="00B60F88"/>
    <w:rsid w:val="00B610C9"/>
    <w:rsid w:val="00B61225"/>
    <w:rsid w:val="00B6126A"/>
    <w:rsid w:val="00B612CA"/>
    <w:rsid w:val="00B61404"/>
    <w:rsid w:val="00B61444"/>
    <w:rsid w:val="00B61550"/>
    <w:rsid w:val="00B615EB"/>
    <w:rsid w:val="00B61651"/>
    <w:rsid w:val="00B6172A"/>
    <w:rsid w:val="00B61867"/>
    <w:rsid w:val="00B6193B"/>
    <w:rsid w:val="00B61A51"/>
    <w:rsid w:val="00B61AD1"/>
    <w:rsid w:val="00B61AF9"/>
    <w:rsid w:val="00B61C9B"/>
    <w:rsid w:val="00B61D1F"/>
    <w:rsid w:val="00B61D2E"/>
    <w:rsid w:val="00B61EE6"/>
    <w:rsid w:val="00B61F34"/>
    <w:rsid w:val="00B61FD6"/>
    <w:rsid w:val="00B62026"/>
    <w:rsid w:val="00B6227C"/>
    <w:rsid w:val="00B6228B"/>
    <w:rsid w:val="00B622AC"/>
    <w:rsid w:val="00B6235C"/>
    <w:rsid w:val="00B62466"/>
    <w:rsid w:val="00B625DF"/>
    <w:rsid w:val="00B62843"/>
    <w:rsid w:val="00B6285E"/>
    <w:rsid w:val="00B62A04"/>
    <w:rsid w:val="00B62A8E"/>
    <w:rsid w:val="00B62B44"/>
    <w:rsid w:val="00B62C3E"/>
    <w:rsid w:val="00B62C43"/>
    <w:rsid w:val="00B62C83"/>
    <w:rsid w:val="00B62D6E"/>
    <w:rsid w:val="00B62E29"/>
    <w:rsid w:val="00B62EFB"/>
    <w:rsid w:val="00B6301A"/>
    <w:rsid w:val="00B630A2"/>
    <w:rsid w:val="00B63169"/>
    <w:rsid w:val="00B632B7"/>
    <w:rsid w:val="00B63375"/>
    <w:rsid w:val="00B63413"/>
    <w:rsid w:val="00B6341F"/>
    <w:rsid w:val="00B634F2"/>
    <w:rsid w:val="00B63550"/>
    <w:rsid w:val="00B63556"/>
    <w:rsid w:val="00B635CD"/>
    <w:rsid w:val="00B636EC"/>
    <w:rsid w:val="00B63969"/>
    <w:rsid w:val="00B6396A"/>
    <w:rsid w:val="00B639B3"/>
    <w:rsid w:val="00B63B86"/>
    <w:rsid w:val="00B63DBD"/>
    <w:rsid w:val="00B63DDA"/>
    <w:rsid w:val="00B63DE9"/>
    <w:rsid w:val="00B63DF9"/>
    <w:rsid w:val="00B64087"/>
    <w:rsid w:val="00B642E1"/>
    <w:rsid w:val="00B642ED"/>
    <w:rsid w:val="00B64512"/>
    <w:rsid w:val="00B645DE"/>
    <w:rsid w:val="00B64859"/>
    <w:rsid w:val="00B64865"/>
    <w:rsid w:val="00B64904"/>
    <w:rsid w:val="00B64923"/>
    <w:rsid w:val="00B64A4C"/>
    <w:rsid w:val="00B64AB1"/>
    <w:rsid w:val="00B64B44"/>
    <w:rsid w:val="00B64C31"/>
    <w:rsid w:val="00B64D51"/>
    <w:rsid w:val="00B64EC6"/>
    <w:rsid w:val="00B64F3F"/>
    <w:rsid w:val="00B65064"/>
    <w:rsid w:val="00B650D1"/>
    <w:rsid w:val="00B6521D"/>
    <w:rsid w:val="00B652B0"/>
    <w:rsid w:val="00B652CD"/>
    <w:rsid w:val="00B654A4"/>
    <w:rsid w:val="00B655D5"/>
    <w:rsid w:val="00B65857"/>
    <w:rsid w:val="00B658FE"/>
    <w:rsid w:val="00B65985"/>
    <w:rsid w:val="00B659C6"/>
    <w:rsid w:val="00B65A1F"/>
    <w:rsid w:val="00B65A91"/>
    <w:rsid w:val="00B65AAC"/>
    <w:rsid w:val="00B65BA6"/>
    <w:rsid w:val="00B65BCC"/>
    <w:rsid w:val="00B65C2D"/>
    <w:rsid w:val="00B65D65"/>
    <w:rsid w:val="00B65E05"/>
    <w:rsid w:val="00B65E6F"/>
    <w:rsid w:val="00B66038"/>
    <w:rsid w:val="00B6605B"/>
    <w:rsid w:val="00B66100"/>
    <w:rsid w:val="00B66338"/>
    <w:rsid w:val="00B663EF"/>
    <w:rsid w:val="00B663F7"/>
    <w:rsid w:val="00B66434"/>
    <w:rsid w:val="00B664AD"/>
    <w:rsid w:val="00B665AF"/>
    <w:rsid w:val="00B665FF"/>
    <w:rsid w:val="00B66654"/>
    <w:rsid w:val="00B66698"/>
    <w:rsid w:val="00B666D2"/>
    <w:rsid w:val="00B66703"/>
    <w:rsid w:val="00B6671C"/>
    <w:rsid w:val="00B6674E"/>
    <w:rsid w:val="00B6680F"/>
    <w:rsid w:val="00B6684A"/>
    <w:rsid w:val="00B66924"/>
    <w:rsid w:val="00B66B50"/>
    <w:rsid w:val="00B66B5F"/>
    <w:rsid w:val="00B66DC5"/>
    <w:rsid w:val="00B66DCD"/>
    <w:rsid w:val="00B66F3D"/>
    <w:rsid w:val="00B670FB"/>
    <w:rsid w:val="00B671DA"/>
    <w:rsid w:val="00B672BF"/>
    <w:rsid w:val="00B67363"/>
    <w:rsid w:val="00B6736C"/>
    <w:rsid w:val="00B6736F"/>
    <w:rsid w:val="00B6748E"/>
    <w:rsid w:val="00B674F3"/>
    <w:rsid w:val="00B675EF"/>
    <w:rsid w:val="00B6765B"/>
    <w:rsid w:val="00B676DC"/>
    <w:rsid w:val="00B67734"/>
    <w:rsid w:val="00B67788"/>
    <w:rsid w:val="00B677FB"/>
    <w:rsid w:val="00B678A7"/>
    <w:rsid w:val="00B6791A"/>
    <w:rsid w:val="00B67963"/>
    <w:rsid w:val="00B679A4"/>
    <w:rsid w:val="00B67A39"/>
    <w:rsid w:val="00B67A50"/>
    <w:rsid w:val="00B67AC3"/>
    <w:rsid w:val="00B67BE1"/>
    <w:rsid w:val="00B67BE6"/>
    <w:rsid w:val="00B67C7B"/>
    <w:rsid w:val="00B67DA2"/>
    <w:rsid w:val="00B67DF5"/>
    <w:rsid w:val="00B67E90"/>
    <w:rsid w:val="00B70127"/>
    <w:rsid w:val="00B7022F"/>
    <w:rsid w:val="00B702E2"/>
    <w:rsid w:val="00B70364"/>
    <w:rsid w:val="00B70449"/>
    <w:rsid w:val="00B7052E"/>
    <w:rsid w:val="00B70538"/>
    <w:rsid w:val="00B70543"/>
    <w:rsid w:val="00B706DE"/>
    <w:rsid w:val="00B708A1"/>
    <w:rsid w:val="00B709B6"/>
    <w:rsid w:val="00B70A9C"/>
    <w:rsid w:val="00B70B06"/>
    <w:rsid w:val="00B70D71"/>
    <w:rsid w:val="00B70D9C"/>
    <w:rsid w:val="00B70E1A"/>
    <w:rsid w:val="00B70E65"/>
    <w:rsid w:val="00B70E73"/>
    <w:rsid w:val="00B70ECF"/>
    <w:rsid w:val="00B70F1A"/>
    <w:rsid w:val="00B70F53"/>
    <w:rsid w:val="00B70F9C"/>
    <w:rsid w:val="00B70FAF"/>
    <w:rsid w:val="00B711F6"/>
    <w:rsid w:val="00B712A3"/>
    <w:rsid w:val="00B712E3"/>
    <w:rsid w:val="00B71334"/>
    <w:rsid w:val="00B71388"/>
    <w:rsid w:val="00B71498"/>
    <w:rsid w:val="00B714CB"/>
    <w:rsid w:val="00B7152E"/>
    <w:rsid w:val="00B71547"/>
    <w:rsid w:val="00B71619"/>
    <w:rsid w:val="00B71696"/>
    <w:rsid w:val="00B716DD"/>
    <w:rsid w:val="00B71833"/>
    <w:rsid w:val="00B7198C"/>
    <w:rsid w:val="00B71C17"/>
    <w:rsid w:val="00B71C47"/>
    <w:rsid w:val="00B71C80"/>
    <w:rsid w:val="00B71D7C"/>
    <w:rsid w:val="00B71E94"/>
    <w:rsid w:val="00B71FF6"/>
    <w:rsid w:val="00B720F6"/>
    <w:rsid w:val="00B720FC"/>
    <w:rsid w:val="00B722E2"/>
    <w:rsid w:val="00B72328"/>
    <w:rsid w:val="00B7233C"/>
    <w:rsid w:val="00B72511"/>
    <w:rsid w:val="00B7260F"/>
    <w:rsid w:val="00B72750"/>
    <w:rsid w:val="00B72795"/>
    <w:rsid w:val="00B728A4"/>
    <w:rsid w:val="00B728B7"/>
    <w:rsid w:val="00B728D8"/>
    <w:rsid w:val="00B728E1"/>
    <w:rsid w:val="00B728F8"/>
    <w:rsid w:val="00B7292F"/>
    <w:rsid w:val="00B72B06"/>
    <w:rsid w:val="00B72EC7"/>
    <w:rsid w:val="00B72ED1"/>
    <w:rsid w:val="00B72EE5"/>
    <w:rsid w:val="00B72F52"/>
    <w:rsid w:val="00B730FA"/>
    <w:rsid w:val="00B73198"/>
    <w:rsid w:val="00B7323E"/>
    <w:rsid w:val="00B733C8"/>
    <w:rsid w:val="00B73479"/>
    <w:rsid w:val="00B73535"/>
    <w:rsid w:val="00B736F9"/>
    <w:rsid w:val="00B73AD7"/>
    <w:rsid w:val="00B73B15"/>
    <w:rsid w:val="00B73B17"/>
    <w:rsid w:val="00B73BC9"/>
    <w:rsid w:val="00B73BE2"/>
    <w:rsid w:val="00B73C50"/>
    <w:rsid w:val="00B73D5F"/>
    <w:rsid w:val="00B744BE"/>
    <w:rsid w:val="00B745DC"/>
    <w:rsid w:val="00B7469E"/>
    <w:rsid w:val="00B74750"/>
    <w:rsid w:val="00B74767"/>
    <w:rsid w:val="00B74845"/>
    <w:rsid w:val="00B749CD"/>
    <w:rsid w:val="00B74BD3"/>
    <w:rsid w:val="00B74C44"/>
    <w:rsid w:val="00B74EBA"/>
    <w:rsid w:val="00B74ECF"/>
    <w:rsid w:val="00B74F3D"/>
    <w:rsid w:val="00B74F7E"/>
    <w:rsid w:val="00B74FC8"/>
    <w:rsid w:val="00B74FF6"/>
    <w:rsid w:val="00B7505E"/>
    <w:rsid w:val="00B7512B"/>
    <w:rsid w:val="00B75566"/>
    <w:rsid w:val="00B75580"/>
    <w:rsid w:val="00B7562C"/>
    <w:rsid w:val="00B75684"/>
    <w:rsid w:val="00B7578A"/>
    <w:rsid w:val="00B758DD"/>
    <w:rsid w:val="00B7595B"/>
    <w:rsid w:val="00B75A7F"/>
    <w:rsid w:val="00B75AD8"/>
    <w:rsid w:val="00B75B27"/>
    <w:rsid w:val="00B75B71"/>
    <w:rsid w:val="00B75D75"/>
    <w:rsid w:val="00B75E95"/>
    <w:rsid w:val="00B75EF5"/>
    <w:rsid w:val="00B760A5"/>
    <w:rsid w:val="00B761E0"/>
    <w:rsid w:val="00B76261"/>
    <w:rsid w:val="00B76269"/>
    <w:rsid w:val="00B76391"/>
    <w:rsid w:val="00B7644F"/>
    <w:rsid w:val="00B76490"/>
    <w:rsid w:val="00B764AC"/>
    <w:rsid w:val="00B764C0"/>
    <w:rsid w:val="00B76599"/>
    <w:rsid w:val="00B76605"/>
    <w:rsid w:val="00B7678D"/>
    <w:rsid w:val="00B76842"/>
    <w:rsid w:val="00B7686E"/>
    <w:rsid w:val="00B76CB2"/>
    <w:rsid w:val="00B76E7C"/>
    <w:rsid w:val="00B76E8C"/>
    <w:rsid w:val="00B76F37"/>
    <w:rsid w:val="00B7705A"/>
    <w:rsid w:val="00B770CA"/>
    <w:rsid w:val="00B77215"/>
    <w:rsid w:val="00B772F7"/>
    <w:rsid w:val="00B77362"/>
    <w:rsid w:val="00B7740C"/>
    <w:rsid w:val="00B77499"/>
    <w:rsid w:val="00B77572"/>
    <w:rsid w:val="00B77874"/>
    <w:rsid w:val="00B778DA"/>
    <w:rsid w:val="00B77921"/>
    <w:rsid w:val="00B77AC6"/>
    <w:rsid w:val="00B77B53"/>
    <w:rsid w:val="00B77B5E"/>
    <w:rsid w:val="00B77B81"/>
    <w:rsid w:val="00B77C27"/>
    <w:rsid w:val="00B77CD0"/>
    <w:rsid w:val="00B77D2A"/>
    <w:rsid w:val="00B77E06"/>
    <w:rsid w:val="00B77E1A"/>
    <w:rsid w:val="00B77E98"/>
    <w:rsid w:val="00B77FF3"/>
    <w:rsid w:val="00B8001F"/>
    <w:rsid w:val="00B8025E"/>
    <w:rsid w:val="00B802E2"/>
    <w:rsid w:val="00B8039E"/>
    <w:rsid w:val="00B8049D"/>
    <w:rsid w:val="00B80507"/>
    <w:rsid w:val="00B80569"/>
    <w:rsid w:val="00B8074D"/>
    <w:rsid w:val="00B808E0"/>
    <w:rsid w:val="00B80ABA"/>
    <w:rsid w:val="00B80B45"/>
    <w:rsid w:val="00B80BA1"/>
    <w:rsid w:val="00B80C88"/>
    <w:rsid w:val="00B80D0E"/>
    <w:rsid w:val="00B80DFC"/>
    <w:rsid w:val="00B80EB3"/>
    <w:rsid w:val="00B80FBF"/>
    <w:rsid w:val="00B81037"/>
    <w:rsid w:val="00B81108"/>
    <w:rsid w:val="00B8136B"/>
    <w:rsid w:val="00B81451"/>
    <w:rsid w:val="00B81457"/>
    <w:rsid w:val="00B81894"/>
    <w:rsid w:val="00B818B3"/>
    <w:rsid w:val="00B818D5"/>
    <w:rsid w:val="00B819D1"/>
    <w:rsid w:val="00B819D2"/>
    <w:rsid w:val="00B81D1F"/>
    <w:rsid w:val="00B81D42"/>
    <w:rsid w:val="00B81E0A"/>
    <w:rsid w:val="00B81FF8"/>
    <w:rsid w:val="00B82024"/>
    <w:rsid w:val="00B82030"/>
    <w:rsid w:val="00B820CA"/>
    <w:rsid w:val="00B82113"/>
    <w:rsid w:val="00B82133"/>
    <w:rsid w:val="00B821D9"/>
    <w:rsid w:val="00B8231F"/>
    <w:rsid w:val="00B82341"/>
    <w:rsid w:val="00B82391"/>
    <w:rsid w:val="00B8251A"/>
    <w:rsid w:val="00B8260A"/>
    <w:rsid w:val="00B826B9"/>
    <w:rsid w:val="00B82861"/>
    <w:rsid w:val="00B82992"/>
    <w:rsid w:val="00B829B1"/>
    <w:rsid w:val="00B82C3B"/>
    <w:rsid w:val="00B82CF0"/>
    <w:rsid w:val="00B82D31"/>
    <w:rsid w:val="00B82DC8"/>
    <w:rsid w:val="00B82E1C"/>
    <w:rsid w:val="00B82E1D"/>
    <w:rsid w:val="00B82E1F"/>
    <w:rsid w:val="00B82E81"/>
    <w:rsid w:val="00B82EF9"/>
    <w:rsid w:val="00B82F32"/>
    <w:rsid w:val="00B8310E"/>
    <w:rsid w:val="00B8317B"/>
    <w:rsid w:val="00B831F8"/>
    <w:rsid w:val="00B831FD"/>
    <w:rsid w:val="00B8334B"/>
    <w:rsid w:val="00B8348D"/>
    <w:rsid w:val="00B834DE"/>
    <w:rsid w:val="00B834F0"/>
    <w:rsid w:val="00B835CC"/>
    <w:rsid w:val="00B8368B"/>
    <w:rsid w:val="00B836FA"/>
    <w:rsid w:val="00B83868"/>
    <w:rsid w:val="00B838C3"/>
    <w:rsid w:val="00B83A1E"/>
    <w:rsid w:val="00B83D06"/>
    <w:rsid w:val="00B83D79"/>
    <w:rsid w:val="00B83E6D"/>
    <w:rsid w:val="00B83EBE"/>
    <w:rsid w:val="00B83F35"/>
    <w:rsid w:val="00B83F8F"/>
    <w:rsid w:val="00B84045"/>
    <w:rsid w:val="00B84074"/>
    <w:rsid w:val="00B840E4"/>
    <w:rsid w:val="00B84117"/>
    <w:rsid w:val="00B8414A"/>
    <w:rsid w:val="00B84295"/>
    <w:rsid w:val="00B842BD"/>
    <w:rsid w:val="00B84350"/>
    <w:rsid w:val="00B84419"/>
    <w:rsid w:val="00B8475D"/>
    <w:rsid w:val="00B8488E"/>
    <w:rsid w:val="00B848B4"/>
    <w:rsid w:val="00B84973"/>
    <w:rsid w:val="00B84A92"/>
    <w:rsid w:val="00B85074"/>
    <w:rsid w:val="00B850C2"/>
    <w:rsid w:val="00B850CB"/>
    <w:rsid w:val="00B85118"/>
    <w:rsid w:val="00B85215"/>
    <w:rsid w:val="00B85255"/>
    <w:rsid w:val="00B854EF"/>
    <w:rsid w:val="00B855A6"/>
    <w:rsid w:val="00B855F2"/>
    <w:rsid w:val="00B85779"/>
    <w:rsid w:val="00B8577D"/>
    <w:rsid w:val="00B85833"/>
    <w:rsid w:val="00B85875"/>
    <w:rsid w:val="00B859BA"/>
    <w:rsid w:val="00B85A59"/>
    <w:rsid w:val="00B85AF9"/>
    <w:rsid w:val="00B85FBB"/>
    <w:rsid w:val="00B85FCA"/>
    <w:rsid w:val="00B860DF"/>
    <w:rsid w:val="00B860FA"/>
    <w:rsid w:val="00B86101"/>
    <w:rsid w:val="00B86276"/>
    <w:rsid w:val="00B862B8"/>
    <w:rsid w:val="00B8637F"/>
    <w:rsid w:val="00B864A7"/>
    <w:rsid w:val="00B865B9"/>
    <w:rsid w:val="00B865F0"/>
    <w:rsid w:val="00B8665F"/>
    <w:rsid w:val="00B866B1"/>
    <w:rsid w:val="00B866DD"/>
    <w:rsid w:val="00B86842"/>
    <w:rsid w:val="00B8684F"/>
    <w:rsid w:val="00B869F2"/>
    <w:rsid w:val="00B86BB6"/>
    <w:rsid w:val="00B86BED"/>
    <w:rsid w:val="00B86D0D"/>
    <w:rsid w:val="00B86D49"/>
    <w:rsid w:val="00B86DA0"/>
    <w:rsid w:val="00B86F41"/>
    <w:rsid w:val="00B86F47"/>
    <w:rsid w:val="00B870F6"/>
    <w:rsid w:val="00B8711D"/>
    <w:rsid w:val="00B87357"/>
    <w:rsid w:val="00B873C1"/>
    <w:rsid w:val="00B873E9"/>
    <w:rsid w:val="00B876D6"/>
    <w:rsid w:val="00B877CF"/>
    <w:rsid w:val="00B87853"/>
    <w:rsid w:val="00B87876"/>
    <w:rsid w:val="00B87A6B"/>
    <w:rsid w:val="00B87E66"/>
    <w:rsid w:val="00B87F28"/>
    <w:rsid w:val="00B90011"/>
    <w:rsid w:val="00B9003A"/>
    <w:rsid w:val="00B90125"/>
    <w:rsid w:val="00B90187"/>
    <w:rsid w:val="00B9029C"/>
    <w:rsid w:val="00B902D9"/>
    <w:rsid w:val="00B90407"/>
    <w:rsid w:val="00B9044B"/>
    <w:rsid w:val="00B9049C"/>
    <w:rsid w:val="00B90778"/>
    <w:rsid w:val="00B90818"/>
    <w:rsid w:val="00B909A5"/>
    <w:rsid w:val="00B90A93"/>
    <w:rsid w:val="00B90B08"/>
    <w:rsid w:val="00B90B46"/>
    <w:rsid w:val="00B90BDB"/>
    <w:rsid w:val="00B90C9F"/>
    <w:rsid w:val="00B90DBE"/>
    <w:rsid w:val="00B90E7E"/>
    <w:rsid w:val="00B90E9F"/>
    <w:rsid w:val="00B90FA8"/>
    <w:rsid w:val="00B91003"/>
    <w:rsid w:val="00B91098"/>
    <w:rsid w:val="00B9109E"/>
    <w:rsid w:val="00B911ED"/>
    <w:rsid w:val="00B913B5"/>
    <w:rsid w:val="00B913DB"/>
    <w:rsid w:val="00B91417"/>
    <w:rsid w:val="00B91484"/>
    <w:rsid w:val="00B917C7"/>
    <w:rsid w:val="00B917E4"/>
    <w:rsid w:val="00B91904"/>
    <w:rsid w:val="00B91938"/>
    <w:rsid w:val="00B919EE"/>
    <w:rsid w:val="00B919F2"/>
    <w:rsid w:val="00B91AE7"/>
    <w:rsid w:val="00B91B32"/>
    <w:rsid w:val="00B91CC5"/>
    <w:rsid w:val="00B91D80"/>
    <w:rsid w:val="00B91F0B"/>
    <w:rsid w:val="00B91FF5"/>
    <w:rsid w:val="00B92124"/>
    <w:rsid w:val="00B921CA"/>
    <w:rsid w:val="00B922F9"/>
    <w:rsid w:val="00B92355"/>
    <w:rsid w:val="00B92548"/>
    <w:rsid w:val="00B925B5"/>
    <w:rsid w:val="00B926D4"/>
    <w:rsid w:val="00B92735"/>
    <w:rsid w:val="00B927A7"/>
    <w:rsid w:val="00B927C8"/>
    <w:rsid w:val="00B9286C"/>
    <w:rsid w:val="00B92887"/>
    <w:rsid w:val="00B92983"/>
    <w:rsid w:val="00B92A48"/>
    <w:rsid w:val="00B92B26"/>
    <w:rsid w:val="00B92B33"/>
    <w:rsid w:val="00B92BA3"/>
    <w:rsid w:val="00B92C1A"/>
    <w:rsid w:val="00B92C6B"/>
    <w:rsid w:val="00B92CEA"/>
    <w:rsid w:val="00B92E59"/>
    <w:rsid w:val="00B92E83"/>
    <w:rsid w:val="00B92EE3"/>
    <w:rsid w:val="00B92EF1"/>
    <w:rsid w:val="00B92FA8"/>
    <w:rsid w:val="00B930F3"/>
    <w:rsid w:val="00B9313E"/>
    <w:rsid w:val="00B93244"/>
    <w:rsid w:val="00B93302"/>
    <w:rsid w:val="00B93345"/>
    <w:rsid w:val="00B934B4"/>
    <w:rsid w:val="00B9351C"/>
    <w:rsid w:val="00B935CD"/>
    <w:rsid w:val="00B9375C"/>
    <w:rsid w:val="00B937D7"/>
    <w:rsid w:val="00B93ADA"/>
    <w:rsid w:val="00B93B9B"/>
    <w:rsid w:val="00B93C6F"/>
    <w:rsid w:val="00B93EF4"/>
    <w:rsid w:val="00B93F02"/>
    <w:rsid w:val="00B93FD5"/>
    <w:rsid w:val="00B94035"/>
    <w:rsid w:val="00B940BB"/>
    <w:rsid w:val="00B9412E"/>
    <w:rsid w:val="00B94273"/>
    <w:rsid w:val="00B94301"/>
    <w:rsid w:val="00B943F6"/>
    <w:rsid w:val="00B944B4"/>
    <w:rsid w:val="00B9458A"/>
    <w:rsid w:val="00B94895"/>
    <w:rsid w:val="00B9495D"/>
    <w:rsid w:val="00B94A54"/>
    <w:rsid w:val="00B94AB8"/>
    <w:rsid w:val="00B94AC3"/>
    <w:rsid w:val="00B94B34"/>
    <w:rsid w:val="00B94D0D"/>
    <w:rsid w:val="00B94EC9"/>
    <w:rsid w:val="00B94F7A"/>
    <w:rsid w:val="00B95052"/>
    <w:rsid w:val="00B950C2"/>
    <w:rsid w:val="00B952FE"/>
    <w:rsid w:val="00B95429"/>
    <w:rsid w:val="00B95652"/>
    <w:rsid w:val="00B956ED"/>
    <w:rsid w:val="00B95B10"/>
    <w:rsid w:val="00B95B65"/>
    <w:rsid w:val="00B95C97"/>
    <w:rsid w:val="00B95CC2"/>
    <w:rsid w:val="00B95D6A"/>
    <w:rsid w:val="00B95D8C"/>
    <w:rsid w:val="00B95EED"/>
    <w:rsid w:val="00B95F54"/>
    <w:rsid w:val="00B95FC2"/>
    <w:rsid w:val="00B96158"/>
    <w:rsid w:val="00B96397"/>
    <w:rsid w:val="00B964EA"/>
    <w:rsid w:val="00B968D3"/>
    <w:rsid w:val="00B9693C"/>
    <w:rsid w:val="00B969B8"/>
    <w:rsid w:val="00B969ED"/>
    <w:rsid w:val="00B96B6C"/>
    <w:rsid w:val="00B96B7C"/>
    <w:rsid w:val="00B96DBE"/>
    <w:rsid w:val="00B96E84"/>
    <w:rsid w:val="00B96FAD"/>
    <w:rsid w:val="00B97220"/>
    <w:rsid w:val="00B9743E"/>
    <w:rsid w:val="00B97497"/>
    <w:rsid w:val="00B974FC"/>
    <w:rsid w:val="00B97669"/>
    <w:rsid w:val="00B976CF"/>
    <w:rsid w:val="00B97828"/>
    <w:rsid w:val="00B97921"/>
    <w:rsid w:val="00B979CC"/>
    <w:rsid w:val="00B97CA2"/>
    <w:rsid w:val="00B97F37"/>
    <w:rsid w:val="00B97F94"/>
    <w:rsid w:val="00BA0077"/>
    <w:rsid w:val="00BA00D0"/>
    <w:rsid w:val="00BA0249"/>
    <w:rsid w:val="00BA0298"/>
    <w:rsid w:val="00BA02E9"/>
    <w:rsid w:val="00BA03F9"/>
    <w:rsid w:val="00BA0601"/>
    <w:rsid w:val="00BA0664"/>
    <w:rsid w:val="00BA06AB"/>
    <w:rsid w:val="00BA0825"/>
    <w:rsid w:val="00BA0B0A"/>
    <w:rsid w:val="00BA0B54"/>
    <w:rsid w:val="00BA1007"/>
    <w:rsid w:val="00BA11B1"/>
    <w:rsid w:val="00BA1200"/>
    <w:rsid w:val="00BA126E"/>
    <w:rsid w:val="00BA13A9"/>
    <w:rsid w:val="00BA1407"/>
    <w:rsid w:val="00BA142C"/>
    <w:rsid w:val="00BA1559"/>
    <w:rsid w:val="00BA164B"/>
    <w:rsid w:val="00BA1749"/>
    <w:rsid w:val="00BA18E3"/>
    <w:rsid w:val="00BA1957"/>
    <w:rsid w:val="00BA1A0D"/>
    <w:rsid w:val="00BA1AE6"/>
    <w:rsid w:val="00BA1B08"/>
    <w:rsid w:val="00BA1B45"/>
    <w:rsid w:val="00BA1CEE"/>
    <w:rsid w:val="00BA1DE9"/>
    <w:rsid w:val="00BA1F80"/>
    <w:rsid w:val="00BA1F8D"/>
    <w:rsid w:val="00BA2179"/>
    <w:rsid w:val="00BA2199"/>
    <w:rsid w:val="00BA2245"/>
    <w:rsid w:val="00BA2776"/>
    <w:rsid w:val="00BA2791"/>
    <w:rsid w:val="00BA27EF"/>
    <w:rsid w:val="00BA2833"/>
    <w:rsid w:val="00BA28C6"/>
    <w:rsid w:val="00BA2919"/>
    <w:rsid w:val="00BA2988"/>
    <w:rsid w:val="00BA2A45"/>
    <w:rsid w:val="00BA2B20"/>
    <w:rsid w:val="00BA2BB3"/>
    <w:rsid w:val="00BA2CA4"/>
    <w:rsid w:val="00BA2D83"/>
    <w:rsid w:val="00BA2E04"/>
    <w:rsid w:val="00BA2F7C"/>
    <w:rsid w:val="00BA3022"/>
    <w:rsid w:val="00BA304A"/>
    <w:rsid w:val="00BA3073"/>
    <w:rsid w:val="00BA3078"/>
    <w:rsid w:val="00BA3090"/>
    <w:rsid w:val="00BA30B2"/>
    <w:rsid w:val="00BA31A4"/>
    <w:rsid w:val="00BA31F0"/>
    <w:rsid w:val="00BA32EA"/>
    <w:rsid w:val="00BA3605"/>
    <w:rsid w:val="00BA36F6"/>
    <w:rsid w:val="00BA3797"/>
    <w:rsid w:val="00BA379B"/>
    <w:rsid w:val="00BA388B"/>
    <w:rsid w:val="00BA38AD"/>
    <w:rsid w:val="00BA38CF"/>
    <w:rsid w:val="00BA3943"/>
    <w:rsid w:val="00BA3A29"/>
    <w:rsid w:val="00BA3A54"/>
    <w:rsid w:val="00BA3B58"/>
    <w:rsid w:val="00BA3C3B"/>
    <w:rsid w:val="00BA3CDF"/>
    <w:rsid w:val="00BA3D4C"/>
    <w:rsid w:val="00BA3DDE"/>
    <w:rsid w:val="00BA4061"/>
    <w:rsid w:val="00BA4074"/>
    <w:rsid w:val="00BA40F4"/>
    <w:rsid w:val="00BA4106"/>
    <w:rsid w:val="00BA4264"/>
    <w:rsid w:val="00BA42BD"/>
    <w:rsid w:val="00BA43D7"/>
    <w:rsid w:val="00BA45CF"/>
    <w:rsid w:val="00BA47AA"/>
    <w:rsid w:val="00BA47B9"/>
    <w:rsid w:val="00BA490E"/>
    <w:rsid w:val="00BA4AB8"/>
    <w:rsid w:val="00BA4AEC"/>
    <w:rsid w:val="00BA4B0B"/>
    <w:rsid w:val="00BA4C56"/>
    <w:rsid w:val="00BA4C94"/>
    <w:rsid w:val="00BA4CD8"/>
    <w:rsid w:val="00BA4EC4"/>
    <w:rsid w:val="00BA500F"/>
    <w:rsid w:val="00BA53C0"/>
    <w:rsid w:val="00BA540C"/>
    <w:rsid w:val="00BA543C"/>
    <w:rsid w:val="00BA548F"/>
    <w:rsid w:val="00BA54B3"/>
    <w:rsid w:val="00BA552A"/>
    <w:rsid w:val="00BA5621"/>
    <w:rsid w:val="00BA5694"/>
    <w:rsid w:val="00BA56D4"/>
    <w:rsid w:val="00BA56F1"/>
    <w:rsid w:val="00BA57A3"/>
    <w:rsid w:val="00BA57AC"/>
    <w:rsid w:val="00BA57DA"/>
    <w:rsid w:val="00BA5AC2"/>
    <w:rsid w:val="00BA5AC3"/>
    <w:rsid w:val="00BA5B0E"/>
    <w:rsid w:val="00BA5D43"/>
    <w:rsid w:val="00BA5D78"/>
    <w:rsid w:val="00BA5F75"/>
    <w:rsid w:val="00BA6046"/>
    <w:rsid w:val="00BA617F"/>
    <w:rsid w:val="00BA61AB"/>
    <w:rsid w:val="00BA6392"/>
    <w:rsid w:val="00BA63D0"/>
    <w:rsid w:val="00BA6468"/>
    <w:rsid w:val="00BA664F"/>
    <w:rsid w:val="00BA6766"/>
    <w:rsid w:val="00BA677D"/>
    <w:rsid w:val="00BA6858"/>
    <w:rsid w:val="00BA691A"/>
    <w:rsid w:val="00BA69DF"/>
    <w:rsid w:val="00BA6B06"/>
    <w:rsid w:val="00BA6B65"/>
    <w:rsid w:val="00BA6BD7"/>
    <w:rsid w:val="00BA6F06"/>
    <w:rsid w:val="00BA6F20"/>
    <w:rsid w:val="00BA6F8F"/>
    <w:rsid w:val="00BA701B"/>
    <w:rsid w:val="00BA7125"/>
    <w:rsid w:val="00BA71C7"/>
    <w:rsid w:val="00BA7201"/>
    <w:rsid w:val="00BA746A"/>
    <w:rsid w:val="00BA7560"/>
    <w:rsid w:val="00BA75CD"/>
    <w:rsid w:val="00BA7758"/>
    <w:rsid w:val="00BA77D5"/>
    <w:rsid w:val="00BA77F1"/>
    <w:rsid w:val="00BA7831"/>
    <w:rsid w:val="00BA79E4"/>
    <w:rsid w:val="00BA7AAF"/>
    <w:rsid w:val="00BA7CDB"/>
    <w:rsid w:val="00BA7D9C"/>
    <w:rsid w:val="00BA7DB6"/>
    <w:rsid w:val="00BA7DC0"/>
    <w:rsid w:val="00BA7E1B"/>
    <w:rsid w:val="00BA7F7E"/>
    <w:rsid w:val="00BB001A"/>
    <w:rsid w:val="00BB004B"/>
    <w:rsid w:val="00BB00A4"/>
    <w:rsid w:val="00BB0148"/>
    <w:rsid w:val="00BB01CD"/>
    <w:rsid w:val="00BB01D2"/>
    <w:rsid w:val="00BB0518"/>
    <w:rsid w:val="00BB070E"/>
    <w:rsid w:val="00BB07BC"/>
    <w:rsid w:val="00BB085B"/>
    <w:rsid w:val="00BB09FF"/>
    <w:rsid w:val="00BB0C8D"/>
    <w:rsid w:val="00BB0D74"/>
    <w:rsid w:val="00BB0D90"/>
    <w:rsid w:val="00BB0D92"/>
    <w:rsid w:val="00BB0DF9"/>
    <w:rsid w:val="00BB0E0F"/>
    <w:rsid w:val="00BB11F5"/>
    <w:rsid w:val="00BB13A7"/>
    <w:rsid w:val="00BB159E"/>
    <w:rsid w:val="00BB1610"/>
    <w:rsid w:val="00BB1796"/>
    <w:rsid w:val="00BB17D2"/>
    <w:rsid w:val="00BB1811"/>
    <w:rsid w:val="00BB1B4B"/>
    <w:rsid w:val="00BB1C2D"/>
    <w:rsid w:val="00BB1C50"/>
    <w:rsid w:val="00BB1CA3"/>
    <w:rsid w:val="00BB1CB9"/>
    <w:rsid w:val="00BB1D2A"/>
    <w:rsid w:val="00BB1D4F"/>
    <w:rsid w:val="00BB1D55"/>
    <w:rsid w:val="00BB1EC2"/>
    <w:rsid w:val="00BB1F71"/>
    <w:rsid w:val="00BB1FF1"/>
    <w:rsid w:val="00BB20B8"/>
    <w:rsid w:val="00BB2134"/>
    <w:rsid w:val="00BB22AD"/>
    <w:rsid w:val="00BB231A"/>
    <w:rsid w:val="00BB25D5"/>
    <w:rsid w:val="00BB2646"/>
    <w:rsid w:val="00BB266A"/>
    <w:rsid w:val="00BB27B0"/>
    <w:rsid w:val="00BB2822"/>
    <w:rsid w:val="00BB299F"/>
    <w:rsid w:val="00BB2B51"/>
    <w:rsid w:val="00BB2C12"/>
    <w:rsid w:val="00BB2C2D"/>
    <w:rsid w:val="00BB2D7F"/>
    <w:rsid w:val="00BB2DD2"/>
    <w:rsid w:val="00BB2E5E"/>
    <w:rsid w:val="00BB2F36"/>
    <w:rsid w:val="00BB2FB8"/>
    <w:rsid w:val="00BB3077"/>
    <w:rsid w:val="00BB3099"/>
    <w:rsid w:val="00BB30DB"/>
    <w:rsid w:val="00BB3101"/>
    <w:rsid w:val="00BB312B"/>
    <w:rsid w:val="00BB31E5"/>
    <w:rsid w:val="00BB32CF"/>
    <w:rsid w:val="00BB32E4"/>
    <w:rsid w:val="00BB345D"/>
    <w:rsid w:val="00BB349B"/>
    <w:rsid w:val="00BB365B"/>
    <w:rsid w:val="00BB36AC"/>
    <w:rsid w:val="00BB36B4"/>
    <w:rsid w:val="00BB36D5"/>
    <w:rsid w:val="00BB3778"/>
    <w:rsid w:val="00BB385D"/>
    <w:rsid w:val="00BB38CC"/>
    <w:rsid w:val="00BB3989"/>
    <w:rsid w:val="00BB3992"/>
    <w:rsid w:val="00BB39D4"/>
    <w:rsid w:val="00BB3AEC"/>
    <w:rsid w:val="00BB3B55"/>
    <w:rsid w:val="00BB3C6C"/>
    <w:rsid w:val="00BB3D46"/>
    <w:rsid w:val="00BB3E6F"/>
    <w:rsid w:val="00BB3F2A"/>
    <w:rsid w:val="00BB4197"/>
    <w:rsid w:val="00BB42F2"/>
    <w:rsid w:val="00BB43F7"/>
    <w:rsid w:val="00BB44CA"/>
    <w:rsid w:val="00BB45BB"/>
    <w:rsid w:val="00BB463B"/>
    <w:rsid w:val="00BB465C"/>
    <w:rsid w:val="00BB473D"/>
    <w:rsid w:val="00BB4AC4"/>
    <w:rsid w:val="00BB4B90"/>
    <w:rsid w:val="00BB4CC0"/>
    <w:rsid w:val="00BB4DAD"/>
    <w:rsid w:val="00BB4E64"/>
    <w:rsid w:val="00BB4E76"/>
    <w:rsid w:val="00BB4EFB"/>
    <w:rsid w:val="00BB502F"/>
    <w:rsid w:val="00BB50A3"/>
    <w:rsid w:val="00BB5242"/>
    <w:rsid w:val="00BB5404"/>
    <w:rsid w:val="00BB5697"/>
    <w:rsid w:val="00BB579D"/>
    <w:rsid w:val="00BB5A51"/>
    <w:rsid w:val="00BB5B92"/>
    <w:rsid w:val="00BB5C42"/>
    <w:rsid w:val="00BB5FE5"/>
    <w:rsid w:val="00BB608B"/>
    <w:rsid w:val="00BB60C6"/>
    <w:rsid w:val="00BB60D3"/>
    <w:rsid w:val="00BB6107"/>
    <w:rsid w:val="00BB629A"/>
    <w:rsid w:val="00BB639B"/>
    <w:rsid w:val="00BB63B9"/>
    <w:rsid w:val="00BB64C7"/>
    <w:rsid w:val="00BB6578"/>
    <w:rsid w:val="00BB65EE"/>
    <w:rsid w:val="00BB666F"/>
    <w:rsid w:val="00BB6686"/>
    <w:rsid w:val="00BB6715"/>
    <w:rsid w:val="00BB6A33"/>
    <w:rsid w:val="00BB6AA6"/>
    <w:rsid w:val="00BB6DE2"/>
    <w:rsid w:val="00BB6E9B"/>
    <w:rsid w:val="00BB6EE2"/>
    <w:rsid w:val="00BB6F51"/>
    <w:rsid w:val="00BB724E"/>
    <w:rsid w:val="00BB7269"/>
    <w:rsid w:val="00BB72C7"/>
    <w:rsid w:val="00BB72D2"/>
    <w:rsid w:val="00BB7310"/>
    <w:rsid w:val="00BB740A"/>
    <w:rsid w:val="00BB7433"/>
    <w:rsid w:val="00BB750C"/>
    <w:rsid w:val="00BB7732"/>
    <w:rsid w:val="00BB7764"/>
    <w:rsid w:val="00BB77E5"/>
    <w:rsid w:val="00BB7834"/>
    <w:rsid w:val="00BB7984"/>
    <w:rsid w:val="00BB79CE"/>
    <w:rsid w:val="00BB7B7C"/>
    <w:rsid w:val="00BB7BD1"/>
    <w:rsid w:val="00BB7BFA"/>
    <w:rsid w:val="00BB7CD5"/>
    <w:rsid w:val="00BB7D4D"/>
    <w:rsid w:val="00BB7DD7"/>
    <w:rsid w:val="00BB7E28"/>
    <w:rsid w:val="00BB7E3F"/>
    <w:rsid w:val="00BB7E54"/>
    <w:rsid w:val="00BB7F40"/>
    <w:rsid w:val="00BBA33D"/>
    <w:rsid w:val="00BC0024"/>
    <w:rsid w:val="00BC01D1"/>
    <w:rsid w:val="00BC02CE"/>
    <w:rsid w:val="00BC0384"/>
    <w:rsid w:val="00BC070A"/>
    <w:rsid w:val="00BC0BC5"/>
    <w:rsid w:val="00BC0C88"/>
    <w:rsid w:val="00BC0D18"/>
    <w:rsid w:val="00BC0D29"/>
    <w:rsid w:val="00BC0D30"/>
    <w:rsid w:val="00BC0D3E"/>
    <w:rsid w:val="00BC0E53"/>
    <w:rsid w:val="00BC0F95"/>
    <w:rsid w:val="00BC0FAF"/>
    <w:rsid w:val="00BC1049"/>
    <w:rsid w:val="00BC1098"/>
    <w:rsid w:val="00BC10B9"/>
    <w:rsid w:val="00BC10C6"/>
    <w:rsid w:val="00BC10F4"/>
    <w:rsid w:val="00BC12D3"/>
    <w:rsid w:val="00BC1440"/>
    <w:rsid w:val="00BC14DF"/>
    <w:rsid w:val="00BC14EC"/>
    <w:rsid w:val="00BC166B"/>
    <w:rsid w:val="00BC187E"/>
    <w:rsid w:val="00BC18B0"/>
    <w:rsid w:val="00BC1945"/>
    <w:rsid w:val="00BC1A55"/>
    <w:rsid w:val="00BC1C0A"/>
    <w:rsid w:val="00BC1C27"/>
    <w:rsid w:val="00BC1D3D"/>
    <w:rsid w:val="00BC1DEE"/>
    <w:rsid w:val="00BC1FE0"/>
    <w:rsid w:val="00BC20AE"/>
    <w:rsid w:val="00BC20F7"/>
    <w:rsid w:val="00BC2223"/>
    <w:rsid w:val="00BC229E"/>
    <w:rsid w:val="00BC2304"/>
    <w:rsid w:val="00BC24A7"/>
    <w:rsid w:val="00BC24EB"/>
    <w:rsid w:val="00BC24F9"/>
    <w:rsid w:val="00BC25F0"/>
    <w:rsid w:val="00BC261A"/>
    <w:rsid w:val="00BC267C"/>
    <w:rsid w:val="00BC26C9"/>
    <w:rsid w:val="00BC288C"/>
    <w:rsid w:val="00BC28E7"/>
    <w:rsid w:val="00BC290D"/>
    <w:rsid w:val="00BC29C0"/>
    <w:rsid w:val="00BC29CE"/>
    <w:rsid w:val="00BC2A17"/>
    <w:rsid w:val="00BC2E27"/>
    <w:rsid w:val="00BC2E50"/>
    <w:rsid w:val="00BC2F45"/>
    <w:rsid w:val="00BC2F56"/>
    <w:rsid w:val="00BC3121"/>
    <w:rsid w:val="00BC320D"/>
    <w:rsid w:val="00BC3469"/>
    <w:rsid w:val="00BC35DA"/>
    <w:rsid w:val="00BC3697"/>
    <w:rsid w:val="00BC36BE"/>
    <w:rsid w:val="00BC380F"/>
    <w:rsid w:val="00BC387A"/>
    <w:rsid w:val="00BC395A"/>
    <w:rsid w:val="00BC3978"/>
    <w:rsid w:val="00BC3AED"/>
    <w:rsid w:val="00BC3B79"/>
    <w:rsid w:val="00BC3D13"/>
    <w:rsid w:val="00BC3D50"/>
    <w:rsid w:val="00BC3DF8"/>
    <w:rsid w:val="00BC3FC4"/>
    <w:rsid w:val="00BC40A7"/>
    <w:rsid w:val="00BC4188"/>
    <w:rsid w:val="00BC4247"/>
    <w:rsid w:val="00BC42BF"/>
    <w:rsid w:val="00BC4359"/>
    <w:rsid w:val="00BC439C"/>
    <w:rsid w:val="00BC4432"/>
    <w:rsid w:val="00BC4451"/>
    <w:rsid w:val="00BC4497"/>
    <w:rsid w:val="00BC453B"/>
    <w:rsid w:val="00BC4545"/>
    <w:rsid w:val="00BC45F7"/>
    <w:rsid w:val="00BC466A"/>
    <w:rsid w:val="00BC466F"/>
    <w:rsid w:val="00BC49B0"/>
    <w:rsid w:val="00BC49DF"/>
    <w:rsid w:val="00BC4B22"/>
    <w:rsid w:val="00BC4BC9"/>
    <w:rsid w:val="00BC4C83"/>
    <w:rsid w:val="00BC4CB4"/>
    <w:rsid w:val="00BC4CB8"/>
    <w:rsid w:val="00BC4D21"/>
    <w:rsid w:val="00BC4D68"/>
    <w:rsid w:val="00BC4DA8"/>
    <w:rsid w:val="00BC4E32"/>
    <w:rsid w:val="00BC4E6B"/>
    <w:rsid w:val="00BC4FEA"/>
    <w:rsid w:val="00BC5172"/>
    <w:rsid w:val="00BC5376"/>
    <w:rsid w:val="00BC5418"/>
    <w:rsid w:val="00BC577D"/>
    <w:rsid w:val="00BC5930"/>
    <w:rsid w:val="00BC59D0"/>
    <w:rsid w:val="00BC5ACB"/>
    <w:rsid w:val="00BC5ADC"/>
    <w:rsid w:val="00BC5B28"/>
    <w:rsid w:val="00BC5B71"/>
    <w:rsid w:val="00BC5B75"/>
    <w:rsid w:val="00BC5D32"/>
    <w:rsid w:val="00BC5D64"/>
    <w:rsid w:val="00BC5F38"/>
    <w:rsid w:val="00BC5F67"/>
    <w:rsid w:val="00BC60D7"/>
    <w:rsid w:val="00BC6134"/>
    <w:rsid w:val="00BC61F8"/>
    <w:rsid w:val="00BC6229"/>
    <w:rsid w:val="00BC64EE"/>
    <w:rsid w:val="00BC6508"/>
    <w:rsid w:val="00BC65E0"/>
    <w:rsid w:val="00BC65E9"/>
    <w:rsid w:val="00BC6669"/>
    <w:rsid w:val="00BC667B"/>
    <w:rsid w:val="00BC667E"/>
    <w:rsid w:val="00BC6859"/>
    <w:rsid w:val="00BC6A06"/>
    <w:rsid w:val="00BC6A9F"/>
    <w:rsid w:val="00BC6C3C"/>
    <w:rsid w:val="00BC6D7B"/>
    <w:rsid w:val="00BC6F05"/>
    <w:rsid w:val="00BC7002"/>
    <w:rsid w:val="00BC70E0"/>
    <w:rsid w:val="00BC7186"/>
    <w:rsid w:val="00BC7250"/>
    <w:rsid w:val="00BC748A"/>
    <w:rsid w:val="00BC7490"/>
    <w:rsid w:val="00BC7499"/>
    <w:rsid w:val="00BC7629"/>
    <w:rsid w:val="00BC76B0"/>
    <w:rsid w:val="00BC7809"/>
    <w:rsid w:val="00BC784D"/>
    <w:rsid w:val="00BC785B"/>
    <w:rsid w:val="00BC78A1"/>
    <w:rsid w:val="00BC791E"/>
    <w:rsid w:val="00BC7976"/>
    <w:rsid w:val="00BC7984"/>
    <w:rsid w:val="00BC7B20"/>
    <w:rsid w:val="00BC7CF8"/>
    <w:rsid w:val="00BC7D0D"/>
    <w:rsid w:val="00BC7D1C"/>
    <w:rsid w:val="00BC7D2A"/>
    <w:rsid w:val="00BC7E93"/>
    <w:rsid w:val="00BD0054"/>
    <w:rsid w:val="00BD00ED"/>
    <w:rsid w:val="00BD00F1"/>
    <w:rsid w:val="00BD0166"/>
    <w:rsid w:val="00BD01DA"/>
    <w:rsid w:val="00BD02D9"/>
    <w:rsid w:val="00BD02ED"/>
    <w:rsid w:val="00BD03E8"/>
    <w:rsid w:val="00BD054D"/>
    <w:rsid w:val="00BD056D"/>
    <w:rsid w:val="00BD0836"/>
    <w:rsid w:val="00BD09B4"/>
    <w:rsid w:val="00BD09EC"/>
    <w:rsid w:val="00BD0A90"/>
    <w:rsid w:val="00BD0AC9"/>
    <w:rsid w:val="00BD0ACA"/>
    <w:rsid w:val="00BD0B7C"/>
    <w:rsid w:val="00BD0B99"/>
    <w:rsid w:val="00BD0C97"/>
    <w:rsid w:val="00BD0D65"/>
    <w:rsid w:val="00BD0DFF"/>
    <w:rsid w:val="00BD0E1A"/>
    <w:rsid w:val="00BD0E8C"/>
    <w:rsid w:val="00BD0F1E"/>
    <w:rsid w:val="00BD0F21"/>
    <w:rsid w:val="00BD10BB"/>
    <w:rsid w:val="00BD1129"/>
    <w:rsid w:val="00BD1160"/>
    <w:rsid w:val="00BD127B"/>
    <w:rsid w:val="00BD137C"/>
    <w:rsid w:val="00BD1387"/>
    <w:rsid w:val="00BD13DA"/>
    <w:rsid w:val="00BD13FE"/>
    <w:rsid w:val="00BD1448"/>
    <w:rsid w:val="00BD1486"/>
    <w:rsid w:val="00BD1488"/>
    <w:rsid w:val="00BD1672"/>
    <w:rsid w:val="00BD1808"/>
    <w:rsid w:val="00BD1823"/>
    <w:rsid w:val="00BD18C8"/>
    <w:rsid w:val="00BD1914"/>
    <w:rsid w:val="00BD1A9D"/>
    <w:rsid w:val="00BD1ABB"/>
    <w:rsid w:val="00BD1B0E"/>
    <w:rsid w:val="00BD1BFF"/>
    <w:rsid w:val="00BD1C18"/>
    <w:rsid w:val="00BD1C5C"/>
    <w:rsid w:val="00BD1DA3"/>
    <w:rsid w:val="00BD1FBB"/>
    <w:rsid w:val="00BD2026"/>
    <w:rsid w:val="00BD2043"/>
    <w:rsid w:val="00BD2048"/>
    <w:rsid w:val="00BD20DC"/>
    <w:rsid w:val="00BD21C6"/>
    <w:rsid w:val="00BD21D0"/>
    <w:rsid w:val="00BD23C7"/>
    <w:rsid w:val="00BD25D0"/>
    <w:rsid w:val="00BD2629"/>
    <w:rsid w:val="00BD2683"/>
    <w:rsid w:val="00BD279B"/>
    <w:rsid w:val="00BD27C7"/>
    <w:rsid w:val="00BD2AFE"/>
    <w:rsid w:val="00BD2B6D"/>
    <w:rsid w:val="00BD2CF0"/>
    <w:rsid w:val="00BD2DD0"/>
    <w:rsid w:val="00BD2E2D"/>
    <w:rsid w:val="00BD2EEC"/>
    <w:rsid w:val="00BD2F21"/>
    <w:rsid w:val="00BD31A1"/>
    <w:rsid w:val="00BD31AE"/>
    <w:rsid w:val="00BD329F"/>
    <w:rsid w:val="00BD32FA"/>
    <w:rsid w:val="00BD335F"/>
    <w:rsid w:val="00BD336B"/>
    <w:rsid w:val="00BD3552"/>
    <w:rsid w:val="00BD35BD"/>
    <w:rsid w:val="00BD3604"/>
    <w:rsid w:val="00BD362D"/>
    <w:rsid w:val="00BD3680"/>
    <w:rsid w:val="00BD3754"/>
    <w:rsid w:val="00BD3774"/>
    <w:rsid w:val="00BD37D3"/>
    <w:rsid w:val="00BD38F1"/>
    <w:rsid w:val="00BD3998"/>
    <w:rsid w:val="00BD39B5"/>
    <w:rsid w:val="00BD3A16"/>
    <w:rsid w:val="00BD3A5A"/>
    <w:rsid w:val="00BD3B64"/>
    <w:rsid w:val="00BD3DB7"/>
    <w:rsid w:val="00BD408D"/>
    <w:rsid w:val="00BD4172"/>
    <w:rsid w:val="00BD45D8"/>
    <w:rsid w:val="00BD46F5"/>
    <w:rsid w:val="00BD4764"/>
    <w:rsid w:val="00BD47CA"/>
    <w:rsid w:val="00BD480A"/>
    <w:rsid w:val="00BD481D"/>
    <w:rsid w:val="00BD48D5"/>
    <w:rsid w:val="00BD4931"/>
    <w:rsid w:val="00BD4A6A"/>
    <w:rsid w:val="00BD4B95"/>
    <w:rsid w:val="00BD4B9F"/>
    <w:rsid w:val="00BD4C34"/>
    <w:rsid w:val="00BD4DB2"/>
    <w:rsid w:val="00BD4E1E"/>
    <w:rsid w:val="00BD4E71"/>
    <w:rsid w:val="00BD4EA2"/>
    <w:rsid w:val="00BD4F7F"/>
    <w:rsid w:val="00BD5036"/>
    <w:rsid w:val="00BD5146"/>
    <w:rsid w:val="00BD514B"/>
    <w:rsid w:val="00BD517A"/>
    <w:rsid w:val="00BD51FB"/>
    <w:rsid w:val="00BD5253"/>
    <w:rsid w:val="00BD52B8"/>
    <w:rsid w:val="00BD5391"/>
    <w:rsid w:val="00BD53DB"/>
    <w:rsid w:val="00BD556D"/>
    <w:rsid w:val="00BD559F"/>
    <w:rsid w:val="00BD560B"/>
    <w:rsid w:val="00BD567A"/>
    <w:rsid w:val="00BD56FE"/>
    <w:rsid w:val="00BD5783"/>
    <w:rsid w:val="00BD57F2"/>
    <w:rsid w:val="00BD58A0"/>
    <w:rsid w:val="00BD58CD"/>
    <w:rsid w:val="00BD591E"/>
    <w:rsid w:val="00BD59AD"/>
    <w:rsid w:val="00BD5A5E"/>
    <w:rsid w:val="00BD5B3A"/>
    <w:rsid w:val="00BD5D37"/>
    <w:rsid w:val="00BD5D4B"/>
    <w:rsid w:val="00BD5E3A"/>
    <w:rsid w:val="00BD5EF5"/>
    <w:rsid w:val="00BD61A3"/>
    <w:rsid w:val="00BD6234"/>
    <w:rsid w:val="00BD62B8"/>
    <w:rsid w:val="00BD6579"/>
    <w:rsid w:val="00BD6600"/>
    <w:rsid w:val="00BD6664"/>
    <w:rsid w:val="00BD6772"/>
    <w:rsid w:val="00BD69F9"/>
    <w:rsid w:val="00BD6A31"/>
    <w:rsid w:val="00BD6B11"/>
    <w:rsid w:val="00BD6B74"/>
    <w:rsid w:val="00BD6BFB"/>
    <w:rsid w:val="00BD6E9E"/>
    <w:rsid w:val="00BD6F85"/>
    <w:rsid w:val="00BD7127"/>
    <w:rsid w:val="00BD7236"/>
    <w:rsid w:val="00BD7439"/>
    <w:rsid w:val="00BD7646"/>
    <w:rsid w:val="00BD7699"/>
    <w:rsid w:val="00BD776E"/>
    <w:rsid w:val="00BD7784"/>
    <w:rsid w:val="00BD7BB9"/>
    <w:rsid w:val="00BD7CCD"/>
    <w:rsid w:val="00BD7D37"/>
    <w:rsid w:val="00BD7E90"/>
    <w:rsid w:val="00BDD866"/>
    <w:rsid w:val="00BDF27E"/>
    <w:rsid w:val="00BE0068"/>
    <w:rsid w:val="00BE014E"/>
    <w:rsid w:val="00BE022E"/>
    <w:rsid w:val="00BE02F1"/>
    <w:rsid w:val="00BE049B"/>
    <w:rsid w:val="00BE04DF"/>
    <w:rsid w:val="00BE053F"/>
    <w:rsid w:val="00BE059B"/>
    <w:rsid w:val="00BE0708"/>
    <w:rsid w:val="00BE0749"/>
    <w:rsid w:val="00BE084C"/>
    <w:rsid w:val="00BE0917"/>
    <w:rsid w:val="00BE0933"/>
    <w:rsid w:val="00BE0946"/>
    <w:rsid w:val="00BE0A31"/>
    <w:rsid w:val="00BE0C63"/>
    <w:rsid w:val="00BE0CB9"/>
    <w:rsid w:val="00BE0D57"/>
    <w:rsid w:val="00BE0D67"/>
    <w:rsid w:val="00BE0D8E"/>
    <w:rsid w:val="00BE0DD9"/>
    <w:rsid w:val="00BE0E1A"/>
    <w:rsid w:val="00BE0E94"/>
    <w:rsid w:val="00BE1068"/>
    <w:rsid w:val="00BE1171"/>
    <w:rsid w:val="00BE11AF"/>
    <w:rsid w:val="00BE12DF"/>
    <w:rsid w:val="00BE1306"/>
    <w:rsid w:val="00BE1410"/>
    <w:rsid w:val="00BE14FC"/>
    <w:rsid w:val="00BE1541"/>
    <w:rsid w:val="00BE15CD"/>
    <w:rsid w:val="00BE1691"/>
    <w:rsid w:val="00BE1A54"/>
    <w:rsid w:val="00BE1AE7"/>
    <w:rsid w:val="00BE1B15"/>
    <w:rsid w:val="00BE1C8C"/>
    <w:rsid w:val="00BE1D7D"/>
    <w:rsid w:val="00BE1D93"/>
    <w:rsid w:val="00BE1DAC"/>
    <w:rsid w:val="00BE1DED"/>
    <w:rsid w:val="00BE1DF9"/>
    <w:rsid w:val="00BE1EA4"/>
    <w:rsid w:val="00BE1F4C"/>
    <w:rsid w:val="00BE225B"/>
    <w:rsid w:val="00BE226E"/>
    <w:rsid w:val="00BE238C"/>
    <w:rsid w:val="00BE239B"/>
    <w:rsid w:val="00BE251D"/>
    <w:rsid w:val="00BE2575"/>
    <w:rsid w:val="00BE2583"/>
    <w:rsid w:val="00BE27BB"/>
    <w:rsid w:val="00BE28FD"/>
    <w:rsid w:val="00BE2A83"/>
    <w:rsid w:val="00BE2B86"/>
    <w:rsid w:val="00BE2BA9"/>
    <w:rsid w:val="00BE2BB0"/>
    <w:rsid w:val="00BE2BEA"/>
    <w:rsid w:val="00BE2CA7"/>
    <w:rsid w:val="00BE2E34"/>
    <w:rsid w:val="00BE2FEA"/>
    <w:rsid w:val="00BE313F"/>
    <w:rsid w:val="00BE3177"/>
    <w:rsid w:val="00BE3296"/>
    <w:rsid w:val="00BE3303"/>
    <w:rsid w:val="00BE3399"/>
    <w:rsid w:val="00BE3431"/>
    <w:rsid w:val="00BE3448"/>
    <w:rsid w:val="00BE34C3"/>
    <w:rsid w:val="00BE36DF"/>
    <w:rsid w:val="00BE3836"/>
    <w:rsid w:val="00BE3BC7"/>
    <w:rsid w:val="00BE3C4A"/>
    <w:rsid w:val="00BE3CDF"/>
    <w:rsid w:val="00BE3F3C"/>
    <w:rsid w:val="00BE41C9"/>
    <w:rsid w:val="00BE429D"/>
    <w:rsid w:val="00BE4328"/>
    <w:rsid w:val="00BE435A"/>
    <w:rsid w:val="00BE4535"/>
    <w:rsid w:val="00BE45CB"/>
    <w:rsid w:val="00BE4727"/>
    <w:rsid w:val="00BE4980"/>
    <w:rsid w:val="00BE49FF"/>
    <w:rsid w:val="00BE4A13"/>
    <w:rsid w:val="00BE4A1E"/>
    <w:rsid w:val="00BE4C80"/>
    <w:rsid w:val="00BE4D9B"/>
    <w:rsid w:val="00BE4F24"/>
    <w:rsid w:val="00BE4F49"/>
    <w:rsid w:val="00BE4F9C"/>
    <w:rsid w:val="00BE506D"/>
    <w:rsid w:val="00BE50B5"/>
    <w:rsid w:val="00BE51B9"/>
    <w:rsid w:val="00BE5257"/>
    <w:rsid w:val="00BE529E"/>
    <w:rsid w:val="00BE5331"/>
    <w:rsid w:val="00BE5668"/>
    <w:rsid w:val="00BE5BE0"/>
    <w:rsid w:val="00BE5BEA"/>
    <w:rsid w:val="00BE5D94"/>
    <w:rsid w:val="00BE5E37"/>
    <w:rsid w:val="00BE5EBC"/>
    <w:rsid w:val="00BE5EC7"/>
    <w:rsid w:val="00BE5F1F"/>
    <w:rsid w:val="00BE6181"/>
    <w:rsid w:val="00BE6458"/>
    <w:rsid w:val="00BE647D"/>
    <w:rsid w:val="00BE653D"/>
    <w:rsid w:val="00BE659E"/>
    <w:rsid w:val="00BE6785"/>
    <w:rsid w:val="00BE693D"/>
    <w:rsid w:val="00BE6A2F"/>
    <w:rsid w:val="00BE6B0E"/>
    <w:rsid w:val="00BE6C4B"/>
    <w:rsid w:val="00BE6C6A"/>
    <w:rsid w:val="00BE6C85"/>
    <w:rsid w:val="00BE6E41"/>
    <w:rsid w:val="00BE6EF5"/>
    <w:rsid w:val="00BE6F52"/>
    <w:rsid w:val="00BE6FF9"/>
    <w:rsid w:val="00BE703C"/>
    <w:rsid w:val="00BE7603"/>
    <w:rsid w:val="00BE78AC"/>
    <w:rsid w:val="00BE78E0"/>
    <w:rsid w:val="00BE78F4"/>
    <w:rsid w:val="00BE790D"/>
    <w:rsid w:val="00BE795D"/>
    <w:rsid w:val="00BE7975"/>
    <w:rsid w:val="00BE79B8"/>
    <w:rsid w:val="00BE79C9"/>
    <w:rsid w:val="00BE7B0D"/>
    <w:rsid w:val="00BE7BF5"/>
    <w:rsid w:val="00BE7E34"/>
    <w:rsid w:val="00BF0108"/>
    <w:rsid w:val="00BF01DB"/>
    <w:rsid w:val="00BF025B"/>
    <w:rsid w:val="00BF0278"/>
    <w:rsid w:val="00BF03A9"/>
    <w:rsid w:val="00BF03BB"/>
    <w:rsid w:val="00BF049E"/>
    <w:rsid w:val="00BF054D"/>
    <w:rsid w:val="00BF0652"/>
    <w:rsid w:val="00BF0776"/>
    <w:rsid w:val="00BF08AE"/>
    <w:rsid w:val="00BF08F7"/>
    <w:rsid w:val="00BF0A51"/>
    <w:rsid w:val="00BF0B70"/>
    <w:rsid w:val="00BF0BBE"/>
    <w:rsid w:val="00BF0BC0"/>
    <w:rsid w:val="00BF0D0C"/>
    <w:rsid w:val="00BF0E49"/>
    <w:rsid w:val="00BF0F01"/>
    <w:rsid w:val="00BF0F0B"/>
    <w:rsid w:val="00BF0F13"/>
    <w:rsid w:val="00BF0F2F"/>
    <w:rsid w:val="00BF0FF9"/>
    <w:rsid w:val="00BF103A"/>
    <w:rsid w:val="00BF1086"/>
    <w:rsid w:val="00BF1257"/>
    <w:rsid w:val="00BF1383"/>
    <w:rsid w:val="00BF13D6"/>
    <w:rsid w:val="00BF13E5"/>
    <w:rsid w:val="00BF15A7"/>
    <w:rsid w:val="00BF16D9"/>
    <w:rsid w:val="00BF17BB"/>
    <w:rsid w:val="00BF1847"/>
    <w:rsid w:val="00BF18D7"/>
    <w:rsid w:val="00BF196E"/>
    <w:rsid w:val="00BF19CC"/>
    <w:rsid w:val="00BF1A41"/>
    <w:rsid w:val="00BF1AB7"/>
    <w:rsid w:val="00BF1AE2"/>
    <w:rsid w:val="00BF1B3B"/>
    <w:rsid w:val="00BF1BE1"/>
    <w:rsid w:val="00BF1C91"/>
    <w:rsid w:val="00BF1CA9"/>
    <w:rsid w:val="00BF1D2E"/>
    <w:rsid w:val="00BF1DF1"/>
    <w:rsid w:val="00BF1E65"/>
    <w:rsid w:val="00BF1E6E"/>
    <w:rsid w:val="00BF1F76"/>
    <w:rsid w:val="00BF1FE0"/>
    <w:rsid w:val="00BF1FE8"/>
    <w:rsid w:val="00BF2043"/>
    <w:rsid w:val="00BF20C6"/>
    <w:rsid w:val="00BF218E"/>
    <w:rsid w:val="00BF235B"/>
    <w:rsid w:val="00BF2388"/>
    <w:rsid w:val="00BF24C4"/>
    <w:rsid w:val="00BF25CB"/>
    <w:rsid w:val="00BF27ED"/>
    <w:rsid w:val="00BF28EF"/>
    <w:rsid w:val="00BF293D"/>
    <w:rsid w:val="00BF2948"/>
    <w:rsid w:val="00BF2AE3"/>
    <w:rsid w:val="00BF2B1E"/>
    <w:rsid w:val="00BF2B89"/>
    <w:rsid w:val="00BF2C90"/>
    <w:rsid w:val="00BF2D44"/>
    <w:rsid w:val="00BF2F74"/>
    <w:rsid w:val="00BF3006"/>
    <w:rsid w:val="00BF3011"/>
    <w:rsid w:val="00BF307B"/>
    <w:rsid w:val="00BF30F1"/>
    <w:rsid w:val="00BF3120"/>
    <w:rsid w:val="00BF3181"/>
    <w:rsid w:val="00BF319D"/>
    <w:rsid w:val="00BF31E2"/>
    <w:rsid w:val="00BF34EE"/>
    <w:rsid w:val="00BF361D"/>
    <w:rsid w:val="00BF3626"/>
    <w:rsid w:val="00BF3992"/>
    <w:rsid w:val="00BF3BF8"/>
    <w:rsid w:val="00BF3C3D"/>
    <w:rsid w:val="00BF3CCF"/>
    <w:rsid w:val="00BF3E8B"/>
    <w:rsid w:val="00BF3EEF"/>
    <w:rsid w:val="00BF3F83"/>
    <w:rsid w:val="00BF4070"/>
    <w:rsid w:val="00BF4244"/>
    <w:rsid w:val="00BF42AC"/>
    <w:rsid w:val="00BF42F9"/>
    <w:rsid w:val="00BF461B"/>
    <w:rsid w:val="00BF46AC"/>
    <w:rsid w:val="00BF4954"/>
    <w:rsid w:val="00BF49BF"/>
    <w:rsid w:val="00BF4A54"/>
    <w:rsid w:val="00BF4BDC"/>
    <w:rsid w:val="00BF4CA9"/>
    <w:rsid w:val="00BF4D3C"/>
    <w:rsid w:val="00BF4DA4"/>
    <w:rsid w:val="00BF4E6E"/>
    <w:rsid w:val="00BF4E79"/>
    <w:rsid w:val="00BF4FDD"/>
    <w:rsid w:val="00BF512F"/>
    <w:rsid w:val="00BF5305"/>
    <w:rsid w:val="00BF539A"/>
    <w:rsid w:val="00BF53D7"/>
    <w:rsid w:val="00BF5445"/>
    <w:rsid w:val="00BF5519"/>
    <w:rsid w:val="00BF551F"/>
    <w:rsid w:val="00BF554B"/>
    <w:rsid w:val="00BF5744"/>
    <w:rsid w:val="00BF576C"/>
    <w:rsid w:val="00BF58DC"/>
    <w:rsid w:val="00BF594A"/>
    <w:rsid w:val="00BF59A7"/>
    <w:rsid w:val="00BF59CF"/>
    <w:rsid w:val="00BF5BB3"/>
    <w:rsid w:val="00BF5C45"/>
    <w:rsid w:val="00BF5C58"/>
    <w:rsid w:val="00BF5C85"/>
    <w:rsid w:val="00BF5CEF"/>
    <w:rsid w:val="00BF5F37"/>
    <w:rsid w:val="00BF6018"/>
    <w:rsid w:val="00BF608A"/>
    <w:rsid w:val="00BF611F"/>
    <w:rsid w:val="00BF628B"/>
    <w:rsid w:val="00BF6360"/>
    <w:rsid w:val="00BF6371"/>
    <w:rsid w:val="00BF63B1"/>
    <w:rsid w:val="00BF63EA"/>
    <w:rsid w:val="00BF656A"/>
    <w:rsid w:val="00BF656D"/>
    <w:rsid w:val="00BF6621"/>
    <w:rsid w:val="00BF6708"/>
    <w:rsid w:val="00BF674C"/>
    <w:rsid w:val="00BF6B61"/>
    <w:rsid w:val="00BF6BF7"/>
    <w:rsid w:val="00BF6CC9"/>
    <w:rsid w:val="00BF6D1A"/>
    <w:rsid w:val="00BF6F53"/>
    <w:rsid w:val="00BF719D"/>
    <w:rsid w:val="00BF72A5"/>
    <w:rsid w:val="00BF7344"/>
    <w:rsid w:val="00BF749B"/>
    <w:rsid w:val="00BF75C4"/>
    <w:rsid w:val="00BF781C"/>
    <w:rsid w:val="00BF792D"/>
    <w:rsid w:val="00BF79E8"/>
    <w:rsid w:val="00BF7AC0"/>
    <w:rsid w:val="00BF7B43"/>
    <w:rsid w:val="00BF7C3F"/>
    <w:rsid w:val="00BF7FE9"/>
    <w:rsid w:val="00C000F1"/>
    <w:rsid w:val="00C00391"/>
    <w:rsid w:val="00C004C2"/>
    <w:rsid w:val="00C004CE"/>
    <w:rsid w:val="00C00689"/>
    <w:rsid w:val="00C007F8"/>
    <w:rsid w:val="00C00877"/>
    <w:rsid w:val="00C008B9"/>
    <w:rsid w:val="00C009A9"/>
    <w:rsid w:val="00C009AC"/>
    <w:rsid w:val="00C009DA"/>
    <w:rsid w:val="00C00A59"/>
    <w:rsid w:val="00C00A60"/>
    <w:rsid w:val="00C00AA6"/>
    <w:rsid w:val="00C00E42"/>
    <w:rsid w:val="00C00E53"/>
    <w:rsid w:val="00C00F56"/>
    <w:rsid w:val="00C00FC0"/>
    <w:rsid w:val="00C00FD2"/>
    <w:rsid w:val="00C01038"/>
    <w:rsid w:val="00C0104F"/>
    <w:rsid w:val="00C01134"/>
    <w:rsid w:val="00C01309"/>
    <w:rsid w:val="00C0138C"/>
    <w:rsid w:val="00C013A5"/>
    <w:rsid w:val="00C013A8"/>
    <w:rsid w:val="00C013F2"/>
    <w:rsid w:val="00C0149B"/>
    <w:rsid w:val="00C014C8"/>
    <w:rsid w:val="00C0154F"/>
    <w:rsid w:val="00C01562"/>
    <w:rsid w:val="00C017C0"/>
    <w:rsid w:val="00C0183B"/>
    <w:rsid w:val="00C018A0"/>
    <w:rsid w:val="00C018D3"/>
    <w:rsid w:val="00C01AD5"/>
    <w:rsid w:val="00C01BCB"/>
    <w:rsid w:val="00C01C22"/>
    <w:rsid w:val="00C01CF8"/>
    <w:rsid w:val="00C01D25"/>
    <w:rsid w:val="00C01DB6"/>
    <w:rsid w:val="00C01E0F"/>
    <w:rsid w:val="00C01E30"/>
    <w:rsid w:val="00C01EAF"/>
    <w:rsid w:val="00C01F49"/>
    <w:rsid w:val="00C01F89"/>
    <w:rsid w:val="00C020C6"/>
    <w:rsid w:val="00C020CC"/>
    <w:rsid w:val="00C02101"/>
    <w:rsid w:val="00C02210"/>
    <w:rsid w:val="00C02225"/>
    <w:rsid w:val="00C02353"/>
    <w:rsid w:val="00C023B2"/>
    <w:rsid w:val="00C0241E"/>
    <w:rsid w:val="00C024CF"/>
    <w:rsid w:val="00C0254B"/>
    <w:rsid w:val="00C02677"/>
    <w:rsid w:val="00C0277A"/>
    <w:rsid w:val="00C0289F"/>
    <w:rsid w:val="00C028A4"/>
    <w:rsid w:val="00C029E1"/>
    <w:rsid w:val="00C02C18"/>
    <w:rsid w:val="00C02C66"/>
    <w:rsid w:val="00C02CF0"/>
    <w:rsid w:val="00C02D1A"/>
    <w:rsid w:val="00C02E2F"/>
    <w:rsid w:val="00C02E72"/>
    <w:rsid w:val="00C030DA"/>
    <w:rsid w:val="00C03152"/>
    <w:rsid w:val="00C03289"/>
    <w:rsid w:val="00C03374"/>
    <w:rsid w:val="00C034A3"/>
    <w:rsid w:val="00C03596"/>
    <w:rsid w:val="00C036A1"/>
    <w:rsid w:val="00C03735"/>
    <w:rsid w:val="00C037E0"/>
    <w:rsid w:val="00C03961"/>
    <w:rsid w:val="00C03995"/>
    <w:rsid w:val="00C039DB"/>
    <w:rsid w:val="00C03A14"/>
    <w:rsid w:val="00C03A52"/>
    <w:rsid w:val="00C03A9B"/>
    <w:rsid w:val="00C03AF8"/>
    <w:rsid w:val="00C03C1C"/>
    <w:rsid w:val="00C03D17"/>
    <w:rsid w:val="00C03DB6"/>
    <w:rsid w:val="00C03EED"/>
    <w:rsid w:val="00C03F14"/>
    <w:rsid w:val="00C041BB"/>
    <w:rsid w:val="00C04AEC"/>
    <w:rsid w:val="00C04B23"/>
    <w:rsid w:val="00C04B83"/>
    <w:rsid w:val="00C04F5F"/>
    <w:rsid w:val="00C05102"/>
    <w:rsid w:val="00C0527B"/>
    <w:rsid w:val="00C052AD"/>
    <w:rsid w:val="00C05357"/>
    <w:rsid w:val="00C05375"/>
    <w:rsid w:val="00C053FB"/>
    <w:rsid w:val="00C05573"/>
    <w:rsid w:val="00C05574"/>
    <w:rsid w:val="00C0558D"/>
    <w:rsid w:val="00C055B7"/>
    <w:rsid w:val="00C057D4"/>
    <w:rsid w:val="00C05820"/>
    <w:rsid w:val="00C0592C"/>
    <w:rsid w:val="00C05954"/>
    <w:rsid w:val="00C05958"/>
    <w:rsid w:val="00C05A9A"/>
    <w:rsid w:val="00C05C16"/>
    <w:rsid w:val="00C05C1F"/>
    <w:rsid w:val="00C05D82"/>
    <w:rsid w:val="00C05E3E"/>
    <w:rsid w:val="00C05EEC"/>
    <w:rsid w:val="00C05FB8"/>
    <w:rsid w:val="00C060F1"/>
    <w:rsid w:val="00C062E6"/>
    <w:rsid w:val="00C063A9"/>
    <w:rsid w:val="00C063F6"/>
    <w:rsid w:val="00C065A2"/>
    <w:rsid w:val="00C06845"/>
    <w:rsid w:val="00C0689C"/>
    <w:rsid w:val="00C06926"/>
    <w:rsid w:val="00C069D2"/>
    <w:rsid w:val="00C06A52"/>
    <w:rsid w:val="00C06B09"/>
    <w:rsid w:val="00C06CED"/>
    <w:rsid w:val="00C06E8C"/>
    <w:rsid w:val="00C06FAB"/>
    <w:rsid w:val="00C070A4"/>
    <w:rsid w:val="00C07149"/>
    <w:rsid w:val="00C07314"/>
    <w:rsid w:val="00C07340"/>
    <w:rsid w:val="00C0739B"/>
    <w:rsid w:val="00C073AE"/>
    <w:rsid w:val="00C07419"/>
    <w:rsid w:val="00C074EB"/>
    <w:rsid w:val="00C0755F"/>
    <w:rsid w:val="00C075F5"/>
    <w:rsid w:val="00C07692"/>
    <w:rsid w:val="00C07695"/>
    <w:rsid w:val="00C078E7"/>
    <w:rsid w:val="00C078EE"/>
    <w:rsid w:val="00C07929"/>
    <w:rsid w:val="00C07B40"/>
    <w:rsid w:val="00C07B81"/>
    <w:rsid w:val="00C07EDB"/>
    <w:rsid w:val="00C07F09"/>
    <w:rsid w:val="00C10138"/>
    <w:rsid w:val="00C101C4"/>
    <w:rsid w:val="00C102A3"/>
    <w:rsid w:val="00C1056B"/>
    <w:rsid w:val="00C105D7"/>
    <w:rsid w:val="00C10614"/>
    <w:rsid w:val="00C10629"/>
    <w:rsid w:val="00C1062A"/>
    <w:rsid w:val="00C10630"/>
    <w:rsid w:val="00C106BF"/>
    <w:rsid w:val="00C10876"/>
    <w:rsid w:val="00C1093E"/>
    <w:rsid w:val="00C10945"/>
    <w:rsid w:val="00C109BE"/>
    <w:rsid w:val="00C109D9"/>
    <w:rsid w:val="00C10BC5"/>
    <w:rsid w:val="00C10C1B"/>
    <w:rsid w:val="00C10C41"/>
    <w:rsid w:val="00C10D95"/>
    <w:rsid w:val="00C10EDC"/>
    <w:rsid w:val="00C10F05"/>
    <w:rsid w:val="00C10F52"/>
    <w:rsid w:val="00C10F9A"/>
    <w:rsid w:val="00C11079"/>
    <w:rsid w:val="00C111F9"/>
    <w:rsid w:val="00C11429"/>
    <w:rsid w:val="00C114EA"/>
    <w:rsid w:val="00C1153D"/>
    <w:rsid w:val="00C115B5"/>
    <w:rsid w:val="00C116A9"/>
    <w:rsid w:val="00C116F9"/>
    <w:rsid w:val="00C11735"/>
    <w:rsid w:val="00C11979"/>
    <w:rsid w:val="00C11A37"/>
    <w:rsid w:val="00C11AD8"/>
    <w:rsid w:val="00C11BA5"/>
    <w:rsid w:val="00C11BB0"/>
    <w:rsid w:val="00C11C0A"/>
    <w:rsid w:val="00C11CD3"/>
    <w:rsid w:val="00C11CDE"/>
    <w:rsid w:val="00C11D8E"/>
    <w:rsid w:val="00C11EA4"/>
    <w:rsid w:val="00C11F88"/>
    <w:rsid w:val="00C11FC0"/>
    <w:rsid w:val="00C120ED"/>
    <w:rsid w:val="00C12151"/>
    <w:rsid w:val="00C12235"/>
    <w:rsid w:val="00C1223F"/>
    <w:rsid w:val="00C122A1"/>
    <w:rsid w:val="00C122D7"/>
    <w:rsid w:val="00C124F7"/>
    <w:rsid w:val="00C12569"/>
    <w:rsid w:val="00C12613"/>
    <w:rsid w:val="00C12672"/>
    <w:rsid w:val="00C126E1"/>
    <w:rsid w:val="00C12712"/>
    <w:rsid w:val="00C12812"/>
    <w:rsid w:val="00C12819"/>
    <w:rsid w:val="00C128DC"/>
    <w:rsid w:val="00C1294E"/>
    <w:rsid w:val="00C129F1"/>
    <w:rsid w:val="00C12C56"/>
    <w:rsid w:val="00C13055"/>
    <w:rsid w:val="00C130F6"/>
    <w:rsid w:val="00C13151"/>
    <w:rsid w:val="00C13280"/>
    <w:rsid w:val="00C132AD"/>
    <w:rsid w:val="00C132D3"/>
    <w:rsid w:val="00C133CF"/>
    <w:rsid w:val="00C13580"/>
    <w:rsid w:val="00C136E0"/>
    <w:rsid w:val="00C1388A"/>
    <w:rsid w:val="00C13908"/>
    <w:rsid w:val="00C13982"/>
    <w:rsid w:val="00C13AB3"/>
    <w:rsid w:val="00C13AE0"/>
    <w:rsid w:val="00C13B29"/>
    <w:rsid w:val="00C13C23"/>
    <w:rsid w:val="00C13C87"/>
    <w:rsid w:val="00C13DAB"/>
    <w:rsid w:val="00C13DC9"/>
    <w:rsid w:val="00C13FC0"/>
    <w:rsid w:val="00C14173"/>
    <w:rsid w:val="00C141EA"/>
    <w:rsid w:val="00C14382"/>
    <w:rsid w:val="00C143AD"/>
    <w:rsid w:val="00C1443A"/>
    <w:rsid w:val="00C144E3"/>
    <w:rsid w:val="00C14500"/>
    <w:rsid w:val="00C14561"/>
    <w:rsid w:val="00C14764"/>
    <w:rsid w:val="00C1477C"/>
    <w:rsid w:val="00C14785"/>
    <w:rsid w:val="00C149EC"/>
    <w:rsid w:val="00C14A19"/>
    <w:rsid w:val="00C14ACC"/>
    <w:rsid w:val="00C14BA1"/>
    <w:rsid w:val="00C14BD5"/>
    <w:rsid w:val="00C14D35"/>
    <w:rsid w:val="00C14D95"/>
    <w:rsid w:val="00C14E06"/>
    <w:rsid w:val="00C14E93"/>
    <w:rsid w:val="00C15027"/>
    <w:rsid w:val="00C1520E"/>
    <w:rsid w:val="00C1523C"/>
    <w:rsid w:val="00C15290"/>
    <w:rsid w:val="00C152B3"/>
    <w:rsid w:val="00C152C9"/>
    <w:rsid w:val="00C15310"/>
    <w:rsid w:val="00C155E9"/>
    <w:rsid w:val="00C15628"/>
    <w:rsid w:val="00C15631"/>
    <w:rsid w:val="00C15792"/>
    <w:rsid w:val="00C15826"/>
    <w:rsid w:val="00C1588E"/>
    <w:rsid w:val="00C15A13"/>
    <w:rsid w:val="00C15B0A"/>
    <w:rsid w:val="00C15B5B"/>
    <w:rsid w:val="00C15BD2"/>
    <w:rsid w:val="00C15C1E"/>
    <w:rsid w:val="00C15C8B"/>
    <w:rsid w:val="00C15E54"/>
    <w:rsid w:val="00C15EEC"/>
    <w:rsid w:val="00C1606C"/>
    <w:rsid w:val="00C16081"/>
    <w:rsid w:val="00C160E1"/>
    <w:rsid w:val="00C16292"/>
    <w:rsid w:val="00C16741"/>
    <w:rsid w:val="00C167EE"/>
    <w:rsid w:val="00C16887"/>
    <w:rsid w:val="00C1694B"/>
    <w:rsid w:val="00C16B0F"/>
    <w:rsid w:val="00C16BAD"/>
    <w:rsid w:val="00C16BBD"/>
    <w:rsid w:val="00C16D1F"/>
    <w:rsid w:val="00C16D40"/>
    <w:rsid w:val="00C1704A"/>
    <w:rsid w:val="00C170C2"/>
    <w:rsid w:val="00C17192"/>
    <w:rsid w:val="00C1732A"/>
    <w:rsid w:val="00C17369"/>
    <w:rsid w:val="00C17484"/>
    <w:rsid w:val="00C1750C"/>
    <w:rsid w:val="00C176D8"/>
    <w:rsid w:val="00C17854"/>
    <w:rsid w:val="00C178E0"/>
    <w:rsid w:val="00C179F8"/>
    <w:rsid w:val="00C17BF6"/>
    <w:rsid w:val="00C17C1A"/>
    <w:rsid w:val="00C17C47"/>
    <w:rsid w:val="00C17C51"/>
    <w:rsid w:val="00C17C91"/>
    <w:rsid w:val="00C17D31"/>
    <w:rsid w:val="00C17D6D"/>
    <w:rsid w:val="00C20260"/>
    <w:rsid w:val="00C20282"/>
    <w:rsid w:val="00C20382"/>
    <w:rsid w:val="00C20385"/>
    <w:rsid w:val="00C20494"/>
    <w:rsid w:val="00C206DE"/>
    <w:rsid w:val="00C207BB"/>
    <w:rsid w:val="00C20812"/>
    <w:rsid w:val="00C209DB"/>
    <w:rsid w:val="00C20B25"/>
    <w:rsid w:val="00C20B41"/>
    <w:rsid w:val="00C20C5D"/>
    <w:rsid w:val="00C20F90"/>
    <w:rsid w:val="00C21126"/>
    <w:rsid w:val="00C2129C"/>
    <w:rsid w:val="00C21332"/>
    <w:rsid w:val="00C215CE"/>
    <w:rsid w:val="00C21758"/>
    <w:rsid w:val="00C21814"/>
    <w:rsid w:val="00C21905"/>
    <w:rsid w:val="00C21961"/>
    <w:rsid w:val="00C219CB"/>
    <w:rsid w:val="00C21A45"/>
    <w:rsid w:val="00C21B99"/>
    <w:rsid w:val="00C21BD1"/>
    <w:rsid w:val="00C21C4A"/>
    <w:rsid w:val="00C21E9E"/>
    <w:rsid w:val="00C21F28"/>
    <w:rsid w:val="00C21F7C"/>
    <w:rsid w:val="00C221C0"/>
    <w:rsid w:val="00C221D6"/>
    <w:rsid w:val="00C22239"/>
    <w:rsid w:val="00C22240"/>
    <w:rsid w:val="00C222A6"/>
    <w:rsid w:val="00C22590"/>
    <w:rsid w:val="00C22665"/>
    <w:rsid w:val="00C22680"/>
    <w:rsid w:val="00C22695"/>
    <w:rsid w:val="00C227B8"/>
    <w:rsid w:val="00C228DA"/>
    <w:rsid w:val="00C22AF5"/>
    <w:rsid w:val="00C22B67"/>
    <w:rsid w:val="00C22B80"/>
    <w:rsid w:val="00C22EEC"/>
    <w:rsid w:val="00C22F38"/>
    <w:rsid w:val="00C22F5A"/>
    <w:rsid w:val="00C23066"/>
    <w:rsid w:val="00C23139"/>
    <w:rsid w:val="00C2329F"/>
    <w:rsid w:val="00C23661"/>
    <w:rsid w:val="00C2367B"/>
    <w:rsid w:val="00C2369D"/>
    <w:rsid w:val="00C236D0"/>
    <w:rsid w:val="00C236FF"/>
    <w:rsid w:val="00C23757"/>
    <w:rsid w:val="00C237AD"/>
    <w:rsid w:val="00C237ED"/>
    <w:rsid w:val="00C23835"/>
    <w:rsid w:val="00C2387D"/>
    <w:rsid w:val="00C238D9"/>
    <w:rsid w:val="00C238EC"/>
    <w:rsid w:val="00C23910"/>
    <w:rsid w:val="00C23A26"/>
    <w:rsid w:val="00C23AAF"/>
    <w:rsid w:val="00C23C81"/>
    <w:rsid w:val="00C23D9F"/>
    <w:rsid w:val="00C23E24"/>
    <w:rsid w:val="00C23ECA"/>
    <w:rsid w:val="00C23F75"/>
    <w:rsid w:val="00C23F92"/>
    <w:rsid w:val="00C23FED"/>
    <w:rsid w:val="00C24026"/>
    <w:rsid w:val="00C24097"/>
    <w:rsid w:val="00C240B4"/>
    <w:rsid w:val="00C24239"/>
    <w:rsid w:val="00C242C4"/>
    <w:rsid w:val="00C244A4"/>
    <w:rsid w:val="00C2465D"/>
    <w:rsid w:val="00C246AF"/>
    <w:rsid w:val="00C246FB"/>
    <w:rsid w:val="00C2470B"/>
    <w:rsid w:val="00C24791"/>
    <w:rsid w:val="00C248E5"/>
    <w:rsid w:val="00C24936"/>
    <w:rsid w:val="00C2496D"/>
    <w:rsid w:val="00C24A06"/>
    <w:rsid w:val="00C24A9D"/>
    <w:rsid w:val="00C24BC4"/>
    <w:rsid w:val="00C24BFC"/>
    <w:rsid w:val="00C24D0F"/>
    <w:rsid w:val="00C24E37"/>
    <w:rsid w:val="00C24E84"/>
    <w:rsid w:val="00C24FC6"/>
    <w:rsid w:val="00C2518B"/>
    <w:rsid w:val="00C25242"/>
    <w:rsid w:val="00C2532B"/>
    <w:rsid w:val="00C253AF"/>
    <w:rsid w:val="00C253F1"/>
    <w:rsid w:val="00C25448"/>
    <w:rsid w:val="00C25628"/>
    <w:rsid w:val="00C2563E"/>
    <w:rsid w:val="00C258DA"/>
    <w:rsid w:val="00C2592D"/>
    <w:rsid w:val="00C25B09"/>
    <w:rsid w:val="00C25BEF"/>
    <w:rsid w:val="00C25C15"/>
    <w:rsid w:val="00C25D86"/>
    <w:rsid w:val="00C25E0C"/>
    <w:rsid w:val="00C25E46"/>
    <w:rsid w:val="00C25ED0"/>
    <w:rsid w:val="00C25F05"/>
    <w:rsid w:val="00C25F2D"/>
    <w:rsid w:val="00C26016"/>
    <w:rsid w:val="00C26069"/>
    <w:rsid w:val="00C260CB"/>
    <w:rsid w:val="00C260D8"/>
    <w:rsid w:val="00C260F9"/>
    <w:rsid w:val="00C26332"/>
    <w:rsid w:val="00C263DA"/>
    <w:rsid w:val="00C26456"/>
    <w:rsid w:val="00C26589"/>
    <w:rsid w:val="00C2661D"/>
    <w:rsid w:val="00C2677E"/>
    <w:rsid w:val="00C267D5"/>
    <w:rsid w:val="00C268E3"/>
    <w:rsid w:val="00C26958"/>
    <w:rsid w:val="00C26D55"/>
    <w:rsid w:val="00C26D8B"/>
    <w:rsid w:val="00C26E18"/>
    <w:rsid w:val="00C26F48"/>
    <w:rsid w:val="00C27038"/>
    <w:rsid w:val="00C27061"/>
    <w:rsid w:val="00C27121"/>
    <w:rsid w:val="00C27196"/>
    <w:rsid w:val="00C27337"/>
    <w:rsid w:val="00C273B4"/>
    <w:rsid w:val="00C27400"/>
    <w:rsid w:val="00C274B8"/>
    <w:rsid w:val="00C275AF"/>
    <w:rsid w:val="00C2764B"/>
    <w:rsid w:val="00C2772A"/>
    <w:rsid w:val="00C279B2"/>
    <w:rsid w:val="00C27A87"/>
    <w:rsid w:val="00C27B85"/>
    <w:rsid w:val="00C27D3D"/>
    <w:rsid w:val="00C27DEF"/>
    <w:rsid w:val="00C27E12"/>
    <w:rsid w:val="00C27F05"/>
    <w:rsid w:val="00C300DD"/>
    <w:rsid w:val="00C3013B"/>
    <w:rsid w:val="00C304B4"/>
    <w:rsid w:val="00C305E2"/>
    <w:rsid w:val="00C305EC"/>
    <w:rsid w:val="00C30659"/>
    <w:rsid w:val="00C306A7"/>
    <w:rsid w:val="00C30715"/>
    <w:rsid w:val="00C307B6"/>
    <w:rsid w:val="00C3080B"/>
    <w:rsid w:val="00C30BD9"/>
    <w:rsid w:val="00C30D3C"/>
    <w:rsid w:val="00C30D65"/>
    <w:rsid w:val="00C30E8B"/>
    <w:rsid w:val="00C30F63"/>
    <w:rsid w:val="00C311F1"/>
    <w:rsid w:val="00C31313"/>
    <w:rsid w:val="00C31412"/>
    <w:rsid w:val="00C31466"/>
    <w:rsid w:val="00C31542"/>
    <w:rsid w:val="00C315F3"/>
    <w:rsid w:val="00C3163B"/>
    <w:rsid w:val="00C3166F"/>
    <w:rsid w:val="00C319D0"/>
    <w:rsid w:val="00C31AAA"/>
    <w:rsid w:val="00C31AE0"/>
    <w:rsid w:val="00C31CBA"/>
    <w:rsid w:val="00C31D4C"/>
    <w:rsid w:val="00C31E5B"/>
    <w:rsid w:val="00C31E9D"/>
    <w:rsid w:val="00C32032"/>
    <w:rsid w:val="00C32050"/>
    <w:rsid w:val="00C32080"/>
    <w:rsid w:val="00C320CE"/>
    <w:rsid w:val="00C3215C"/>
    <w:rsid w:val="00C32185"/>
    <w:rsid w:val="00C323CC"/>
    <w:rsid w:val="00C32431"/>
    <w:rsid w:val="00C324CE"/>
    <w:rsid w:val="00C3254B"/>
    <w:rsid w:val="00C32606"/>
    <w:rsid w:val="00C32614"/>
    <w:rsid w:val="00C3267D"/>
    <w:rsid w:val="00C3273D"/>
    <w:rsid w:val="00C32772"/>
    <w:rsid w:val="00C327B9"/>
    <w:rsid w:val="00C3280C"/>
    <w:rsid w:val="00C3287D"/>
    <w:rsid w:val="00C328B0"/>
    <w:rsid w:val="00C3299E"/>
    <w:rsid w:val="00C329F9"/>
    <w:rsid w:val="00C32AB5"/>
    <w:rsid w:val="00C32AD1"/>
    <w:rsid w:val="00C32CF1"/>
    <w:rsid w:val="00C32D4C"/>
    <w:rsid w:val="00C32D63"/>
    <w:rsid w:val="00C32E29"/>
    <w:rsid w:val="00C32E31"/>
    <w:rsid w:val="00C32E74"/>
    <w:rsid w:val="00C32F13"/>
    <w:rsid w:val="00C32F8F"/>
    <w:rsid w:val="00C32FF8"/>
    <w:rsid w:val="00C33041"/>
    <w:rsid w:val="00C330CF"/>
    <w:rsid w:val="00C330F7"/>
    <w:rsid w:val="00C33144"/>
    <w:rsid w:val="00C33166"/>
    <w:rsid w:val="00C331FB"/>
    <w:rsid w:val="00C33215"/>
    <w:rsid w:val="00C33348"/>
    <w:rsid w:val="00C33496"/>
    <w:rsid w:val="00C334DD"/>
    <w:rsid w:val="00C33645"/>
    <w:rsid w:val="00C3394C"/>
    <w:rsid w:val="00C33993"/>
    <w:rsid w:val="00C33A90"/>
    <w:rsid w:val="00C33C02"/>
    <w:rsid w:val="00C33CAF"/>
    <w:rsid w:val="00C33CEF"/>
    <w:rsid w:val="00C33FAB"/>
    <w:rsid w:val="00C33FD1"/>
    <w:rsid w:val="00C34014"/>
    <w:rsid w:val="00C34095"/>
    <w:rsid w:val="00C341E1"/>
    <w:rsid w:val="00C34386"/>
    <w:rsid w:val="00C343CC"/>
    <w:rsid w:val="00C343FC"/>
    <w:rsid w:val="00C3448C"/>
    <w:rsid w:val="00C34548"/>
    <w:rsid w:val="00C34576"/>
    <w:rsid w:val="00C34632"/>
    <w:rsid w:val="00C3480E"/>
    <w:rsid w:val="00C3490C"/>
    <w:rsid w:val="00C34ABA"/>
    <w:rsid w:val="00C34B70"/>
    <w:rsid w:val="00C34BE8"/>
    <w:rsid w:val="00C34D90"/>
    <w:rsid w:val="00C34DCF"/>
    <w:rsid w:val="00C34E3B"/>
    <w:rsid w:val="00C350E7"/>
    <w:rsid w:val="00C35105"/>
    <w:rsid w:val="00C351D6"/>
    <w:rsid w:val="00C35262"/>
    <w:rsid w:val="00C35285"/>
    <w:rsid w:val="00C35436"/>
    <w:rsid w:val="00C354B1"/>
    <w:rsid w:val="00C3557A"/>
    <w:rsid w:val="00C3562A"/>
    <w:rsid w:val="00C35738"/>
    <w:rsid w:val="00C357B5"/>
    <w:rsid w:val="00C357D7"/>
    <w:rsid w:val="00C3593A"/>
    <w:rsid w:val="00C359A1"/>
    <w:rsid w:val="00C359EE"/>
    <w:rsid w:val="00C35A2D"/>
    <w:rsid w:val="00C35C1D"/>
    <w:rsid w:val="00C35DF8"/>
    <w:rsid w:val="00C35E42"/>
    <w:rsid w:val="00C35F3D"/>
    <w:rsid w:val="00C3601A"/>
    <w:rsid w:val="00C36069"/>
    <w:rsid w:val="00C360A4"/>
    <w:rsid w:val="00C3614C"/>
    <w:rsid w:val="00C36191"/>
    <w:rsid w:val="00C36325"/>
    <w:rsid w:val="00C3645E"/>
    <w:rsid w:val="00C365FD"/>
    <w:rsid w:val="00C36635"/>
    <w:rsid w:val="00C369F3"/>
    <w:rsid w:val="00C36AEE"/>
    <w:rsid w:val="00C36C23"/>
    <w:rsid w:val="00C36C3C"/>
    <w:rsid w:val="00C36E40"/>
    <w:rsid w:val="00C36EB0"/>
    <w:rsid w:val="00C36EBB"/>
    <w:rsid w:val="00C37279"/>
    <w:rsid w:val="00C372C3"/>
    <w:rsid w:val="00C37604"/>
    <w:rsid w:val="00C3765D"/>
    <w:rsid w:val="00C37724"/>
    <w:rsid w:val="00C37954"/>
    <w:rsid w:val="00C37A1A"/>
    <w:rsid w:val="00C37A1D"/>
    <w:rsid w:val="00C37A75"/>
    <w:rsid w:val="00C37BC5"/>
    <w:rsid w:val="00C37EBB"/>
    <w:rsid w:val="00C37FD7"/>
    <w:rsid w:val="00C40084"/>
    <w:rsid w:val="00C40207"/>
    <w:rsid w:val="00C40279"/>
    <w:rsid w:val="00C402B6"/>
    <w:rsid w:val="00C402BC"/>
    <w:rsid w:val="00C4039C"/>
    <w:rsid w:val="00C403CC"/>
    <w:rsid w:val="00C4043F"/>
    <w:rsid w:val="00C4055A"/>
    <w:rsid w:val="00C408D4"/>
    <w:rsid w:val="00C40A2F"/>
    <w:rsid w:val="00C40A64"/>
    <w:rsid w:val="00C40AB2"/>
    <w:rsid w:val="00C40B30"/>
    <w:rsid w:val="00C40C3C"/>
    <w:rsid w:val="00C40C92"/>
    <w:rsid w:val="00C40D54"/>
    <w:rsid w:val="00C40E72"/>
    <w:rsid w:val="00C4108E"/>
    <w:rsid w:val="00C411B4"/>
    <w:rsid w:val="00C41222"/>
    <w:rsid w:val="00C413E4"/>
    <w:rsid w:val="00C41405"/>
    <w:rsid w:val="00C4152E"/>
    <w:rsid w:val="00C41558"/>
    <w:rsid w:val="00C41622"/>
    <w:rsid w:val="00C41634"/>
    <w:rsid w:val="00C4163C"/>
    <w:rsid w:val="00C416BC"/>
    <w:rsid w:val="00C41713"/>
    <w:rsid w:val="00C4176D"/>
    <w:rsid w:val="00C41887"/>
    <w:rsid w:val="00C41970"/>
    <w:rsid w:val="00C419B1"/>
    <w:rsid w:val="00C41A17"/>
    <w:rsid w:val="00C41A60"/>
    <w:rsid w:val="00C41AB0"/>
    <w:rsid w:val="00C41AE4"/>
    <w:rsid w:val="00C41D75"/>
    <w:rsid w:val="00C420C0"/>
    <w:rsid w:val="00C420CB"/>
    <w:rsid w:val="00C4211D"/>
    <w:rsid w:val="00C42253"/>
    <w:rsid w:val="00C422E3"/>
    <w:rsid w:val="00C4233E"/>
    <w:rsid w:val="00C42343"/>
    <w:rsid w:val="00C423EF"/>
    <w:rsid w:val="00C424D5"/>
    <w:rsid w:val="00C4258C"/>
    <w:rsid w:val="00C4266E"/>
    <w:rsid w:val="00C4291B"/>
    <w:rsid w:val="00C429BE"/>
    <w:rsid w:val="00C42A8A"/>
    <w:rsid w:val="00C42AEA"/>
    <w:rsid w:val="00C42B9D"/>
    <w:rsid w:val="00C42E14"/>
    <w:rsid w:val="00C42E60"/>
    <w:rsid w:val="00C42FCB"/>
    <w:rsid w:val="00C4301A"/>
    <w:rsid w:val="00C43085"/>
    <w:rsid w:val="00C430BB"/>
    <w:rsid w:val="00C431E1"/>
    <w:rsid w:val="00C431F8"/>
    <w:rsid w:val="00C43269"/>
    <w:rsid w:val="00C4339E"/>
    <w:rsid w:val="00C433FD"/>
    <w:rsid w:val="00C43457"/>
    <w:rsid w:val="00C43545"/>
    <w:rsid w:val="00C4359B"/>
    <w:rsid w:val="00C43672"/>
    <w:rsid w:val="00C4368A"/>
    <w:rsid w:val="00C43761"/>
    <w:rsid w:val="00C43BF2"/>
    <w:rsid w:val="00C43C3B"/>
    <w:rsid w:val="00C43C3D"/>
    <w:rsid w:val="00C43CBE"/>
    <w:rsid w:val="00C43E42"/>
    <w:rsid w:val="00C43E60"/>
    <w:rsid w:val="00C43E75"/>
    <w:rsid w:val="00C44014"/>
    <w:rsid w:val="00C441E2"/>
    <w:rsid w:val="00C44304"/>
    <w:rsid w:val="00C44367"/>
    <w:rsid w:val="00C443C7"/>
    <w:rsid w:val="00C443EB"/>
    <w:rsid w:val="00C443FF"/>
    <w:rsid w:val="00C44481"/>
    <w:rsid w:val="00C44483"/>
    <w:rsid w:val="00C4459C"/>
    <w:rsid w:val="00C446BE"/>
    <w:rsid w:val="00C44882"/>
    <w:rsid w:val="00C4491E"/>
    <w:rsid w:val="00C449A9"/>
    <w:rsid w:val="00C44ABA"/>
    <w:rsid w:val="00C44C7E"/>
    <w:rsid w:val="00C44D6B"/>
    <w:rsid w:val="00C44F86"/>
    <w:rsid w:val="00C44FB1"/>
    <w:rsid w:val="00C44FC3"/>
    <w:rsid w:val="00C45012"/>
    <w:rsid w:val="00C4509A"/>
    <w:rsid w:val="00C45148"/>
    <w:rsid w:val="00C4545B"/>
    <w:rsid w:val="00C45647"/>
    <w:rsid w:val="00C45711"/>
    <w:rsid w:val="00C457B0"/>
    <w:rsid w:val="00C459B4"/>
    <w:rsid w:val="00C459BF"/>
    <w:rsid w:val="00C45B2C"/>
    <w:rsid w:val="00C45C16"/>
    <w:rsid w:val="00C45D67"/>
    <w:rsid w:val="00C45E36"/>
    <w:rsid w:val="00C45E8D"/>
    <w:rsid w:val="00C45FF2"/>
    <w:rsid w:val="00C460C8"/>
    <w:rsid w:val="00C460DF"/>
    <w:rsid w:val="00C4622C"/>
    <w:rsid w:val="00C462C4"/>
    <w:rsid w:val="00C462F8"/>
    <w:rsid w:val="00C46447"/>
    <w:rsid w:val="00C46651"/>
    <w:rsid w:val="00C466A2"/>
    <w:rsid w:val="00C4670D"/>
    <w:rsid w:val="00C4675E"/>
    <w:rsid w:val="00C467A2"/>
    <w:rsid w:val="00C467B0"/>
    <w:rsid w:val="00C46814"/>
    <w:rsid w:val="00C46852"/>
    <w:rsid w:val="00C468C6"/>
    <w:rsid w:val="00C46A25"/>
    <w:rsid w:val="00C46CA9"/>
    <w:rsid w:val="00C46E2F"/>
    <w:rsid w:val="00C46EC2"/>
    <w:rsid w:val="00C46EC8"/>
    <w:rsid w:val="00C46F38"/>
    <w:rsid w:val="00C47122"/>
    <w:rsid w:val="00C47236"/>
    <w:rsid w:val="00C473ED"/>
    <w:rsid w:val="00C473F1"/>
    <w:rsid w:val="00C4741E"/>
    <w:rsid w:val="00C47469"/>
    <w:rsid w:val="00C474B2"/>
    <w:rsid w:val="00C47545"/>
    <w:rsid w:val="00C475D3"/>
    <w:rsid w:val="00C47650"/>
    <w:rsid w:val="00C4767B"/>
    <w:rsid w:val="00C476BD"/>
    <w:rsid w:val="00C476ED"/>
    <w:rsid w:val="00C47791"/>
    <w:rsid w:val="00C47840"/>
    <w:rsid w:val="00C4788E"/>
    <w:rsid w:val="00C4795E"/>
    <w:rsid w:val="00C47AAE"/>
    <w:rsid w:val="00C47AF5"/>
    <w:rsid w:val="00C47B0D"/>
    <w:rsid w:val="00C47C55"/>
    <w:rsid w:val="00C47E07"/>
    <w:rsid w:val="00C47E62"/>
    <w:rsid w:val="00C47EED"/>
    <w:rsid w:val="00C47FB9"/>
    <w:rsid w:val="00C4BBE3"/>
    <w:rsid w:val="00C500A2"/>
    <w:rsid w:val="00C5017D"/>
    <w:rsid w:val="00C5024E"/>
    <w:rsid w:val="00C5028E"/>
    <w:rsid w:val="00C502A7"/>
    <w:rsid w:val="00C50441"/>
    <w:rsid w:val="00C50485"/>
    <w:rsid w:val="00C5050E"/>
    <w:rsid w:val="00C505FF"/>
    <w:rsid w:val="00C50755"/>
    <w:rsid w:val="00C5097B"/>
    <w:rsid w:val="00C509D5"/>
    <w:rsid w:val="00C509EE"/>
    <w:rsid w:val="00C50A04"/>
    <w:rsid w:val="00C50A48"/>
    <w:rsid w:val="00C50ACE"/>
    <w:rsid w:val="00C50BE2"/>
    <w:rsid w:val="00C50C4B"/>
    <w:rsid w:val="00C50CE9"/>
    <w:rsid w:val="00C50D4A"/>
    <w:rsid w:val="00C50D7B"/>
    <w:rsid w:val="00C50D9D"/>
    <w:rsid w:val="00C50E32"/>
    <w:rsid w:val="00C50EFE"/>
    <w:rsid w:val="00C50F92"/>
    <w:rsid w:val="00C5108B"/>
    <w:rsid w:val="00C510B7"/>
    <w:rsid w:val="00C511A8"/>
    <w:rsid w:val="00C511B4"/>
    <w:rsid w:val="00C51276"/>
    <w:rsid w:val="00C51319"/>
    <w:rsid w:val="00C515C9"/>
    <w:rsid w:val="00C51616"/>
    <w:rsid w:val="00C51695"/>
    <w:rsid w:val="00C516FC"/>
    <w:rsid w:val="00C5175D"/>
    <w:rsid w:val="00C5179A"/>
    <w:rsid w:val="00C517BF"/>
    <w:rsid w:val="00C517DB"/>
    <w:rsid w:val="00C51873"/>
    <w:rsid w:val="00C51B86"/>
    <w:rsid w:val="00C51BB3"/>
    <w:rsid w:val="00C51BB8"/>
    <w:rsid w:val="00C51C17"/>
    <w:rsid w:val="00C51CFD"/>
    <w:rsid w:val="00C51DE3"/>
    <w:rsid w:val="00C51E22"/>
    <w:rsid w:val="00C51E39"/>
    <w:rsid w:val="00C51FAF"/>
    <w:rsid w:val="00C52032"/>
    <w:rsid w:val="00C52035"/>
    <w:rsid w:val="00C52109"/>
    <w:rsid w:val="00C5222B"/>
    <w:rsid w:val="00C5239D"/>
    <w:rsid w:val="00C523B6"/>
    <w:rsid w:val="00C5256F"/>
    <w:rsid w:val="00C52962"/>
    <w:rsid w:val="00C52AA5"/>
    <w:rsid w:val="00C52C2C"/>
    <w:rsid w:val="00C52E1A"/>
    <w:rsid w:val="00C52E2E"/>
    <w:rsid w:val="00C52E4B"/>
    <w:rsid w:val="00C52F84"/>
    <w:rsid w:val="00C53025"/>
    <w:rsid w:val="00C53027"/>
    <w:rsid w:val="00C5305E"/>
    <w:rsid w:val="00C53114"/>
    <w:rsid w:val="00C53182"/>
    <w:rsid w:val="00C531BD"/>
    <w:rsid w:val="00C53234"/>
    <w:rsid w:val="00C53361"/>
    <w:rsid w:val="00C533D0"/>
    <w:rsid w:val="00C53567"/>
    <w:rsid w:val="00C5374F"/>
    <w:rsid w:val="00C538A3"/>
    <w:rsid w:val="00C53941"/>
    <w:rsid w:val="00C53958"/>
    <w:rsid w:val="00C539B8"/>
    <w:rsid w:val="00C539D9"/>
    <w:rsid w:val="00C53BE6"/>
    <w:rsid w:val="00C53E4B"/>
    <w:rsid w:val="00C53E57"/>
    <w:rsid w:val="00C53E5B"/>
    <w:rsid w:val="00C540FC"/>
    <w:rsid w:val="00C542E9"/>
    <w:rsid w:val="00C542EE"/>
    <w:rsid w:val="00C5449D"/>
    <w:rsid w:val="00C5453B"/>
    <w:rsid w:val="00C546F4"/>
    <w:rsid w:val="00C5479A"/>
    <w:rsid w:val="00C547A6"/>
    <w:rsid w:val="00C547F3"/>
    <w:rsid w:val="00C54827"/>
    <w:rsid w:val="00C54A09"/>
    <w:rsid w:val="00C54A23"/>
    <w:rsid w:val="00C54AC1"/>
    <w:rsid w:val="00C54B10"/>
    <w:rsid w:val="00C54C56"/>
    <w:rsid w:val="00C54D04"/>
    <w:rsid w:val="00C54E78"/>
    <w:rsid w:val="00C54EBB"/>
    <w:rsid w:val="00C5507A"/>
    <w:rsid w:val="00C5507C"/>
    <w:rsid w:val="00C55144"/>
    <w:rsid w:val="00C551BA"/>
    <w:rsid w:val="00C55211"/>
    <w:rsid w:val="00C55215"/>
    <w:rsid w:val="00C5541B"/>
    <w:rsid w:val="00C55428"/>
    <w:rsid w:val="00C554D9"/>
    <w:rsid w:val="00C55612"/>
    <w:rsid w:val="00C5564B"/>
    <w:rsid w:val="00C557DF"/>
    <w:rsid w:val="00C557E2"/>
    <w:rsid w:val="00C5586A"/>
    <w:rsid w:val="00C5588F"/>
    <w:rsid w:val="00C55A1C"/>
    <w:rsid w:val="00C55AD0"/>
    <w:rsid w:val="00C55B15"/>
    <w:rsid w:val="00C55C48"/>
    <w:rsid w:val="00C55D0A"/>
    <w:rsid w:val="00C55D76"/>
    <w:rsid w:val="00C55F9C"/>
    <w:rsid w:val="00C5602E"/>
    <w:rsid w:val="00C56065"/>
    <w:rsid w:val="00C56310"/>
    <w:rsid w:val="00C563B0"/>
    <w:rsid w:val="00C56661"/>
    <w:rsid w:val="00C566DE"/>
    <w:rsid w:val="00C56AE6"/>
    <w:rsid w:val="00C56C5F"/>
    <w:rsid w:val="00C56DEE"/>
    <w:rsid w:val="00C56EA7"/>
    <w:rsid w:val="00C57015"/>
    <w:rsid w:val="00C5702F"/>
    <w:rsid w:val="00C57281"/>
    <w:rsid w:val="00C572F4"/>
    <w:rsid w:val="00C57358"/>
    <w:rsid w:val="00C57528"/>
    <w:rsid w:val="00C576AF"/>
    <w:rsid w:val="00C57721"/>
    <w:rsid w:val="00C577F2"/>
    <w:rsid w:val="00C57877"/>
    <w:rsid w:val="00C57902"/>
    <w:rsid w:val="00C5790E"/>
    <w:rsid w:val="00C57A25"/>
    <w:rsid w:val="00C57ABE"/>
    <w:rsid w:val="00C57B1C"/>
    <w:rsid w:val="00C57B21"/>
    <w:rsid w:val="00C57CF9"/>
    <w:rsid w:val="00C57FD0"/>
    <w:rsid w:val="00C6001E"/>
    <w:rsid w:val="00C600DB"/>
    <w:rsid w:val="00C60105"/>
    <w:rsid w:val="00C60111"/>
    <w:rsid w:val="00C602EA"/>
    <w:rsid w:val="00C60323"/>
    <w:rsid w:val="00C60480"/>
    <w:rsid w:val="00C605A6"/>
    <w:rsid w:val="00C60668"/>
    <w:rsid w:val="00C6078D"/>
    <w:rsid w:val="00C607A2"/>
    <w:rsid w:val="00C607B0"/>
    <w:rsid w:val="00C607BD"/>
    <w:rsid w:val="00C607C8"/>
    <w:rsid w:val="00C60A99"/>
    <w:rsid w:val="00C60AFE"/>
    <w:rsid w:val="00C60B00"/>
    <w:rsid w:val="00C60BA0"/>
    <w:rsid w:val="00C60D09"/>
    <w:rsid w:val="00C60FDD"/>
    <w:rsid w:val="00C61081"/>
    <w:rsid w:val="00C611A1"/>
    <w:rsid w:val="00C611C3"/>
    <w:rsid w:val="00C61215"/>
    <w:rsid w:val="00C612F1"/>
    <w:rsid w:val="00C61456"/>
    <w:rsid w:val="00C61649"/>
    <w:rsid w:val="00C61863"/>
    <w:rsid w:val="00C6189C"/>
    <w:rsid w:val="00C61ABA"/>
    <w:rsid w:val="00C61BE4"/>
    <w:rsid w:val="00C61C57"/>
    <w:rsid w:val="00C61C8C"/>
    <w:rsid w:val="00C61CAA"/>
    <w:rsid w:val="00C61E4C"/>
    <w:rsid w:val="00C62012"/>
    <w:rsid w:val="00C6204F"/>
    <w:rsid w:val="00C6207B"/>
    <w:rsid w:val="00C620CA"/>
    <w:rsid w:val="00C621A3"/>
    <w:rsid w:val="00C622EF"/>
    <w:rsid w:val="00C62321"/>
    <w:rsid w:val="00C6247A"/>
    <w:rsid w:val="00C624F7"/>
    <w:rsid w:val="00C62565"/>
    <w:rsid w:val="00C6276B"/>
    <w:rsid w:val="00C627F4"/>
    <w:rsid w:val="00C628AB"/>
    <w:rsid w:val="00C628F3"/>
    <w:rsid w:val="00C62938"/>
    <w:rsid w:val="00C62B7B"/>
    <w:rsid w:val="00C62CEC"/>
    <w:rsid w:val="00C62D47"/>
    <w:rsid w:val="00C62D56"/>
    <w:rsid w:val="00C63047"/>
    <w:rsid w:val="00C630BD"/>
    <w:rsid w:val="00C63132"/>
    <w:rsid w:val="00C6314C"/>
    <w:rsid w:val="00C63283"/>
    <w:rsid w:val="00C63403"/>
    <w:rsid w:val="00C634EB"/>
    <w:rsid w:val="00C63518"/>
    <w:rsid w:val="00C635A9"/>
    <w:rsid w:val="00C6365D"/>
    <w:rsid w:val="00C636E9"/>
    <w:rsid w:val="00C63775"/>
    <w:rsid w:val="00C63777"/>
    <w:rsid w:val="00C6393C"/>
    <w:rsid w:val="00C639FE"/>
    <w:rsid w:val="00C63A06"/>
    <w:rsid w:val="00C63A64"/>
    <w:rsid w:val="00C63ACE"/>
    <w:rsid w:val="00C63B4B"/>
    <w:rsid w:val="00C63C3D"/>
    <w:rsid w:val="00C63C81"/>
    <w:rsid w:val="00C63E53"/>
    <w:rsid w:val="00C63E89"/>
    <w:rsid w:val="00C63FAF"/>
    <w:rsid w:val="00C64087"/>
    <w:rsid w:val="00C64615"/>
    <w:rsid w:val="00C6462E"/>
    <w:rsid w:val="00C646CA"/>
    <w:rsid w:val="00C648CC"/>
    <w:rsid w:val="00C649AB"/>
    <w:rsid w:val="00C64A75"/>
    <w:rsid w:val="00C64AFF"/>
    <w:rsid w:val="00C64B2B"/>
    <w:rsid w:val="00C64C10"/>
    <w:rsid w:val="00C64CB5"/>
    <w:rsid w:val="00C64D78"/>
    <w:rsid w:val="00C64E5C"/>
    <w:rsid w:val="00C650BB"/>
    <w:rsid w:val="00C650BC"/>
    <w:rsid w:val="00C6537E"/>
    <w:rsid w:val="00C65381"/>
    <w:rsid w:val="00C653C6"/>
    <w:rsid w:val="00C65437"/>
    <w:rsid w:val="00C655CF"/>
    <w:rsid w:val="00C65756"/>
    <w:rsid w:val="00C657B3"/>
    <w:rsid w:val="00C657CF"/>
    <w:rsid w:val="00C658CF"/>
    <w:rsid w:val="00C658F6"/>
    <w:rsid w:val="00C65919"/>
    <w:rsid w:val="00C659F3"/>
    <w:rsid w:val="00C65A43"/>
    <w:rsid w:val="00C65AAC"/>
    <w:rsid w:val="00C65C54"/>
    <w:rsid w:val="00C65D4D"/>
    <w:rsid w:val="00C65E2E"/>
    <w:rsid w:val="00C65EF7"/>
    <w:rsid w:val="00C65F62"/>
    <w:rsid w:val="00C66277"/>
    <w:rsid w:val="00C663F6"/>
    <w:rsid w:val="00C66431"/>
    <w:rsid w:val="00C6659C"/>
    <w:rsid w:val="00C666B2"/>
    <w:rsid w:val="00C668C7"/>
    <w:rsid w:val="00C66978"/>
    <w:rsid w:val="00C6698E"/>
    <w:rsid w:val="00C66B43"/>
    <w:rsid w:val="00C66ECB"/>
    <w:rsid w:val="00C66EE6"/>
    <w:rsid w:val="00C66EE8"/>
    <w:rsid w:val="00C66F3F"/>
    <w:rsid w:val="00C66FAD"/>
    <w:rsid w:val="00C66FE2"/>
    <w:rsid w:val="00C66FF6"/>
    <w:rsid w:val="00C670BE"/>
    <w:rsid w:val="00C67102"/>
    <w:rsid w:val="00C67227"/>
    <w:rsid w:val="00C672BD"/>
    <w:rsid w:val="00C672D3"/>
    <w:rsid w:val="00C6737E"/>
    <w:rsid w:val="00C673EB"/>
    <w:rsid w:val="00C67403"/>
    <w:rsid w:val="00C67449"/>
    <w:rsid w:val="00C674D8"/>
    <w:rsid w:val="00C674E5"/>
    <w:rsid w:val="00C675C6"/>
    <w:rsid w:val="00C676AC"/>
    <w:rsid w:val="00C677F7"/>
    <w:rsid w:val="00C67895"/>
    <w:rsid w:val="00C679AF"/>
    <w:rsid w:val="00C67A33"/>
    <w:rsid w:val="00C67B59"/>
    <w:rsid w:val="00C67C05"/>
    <w:rsid w:val="00C67D00"/>
    <w:rsid w:val="00C67DBD"/>
    <w:rsid w:val="00C67EA7"/>
    <w:rsid w:val="00C67F0E"/>
    <w:rsid w:val="00C67F5F"/>
    <w:rsid w:val="00C67F96"/>
    <w:rsid w:val="00C67FFE"/>
    <w:rsid w:val="00C6C3E3"/>
    <w:rsid w:val="00C6DF26"/>
    <w:rsid w:val="00C7004A"/>
    <w:rsid w:val="00C70101"/>
    <w:rsid w:val="00C7014D"/>
    <w:rsid w:val="00C70199"/>
    <w:rsid w:val="00C7028F"/>
    <w:rsid w:val="00C7030D"/>
    <w:rsid w:val="00C70393"/>
    <w:rsid w:val="00C70512"/>
    <w:rsid w:val="00C7052A"/>
    <w:rsid w:val="00C705AB"/>
    <w:rsid w:val="00C70615"/>
    <w:rsid w:val="00C7068D"/>
    <w:rsid w:val="00C70761"/>
    <w:rsid w:val="00C70935"/>
    <w:rsid w:val="00C70957"/>
    <w:rsid w:val="00C7099D"/>
    <w:rsid w:val="00C70A25"/>
    <w:rsid w:val="00C70A2B"/>
    <w:rsid w:val="00C70A85"/>
    <w:rsid w:val="00C70B02"/>
    <w:rsid w:val="00C70B23"/>
    <w:rsid w:val="00C70B72"/>
    <w:rsid w:val="00C70C5B"/>
    <w:rsid w:val="00C70F00"/>
    <w:rsid w:val="00C71032"/>
    <w:rsid w:val="00C71101"/>
    <w:rsid w:val="00C71218"/>
    <w:rsid w:val="00C713DC"/>
    <w:rsid w:val="00C71572"/>
    <w:rsid w:val="00C716A9"/>
    <w:rsid w:val="00C716F5"/>
    <w:rsid w:val="00C717BB"/>
    <w:rsid w:val="00C717FB"/>
    <w:rsid w:val="00C7185D"/>
    <w:rsid w:val="00C7186C"/>
    <w:rsid w:val="00C71872"/>
    <w:rsid w:val="00C718AD"/>
    <w:rsid w:val="00C7190B"/>
    <w:rsid w:val="00C71978"/>
    <w:rsid w:val="00C71A69"/>
    <w:rsid w:val="00C71B83"/>
    <w:rsid w:val="00C71BA7"/>
    <w:rsid w:val="00C71BFF"/>
    <w:rsid w:val="00C71C1D"/>
    <w:rsid w:val="00C71C47"/>
    <w:rsid w:val="00C71CD8"/>
    <w:rsid w:val="00C71F05"/>
    <w:rsid w:val="00C71F68"/>
    <w:rsid w:val="00C71F6A"/>
    <w:rsid w:val="00C71FE4"/>
    <w:rsid w:val="00C72109"/>
    <w:rsid w:val="00C722C0"/>
    <w:rsid w:val="00C7237C"/>
    <w:rsid w:val="00C723CB"/>
    <w:rsid w:val="00C724C1"/>
    <w:rsid w:val="00C72513"/>
    <w:rsid w:val="00C7251E"/>
    <w:rsid w:val="00C72577"/>
    <w:rsid w:val="00C726B3"/>
    <w:rsid w:val="00C726D3"/>
    <w:rsid w:val="00C72721"/>
    <w:rsid w:val="00C7290A"/>
    <w:rsid w:val="00C7297E"/>
    <w:rsid w:val="00C729A2"/>
    <w:rsid w:val="00C72A5C"/>
    <w:rsid w:val="00C72AE3"/>
    <w:rsid w:val="00C72C07"/>
    <w:rsid w:val="00C72DBE"/>
    <w:rsid w:val="00C72E9D"/>
    <w:rsid w:val="00C7306D"/>
    <w:rsid w:val="00C73103"/>
    <w:rsid w:val="00C7320C"/>
    <w:rsid w:val="00C73454"/>
    <w:rsid w:val="00C7391D"/>
    <w:rsid w:val="00C7396B"/>
    <w:rsid w:val="00C73B37"/>
    <w:rsid w:val="00C73BB9"/>
    <w:rsid w:val="00C73C64"/>
    <w:rsid w:val="00C73E19"/>
    <w:rsid w:val="00C73F6A"/>
    <w:rsid w:val="00C73F7B"/>
    <w:rsid w:val="00C740CA"/>
    <w:rsid w:val="00C740EF"/>
    <w:rsid w:val="00C7437F"/>
    <w:rsid w:val="00C7470D"/>
    <w:rsid w:val="00C747C2"/>
    <w:rsid w:val="00C74A21"/>
    <w:rsid w:val="00C74A5E"/>
    <w:rsid w:val="00C74B52"/>
    <w:rsid w:val="00C74D53"/>
    <w:rsid w:val="00C74EF7"/>
    <w:rsid w:val="00C750D9"/>
    <w:rsid w:val="00C7512B"/>
    <w:rsid w:val="00C751B2"/>
    <w:rsid w:val="00C7535B"/>
    <w:rsid w:val="00C753E4"/>
    <w:rsid w:val="00C7561A"/>
    <w:rsid w:val="00C75701"/>
    <w:rsid w:val="00C75734"/>
    <w:rsid w:val="00C757B8"/>
    <w:rsid w:val="00C757DE"/>
    <w:rsid w:val="00C75847"/>
    <w:rsid w:val="00C758F2"/>
    <w:rsid w:val="00C759CD"/>
    <w:rsid w:val="00C75A37"/>
    <w:rsid w:val="00C75AD4"/>
    <w:rsid w:val="00C75AEA"/>
    <w:rsid w:val="00C75B38"/>
    <w:rsid w:val="00C75C70"/>
    <w:rsid w:val="00C75C77"/>
    <w:rsid w:val="00C75CAC"/>
    <w:rsid w:val="00C75CAD"/>
    <w:rsid w:val="00C75D95"/>
    <w:rsid w:val="00C75FB8"/>
    <w:rsid w:val="00C760B2"/>
    <w:rsid w:val="00C76262"/>
    <w:rsid w:val="00C76370"/>
    <w:rsid w:val="00C764B6"/>
    <w:rsid w:val="00C764CC"/>
    <w:rsid w:val="00C765E0"/>
    <w:rsid w:val="00C76651"/>
    <w:rsid w:val="00C76678"/>
    <w:rsid w:val="00C768D3"/>
    <w:rsid w:val="00C76912"/>
    <w:rsid w:val="00C7692C"/>
    <w:rsid w:val="00C76AF9"/>
    <w:rsid w:val="00C76C59"/>
    <w:rsid w:val="00C76E1C"/>
    <w:rsid w:val="00C76EE2"/>
    <w:rsid w:val="00C76F4F"/>
    <w:rsid w:val="00C772C4"/>
    <w:rsid w:val="00C77463"/>
    <w:rsid w:val="00C774A2"/>
    <w:rsid w:val="00C774BB"/>
    <w:rsid w:val="00C774CE"/>
    <w:rsid w:val="00C77693"/>
    <w:rsid w:val="00C7784E"/>
    <w:rsid w:val="00C778B6"/>
    <w:rsid w:val="00C778F3"/>
    <w:rsid w:val="00C779D3"/>
    <w:rsid w:val="00C779FA"/>
    <w:rsid w:val="00C77B13"/>
    <w:rsid w:val="00C77CEC"/>
    <w:rsid w:val="00C77D39"/>
    <w:rsid w:val="00C77ECC"/>
    <w:rsid w:val="00C77FB0"/>
    <w:rsid w:val="00C8023C"/>
    <w:rsid w:val="00C80257"/>
    <w:rsid w:val="00C80273"/>
    <w:rsid w:val="00C806A4"/>
    <w:rsid w:val="00C8072F"/>
    <w:rsid w:val="00C80730"/>
    <w:rsid w:val="00C807EA"/>
    <w:rsid w:val="00C808D5"/>
    <w:rsid w:val="00C808F7"/>
    <w:rsid w:val="00C80911"/>
    <w:rsid w:val="00C8093D"/>
    <w:rsid w:val="00C80B0A"/>
    <w:rsid w:val="00C80BC7"/>
    <w:rsid w:val="00C80D1B"/>
    <w:rsid w:val="00C80D62"/>
    <w:rsid w:val="00C80EA4"/>
    <w:rsid w:val="00C80EE7"/>
    <w:rsid w:val="00C80F8F"/>
    <w:rsid w:val="00C80FB7"/>
    <w:rsid w:val="00C80FDE"/>
    <w:rsid w:val="00C8102D"/>
    <w:rsid w:val="00C8106F"/>
    <w:rsid w:val="00C81086"/>
    <w:rsid w:val="00C81166"/>
    <w:rsid w:val="00C81212"/>
    <w:rsid w:val="00C81239"/>
    <w:rsid w:val="00C81391"/>
    <w:rsid w:val="00C814AC"/>
    <w:rsid w:val="00C816E0"/>
    <w:rsid w:val="00C81957"/>
    <w:rsid w:val="00C8196B"/>
    <w:rsid w:val="00C81A90"/>
    <w:rsid w:val="00C81CF6"/>
    <w:rsid w:val="00C81D85"/>
    <w:rsid w:val="00C81DA6"/>
    <w:rsid w:val="00C81DE4"/>
    <w:rsid w:val="00C81FB7"/>
    <w:rsid w:val="00C8219B"/>
    <w:rsid w:val="00C82210"/>
    <w:rsid w:val="00C82388"/>
    <w:rsid w:val="00C823EC"/>
    <w:rsid w:val="00C82562"/>
    <w:rsid w:val="00C826DB"/>
    <w:rsid w:val="00C827E1"/>
    <w:rsid w:val="00C82804"/>
    <w:rsid w:val="00C828FA"/>
    <w:rsid w:val="00C8298B"/>
    <w:rsid w:val="00C829EB"/>
    <w:rsid w:val="00C82B2A"/>
    <w:rsid w:val="00C82CFD"/>
    <w:rsid w:val="00C82DA8"/>
    <w:rsid w:val="00C82E9E"/>
    <w:rsid w:val="00C82F3E"/>
    <w:rsid w:val="00C82F4C"/>
    <w:rsid w:val="00C8301B"/>
    <w:rsid w:val="00C830B4"/>
    <w:rsid w:val="00C83147"/>
    <w:rsid w:val="00C832E5"/>
    <w:rsid w:val="00C833D6"/>
    <w:rsid w:val="00C8359A"/>
    <w:rsid w:val="00C835CA"/>
    <w:rsid w:val="00C8360F"/>
    <w:rsid w:val="00C83697"/>
    <w:rsid w:val="00C8374C"/>
    <w:rsid w:val="00C8388B"/>
    <w:rsid w:val="00C838CC"/>
    <w:rsid w:val="00C83905"/>
    <w:rsid w:val="00C83A3B"/>
    <w:rsid w:val="00C83C00"/>
    <w:rsid w:val="00C83D56"/>
    <w:rsid w:val="00C83D8E"/>
    <w:rsid w:val="00C83EB2"/>
    <w:rsid w:val="00C83F33"/>
    <w:rsid w:val="00C83FBC"/>
    <w:rsid w:val="00C84063"/>
    <w:rsid w:val="00C843D4"/>
    <w:rsid w:val="00C84470"/>
    <w:rsid w:val="00C84518"/>
    <w:rsid w:val="00C84584"/>
    <w:rsid w:val="00C84698"/>
    <w:rsid w:val="00C84864"/>
    <w:rsid w:val="00C848DE"/>
    <w:rsid w:val="00C84944"/>
    <w:rsid w:val="00C84A13"/>
    <w:rsid w:val="00C84CCA"/>
    <w:rsid w:val="00C84E18"/>
    <w:rsid w:val="00C84E39"/>
    <w:rsid w:val="00C85091"/>
    <w:rsid w:val="00C852E7"/>
    <w:rsid w:val="00C853B9"/>
    <w:rsid w:val="00C85467"/>
    <w:rsid w:val="00C854E3"/>
    <w:rsid w:val="00C8553D"/>
    <w:rsid w:val="00C85639"/>
    <w:rsid w:val="00C85662"/>
    <w:rsid w:val="00C8571D"/>
    <w:rsid w:val="00C8572E"/>
    <w:rsid w:val="00C8578C"/>
    <w:rsid w:val="00C8584A"/>
    <w:rsid w:val="00C85891"/>
    <w:rsid w:val="00C859B0"/>
    <w:rsid w:val="00C85DBA"/>
    <w:rsid w:val="00C85F80"/>
    <w:rsid w:val="00C85FC2"/>
    <w:rsid w:val="00C8602D"/>
    <w:rsid w:val="00C86091"/>
    <w:rsid w:val="00C86288"/>
    <w:rsid w:val="00C86343"/>
    <w:rsid w:val="00C863E7"/>
    <w:rsid w:val="00C864B5"/>
    <w:rsid w:val="00C86514"/>
    <w:rsid w:val="00C86761"/>
    <w:rsid w:val="00C86884"/>
    <w:rsid w:val="00C868F6"/>
    <w:rsid w:val="00C86909"/>
    <w:rsid w:val="00C86919"/>
    <w:rsid w:val="00C86A3B"/>
    <w:rsid w:val="00C86A61"/>
    <w:rsid w:val="00C86ACA"/>
    <w:rsid w:val="00C86B60"/>
    <w:rsid w:val="00C86D05"/>
    <w:rsid w:val="00C86EC4"/>
    <w:rsid w:val="00C8715A"/>
    <w:rsid w:val="00C871CA"/>
    <w:rsid w:val="00C8729D"/>
    <w:rsid w:val="00C874DD"/>
    <w:rsid w:val="00C8798F"/>
    <w:rsid w:val="00C87AD9"/>
    <w:rsid w:val="00C87B08"/>
    <w:rsid w:val="00C87C59"/>
    <w:rsid w:val="00C87C75"/>
    <w:rsid w:val="00C87C8A"/>
    <w:rsid w:val="00C87C9E"/>
    <w:rsid w:val="00C87EC7"/>
    <w:rsid w:val="00C901D8"/>
    <w:rsid w:val="00C90215"/>
    <w:rsid w:val="00C90217"/>
    <w:rsid w:val="00C903E7"/>
    <w:rsid w:val="00C90640"/>
    <w:rsid w:val="00C90663"/>
    <w:rsid w:val="00C90699"/>
    <w:rsid w:val="00C9075E"/>
    <w:rsid w:val="00C90774"/>
    <w:rsid w:val="00C90A7E"/>
    <w:rsid w:val="00C90AD2"/>
    <w:rsid w:val="00C90AD6"/>
    <w:rsid w:val="00C90ADA"/>
    <w:rsid w:val="00C90ADB"/>
    <w:rsid w:val="00C90B79"/>
    <w:rsid w:val="00C90D0F"/>
    <w:rsid w:val="00C90D54"/>
    <w:rsid w:val="00C911FF"/>
    <w:rsid w:val="00C9123A"/>
    <w:rsid w:val="00C91500"/>
    <w:rsid w:val="00C91555"/>
    <w:rsid w:val="00C915D0"/>
    <w:rsid w:val="00C916D6"/>
    <w:rsid w:val="00C918C1"/>
    <w:rsid w:val="00C91992"/>
    <w:rsid w:val="00C91A9D"/>
    <w:rsid w:val="00C91AAC"/>
    <w:rsid w:val="00C91AE1"/>
    <w:rsid w:val="00C91B1E"/>
    <w:rsid w:val="00C91B2E"/>
    <w:rsid w:val="00C91BFB"/>
    <w:rsid w:val="00C91C8C"/>
    <w:rsid w:val="00C91D73"/>
    <w:rsid w:val="00C91DDB"/>
    <w:rsid w:val="00C91E69"/>
    <w:rsid w:val="00C91F55"/>
    <w:rsid w:val="00C91F88"/>
    <w:rsid w:val="00C920EC"/>
    <w:rsid w:val="00C921AF"/>
    <w:rsid w:val="00C923AD"/>
    <w:rsid w:val="00C92555"/>
    <w:rsid w:val="00C92623"/>
    <w:rsid w:val="00C9273C"/>
    <w:rsid w:val="00C9282D"/>
    <w:rsid w:val="00C928BB"/>
    <w:rsid w:val="00C92977"/>
    <w:rsid w:val="00C92980"/>
    <w:rsid w:val="00C92BA8"/>
    <w:rsid w:val="00C92CAC"/>
    <w:rsid w:val="00C92D2C"/>
    <w:rsid w:val="00C92D43"/>
    <w:rsid w:val="00C92E8A"/>
    <w:rsid w:val="00C93030"/>
    <w:rsid w:val="00C931F0"/>
    <w:rsid w:val="00C931FE"/>
    <w:rsid w:val="00C933C4"/>
    <w:rsid w:val="00C933CC"/>
    <w:rsid w:val="00C93403"/>
    <w:rsid w:val="00C9340B"/>
    <w:rsid w:val="00C93580"/>
    <w:rsid w:val="00C93765"/>
    <w:rsid w:val="00C937AC"/>
    <w:rsid w:val="00C937F2"/>
    <w:rsid w:val="00C93891"/>
    <w:rsid w:val="00C93B1F"/>
    <w:rsid w:val="00C93D02"/>
    <w:rsid w:val="00C93D15"/>
    <w:rsid w:val="00C93DD3"/>
    <w:rsid w:val="00C93E0A"/>
    <w:rsid w:val="00C93ED6"/>
    <w:rsid w:val="00C93EDC"/>
    <w:rsid w:val="00C93EE0"/>
    <w:rsid w:val="00C94177"/>
    <w:rsid w:val="00C941ED"/>
    <w:rsid w:val="00C942DE"/>
    <w:rsid w:val="00C94425"/>
    <w:rsid w:val="00C94486"/>
    <w:rsid w:val="00C944B6"/>
    <w:rsid w:val="00C9489F"/>
    <w:rsid w:val="00C94937"/>
    <w:rsid w:val="00C949EF"/>
    <w:rsid w:val="00C94A2B"/>
    <w:rsid w:val="00C94B02"/>
    <w:rsid w:val="00C94B70"/>
    <w:rsid w:val="00C94BC9"/>
    <w:rsid w:val="00C94C1E"/>
    <w:rsid w:val="00C94C90"/>
    <w:rsid w:val="00C94CC7"/>
    <w:rsid w:val="00C94CCC"/>
    <w:rsid w:val="00C94CE2"/>
    <w:rsid w:val="00C94DA6"/>
    <w:rsid w:val="00C94E8B"/>
    <w:rsid w:val="00C95020"/>
    <w:rsid w:val="00C9504C"/>
    <w:rsid w:val="00C95316"/>
    <w:rsid w:val="00C953F6"/>
    <w:rsid w:val="00C954B0"/>
    <w:rsid w:val="00C955F7"/>
    <w:rsid w:val="00C9575D"/>
    <w:rsid w:val="00C958DA"/>
    <w:rsid w:val="00C95928"/>
    <w:rsid w:val="00C95A71"/>
    <w:rsid w:val="00C95B63"/>
    <w:rsid w:val="00C95B69"/>
    <w:rsid w:val="00C95D53"/>
    <w:rsid w:val="00C95D5A"/>
    <w:rsid w:val="00C95D80"/>
    <w:rsid w:val="00C9608A"/>
    <w:rsid w:val="00C9608D"/>
    <w:rsid w:val="00C962AC"/>
    <w:rsid w:val="00C9631C"/>
    <w:rsid w:val="00C963EC"/>
    <w:rsid w:val="00C964C1"/>
    <w:rsid w:val="00C964EC"/>
    <w:rsid w:val="00C96549"/>
    <w:rsid w:val="00C96569"/>
    <w:rsid w:val="00C966AF"/>
    <w:rsid w:val="00C966BF"/>
    <w:rsid w:val="00C966C0"/>
    <w:rsid w:val="00C968BC"/>
    <w:rsid w:val="00C96A8D"/>
    <w:rsid w:val="00C96B17"/>
    <w:rsid w:val="00C96B61"/>
    <w:rsid w:val="00C96B71"/>
    <w:rsid w:val="00C96B8C"/>
    <w:rsid w:val="00C96BFD"/>
    <w:rsid w:val="00C96C98"/>
    <w:rsid w:val="00C96C9E"/>
    <w:rsid w:val="00C96CD3"/>
    <w:rsid w:val="00C96D07"/>
    <w:rsid w:val="00C96D37"/>
    <w:rsid w:val="00C96D43"/>
    <w:rsid w:val="00C96D88"/>
    <w:rsid w:val="00C9706E"/>
    <w:rsid w:val="00C97321"/>
    <w:rsid w:val="00C9734D"/>
    <w:rsid w:val="00C9758F"/>
    <w:rsid w:val="00C975C2"/>
    <w:rsid w:val="00C975CF"/>
    <w:rsid w:val="00C97612"/>
    <w:rsid w:val="00C976D6"/>
    <w:rsid w:val="00C978AA"/>
    <w:rsid w:val="00C97A06"/>
    <w:rsid w:val="00C97A9C"/>
    <w:rsid w:val="00C97B0B"/>
    <w:rsid w:val="00C97C5B"/>
    <w:rsid w:val="00C97E3F"/>
    <w:rsid w:val="00C97EAB"/>
    <w:rsid w:val="00C97EAE"/>
    <w:rsid w:val="00C97F39"/>
    <w:rsid w:val="00C97F50"/>
    <w:rsid w:val="00C97FD8"/>
    <w:rsid w:val="00CA00C7"/>
    <w:rsid w:val="00CA012C"/>
    <w:rsid w:val="00CA01F8"/>
    <w:rsid w:val="00CA051B"/>
    <w:rsid w:val="00CA0577"/>
    <w:rsid w:val="00CA05C3"/>
    <w:rsid w:val="00CA05D4"/>
    <w:rsid w:val="00CA0630"/>
    <w:rsid w:val="00CA06E0"/>
    <w:rsid w:val="00CA0737"/>
    <w:rsid w:val="00CA07D8"/>
    <w:rsid w:val="00CA0845"/>
    <w:rsid w:val="00CA08F6"/>
    <w:rsid w:val="00CA0953"/>
    <w:rsid w:val="00CA096E"/>
    <w:rsid w:val="00CA0A00"/>
    <w:rsid w:val="00CA0A0C"/>
    <w:rsid w:val="00CA0A1F"/>
    <w:rsid w:val="00CA0A84"/>
    <w:rsid w:val="00CA0D05"/>
    <w:rsid w:val="00CA0DA8"/>
    <w:rsid w:val="00CA0DCA"/>
    <w:rsid w:val="00CA0DE8"/>
    <w:rsid w:val="00CA0EFE"/>
    <w:rsid w:val="00CA0FAF"/>
    <w:rsid w:val="00CA107D"/>
    <w:rsid w:val="00CA11E5"/>
    <w:rsid w:val="00CA12CB"/>
    <w:rsid w:val="00CA1319"/>
    <w:rsid w:val="00CA159B"/>
    <w:rsid w:val="00CA15AF"/>
    <w:rsid w:val="00CA1869"/>
    <w:rsid w:val="00CA19B8"/>
    <w:rsid w:val="00CA1A04"/>
    <w:rsid w:val="00CA1B6A"/>
    <w:rsid w:val="00CA1D45"/>
    <w:rsid w:val="00CA1DFB"/>
    <w:rsid w:val="00CA1E1E"/>
    <w:rsid w:val="00CA2019"/>
    <w:rsid w:val="00CA201A"/>
    <w:rsid w:val="00CA2082"/>
    <w:rsid w:val="00CA20AC"/>
    <w:rsid w:val="00CA21D7"/>
    <w:rsid w:val="00CA230C"/>
    <w:rsid w:val="00CA2337"/>
    <w:rsid w:val="00CA23C3"/>
    <w:rsid w:val="00CA2627"/>
    <w:rsid w:val="00CA26DD"/>
    <w:rsid w:val="00CA2A89"/>
    <w:rsid w:val="00CA2B72"/>
    <w:rsid w:val="00CA2CD9"/>
    <w:rsid w:val="00CA2EAC"/>
    <w:rsid w:val="00CA2F0C"/>
    <w:rsid w:val="00CA2F3D"/>
    <w:rsid w:val="00CA2F71"/>
    <w:rsid w:val="00CA30F0"/>
    <w:rsid w:val="00CA3121"/>
    <w:rsid w:val="00CA316B"/>
    <w:rsid w:val="00CA31AA"/>
    <w:rsid w:val="00CA31F4"/>
    <w:rsid w:val="00CA337A"/>
    <w:rsid w:val="00CA33C8"/>
    <w:rsid w:val="00CA343C"/>
    <w:rsid w:val="00CA347C"/>
    <w:rsid w:val="00CA3512"/>
    <w:rsid w:val="00CA3540"/>
    <w:rsid w:val="00CA36A0"/>
    <w:rsid w:val="00CA36B2"/>
    <w:rsid w:val="00CA3704"/>
    <w:rsid w:val="00CA3AEE"/>
    <w:rsid w:val="00CA3B93"/>
    <w:rsid w:val="00CA3D66"/>
    <w:rsid w:val="00CA3D8A"/>
    <w:rsid w:val="00CA3E2F"/>
    <w:rsid w:val="00CA3F3B"/>
    <w:rsid w:val="00CA3FA1"/>
    <w:rsid w:val="00CA3FAB"/>
    <w:rsid w:val="00CA409D"/>
    <w:rsid w:val="00CA41A6"/>
    <w:rsid w:val="00CA42B5"/>
    <w:rsid w:val="00CA437C"/>
    <w:rsid w:val="00CA45A0"/>
    <w:rsid w:val="00CA4677"/>
    <w:rsid w:val="00CA47E1"/>
    <w:rsid w:val="00CA4842"/>
    <w:rsid w:val="00CA4A07"/>
    <w:rsid w:val="00CA4A25"/>
    <w:rsid w:val="00CA4AF0"/>
    <w:rsid w:val="00CA4E89"/>
    <w:rsid w:val="00CA51A7"/>
    <w:rsid w:val="00CA5358"/>
    <w:rsid w:val="00CA536B"/>
    <w:rsid w:val="00CA53DC"/>
    <w:rsid w:val="00CA5406"/>
    <w:rsid w:val="00CA545D"/>
    <w:rsid w:val="00CA54CE"/>
    <w:rsid w:val="00CA562D"/>
    <w:rsid w:val="00CA569C"/>
    <w:rsid w:val="00CA5771"/>
    <w:rsid w:val="00CA57FB"/>
    <w:rsid w:val="00CA5896"/>
    <w:rsid w:val="00CA589C"/>
    <w:rsid w:val="00CA5A70"/>
    <w:rsid w:val="00CA5A89"/>
    <w:rsid w:val="00CA5B32"/>
    <w:rsid w:val="00CA5BDB"/>
    <w:rsid w:val="00CA5BF9"/>
    <w:rsid w:val="00CA5C25"/>
    <w:rsid w:val="00CA5D75"/>
    <w:rsid w:val="00CA5EA0"/>
    <w:rsid w:val="00CA5EB6"/>
    <w:rsid w:val="00CA5FAE"/>
    <w:rsid w:val="00CA5FCF"/>
    <w:rsid w:val="00CA604D"/>
    <w:rsid w:val="00CA60A0"/>
    <w:rsid w:val="00CA60E1"/>
    <w:rsid w:val="00CA61C8"/>
    <w:rsid w:val="00CA6395"/>
    <w:rsid w:val="00CA63FB"/>
    <w:rsid w:val="00CA644A"/>
    <w:rsid w:val="00CA655E"/>
    <w:rsid w:val="00CA65E4"/>
    <w:rsid w:val="00CA6609"/>
    <w:rsid w:val="00CA6947"/>
    <w:rsid w:val="00CA698F"/>
    <w:rsid w:val="00CA69E2"/>
    <w:rsid w:val="00CA6A6F"/>
    <w:rsid w:val="00CA6A87"/>
    <w:rsid w:val="00CA6BAB"/>
    <w:rsid w:val="00CA6BD3"/>
    <w:rsid w:val="00CA6C25"/>
    <w:rsid w:val="00CA6C64"/>
    <w:rsid w:val="00CA6C88"/>
    <w:rsid w:val="00CA6CEB"/>
    <w:rsid w:val="00CA70A9"/>
    <w:rsid w:val="00CA75D8"/>
    <w:rsid w:val="00CA760A"/>
    <w:rsid w:val="00CA761E"/>
    <w:rsid w:val="00CA7639"/>
    <w:rsid w:val="00CA7688"/>
    <w:rsid w:val="00CA76C4"/>
    <w:rsid w:val="00CA775F"/>
    <w:rsid w:val="00CA7B35"/>
    <w:rsid w:val="00CA7BCB"/>
    <w:rsid w:val="00CA7C1D"/>
    <w:rsid w:val="00CA7C2A"/>
    <w:rsid w:val="00CA7C33"/>
    <w:rsid w:val="00CA7C64"/>
    <w:rsid w:val="00CA7CBC"/>
    <w:rsid w:val="00CA7D07"/>
    <w:rsid w:val="00CA7E92"/>
    <w:rsid w:val="00CA7F12"/>
    <w:rsid w:val="00CA7FBF"/>
    <w:rsid w:val="00CA9795"/>
    <w:rsid w:val="00CB0176"/>
    <w:rsid w:val="00CB01DC"/>
    <w:rsid w:val="00CB021D"/>
    <w:rsid w:val="00CB0243"/>
    <w:rsid w:val="00CB02EA"/>
    <w:rsid w:val="00CB0332"/>
    <w:rsid w:val="00CB037A"/>
    <w:rsid w:val="00CB0392"/>
    <w:rsid w:val="00CB0499"/>
    <w:rsid w:val="00CB05AF"/>
    <w:rsid w:val="00CB0600"/>
    <w:rsid w:val="00CB0755"/>
    <w:rsid w:val="00CB0769"/>
    <w:rsid w:val="00CB07A6"/>
    <w:rsid w:val="00CB0A0C"/>
    <w:rsid w:val="00CB0A3F"/>
    <w:rsid w:val="00CB0A7A"/>
    <w:rsid w:val="00CB0B17"/>
    <w:rsid w:val="00CB0B7E"/>
    <w:rsid w:val="00CB0BF7"/>
    <w:rsid w:val="00CB0C7A"/>
    <w:rsid w:val="00CB0CE3"/>
    <w:rsid w:val="00CB0E46"/>
    <w:rsid w:val="00CB0EC9"/>
    <w:rsid w:val="00CB1013"/>
    <w:rsid w:val="00CB1149"/>
    <w:rsid w:val="00CB11BF"/>
    <w:rsid w:val="00CB12D5"/>
    <w:rsid w:val="00CB13DC"/>
    <w:rsid w:val="00CB1485"/>
    <w:rsid w:val="00CB14B3"/>
    <w:rsid w:val="00CB186B"/>
    <w:rsid w:val="00CB1A10"/>
    <w:rsid w:val="00CB1A30"/>
    <w:rsid w:val="00CB1C17"/>
    <w:rsid w:val="00CB1D3A"/>
    <w:rsid w:val="00CB1D9F"/>
    <w:rsid w:val="00CB1DCA"/>
    <w:rsid w:val="00CB1E3D"/>
    <w:rsid w:val="00CB1ED8"/>
    <w:rsid w:val="00CB1FE6"/>
    <w:rsid w:val="00CB2022"/>
    <w:rsid w:val="00CB2046"/>
    <w:rsid w:val="00CB2098"/>
    <w:rsid w:val="00CB2202"/>
    <w:rsid w:val="00CB2261"/>
    <w:rsid w:val="00CB2271"/>
    <w:rsid w:val="00CB241A"/>
    <w:rsid w:val="00CB2512"/>
    <w:rsid w:val="00CB253B"/>
    <w:rsid w:val="00CB25E7"/>
    <w:rsid w:val="00CB2713"/>
    <w:rsid w:val="00CB2838"/>
    <w:rsid w:val="00CB29D5"/>
    <w:rsid w:val="00CB2DEC"/>
    <w:rsid w:val="00CB2E6E"/>
    <w:rsid w:val="00CB2F66"/>
    <w:rsid w:val="00CB3005"/>
    <w:rsid w:val="00CB30EB"/>
    <w:rsid w:val="00CB310A"/>
    <w:rsid w:val="00CB3181"/>
    <w:rsid w:val="00CB31E3"/>
    <w:rsid w:val="00CB332B"/>
    <w:rsid w:val="00CB3381"/>
    <w:rsid w:val="00CB357A"/>
    <w:rsid w:val="00CB361B"/>
    <w:rsid w:val="00CB3681"/>
    <w:rsid w:val="00CB36AC"/>
    <w:rsid w:val="00CB3715"/>
    <w:rsid w:val="00CB39F4"/>
    <w:rsid w:val="00CB3A1E"/>
    <w:rsid w:val="00CB3A4D"/>
    <w:rsid w:val="00CB3A99"/>
    <w:rsid w:val="00CB3BFE"/>
    <w:rsid w:val="00CB3C60"/>
    <w:rsid w:val="00CB3C7E"/>
    <w:rsid w:val="00CB3D39"/>
    <w:rsid w:val="00CB3E08"/>
    <w:rsid w:val="00CB3F1D"/>
    <w:rsid w:val="00CB4042"/>
    <w:rsid w:val="00CB40EE"/>
    <w:rsid w:val="00CB4206"/>
    <w:rsid w:val="00CB4291"/>
    <w:rsid w:val="00CB430D"/>
    <w:rsid w:val="00CB44BA"/>
    <w:rsid w:val="00CB458F"/>
    <w:rsid w:val="00CB4594"/>
    <w:rsid w:val="00CB47CA"/>
    <w:rsid w:val="00CB48B3"/>
    <w:rsid w:val="00CB48DD"/>
    <w:rsid w:val="00CB496A"/>
    <w:rsid w:val="00CB4A43"/>
    <w:rsid w:val="00CB4A9A"/>
    <w:rsid w:val="00CB4B05"/>
    <w:rsid w:val="00CB4B53"/>
    <w:rsid w:val="00CB4D69"/>
    <w:rsid w:val="00CB4D8E"/>
    <w:rsid w:val="00CB4F47"/>
    <w:rsid w:val="00CB508F"/>
    <w:rsid w:val="00CB516E"/>
    <w:rsid w:val="00CB51E7"/>
    <w:rsid w:val="00CB526F"/>
    <w:rsid w:val="00CB5283"/>
    <w:rsid w:val="00CB545C"/>
    <w:rsid w:val="00CB54F1"/>
    <w:rsid w:val="00CB5507"/>
    <w:rsid w:val="00CB55D4"/>
    <w:rsid w:val="00CB5708"/>
    <w:rsid w:val="00CB5834"/>
    <w:rsid w:val="00CB592D"/>
    <w:rsid w:val="00CB5980"/>
    <w:rsid w:val="00CB59E7"/>
    <w:rsid w:val="00CB5A03"/>
    <w:rsid w:val="00CB5A64"/>
    <w:rsid w:val="00CB5B3C"/>
    <w:rsid w:val="00CB5B97"/>
    <w:rsid w:val="00CB5BED"/>
    <w:rsid w:val="00CB5D0E"/>
    <w:rsid w:val="00CB5DE1"/>
    <w:rsid w:val="00CB5DFE"/>
    <w:rsid w:val="00CB5EC3"/>
    <w:rsid w:val="00CB60AD"/>
    <w:rsid w:val="00CB619A"/>
    <w:rsid w:val="00CB62E8"/>
    <w:rsid w:val="00CB6556"/>
    <w:rsid w:val="00CB658D"/>
    <w:rsid w:val="00CB665B"/>
    <w:rsid w:val="00CB66BF"/>
    <w:rsid w:val="00CB66F3"/>
    <w:rsid w:val="00CB68E9"/>
    <w:rsid w:val="00CB6973"/>
    <w:rsid w:val="00CB6A39"/>
    <w:rsid w:val="00CB6B31"/>
    <w:rsid w:val="00CB6B72"/>
    <w:rsid w:val="00CB6B89"/>
    <w:rsid w:val="00CB6E08"/>
    <w:rsid w:val="00CB6E5D"/>
    <w:rsid w:val="00CB6EEE"/>
    <w:rsid w:val="00CB6FA6"/>
    <w:rsid w:val="00CB7154"/>
    <w:rsid w:val="00CB72D0"/>
    <w:rsid w:val="00CB739B"/>
    <w:rsid w:val="00CB73B6"/>
    <w:rsid w:val="00CB73FD"/>
    <w:rsid w:val="00CB7430"/>
    <w:rsid w:val="00CB7508"/>
    <w:rsid w:val="00CB7619"/>
    <w:rsid w:val="00CB76C0"/>
    <w:rsid w:val="00CB7730"/>
    <w:rsid w:val="00CB7742"/>
    <w:rsid w:val="00CB7821"/>
    <w:rsid w:val="00CB7996"/>
    <w:rsid w:val="00CB7AFC"/>
    <w:rsid w:val="00CB7C07"/>
    <w:rsid w:val="00CB7C92"/>
    <w:rsid w:val="00CB7D56"/>
    <w:rsid w:val="00CB7DB4"/>
    <w:rsid w:val="00CB7E1E"/>
    <w:rsid w:val="00CB7E28"/>
    <w:rsid w:val="00CB7F81"/>
    <w:rsid w:val="00CC0000"/>
    <w:rsid w:val="00CC0044"/>
    <w:rsid w:val="00CC01A6"/>
    <w:rsid w:val="00CC029F"/>
    <w:rsid w:val="00CC0394"/>
    <w:rsid w:val="00CC03C9"/>
    <w:rsid w:val="00CC04AF"/>
    <w:rsid w:val="00CC0532"/>
    <w:rsid w:val="00CC06A1"/>
    <w:rsid w:val="00CC06F4"/>
    <w:rsid w:val="00CC080C"/>
    <w:rsid w:val="00CC080E"/>
    <w:rsid w:val="00CC09A4"/>
    <w:rsid w:val="00CC0A67"/>
    <w:rsid w:val="00CC0AA0"/>
    <w:rsid w:val="00CC0AB4"/>
    <w:rsid w:val="00CC0D7C"/>
    <w:rsid w:val="00CC0E90"/>
    <w:rsid w:val="00CC0F3C"/>
    <w:rsid w:val="00CC0F55"/>
    <w:rsid w:val="00CC0F8D"/>
    <w:rsid w:val="00CC0FE7"/>
    <w:rsid w:val="00CC1025"/>
    <w:rsid w:val="00CC128A"/>
    <w:rsid w:val="00CC12CE"/>
    <w:rsid w:val="00CC1399"/>
    <w:rsid w:val="00CC1466"/>
    <w:rsid w:val="00CC14CB"/>
    <w:rsid w:val="00CC1630"/>
    <w:rsid w:val="00CC18D5"/>
    <w:rsid w:val="00CC1A3F"/>
    <w:rsid w:val="00CC1ACB"/>
    <w:rsid w:val="00CC1AE0"/>
    <w:rsid w:val="00CC1B05"/>
    <w:rsid w:val="00CC1CB7"/>
    <w:rsid w:val="00CC1DEF"/>
    <w:rsid w:val="00CC1E7D"/>
    <w:rsid w:val="00CC20FC"/>
    <w:rsid w:val="00CC213E"/>
    <w:rsid w:val="00CC216F"/>
    <w:rsid w:val="00CC2197"/>
    <w:rsid w:val="00CC21D9"/>
    <w:rsid w:val="00CC2219"/>
    <w:rsid w:val="00CC23A8"/>
    <w:rsid w:val="00CC2448"/>
    <w:rsid w:val="00CC260A"/>
    <w:rsid w:val="00CC26EA"/>
    <w:rsid w:val="00CC289E"/>
    <w:rsid w:val="00CC29C6"/>
    <w:rsid w:val="00CC29DE"/>
    <w:rsid w:val="00CC2A3E"/>
    <w:rsid w:val="00CC2B4C"/>
    <w:rsid w:val="00CC2BA2"/>
    <w:rsid w:val="00CC2BBB"/>
    <w:rsid w:val="00CC2C3F"/>
    <w:rsid w:val="00CC2D67"/>
    <w:rsid w:val="00CC2D6C"/>
    <w:rsid w:val="00CC2E37"/>
    <w:rsid w:val="00CC2E3A"/>
    <w:rsid w:val="00CC2F05"/>
    <w:rsid w:val="00CC2F13"/>
    <w:rsid w:val="00CC2F90"/>
    <w:rsid w:val="00CC2FB2"/>
    <w:rsid w:val="00CC30C2"/>
    <w:rsid w:val="00CC30D6"/>
    <w:rsid w:val="00CC3178"/>
    <w:rsid w:val="00CC3283"/>
    <w:rsid w:val="00CC329B"/>
    <w:rsid w:val="00CC32B7"/>
    <w:rsid w:val="00CC3322"/>
    <w:rsid w:val="00CC3433"/>
    <w:rsid w:val="00CC3561"/>
    <w:rsid w:val="00CC3633"/>
    <w:rsid w:val="00CC3899"/>
    <w:rsid w:val="00CC3941"/>
    <w:rsid w:val="00CC39C0"/>
    <w:rsid w:val="00CC3A29"/>
    <w:rsid w:val="00CC3A4F"/>
    <w:rsid w:val="00CC3A96"/>
    <w:rsid w:val="00CC3B06"/>
    <w:rsid w:val="00CC3B08"/>
    <w:rsid w:val="00CC3B70"/>
    <w:rsid w:val="00CC3E1B"/>
    <w:rsid w:val="00CC3F32"/>
    <w:rsid w:val="00CC3F34"/>
    <w:rsid w:val="00CC3FFD"/>
    <w:rsid w:val="00CC41C9"/>
    <w:rsid w:val="00CC4247"/>
    <w:rsid w:val="00CC4294"/>
    <w:rsid w:val="00CC4319"/>
    <w:rsid w:val="00CC436C"/>
    <w:rsid w:val="00CC43C7"/>
    <w:rsid w:val="00CC44C1"/>
    <w:rsid w:val="00CC45CF"/>
    <w:rsid w:val="00CC466E"/>
    <w:rsid w:val="00CC4772"/>
    <w:rsid w:val="00CC4880"/>
    <w:rsid w:val="00CC48C9"/>
    <w:rsid w:val="00CC49FA"/>
    <w:rsid w:val="00CC4A00"/>
    <w:rsid w:val="00CC4A9D"/>
    <w:rsid w:val="00CC4BC3"/>
    <w:rsid w:val="00CC4C70"/>
    <w:rsid w:val="00CC4DA4"/>
    <w:rsid w:val="00CC4E87"/>
    <w:rsid w:val="00CC4EAE"/>
    <w:rsid w:val="00CC4F80"/>
    <w:rsid w:val="00CC5042"/>
    <w:rsid w:val="00CC50DB"/>
    <w:rsid w:val="00CC50F4"/>
    <w:rsid w:val="00CC51AE"/>
    <w:rsid w:val="00CC51E5"/>
    <w:rsid w:val="00CC528B"/>
    <w:rsid w:val="00CC52ED"/>
    <w:rsid w:val="00CC54C5"/>
    <w:rsid w:val="00CC55D5"/>
    <w:rsid w:val="00CC5600"/>
    <w:rsid w:val="00CC5757"/>
    <w:rsid w:val="00CC5801"/>
    <w:rsid w:val="00CC58CC"/>
    <w:rsid w:val="00CC58F6"/>
    <w:rsid w:val="00CC5B05"/>
    <w:rsid w:val="00CC5D64"/>
    <w:rsid w:val="00CC5F9E"/>
    <w:rsid w:val="00CC6078"/>
    <w:rsid w:val="00CC60AA"/>
    <w:rsid w:val="00CC6234"/>
    <w:rsid w:val="00CC62D3"/>
    <w:rsid w:val="00CC6542"/>
    <w:rsid w:val="00CC6593"/>
    <w:rsid w:val="00CC65AE"/>
    <w:rsid w:val="00CC65E2"/>
    <w:rsid w:val="00CC65F0"/>
    <w:rsid w:val="00CC669C"/>
    <w:rsid w:val="00CC66BC"/>
    <w:rsid w:val="00CC67AB"/>
    <w:rsid w:val="00CC6859"/>
    <w:rsid w:val="00CC6D41"/>
    <w:rsid w:val="00CC6E2F"/>
    <w:rsid w:val="00CC6E94"/>
    <w:rsid w:val="00CC6EAB"/>
    <w:rsid w:val="00CC6EEF"/>
    <w:rsid w:val="00CC6F07"/>
    <w:rsid w:val="00CC70DF"/>
    <w:rsid w:val="00CC71B2"/>
    <w:rsid w:val="00CC72A6"/>
    <w:rsid w:val="00CC73B6"/>
    <w:rsid w:val="00CC73DF"/>
    <w:rsid w:val="00CC7481"/>
    <w:rsid w:val="00CC74D0"/>
    <w:rsid w:val="00CC755F"/>
    <w:rsid w:val="00CC770F"/>
    <w:rsid w:val="00CC7724"/>
    <w:rsid w:val="00CC77BB"/>
    <w:rsid w:val="00CC77D0"/>
    <w:rsid w:val="00CC791A"/>
    <w:rsid w:val="00CC7EF9"/>
    <w:rsid w:val="00CC7F07"/>
    <w:rsid w:val="00CD007A"/>
    <w:rsid w:val="00CD0325"/>
    <w:rsid w:val="00CD0385"/>
    <w:rsid w:val="00CD03B0"/>
    <w:rsid w:val="00CD0415"/>
    <w:rsid w:val="00CD0495"/>
    <w:rsid w:val="00CD0498"/>
    <w:rsid w:val="00CD0499"/>
    <w:rsid w:val="00CD0579"/>
    <w:rsid w:val="00CD060C"/>
    <w:rsid w:val="00CD0653"/>
    <w:rsid w:val="00CD0781"/>
    <w:rsid w:val="00CD08A8"/>
    <w:rsid w:val="00CD08B1"/>
    <w:rsid w:val="00CD09AE"/>
    <w:rsid w:val="00CD0A60"/>
    <w:rsid w:val="00CD0A71"/>
    <w:rsid w:val="00CD0B4A"/>
    <w:rsid w:val="00CD0BA9"/>
    <w:rsid w:val="00CD0CF7"/>
    <w:rsid w:val="00CD0D67"/>
    <w:rsid w:val="00CD0EE3"/>
    <w:rsid w:val="00CD0FBC"/>
    <w:rsid w:val="00CD10E5"/>
    <w:rsid w:val="00CD138F"/>
    <w:rsid w:val="00CD1465"/>
    <w:rsid w:val="00CD14B8"/>
    <w:rsid w:val="00CD15D9"/>
    <w:rsid w:val="00CD15EC"/>
    <w:rsid w:val="00CD1607"/>
    <w:rsid w:val="00CD165D"/>
    <w:rsid w:val="00CD16FC"/>
    <w:rsid w:val="00CD1732"/>
    <w:rsid w:val="00CD1828"/>
    <w:rsid w:val="00CD18FC"/>
    <w:rsid w:val="00CD19E8"/>
    <w:rsid w:val="00CD1A81"/>
    <w:rsid w:val="00CD1A91"/>
    <w:rsid w:val="00CD1BFC"/>
    <w:rsid w:val="00CD1E1C"/>
    <w:rsid w:val="00CD1FAE"/>
    <w:rsid w:val="00CD201A"/>
    <w:rsid w:val="00CD214C"/>
    <w:rsid w:val="00CD2165"/>
    <w:rsid w:val="00CD216C"/>
    <w:rsid w:val="00CD2229"/>
    <w:rsid w:val="00CD22DF"/>
    <w:rsid w:val="00CD2730"/>
    <w:rsid w:val="00CD273A"/>
    <w:rsid w:val="00CD28CD"/>
    <w:rsid w:val="00CD28E6"/>
    <w:rsid w:val="00CD28E9"/>
    <w:rsid w:val="00CD2ACC"/>
    <w:rsid w:val="00CD2E18"/>
    <w:rsid w:val="00CD2E8F"/>
    <w:rsid w:val="00CD335E"/>
    <w:rsid w:val="00CD3422"/>
    <w:rsid w:val="00CD3455"/>
    <w:rsid w:val="00CD3469"/>
    <w:rsid w:val="00CD34FB"/>
    <w:rsid w:val="00CD37E7"/>
    <w:rsid w:val="00CD38D8"/>
    <w:rsid w:val="00CD3A26"/>
    <w:rsid w:val="00CD3A8A"/>
    <w:rsid w:val="00CD3C3D"/>
    <w:rsid w:val="00CD3CE9"/>
    <w:rsid w:val="00CD3D07"/>
    <w:rsid w:val="00CD3D4E"/>
    <w:rsid w:val="00CD3EB4"/>
    <w:rsid w:val="00CD408C"/>
    <w:rsid w:val="00CD40E6"/>
    <w:rsid w:val="00CD42B5"/>
    <w:rsid w:val="00CD436A"/>
    <w:rsid w:val="00CD43CD"/>
    <w:rsid w:val="00CD45EA"/>
    <w:rsid w:val="00CD4608"/>
    <w:rsid w:val="00CD460F"/>
    <w:rsid w:val="00CD4613"/>
    <w:rsid w:val="00CD464F"/>
    <w:rsid w:val="00CD475E"/>
    <w:rsid w:val="00CD487A"/>
    <w:rsid w:val="00CD4C32"/>
    <w:rsid w:val="00CD4C3A"/>
    <w:rsid w:val="00CD4D1C"/>
    <w:rsid w:val="00CD4D72"/>
    <w:rsid w:val="00CD4E79"/>
    <w:rsid w:val="00CD502A"/>
    <w:rsid w:val="00CD503E"/>
    <w:rsid w:val="00CD50CD"/>
    <w:rsid w:val="00CD5108"/>
    <w:rsid w:val="00CD5152"/>
    <w:rsid w:val="00CD5282"/>
    <w:rsid w:val="00CD5323"/>
    <w:rsid w:val="00CD5403"/>
    <w:rsid w:val="00CD5412"/>
    <w:rsid w:val="00CD5431"/>
    <w:rsid w:val="00CD5440"/>
    <w:rsid w:val="00CD5461"/>
    <w:rsid w:val="00CD5751"/>
    <w:rsid w:val="00CD5767"/>
    <w:rsid w:val="00CD580F"/>
    <w:rsid w:val="00CD586E"/>
    <w:rsid w:val="00CD5882"/>
    <w:rsid w:val="00CD5927"/>
    <w:rsid w:val="00CD5936"/>
    <w:rsid w:val="00CD5B29"/>
    <w:rsid w:val="00CD5B5C"/>
    <w:rsid w:val="00CD5EDC"/>
    <w:rsid w:val="00CD60CB"/>
    <w:rsid w:val="00CD622A"/>
    <w:rsid w:val="00CD63B2"/>
    <w:rsid w:val="00CD63DD"/>
    <w:rsid w:val="00CD6464"/>
    <w:rsid w:val="00CD6620"/>
    <w:rsid w:val="00CD662E"/>
    <w:rsid w:val="00CD6B6F"/>
    <w:rsid w:val="00CD6CA1"/>
    <w:rsid w:val="00CD6CD1"/>
    <w:rsid w:val="00CD6D98"/>
    <w:rsid w:val="00CD6D9B"/>
    <w:rsid w:val="00CD6DC5"/>
    <w:rsid w:val="00CD6EEE"/>
    <w:rsid w:val="00CD6F19"/>
    <w:rsid w:val="00CD6F1C"/>
    <w:rsid w:val="00CD6F6A"/>
    <w:rsid w:val="00CD6F8D"/>
    <w:rsid w:val="00CD71DB"/>
    <w:rsid w:val="00CD73D8"/>
    <w:rsid w:val="00CD73E1"/>
    <w:rsid w:val="00CD7407"/>
    <w:rsid w:val="00CD740C"/>
    <w:rsid w:val="00CD7472"/>
    <w:rsid w:val="00CD75A5"/>
    <w:rsid w:val="00CD75C2"/>
    <w:rsid w:val="00CD7614"/>
    <w:rsid w:val="00CD7618"/>
    <w:rsid w:val="00CD765A"/>
    <w:rsid w:val="00CD76AA"/>
    <w:rsid w:val="00CD76FB"/>
    <w:rsid w:val="00CD7750"/>
    <w:rsid w:val="00CD778F"/>
    <w:rsid w:val="00CD77D6"/>
    <w:rsid w:val="00CD7941"/>
    <w:rsid w:val="00CD7AEB"/>
    <w:rsid w:val="00CD7D9C"/>
    <w:rsid w:val="00CD7E35"/>
    <w:rsid w:val="00CD7E7E"/>
    <w:rsid w:val="00CD7E81"/>
    <w:rsid w:val="00CD7F58"/>
    <w:rsid w:val="00CD7FC9"/>
    <w:rsid w:val="00CE006D"/>
    <w:rsid w:val="00CE011A"/>
    <w:rsid w:val="00CE017C"/>
    <w:rsid w:val="00CE0208"/>
    <w:rsid w:val="00CE02A6"/>
    <w:rsid w:val="00CE0518"/>
    <w:rsid w:val="00CE054E"/>
    <w:rsid w:val="00CE0604"/>
    <w:rsid w:val="00CE067D"/>
    <w:rsid w:val="00CE071B"/>
    <w:rsid w:val="00CE0732"/>
    <w:rsid w:val="00CE0908"/>
    <w:rsid w:val="00CE094D"/>
    <w:rsid w:val="00CE0A29"/>
    <w:rsid w:val="00CE0B20"/>
    <w:rsid w:val="00CE0B85"/>
    <w:rsid w:val="00CE0BF3"/>
    <w:rsid w:val="00CE0D41"/>
    <w:rsid w:val="00CE0E34"/>
    <w:rsid w:val="00CE0E88"/>
    <w:rsid w:val="00CE0F8A"/>
    <w:rsid w:val="00CE10B2"/>
    <w:rsid w:val="00CE1120"/>
    <w:rsid w:val="00CE1213"/>
    <w:rsid w:val="00CE13E1"/>
    <w:rsid w:val="00CE13ED"/>
    <w:rsid w:val="00CE167C"/>
    <w:rsid w:val="00CE168B"/>
    <w:rsid w:val="00CE1760"/>
    <w:rsid w:val="00CE17FD"/>
    <w:rsid w:val="00CE18DB"/>
    <w:rsid w:val="00CE1956"/>
    <w:rsid w:val="00CE1996"/>
    <w:rsid w:val="00CE1AA1"/>
    <w:rsid w:val="00CE1AFE"/>
    <w:rsid w:val="00CE1C60"/>
    <w:rsid w:val="00CE1C73"/>
    <w:rsid w:val="00CE1D1C"/>
    <w:rsid w:val="00CE1DA2"/>
    <w:rsid w:val="00CE1DFC"/>
    <w:rsid w:val="00CE1FBE"/>
    <w:rsid w:val="00CE2092"/>
    <w:rsid w:val="00CE2153"/>
    <w:rsid w:val="00CE2155"/>
    <w:rsid w:val="00CE222F"/>
    <w:rsid w:val="00CE2303"/>
    <w:rsid w:val="00CE2550"/>
    <w:rsid w:val="00CE25D7"/>
    <w:rsid w:val="00CE2687"/>
    <w:rsid w:val="00CE274E"/>
    <w:rsid w:val="00CE285E"/>
    <w:rsid w:val="00CE2C41"/>
    <w:rsid w:val="00CE2C82"/>
    <w:rsid w:val="00CE2E16"/>
    <w:rsid w:val="00CE3041"/>
    <w:rsid w:val="00CE313F"/>
    <w:rsid w:val="00CE334B"/>
    <w:rsid w:val="00CE3394"/>
    <w:rsid w:val="00CE3546"/>
    <w:rsid w:val="00CE357C"/>
    <w:rsid w:val="00CE35C2"/>
    <w:rsid w:val="00CE362C"/>
    <w:rsid w:val="00CE382F"/>
    <w:rsid w:val="00CE3B43"/>
    <w:rsid w:val="00CE3B50"/>
    <w:rsid w:val="00CE3B5F"/>
    <w:rsid w:val="00CE3C12"/>
    <w:rsid w:val="00CE3D68"/>
    <w:rsid w:val="00CE3D72"/>
    <w:rsid w:val="00CE3E48"/>
    <w:rsid w:val="00CE3E95"/>
    <w:rsid w:val="00CE40CC"/>
    <w:rsid w:val="00CE4202"/>
    <w:rsid w:val="00CE4286"/>
    <w:rsid w:val="00CE4292"/>
    <w:rsid w:val="00CE429F"/>
    <w:rsid w:val="00CE42FD"/>
    <w:rsid w:val="00CE43CA"/>
    <w:rsid w:val="00CE44EA"/>
    <w:rsid w:val="00CE44EF"/>
    <w:rsid w:val="00CE44FA"/>
    <w:rsid w:val="00CE450A"/>
    <w:rsid w:val="00CE454A"/>
    <w:rsid w:val="00CE455A"/>
    <w:rsid w:val="00CE4647"/>
    <w:rsid w:val="00CE4650"/>
    <w:rsid w:val="00CE47A9"/>
    <w:rsid w:val="00CE4894"/>
    <w:rsid w:val="00CE49DD"/>
    <w:rsid w:val="00CE49F8"/>
    <w:rsid w:val="00CE4A33"/>
    <w:rsid w:val="00CE4AF9"/>
    <w:rsid w:val="00CE4B30"/>
    <w:rsid w:val="00CE4B8D"/>
    <w:rsid w:val="00CE4BEC"/>
    <w:rsid w:val="00CE4C12"/>
    <w:rsid w:val="00CE4D46"/>
    <w:rsid w:val="00CE4D61"/>
    <w:rsid w:val="00CE4E08"/>
    <w:rsid w:val="00CE4E2F"/>
    <w:rsid w:val="00CE4EB7"/>
    <w:rsid w:val="00CE4EFF"/>
    <w:rsid w:val="00CE4F4D"/>
    <w:rsid w:val="00CE50A7"/>
    <w:rsid w:val="00CE50E8"/>
    <w:rsid w:val="00CE50EC"/>
    <w:rsid w:val="00CE51F3"/>
    <w:rsid w:val="00CE53EB"/>
    <w:rsid w:val="00CE542D"/>
    <w:rsid w:val="00CE5515"/>
    <w:rsid w:val="00CE5535"/>
    <w:rsid w:val="00CE5544"/>
    <w:rsid w:val="00CE55B1"/>
    <w:rsid w:val="00CE5656"/>
    <w:rsid w:val="00CE568E"/>
    <w:rsid w:val="00CE570E"/>
    <w:rsid w:val="00CE57C6"/>
    <w:rsid w:val="00CE5870"/>
    <w:rsid w:val="00CE5A0C"/>
    <w:rsid w:val="00CE5AAA"/>
    <w:rsid w:val="00CE5B48"/>
    <w:rsid w:val="00CE5E07"/>
    <w:rsid w:val="00CE5E48"/>
    <w:rsid w:val="00CE5EA3"/>
    <w:rsid w:val="00CE6083"/>
    <w:rsid w:val="00CE61E8"/>
    <w:rsid w:val="00CE6330"/>
    <w:rsid w:val="00CE661A"/>
    <w:rsid w:val="00CE6657"/>
    <w:rsid w:val="00CE6667"/>
    <w:rsid w:val="00CE6775"/>
    <w:rsid w:val="00CE67C9"/>
    <w:rsid w:val="00CE67E3"/>
    <w:rsid w:val="00CE69CD"/>
    <w:rsid w:val="00CE6AB1"/>
    <w:rsid w:val="00CE6B9D"/>
    <w:rsid w:val="00CE6FC6"/>
    <w:rsid w:val="00CE7135"/>
    <w:rsid w:val="00CE71F9"/>
    <w:rsid w:val="00CE72E1"/>
    <w:rsid w:val="00CE72EC"/>
    <w:rsid w:val="00CE7491"/>
    <w:rsid w:val="00CE749D"/>
    <w:rsid w:val="00CE7510"/>
    <w:rsid w:val="00CE755F"/>
    <w:rsid w:val="00CE7570"/>
    <w:rsid w:val="00CE7574"/>
    <w:rsid w:val="00CE78C6"/>
    <w:rsid w:val="00CE7934"/>
    <w:rsid w:val="00CE7A5E"/>
    <w:rsid w:val="00CE7B17"/>
    <w:rsid w:val="00CE7B41"/>
    <w:rsid w:val="00CE7C41"/>
    <w:rsid w:val="00CE7D01"/>
    <w:rsid w:val="00CE7EAA"/>
    <w:rsid w:val="00CE7EDE"/>
    <w:rsid w:val="00CE7F07"/>
    <w:rsid w:val="00CF00F0"/>
    <w:rsid w:val="00CF00FC"/>
    <w:rsid w:val="00CF017E"/>
    <w:rsid w:val="00CF01E4"/>
    <w:rsid w:val="00CF0299"/>
    <w:rsid w:val="00CF02B8"/>
    <w:rsid w:val="00CF03FE"/>
    <w:rsid w:val="00CF04E0"/>
    <w:rsid w:val="00CF056B"/>
    <w:rsid w:val="00CF058A"/>
    <w:rsid w:val="00CF0715"/>
    <w:rsid w:val="00CF0822"/>
    <w:rsid w:val="00CF08FB"/>
    <w:rsid w:val="00CF0A2F"/>
    <w:rsid w:val="00CF0A39"/>
    <w:rsid w:val="00CF0B07"/>
    <w:rsid w:val="00CF0B8D"/>
    <w:rsid w:val="00CF0BD4"/>
    <w:rsid w:val="00CF0BDD"/>
    <w:rsid w:val="00CF0E9D"/>
    <w:rsid w:val="00CF101A"/>
    <w:rsid w:val="00CF10B6"/>
    <w:rsid w:val="00CF10E3"/>
    <w:rsid w:val="00CF11AE"/>
    <w:rsid w:val="00CF12CF"/>
    <w:rsid w:val="00CF1376"/>
    <w:rsid w:val="00CF13B6"/>
    <w:rsid w:val="00CF13CE"/>
    <w:rsid w:val="00CF1461"/>
    <w:rsid w:val="00CF14FC"/>
    <w:rsid w:val="00CF1729"/>
    <w:rsid w:val="00CF17E4"/>
    <w:rsid w:val="00CF184D"/>
    <w:rsid w:val="00CF188D"/>
    <w:rsid w:val="00CF1A32"/>
    <w:rsid w:val="00CF1AC4"/>
    <w:rsid w:val="00CF1C22"/>
    <w:rsid w:val="00CF1D8C"/>
    <w:rsid w:val="00CF1E96"/>
    <w:rsid w:val="00CF1EE3"/>
    <w:rsid w:val="00CF2034"/>
    <w:rsid w:val="00CF21E3"/>
    <w:rsid w:val="00CF2248"/>
    <w:rsid w:val="00CF228B"/>
    <w:rsid w:val="00CF242F"/>
    <w:rsid w:val="00CF24A4"/>
    <w:rsid w:val="00CF25D9"/>
    <w:rsid w:val="00CF271B"/>
    <w:rsid w:val="00CF2856"/>
    <w:rsid w:val="00CF28E3"/>
    <w:rsid w:val="00CF29C3"/>
    <w:rsid w:val="00CF2A99"/>
    <w:rsid w:val="00CF2AA9"/>
    <w:rsid w:val="00CF2B27"/>
    <w:rsid w:val="00CF2B88"/>
    <w:rsid w:val="00CF2C13"/>
    <w:rsid w:val="00CF2F62"/>
    <w:rsid w:val="00CF3024"/>
    <w:rsid w:val="00CF3102"/>
    <w:rsid w:val="00CF325C"/>
    <w:rsid w:val="00CF336F"/>
    <w:rsid w:val="00CF343A"/>
    <w:rsid w:val="00CF3488"/>
    <w:rsid w:val="00CF34BB"/>
    <w:rsid w:val="00CF35DB"/>
    <w:rsid w:val="00CF36D2"/>
    <w:rsid w:val="00CF3768"/>
    <w:rsid w:val="00CF38FB"/>
    <w:rsid w:val="00CF3961"/>
    <w:rsid w:val="00CF3996"/>
    <w:rsid w:val="00CF3AE5"/>
    <w:rsid w:val="00CF3B7E"/>
    <w:rsid w:val="00CF3BB8"/>
    <w:rsid w:val="00CF3BCF"/>
    <w:rsid w:val="00CF3D84"/>
    <w:rsid w:val="00CF3EA7"/>
    <w:rsid w:val="00CF3F1E"/>
    <w:rsid w:val="00CF3FF9"/>
    <w:rsid w:val="00CF412D"/>
    <w:rsid w:val="00CF424C"/>
    <w:rsid w:val="00CF428B"/>
    <w:rsid w:val="00CF42D5"/>
    <w:rsid w:val="00CF43C2"/>
    <w:rsid w:val="00CF44CA"/>
    <w:rsid w:val="00CF4822"/>
    <w:rsid w:val="00CF49E4"/>
    <w:rsid w:val="00CF4A50"/>
    <w:rsid w:val="00CF4A6A"/>
    <w:rsid w:val="00CF4AF5"/>
    <w:rsid w:val="00CF4B7F"/>
    <w:rsid w:val="00CF4BA3"/>
    <w:rsid w:val="00CF4BE3"/>
    <w:rsid w:val="00CF4DC7"/>
    <w:rsid w:val="00CF4EE4"/>
    <w:rsid w:val="00CF4F77"/>
    <w:rsid w:val="00CF4F94"/>
    <w:rsid w:val="00CF50A0"/>
    <w:rsid w:val="00CF5153"/>
    <w:rsid w:val="00CF51F3"/>
    <w:rsid w:val="00CF5415"/>
    <w:rsid w:val="00CF5475"/>
    <w:rsid w:val="00CF54CF"/>
    <w:rsid w:val="00CF5567"/>
    <w:rsid w:val="00CF5640"/>
    <w:rsid w:val="00CF5661"/>
    <w:rsid w:val="00CF56CF"/>
    <w:rsid w:val="00CF5712"/>
    <w:rsid w:val="00CF59D4"/>
    <w:rsid w:val="00CF59FA"/>
    <w:rsid w:val="00CF5A61"/>
    <w:rsid w:val="00CF5AB0"/>
    <w:rsid w:val="00CF5B88"/>
    <w:rsid w:val="00CF5C78"/>
    <w:rsid w:val="00CF5CF2"/>
    <w:rsid w:val="00CF5E31"/>
    <w:rsid w:val="00CF5E44"/>
    <w:rsid w:val="00CF5E5E"/>
    <w:rsid w:val="00CF5E64"/>
    <w:rsid w:val="00CF6272"/>
    <w:rsid w:val="00CF62EC"/>
    <w:rsid w:val="00CF62ED"/>
    <w:rsid w:val="00CF645A"/>
    <w:rsid w:val="00CF64C3"/>
    <w:rsid w:val="00CF6523"/>
    <w:rsid w:val="00CF654E"/>
    <w:rsid w:val="00CF655F"/>
    <w:rsid w:val="00CF6823"/>
    <w:rsid w:val="00CF6AD3"/>
    <w:rsid w:val="00CF6C7C"/>
    <w:rsid w:val="00CF6F3F"/>
    <w:rsid w:val="00CF702A"/>
    <w:rsid w:val="00CF709A"/>
    <w:rsid w:val="00CF70B1"/>
    <w:rsid w:val="00CF70F5"/>
    <w:rsid w:val="00CF7104"/>
    <w:rsid w:val="00CF7217"/>
    <w:rsid w:val="00CF7289"/>
    <w:rsid w:val="00CF72DA"/>
    <w:rsid w:val="00CF7310"/>
    <w:rsid w:val="00CF73D7"/>
    <w:rsid w:val="00CF7448"/>
    <w:rsid w:val="00CF74C7"/>
    <w:rsid w:val="00CF756A"/>
    <w:rsid w:val="00CF75E0"/>
    <w:rsid w:val="00CF7605"/>
    <w:rsid w:val="00CF763C"/>
    <w:rsid w:val="00CF7650"/>
    <w:rsid w:val="00CF7688"/>
    <w:rsid w:val="00CF7733"/>
    <w:rsid w:val="00CF773B"/>
    <w:rsid w:val="00CF7817"/>
    <w:rsid w:val="00CF7AA9"/>
    <w:rsid w:val="00CF7BAC"/>
    <w:rsid w:val="00CF7C0D"/>
    <w:rsid w:val="00CF7D86"/>
    <w:rsid w:val="00CF7DCC"/>
    <w:rsid w:val="00CF7E68"/>
    <w:rsid w:val="00CF7F0A"/>
    <w:rsid w:val="00CF7F6B"/>
    <w:rsid w:val="00CF7F71"/>
    <w:rsid w:val="00CFAB9F"/>
    <w:rsid w:val="00D00061"/>
    <w:rsid w:val="00D00130"/>
    <w:rsid w:val="00D004D3"/>
    <w:rsid w:val="00D0051D"/>
    <w:rsid w:val="00D005E3"/>
    <w:rsid w:val="00D007E1"/>
    <w:rsid w:val="00D00883"/>
    <w:rsid w:val="00D0090C"/>
    <w:rsid w:val="00D009A5"/>
    <w:rsid w:val="00D00A02"/>
    <w:rsid w:val="00D00A25"/>
    <w:rsid w:val="00D00B5D"/>
    <w:rsid w:val="00D00C8C"/>
    <w:rsid w:val="00D00CBB"/>
    <w:rsid w:val="00D00CF6"/>
    <w:rsid w:val="00D00D6E"/>
    <w:rsid w:val="00D00D7A"/>
    <w:rsid w:val="00D00DAA"/>
    <w:rsid w:val="00D00DD3"/>
    <w:rsid w:val="00D00E8C"/>
    <w:rsid w:val="00D00EEF"/>
    <w:rsid w:val="00D01462"/>
    <w:rsid w:val="00D016BC"/>
    <w:rsid w:val="00D01713"/>
    <w:rsid w:val="00D0179E"/>
    <w:rsid w:val="00D01898"/>
    <w:rsid w:val="00D018F1"/>
    <w:rsid w:val="00D019D9"/>
    <w:rsid w:val="00D01B21"/>
    <w:rsid w:val="00D01D82"/>
    <w:rsid w:val="00D01DEA"/>
    <w:rsid w:val="00D01E78"/>
    <w:rsid w:val="00D01F02"/>
    <w:rsid w:val="00D01F45"/>
    <w:rsid w:val="00D01F46"/>
    <w:rsid w:val="00D01F73"/>
    <w:rsid w:val="00D02034"/>
    <w:rsid w:val="00D02090"/>
    <w:rsid w:val="00D0209F"/>
    <w:rsid w:val="00D0215F"/>
    <w:rsid w:val="00D021BA"/>
    <w:rsid w:val="00D022E4"/>
    <w:rsid w:val="00D0231D"/>
    <w:rsid w:val="00D025A6"/>
    <w:rsid w:val="00D0263D"/>
    <w:rsid w:val="00D0285F"/>
    <w:rsid w:val="00D02937"/>
    <w:rsid w:val="00D029CA"/>
    <w:rsid w:val="00D029EF"/>
    <w:rsid w:val="00D02DF4"/>
    <w:rsid w:val="00D02E0C"/>
    <w:rsid w:val="00D02E73"/>
    <w:rsid w:val="00D02FFB"/>
    <w:rsid w:val="00D03181"/>
    <w:rsid w:val="00D031B7"/>
    <w:rsid w:val="00D031DA"/>
    <w:rsid w:val="00D032AC"/>
    <w:rsid w:val="00D03418"/>
    <w:rsid w:val="00D0346C"/>
    <w:rsid w:val="00D03587"/>
    <w:rsid w:val="00D037AD"/>
    <w:rsid w:val="00D039A2"/>
    <w:rsid w:val="00D03A9A"/>
    <w:rsid w:val="00D03B9D"/>
    <w:rsid w:val="00D03C68"/>
    <w:rsid w:val="00D03C78"/>
    <w:rsid w:val="00D03C83"/>
    <w:rsid w:val="00D03CE5"/>
    <w:rsid w:val="00D03DC9"/>
    <w:rsid w:val="00D03DF4"/>
    <w:rsid w:val="00D03E66"/>
    <w:rsid w:val="00D03F12"/>
    <w:rsid w:val="00D0421F"/>
    <w:rsid w:val="00D0436D"/>
    <w:rsid w:val="00D04486"/>
    <w:rsid w:val="00D044F0"/>
    <w:rsid w:val="00D0450A"/>
    <w:rsid w:val="00D045A6"/>
    <w:rsid w:val="00D04AD7"/>
    <w:rsid w:val="00D04AFB"/>
    <w:rsid w:val="00D04BEB"/>
    <w:rsid w:val="00D04D79"/>
    <w:rsid w:val="00D05091"/>
    <w:rsid w:val="00D05281"/>
    <w:rsid w:val="00D05402"/>
    <w:rsid w:val="00D05504"/>
    <w:rsid w:val="00D0554D"/>
    <w:rsid w:val="00D055E6"/>
    <w:rsid w:val="00D05668"/>
    <w:rsid w:val="00D056FF"/>
    <w:rsid w:val="00D05707"/>
    <w:rsid w:val="00D05AE1"/>
    <w:rsid w:val="00D05B11"/>
    <w:rsid w:val="00D05B31"/>
    <w:rsid w:val="00D05C31"/>
    <w:rsid w:val="00D05C82"/>
    <w:rsid w:val="00D05CC1"/>
    <w:rsid w:val="00D05CCA"/>
    <w:rsid w:val="00D05D33"/>
    <w:rsid w:val="00D05D46"/>
    <w:rsid w:val="00D05D68"/>
    <w:rsid w:val="00D05F7D"/>
    <w:rsid w:val="00D06079"/>
    <w:rsid w:val="00D060D2"/>
    <w:rsid w:val="00D062D7"/>
    <w:rsid w:val="00D0638A"/>
    <w:rsid w:val="00D0667A"/>
    <w:rsid w:val="00D06721"/>
    <w:rsid w:val="00D068C7"/>
    <w:rsid w:val="00D069C7"/>
    <w:rsid w:val="00D06AEC"/>
    <w:rsid w:val="00D06B15"/>
    <w:rsid w:val="00D06B3F"/>
    <w:rsid w:val="00D06CF6"/>
    <w:rsid w:val="00D06DDE"/>
    <w:rsid w:val="00D06E40"/>
    <w:rsid w:val="00D07030"/>
    <w:rsid w:val="00D07064"/>
    <w:rsid w:val="00D0730D"/>
    <w:rsid w:val="00D0739E"/>
    <w:rsid w:val="00D073DE"/>
    <w:rsid w:val="00D07442"/>
    <w:rsid w:val="00D074DD"/>
    <w:rsid w:val="00D07746"/>
    <w:rsid w:val="00D077FC"/>
    <w:rsid w:val="00D07836"/>
    <w:rsid w:val="00D07843"/>
    <w:rsid w:val="00D0784C"/>
    <w:rsid w:val="00D0789B"/>
    <w:rsid w:val="00D078F3"/>
    <w:rsid w:val="00D0795A"/>
    <w:rsid w:val="00D07A9E"/>
    <w:rsid w:val="00D07AC8"/>
    <w:rsid w:val="00D07C0C"/>
    <w:rsid w:val="00D07CB4"/>
    <w:rsid w:val="00D07CC1"/>
    <w:rsid w:val="00D07DF6"/>
    <w:rsid w:val="00D07EAD"/>
    <w:rsid w:val="00D07F42"/>
    <w:rsid w:val="00D07F58"/>
    <w:rsid w:val="00D07F6D"/>
    <w:rsid w:val="00D10127"/>
    <w:rsid w:val="00D101EF"/>
    <w:rsid w:val="00D10351"/>
    <w:rsid w:val="00D10374"/>
    <w:rsid w:val="00D103A5"/>
    <w:rsid w:val="00D103DE"/>
    <w:rsid w:val="00D1049E"/>
    <w:rsid w:val="00D104B7"/>
    <w:rsid w:val="00D10663"/>
    <w:rsid w:val="00D10896"/>
    <w:rsid w:val="00D108AB"/>
    <w:rsid w:val="00D108E5"/>
    <w:rsid w:val="00D1092E"/>
    <w:rsid w:val="00D10AD1"/>
    <w:rsid w:val="00D10AF6"/>
    <w:rsid w:val="00D10C66"/>
    <w:rsid w:val="00D10CD4"/>
    <w:rsid w:val="00D10EF5"/>
    <w:rsid w:val="00D10F79"/>
    <w:rsid w:val="00D111A0"/>
    <w:rsid w:val="00D111DE"/>
    <w:rsid w:val="00D1121C"/>
    <w:rsid w:val="00D11251"/>
    <w:rsid w:val="00D11324"/>
    <w:rsid w:val="00D11595"/>
    <w:rsid w:val="00D1159D"/>
    <w:rsid w:val="00D1166A"/>
    <w:rsid w:val="00D11681"/>
    <w:rsid w:val="00D11877"/>
    <w:rsid w:val="00D11946"/>
    <w:rsid w:val="00D11A16"/>
    <w:rsid w:val="00D11A24"/>
    <w:rsid w:val="00D11E6E"/>
    <w:rsid w:val="00D11EB7"/>
    <w:rsid w:val="00D1205D"/>
    <w:rsid w:val="00D1213E"/>
    <w:rsid w:val="00D121AD"/>
    <w:rsid w:val="00D12296"/>
    <w:rsid w:val="00D12342"/>
    <w:rsid w:val="00D123C1"/>
    <w:rsid w:val="00D12418"/>
    <w:rsid w:val="00D12472"/>
    <w:rsid w:val="00D12491"/>
    <w:rsid w:val="00D125B2"/>
    <w:rsid w:val="00D125EE"/>
    <w:rsid w:val="00D12694"/>
    <w:rsid w:val="00D126A5"/>
    <w:rsid w:val="00D126D2"/>
    <w:rsid w:val="00D12722"/>
    <w:rsid w:val="00D12760"/>
    <w:rsid w:val="00D127B3"/>
    <w:rsid w:val="00D1295A"/>
    <w:rsid w:val="00D12A68"/>
    <w:rsid w:val="00D12B00"/>
    <w:rsid w:val="00D12B10"/>
    <w:rsid w:val="00D12BA7"/>
    <w:rsid w:val="00D12BB1"/>
    <w:rsid w:val="00D12CF0"/>
    <w:rsid w:val="00D12D02"/>
    <w:rsid w:val="00D12D61"/>
    <w:rsid w:val="00D12FD7"/>
    <w:rsid w:val="00D130F0"/>
    <w:rsid w:val="00D132D7"/>
    <w:rsid w:val="00D1337A"/>
    <w:rsid w:val="00D134B1"/>
    <w:rsid w:val="00D1353B"/>
    <w:rsid w:val="00D1363B"/>
    <w:rsid w:val="00D139E5"/>
    <w:rsid w:val="00D13A83"/>
    <w:rsid w:val="00D13AC5"/>
    <w:rsid w:val="00D13D90"/>
    <w:rsid w:val="00D13DC0"/>
    <w:rsid w:val="00D13E2D"/>
    <w:rsid w:val="00D13F92"/>
    <w:rsid w:val="00D1426B"/>
    <w:rsid w:val="00D142DE"/>
    <w:rsid w:val="00D14326"/>
    <w:rsid w:val="00D1437D"/>
    <w:rsid w:val="00D14394"/>
    <w:rsid w:val="00D143B7"/>
    <w:rsid w:val="00D14462"/>
    <w:rsid w:val="00D145A8"/>
    <w:rsid w:val="00D145F6"/>
    <w:rsid w:val="00D1475C"/>
    <w:rsid w:val="00D147BD"/>
    <w:rsid w:val="00D14876"/>
    <w:rsid w:val="00D14954"/>
    <w:rsid w:val="00D14A09"/>
    <w:rsid w:val="00D14A3E"/>
    <w:rsid w:val="00D14C50"/>
    <w:rsid w:val="00D14CDF"/>
    <w:rsid w:val="00D14D75"/>
    <w:rsid w:val="00D14D96"/>
    <w:rsid w:val="00D14DF8"/>
    <w:rsid w:val="00D14E04"/>
    <w:rsid w:val="00D14E30"/>
    <w:rsid w:val="00D14EB4"/>
    <w:rsid w:val="00D14F81"/>
    <w:rsid w:val="00D14F98"/>
    <w:rsid w:val="00D15025"/>
    <w:rsid w:val="00D1515C"/>
    <w:rsid w:val="00D1528D"/>
    <w:rsid w:val="00D15290"/>
    <w:rsid w:val="00D154C4"/>
    <w:rsid w:val="00D1567D"/>
    <w:rsid w:val="00D15700"/>
    <w:rsid w:val="00D15862"/>
    <w:rsid w:val="00D1591A"/>
    <w:rsid w:val="00D15B46"/>
    <w:rsid w:val="00D15B4C"/>
    <w:rsid w:val="00D15BA7"/>
    <w:rsid w:val="00D15C68"/>
    <w:rsid w:val="00D15CDA"/>
    <w:rsid w:val="00D15D15"/>
    <w:rsid w:val="00D15E90"/>
    <w:rsid w:val="00D1606F"/>
    <w:rsid w:val="00D161B7"/>
    <w:rsid w:val="00D1621F"/>
    <w:rsid w:val="00D16343"/>
    <w:rsid w:val="00D16543"/>
    <w:rsid w:val="00D16652"/>
    <w:rsid w:val="00D16782"/>
    <w:rsid w:val="00D167A4"/>
    <w:rsid w:val="00D16807"/>
    <w:rsid w:val="00D169A0"/>
    <w:rsid w:val="00D16A9E"/>
    <w:rsid w:val="00D16B33"/>
    <w:rsid w:val="00D16C55"/>
    <w:rsid w:val="00D16D09"/>
    <w:rsid w:val="00D16D27"/>
    <w:rsid w:val="00D16D5C"/>
    <w:rsid w:val="00D16DCF"/>
    <w:rsid w:val="00D16E11"/>
    <w:rsid w:val="00D16E91"/>
    <w:rsid w:val="00D16F81"/>
    <w:rsid w:val="00D17027"/>
    <w:rsid w:val="00D17161"/>
    <w:rsid w:val="00D17214"/>
    <w:rsid w:val="00D172BA"/>
    <w:rsid w:val="00D172CF"/>
    <w:rsid w:val="00D17625"/>
    <w:rsid w:val="00D178E8"/>
    <w:rsid w:val="00D179FE"/>
    <w:rsid w:val="00D17D92"/>
    <w:rsid w:val="00D17DC9"/>
    <w:rsid w:val="00D17F09"/>
    <w:rsid w:val="00D20078"/>
    <w:rsid w:val="00D20278"/>
    <w:rsid w:val="00D2040A"/>
    <w:rsid w:val="00D20470"/>
    <w:rsid w:val="00D204AE"/>
    <w:rsid w:val="00D20506"/>
    <w:rsid w:val="00D208C7"/>
    <w:rsid w:val="00D2091E"/>
    <w:rsid w:val="00D2099F"/>
    <w:rsid w:val="00D20A13"/>
    <w:rsid w:val="00D20AC7"/>
    <w:rsid w:val="00D20B83"/>
    <w:rsid w:val="00D20CD4"/>
    <w:rsid w:val="00D20CF7"/>
    <w:rsid w:val="00D20DA6"/>
    <w:rsid w:val="00D20E15"/>
    <w:rsid w:val="00D20E32"/>
    <w:rsid w:val="00D21023"/>
    <w:rsid w:val="00D21037"/>
    <w:rsid w:val="00D211DC"/>
    <w:rsid w:val="00D21232"/>
    <w:rsid w:val="00D21306"/>
    <w:rsid w:val="00D21348"/>
    <w:rsid w:val="00D2135D"/>
    <w:rsid w:val="00D21392"/>
    <w:rsid w:val="00D214A1"/>
    <w:rsid w:val="00D2155B"/>
    <w:rsid w:val="00D2161F"/>
    <w:rsid w:val="00D2164A"/>
    <w:rsid w:val="00D216E9"/>
    <w:rsid w:val="00D2171F"/>
    <w:rsid w:val="00D217F2"/>
    <w:rsid w:val="00D21937"/>
    <w:rsid w:val="00D21A97"/>
    <w:rsid w:val="00D21BF5"/>
    <w:rsid w:val="00D21C69"/>
    <w:rsid w:val="00D21D2F"/>
    <w:rsid w:val="00D21E0A"/>
    <w:rsid w:val="00D21E8E"/>
    <w:rsid w:val="00D21EA0"/>
    <w:rsid w:val="00D2210B"/>
    <w:rsid w:val="00D22172"/>
    <w:rsid w:val="00D221F7"/>
    <w:rsid w:val="00D22226"/>
    <w:rsid w:val="00D222B4"/>
    <w:rsid w:val="00D224E0"/>
    <w:rsid w:val="00D22616"/>
    <w:rsid w:val="00D22762"/>
    <w:rsid w:val="00D227CA"/>
    <w:rsid w:val="00D22879"/>
    <w:rsid w:val="00D22991"/>
    <w:rsid w:val="00D22B54"/>
    <w:rsid w:val="00D22D7D"/>
    <w:rsid w:val="00D22DA6"/>
    <w:rsid w:val="00D23012"/>
    <w:rsid w:val="00D23160"/>
    <w:rsid w:val="00D232A6"/>
    <w:rsid w:val="00D23490"/>
    <w:rsid w:val="00D236C1"/>
    <w:rsid w:val="00D2371B"/>
    <w:rsid w:val="00D23782"/>
    <w:rsid w:val="00D237D9"/>
    <w:rsid w:val="00D238FD"/>
    <w:rsid w:val="00D23CE4"/>
    <w:rsid w:val="00D23D10"/>
    <w:rsid w:val="00D23F08"/>
    <w:rsid w:val="00D2401B"/>
    <w:rsid w:val="00D24051"/>
    <w:rsid w:val="00D2421D"/>
    <w:rsid w:val="00D242CD"/>
    <w:rsid w:val="00D24454"/>
    <w:rsid w:val="00D2447F"/>
    <w:rsid w:val="00D244D4"/>
    <w:rsid w:val="00D24611"/>
    <w:rsid w:val="00D2463B"/>
    <w:rsid w:val="00D247B5"/>
    <w:rsid w:val="00D2486E"/>
    <w:rsid w:val="00D24944"/>
    <w:rsid w:val="00D249A4"/>
    <w:rsid w:val="00D24C3D"/>
    <w:rsid w:val="00D24D13"/>
    <w:rsid w:val="00D24F50"/>
    <w:rsid w:val="00D25079"/>
    <w:rsid w:val="00D2507A"/>
    <w:rsid w:val="00D250A4"/>
    <w:rsid w:val="00D252ED"/>
    <w:rsid w:val="00D25348"/>
    <w:rsid w:val="00D2545A"/>
    <w:rsid w:val="00D255BB"/>
    <w:rsid w:val="00D255E0"/>
    <w:rsid w:val="00D25669"/>
    <w:rsid w:val="00D2577B"/>
    <w:rsid w:val="00D257CB"/>
    <w:rsid w:val="00D258F4"/>
    <w:rsid w:val="00D2599E"/>
    <w:rsid w:val="00D25A15"/>
    <w:rsid w:val="00D25AF7"/>
    <w:rsid w:val="00D25DE0"/>
    <w:rsid w:val="00D25E14"/>
    <w:rsid w:val="00D2601E"/>
    <w:rsid w:val="00D26165"/>
    <w:rsid w:val="00D261C5"/>
    <w:rsid w:val="00D261F5"/>
    <w:rsid w:val="00D26210"/>
    <w:rsid w:val="00D262B2"/>
    <w:rsid w:val="00D2646B"/>
    <w:rsid w:val="00D265CD"/>
    <w:rsid w:val="00D265E9"/>
    <w:rsid w:val="00D2663F"/>
    <w:rsid w:val="00D266F2"/>
    <w:rsid w:val="00D267DC"/>
    <w:rsid w:val="00D267E2"/>
    <w:rsid w:val="00D2683D"/>
    <w:rsid w:val="00D268CA"/>
    <w:rsid w:val="00D26914"/>
    <w:rsid w:val="00D2692A"/>
    <w:rsid w:val="00D269AF"/>
    <w:rsid w:val="00D26AFD"/>
    <w:rsid w:val="00D26B0C"/>
    <w:rsid w:val="00D26B5D"/>
    <w:rsid w:val="00D26CAA"/>
    <w:rsid w:val="00D26CED"/>
    <w:rsid w:val="00D26CEE"/>
    <w:rsid w:val="00D26E71"/>
    <w:rsid w:val="00D26F74"/>
    <w:rsid w:val="00D27075"/>
    <w:rsid w:val="00D270F1"/>
    <w:rsid w:val="00D27215"/>
    <w:rsid w:val="00D2727A"/>
    <w:rsid w:val="00D272F4"/>
    <w:rsid w:val="00D27348"/>
    <w:rsid w:val="00D27409"/>
    <w:rsid w:val="00D2744F"/>
    <w:rsid w:val="00D2746E"/>
    <w:rsid w:val="00D2756D"/>
    <w:rsid w:val="00D275A8"/>
    <w:rsid w:val="00D275CE"/>
    <w:rsid w:val="00D276B4"/>
    <w:rsid w:val="00D277E8"/>
    <w:rsid w:val="00D2780D"/>
    <w:rsid w:val="00D278A2"/>
    <w:rsid w:val="00D2790F"/>
    <w:rsid w:val="00D27AC1"/>
    <w:rsid w:val="00D27B5D"/>
    <w:rsid w:val="00D27B69"/>
    <w:rsid w:val="00D27BFB"/>
    <w:rsid w:val="00D27D76"/>
    <w:rsid w:val="00D27E19"/>
    <w:rsid w:val="00D27E82"/>
    <w:rsid w:val="00D27E99"/>
    <w:rsid w:val="00D27F60"/>
    <w:rsid w:val="00D27F88"/>
    <w:rsid w:val="00D30042"/>
    <w:rsid w:val="00D30074"/>
    <w:rsid w:val="00D3025D"/>
    <w:rsid w:val="00D302D2"/>
    <w:rsid w:val="00D30375"/>
    <w:rsid w:val="00D303BC"/>
    <w:rsid w:val="00D30456"/>
    <w:rsid w:val="00D304A5"/>
    <w:rsid w:val="00D304AD"/>
    <w:rsid w:val="00D304FB"/>
    <w:rsid w:val="00D3063D"/>
    <w:rsid w:val="00D30876"/>
    <w:rsid w:val="00D308B0"/>
    <w:rsid w:val="00D30959"/>
    <w:rsid w:val="00D30A1F"/>
    <w:rsid w:val="00D30A3C"/>
    <w:rsid w:val="00D30AAD"/>
    <w:rsid w:val="00D30BA7"/>
    <w:rsid w:val="00D30C98"/>
    <w:rsid w:val="00D30D1F"/>
    <w:rsid w:val="00D30D27"/>
    <w:rsid w:val="00D30D39"/>
    <w:rsid w:val="00D30E61"/>
    <w:rsid w:val="00D30E90"/>
    <w:rsid w:val="00D30EEC"/>
    <w:rsid w:val="00D310F5"/>
    <w:rsid w:val="00D31112"/>
    <w:rsid w:val="00D31181"/>
    <w:rsid w:val="00D3120D"/>
    <w:rsid w:val="00D31338"/>
    <w:rsid w:val="00D3150E"/>
    <w:rsid w:val="00D315F6"/>
    <w:rsid w:val="00D3185E"/>
    <w:rsid w:val="00D3192B"/>
    <w:rsid w:val="00D31951"/>
    <w:rsid w:val="00D31A03"/>
    <w:rsid w:val="00D31A51"/>
    <w:rsid w:val="00D31B4E"/>
    <w:rsid w:val="00D31B52"/>
    <w:rsid w:val="00D31E42"/>
    <w:rsid w:val="00D31FD1"/>
    <w:rsid w:val="00D32184"/>
    <w:rsid w:val="00D3238A"/>
    <w:rsid w:val="00D3239E"/>
    <w:rsid w:val="00D3245E"/>
    <w:rsid w:val="00D325B3"/>
    <w:rsid w:val="00D3291B"/>
    <w:rsid w:val="00D32969"/>
    <w:rsid w:val="00D32A1B"/>
    <w:rsid w:val="00D32ABD"/>
    <w:rsid w:val="00D32AD5"/>
    <w:rsid w:val="00D32ADF"/>
    <w:rsid w:val="00D32B12"/>
    <w:rsid w:val="00D32B8D"/>
    <w:rsid w:val="00D32D4A"/>
    <w:rsid w:val="00D32DB9"/>
    <w:rsid w:val="00D32E36"/>
    <w:rsid w:val="00D32E69"/>
    <w:rsid w:val="00D32F69"/>
    <w:rsid w:val="00D32FE0"/>
    <w:rsid w:val="00D330A6"/>
    <w:rsid w:val="00D332E5"/>
    <w:rsid w:val="00D332F7"/>
    <w:rsid w:val="00D33423"/>
    <w:rsid w:val="00D3343D"/>
    <w:rsid w:val="00D3364F"/>
    <w:rsid w:val="00D3366B"/>
    <w:rsid w:val="00D33696"/>
    <w:rsid w:val="00D33799"/>
    <w:rsid w:val="00D33A2F"/>
    <w:rsid w:val="00D33BEA"/>
    <w:rsid w:val="00D33BFA"/>
    <w:rsid w:val="00D33C32"/>
    <w:rsid w:val="00D33D1A"/>
    <w:rsid w:val="00D33DB1"/>
    <w:rsid w:val="00D33DC6"/>
    <w:rsid w:val="00D33EF7"/>
    <w:rsid w:val="00D3411B"/>
    <w:rsid w:val="00D341C3"/>
    <w:rsid w:val="00D342C2"/>
    <w:rsid w:val="00D3468A"/>
    <w:rsid w:val="00D346B3"/>
    <w:rsid w:val="00D346E6"/>
    <w:rsid w:val="00D347DA"/>
    <w:rsid w:val="00D347E2"/>
    <w:rsid w:val="00D347EA"/>
    <w:rsid w:val="00D34805"/>
    <w:rsid w:val="00D34A0A"/>
    <w:rsid w:val="00D34AC3"/>
    <w:rsid w:val="00D34C3C"/>
    <w:rsid w:val="00D34EC5"/>
    <w:rsid w:val="00D34F07"/>
    <w:rsid w:val="00D35017"/>
    <w:rsid w:val="00D351D3"/>
    <w:rsid w:val="00D35348"/>
    <w:rsid w:val="00D35393"/>
    <w:rsid w:val="00D353DB"/>
    <w:rsid w:val="00D35467"/>
    <w:rsid w:val="00D35478"/>
    <w:rsid w:val="00D358CB"/>
    <w:rsid w:val="00D35BA2"/>
    <w:rsid w:val="00D35C07"/>
    <w:rsid w:val="00D35C11"/>
    <w:rsid w:val="00D35C64"/>
    <w:rsid w:val="00D35CA2"/>
    <w:rsid w:val="00D35CA6"/>
    <w:rsid w:val="00D35E5E"/>
    <w:rsid w:val="00D35EB5"/>
    <w:rsid w:val="00D36141"/>
    <w:rsid w:val="00D36227"/>
    <w:rsid w:val="00D36430"/>
    <w:rsid w:val="00D3643B"/>
    <w:rsid w:val="00D36584"/>
    <w:rsid w:val="00D3672B"/>
    <w:rsid w:val="00D367B2"/>
    <w:rsid w:val="00D3689E"/>
    <w:rsid w:val="00D36900"/>
    <w:rsid w:val="00D36B62"/>
    <w:rsid w:val="00D36C2B"/>
    <w:rsid w:val="00D36D52"/>
    <w:rsid w:val="00D36DAB"/>
    <w:rsid w:val="00D36E39"/>
    <w:rsid w:val="00D36E86"/>
    <w:rsid w:val="00D36EBE"/>
    <w:rsid w:val="00D36EC1"/>
    <w:rsid w:val="00D36F94"/>
    <w:rsid w:val="00D3705C"/>
    <w:rsid w:val="00D37193"/>
    <w:rsid w:val="00D373AC"/>
    <w:rsid w:val="00D37494"/>
    <w:rsid w:val="00D37496"/>
    <w:rsid w:val="00D37527"/>
    <w:rsid w:val="00D37605"/>
    <w:rsid w:val="00D37705"/>
    <w:rsid w:val="00D37922"/>
    <w:rsid w:val="00D37AF6"/>
    <w:rsid w:val="00D37C94"/>
    <w:rsid w:val="00D37D20"/>
    <w:rsid w:val="00D37E26"/>
    <w:rsid w:val="00D37E4F"/>
    <w:rsid w:val="00D37F44"/>
    <w:rsid w:val="00D37F5F"/>
    <w:rsid w:val="00D37F80"/>
    <w:rsid w:val="00D402E3"/>
    <w:rsid w:val="00D40394"/>
    <w:rsid w:val="00D403BB"/>
    <w:rsid w:val="00D406DE"/>
    <w:rsid w:val="00D409A3"/>
    <w:rsid w:val="00D40A0F"/>
    <w:rsid w:val="00D40B41"/>
    <w:rsid w:val="00D40CF3"/>
    <w:rsid w:val="00D40D75"/>
    <w:rsid w:val="00D40EF4"/>
    <w:rsid w:val="00D40FE4"/>
    <w:rsid w:val="00D41056"/>
    <w:rsid w:val="00D410A9"/>
    <w:rsid w:val="00D411AF"/>
    <w:rsid w:val="00D411EA"/>
    <w:rsid w:val="00D4122B"/>
    <w:rsid w:val="00D41242"/>
    <w:rsid w:val="00D4134D"/>
    <w:rsid w:val="00D4141D"/>
    <w:rsid w:val="00D41454"/>
    <w:rsid w:val="00D41465"/>
    <w:rsid w:val="00D4153D"/>
    <w:rsid w:val="00D41571"/>
    <w:rsid w:val="00D415D8"/>
    <w:rsid w:val="00D417C5"/>
    <w:rsid w:val="00D417E3"/>
    <w:rsid w:val="00D41855"/>
    <w:rsid w:val="00D4196B"/>
    <w:rsid w:val="00D41A25"/>
    <w:rsid w:val="00D41AEE"/>
    <w:rsid w:val="00D41B24"/>
    <w:rsid w:val="00D41BFB"/>
    <w:rsid w:val="00D41BFF"/>
    <w:rsid w:val="00D41DB0"/>
    <w:rsid w:val="00D41F28"/>
    <w:rsid w:val="00D41F88"/>
    <w:rsid w:val="00D4206F"/>
    <w:rsid w:val="00D4219D"/>
    <w:rsid w:val="00D4221A"/>
    <w:rsid w:val="00D423E7"/>
    <w:rsid w:val="00D424AD"/>
    <w:rsid w:val="00D42575"/>
    <w:rsid w:val="00D42579"/>
    <w:rsid w:val="00D4259A"/>
    <w:rsid w:val="00D42717"/>
    <w:rsid w:val="00D42725"/>
    <w:rsid w:val="00D4279A"/>
    <w:rsid w:val="00D42843"/>
    <w:rsid w:val="00D4289F"/>
    <w:rsid w:val="00D42A4B"/>
    <w:rsid w:val="00D42CB3"/>
    <w:rsid w:val="00D42E9D"/>
    <w:rsid w:val="00D42F6E"/>
    <w:rsid w:val="00D42F75"/>
    <w:rsid w:val="00D430B6"/>
    <w:rsid w:val="00D430F0"/>
    <w:rsid w:val="00D431EA"/>
    <w:rsid w:val="00D43267"/>
    <w:rsid w:val="00D432A1"/>
    <w:rsid w:val="00D4330E"/>
    <w:rsid w:val="00D43369"/>
    <w:rsid w:val="00D434AD"/>
    <w:rsid w:val="00D435CE"/>
    <w:rsid w:val="00D435CF"/>
    <w:rsid w:val="00D436FD"/>
    <w:rsid w:val="00D43710"/>
    <w:rsid w:val="00D4377B"/>
    <w:rsid w:val="00D43781"/>
    <w:rsid w:val="00D437E9"/>
    <w:rsid w:val="00D43959"/>
    <w:rsid w:val="00D4397B"/>
    <w:rsid w:val="00D43C22"/>
    <w:rsid w:val="00D43D5F"/>
    <w:rsid w:val="00D43F7E"/>
    <w:rsid w:val="00D440F7"/>
    <w:rsid w:val="00D441CD"/>
    <w:rsid w:val="00D442C1"/>
    <w:rsid w:val="00D44313"/>
    <w:rsid w:val="00D44600"/>
    <w:rsid w:val="00D447D4"/>
    <w:rsid w:val="00D447DA"/>
    <w:rsid w:val="00D448F7"/>
    <w:rsid w:val="00D448FB"/>
    <w:rsid w:val="00D44901"/>
    <w:rsid w:val="00D44936"/>
    <w:rsid w:val="00D449DD"/>
    <w:rsid w:val="00D449E0"/>
    <w:rsid w:val="00D44A41"/>
    <w:rsid w:val="00D44AF3"/>
    <w:rsid w:val="00D44B0F"/>
    <w:rsid w:val="00D44C0C"/>
    <w:rsid w:val="00D44C7E"/>
    <w:rsid w:val="00D44DFA"/>
    <w:rsid w:val="00D45083"/>
    <w:rsid w:val="00D45135"/>
    <w:rsid w:val="00D4514F"/>
    <w:rsid w:val="00D451C2"/>
    <w:rsid w:val="00D453EF"/>
    <w:rsid w:val="00D454AA"/>
    <w:rsid w:val="00D45798"/>
    <w:rsid w:val="00D457BA"/>
    <w:rsid w:val="00D45A05"/>
    <w:rsid w:val="00D45A15"/>
    <w:rsid w:val="00D45AB5"/>
    <w:rsid w:val="00D45B1B"/>
    <w:rsid w:val="00D45C10"/>
    <w:rsid w:val="00D45C35"/>
    <w:rsid w:val="00D45FA3"/>
    <w:rsid w:val="00D460BC"/>
    <w:rsid w:val="00D4616C"/>
    <w:rsid w:val="00D4619C"/>
    <w:rsid w:val="00D462DE"/>
    <w:rsid w:val="00D463B8"/>
    <w:rsid w:val="00D4656F"/>
    <w:rsid w:val="00D46598"/>
    <w:rsid w:val="00D46610"/>
    <w:rsid w:val="00D4674F"/>
    <w:rsid w:val="00D467CA"/>
    <w:rsid w:val="00D4688F"/>
    <w:rsid w:val="00D468B6"/>
    <w:rsid w:val="00D46997"/>
    <w:rsid w:val="00D46AD3"/>
    <w:rsid w:val="00D46C57"/>
    <w:rsid w:val="00D46DAD"/>
    <w:rsid w:val="00D46E6C"/>
    <w:rsid w:val="00D46E96"/>
    <w:rsid w:val="00D46E98"/>
    <w:rsid w:val="00D4718E"/>
    <w:rsid w:val="00D4719A"/>
    <w:rsid w:val="00D4725B"/>
    <w:rsid w:val="00D47283"/>
    <w:rsid w:val="00D4745E"/>
    <w:rsid w:val="00D474CD"/>
    <w:rsid w:val="00D47572"/>
    <w:rsid w:val="00D475B5"/>
    <w:rsid w:val="00D4768E"/>
    <w:rsid w:val="00D47700"/>
    <w:rsid w:val="00D47780"/>
    <w:rsid w:val="00D47977"/>
    <w:rsid w:val="00D47978"/>
    <w:rsid w:val="00D479A1"/>
    <w:rsid w:val="00D47A17"/>
    <w:rsid w:val="00D47BC2"/>
    <w:rsid w:val="00D47D1F"/>
    <w:rsid w:val="00D47E07"/>
    <w:rsid w:val="00D47E8A"/>
    <w:rsid w:val="00D47EC0"/>
    <w:rsid w:val="00D50301"/>
    <w:rsid w:val="00D50458"/>
    <w:rsid w:val="00D504D3"/>
    <w:rsid w:val="00D50896"/>
    <w:rsid w:val="00D508E6"/>
    <w:rsid w:val="00D50901"/>
    <w:rsid w:val="00D50915"/>
    <w:rsid w:val="00D50A34"/>
    <w:rsid w:val="00D50A91"/>
    <w:rsid w:val="00D50B3F"/>
    <w:rsid w:val="00D50CE4"/>
    <w:rsid w:val="00D50E12"/>
    <w:rsid w:val="00D50E90"/>
    <w:rsid w:val="00D50EB8"/>
    <w:rsid w:val="00D510A6"/>
    <w:rsid w:val="00D51184"/>
    <w:rsid w:val="00D511A5"/>
    <w:rsid w:val="00D51275"/>
    <w:rsid w:val="00D51277"/>
    <w:rsid w:val="00D512A2"/>
    <w:rsid w:val="00D5141D"/>
    <w:rsid w:val="00D5148A"/>
    <w:rsid w:val="00D514A1"/>
    <w:rsid w:val="00D514E4"/>
    <w:rsid w:val="00D5151F"/>
    <w:rsid w:val="00D5152A"/>
    <w:rsid w:val="00D51537"/>
    <w:rsid w:val="00D5187A"/>
    <w:rsid w:val="00D518B8"/>
    <w:rsid w:val="00D51C94"/>
    <w:rsid w:val="00D51E1E"/>
    <w:rsid w:val="00D5205C"/>
    <w:rsid w:val="00D5247A"/>
    <w:rsid w:val="00D524C6"/>
    <w:rsid w:val="00D5265B"/>
    <w:rsid w:val="00D5269E"/>
    <w:rsid w:val="00D5274E"/>
    <w:rsid w:val="00D52856"/>
    <w:rsid w:val="00D5285E"/>
    <w:rsid w:val="00D52955"/>
    <w:rsid w:val="00D52993"/>
    <w:rsid w:val="00D52B0C"/>
    <w:rsid w:val="00D52BAC"/>
    <w:rsid w:val="00D52BC1"/>
    <w:rsid w:val="00D52E38"/>
    <w:rsid w:val="00D52EFF"/>
    <w:rsid w:val="00D52F43"/>
    <w:rsid w:val="00D53176"/>
    <w:rsid w:val="00D5337C"/>
    <w:rsid w:val="00D533EB"/>
    <w:rsid w:val="00D53419"/>
    <w:rsid w:val="00D5344F"/>
    <w:rsid w:val="00D534A1"/>
    <w:rsid w:val="00D535A3"/>
    <w:rsid w:val="00D53606"/>
    <w:rsid w:val="00D5370D"/>
    <w:rsid w:val="00D53893"/>
    <w:rsid w:val="00D53953"/>
    <w:rsid w:val="00D53958"/>
    <w:rsid w:val="00D53994"/>
    <w:rsid w:val="00D539A1"/>
    <w:rsid w:val="00D53AB1"/>
    <w:rsid w:val="00D53AEA"/>
    <w:rsid w:val="00D53C2A"/>
    <w:rsid w:val="00D53C64"/>
    <w:rsid w:val="00D53C85"/>
    <w:rsid w:val="00D53EBE"/>
    <w:rsid w:val="00D54056"/>
    <w:rsid w:val="00D54164"/>
    <w:rsid w:val="00D542C5"/>
    <w:rsid w:val="00D54367"/>
    <w:rsid w:val="00D54372"/>
    <w:rsid w:val="00D54405"/>
    <w:rsid w:val="00D54472"/>
    <w:rsid w:val="00D546B8"/>
    <w:rsid w:val="00D5476D"/>
    <w:rsid w:val="00D547E3"/>
    <w:rsid w:val="00D5480C"/>
    <w:rsid w:val="00D548F3"/>
    <w:rsid w:val="00D54AE9"/>
    <w:rsid w:val="00D54CB4"/>
    <w:rsid w:val="00D54CEE"/>
    <w:rsid w:val="00D54D0E"/>
    <w:rsid w:val="00D54E66"/>
    <w:rsid w:val="00D54FD7"/>
    <w:rsid w:val="00D550A4"/>
    <w:rsid w:val="00D550D2"/>
    <w:rsid w:val="00D550DA"/>
    <w:rsid w:val="00D55110"/>
    <w:rsid w:val="00D5522C"/>
    <w:rsid w:val="00D5537D"/>
    <w:rsid w:val="00D554B1"/>
    <w:rsid w:val="00D5555B"/>
    <w:rsid w:val="00D55581"/>
    <w:rsid w:val="00D555D9"/>
    <w:rsid w:val="00D5563D"/>
    <w:rsid w:val="00D556A4"/>
    <w:rsid w:val="00D5583B"/>
    <w:rsid w:val="00D55AEF"/>
    <w:rsid w:val="00D55AF4"/>
    <w:rsid w:val="00D55B22"/>
    <w:rsid w:val="00D55B78"/>
    <w:rsid w:val="00D55BB1"/>
    <w:rsid w:val="00D55BD4"/>
    <w:rsid w:val="00D55C45"/>
    <w:rsid w:val="00D55CAF"/>
    <w:rsid w:val="00D55CB1"/>
    <w:rsid w:val="00D55D25"/>
    <w:rsid w:val="00D55E62"/>
    <w:rsid w:val="00D55F30"/>
    <w:rsid w:val="00D55F3E"/>
    <w:rsid w:val="00D55FD4"/>
    <w:rsid w:val="00D56029"/>
    <w:rsid w:val="00D560B8"/>
    <w:rsid w:val="00D560EB"/>
    <w:rsid w:val="00D561E4"/>
    <w:rsid w:val="00D5636B"/>
    <w:rsid w:val="00D56473"/>
    <w:rsid w:val="00D564C7"/>
    <w:rsid w:val="00D564CD"/>
    <w:rsid w:val="00D564DE"/>
    <w:rsid w:val="00D56535"/>
    <w:rsid w:val="00D56656"/>
    <w:rsid w:val="00D566C5"/>
    <w:rsid w:val="00D56863"/>
    <w:rsid w:val="00D5692B"/>
    <w:rsid w:val="00D569B6"/>
    <w:rsid w:val="00D569CA"/>
    <w:rsid w:val="00D56A9A"/>
    <w:rsid w:val="00D56AFD"/>
    <w:rsid w:val="00D56BB8"/>
    <w:rsid w:val="00D56CB1"/>
    <w:rsid w:val="00D56D04"/>
    <w:rsid w:val="00D56E22"/>
    <w:rsid w:val="00D5702A"/>
    <w:rsid w:val="00D57171"/>
    <w:rsid w:val="00D571AE"/>
    <w:rsid w:val="00D572E4"/>
    <w:rsid w:val="00D5731D"/>
    <w:rsid w:val="00D57330"/>
    <w:rsid w:val="00D5749F"/>
    <w:rsid w:val="00D574A1"/>
    <w:rsid w:val="00D57554"/>
    <w:rsid w:val="00D57580"/>
    <w:rsid w:val="00D57597"/>
    <w:rsid w:val="00D575C9"/>
    <w:rsid w:val="00D57654"/>
    <w:rsid w:val="00D57676"/>
    <w:rsid w:val="00D5791D"/>
    <w:rsid w:val="00D57B2D"/>
    <w:rsid w:val="00D57BD9"/>
    <w:rsid w:val="00D57C44"/>
    <w:rsid w:val="00D57DF3"/>
    <w:rsid w:val="00D57F9A"/>
    <w:rsid w:val="00D57FE5"/>
    <w:rsid w:val="00D6011F"/>
    <w:rsid w:val="00D6012B"/>
    <w:rsid w:val="00D601F1"/>
    <w:rsid w:val="00D60346"/>
    <w:rsid w:val="00D603B2"/>
    <w:rsid w:val="00D603BA"/>
    <w:rsid w:val="00D60403"/>
    <w:rsid w:val="00D6049B"/>
    <w:rsid w:val="00D604AA"/>
    <w:rsid w:val="00D60573"/>
    <w:rsid w:val="00D605F2"/>
    <w:rsid w:val="00D607F2"/>
    <w:rsid w:val="00D60889"/>
    <w:rsid w:val="00D6093E"/>
    <w:rsid w:val="00D60C0F"/>
    <w:rsid w:val="00D60CFF"/>
    <w:rsid w:val="00D60D32"/>
    <w:rsid w:val="00D60DA8"/>
    <w:rsid w:val="00D60EA3"/>
    <w:rsid w:val="00D60FDD"/>
    <w:rsid w:val="00D610DD"/>
    <w:rsid w:val="00D61146"/>
    <w:rsid w:val="00D61152"/>
    <w:rsid w:val="00D611F3"/>
    <w:rsid w:val="00D612A1"/>
    <w:rsid w:val="00D614EB"/>
    <w:rsid w:val="00D61638"/>
    <w:rsid w:val="00D6169D"/>
    <w:rsid w:val="00D616B0"/>
    <w:rsid w:val="00D617BB"/>
    <w:rsid w:val="00D617C1"/>
    <w:rsid w:val="00D617E6"/>
    <w:rsid w:val="00D61807"/>
    <w:rsid w:val="00D6182E"/>
    <w:rsid w:val="00D61AB5"/>
    <w:rsid w:val="00D61BBC"/>
    <w:rsid w:val="00D61C5B"/>
    <w:rsid w:val="00D61CF1"/>
    <w:rsid w:val="00D61E6E"/>
    <w:rsid w:val="00D61EC6"/>
    <w:rsid w:val="00D61EC8"/>
    <w:rsid w:val="00D61FE5"/>
    <w:rsid w:val="00D62402"/>
    <w:rsid w:val="00D6247F"/>
    <w:rsid w:val="00D6259C"/>
    <w:rsid w:val="00D625B8"/>
    <w:rsid w:val="00D625F0"/>
    <w:rsid w:val="00D6263A"/>
    <w:rsid w:val="00D62641"/>
    <w:rsid w:val="00D6277B"/>
    <w:rsid w:val="00D627D8"/>
    <w:rsid w:val="00D62915"/>
    <w:rsid w:val="00D62920"/>
    <w:rsid w:val="00D6293E"/>
    <w:rsid w:val="00D62A82"/>
    <w:rsid w:val="00D62B8A"/>
    <w:rsid w:val="00D62B97"/>
    <w:rsid w:val="00D62C4A"/>
    <w:rsid w:val="00D62D33"/>
    <w:rsid w:val="00D62E6D"/>
    <w:rsid w:val="00D62EA9"/>
    <w:rsid w:val="00D62ECA"/>
    <w:rsid w:val="00D630BB"/>
    <w:rsid w:val="00D634C9"/>
    <w:rsid w:val="00D634D9"/>
    <w:rsid w:val="00D6351E"/>
    <w:rsid w:val="00D6367F"/>
    <w:rsid w:val="00D636AD"/>
    <w:rsid w:val="00D63790"/>
    <w:rsid w:val="00D63A25"/>
    <w:rsid w:val="00D63E89"/>
    <w:rsid w:val="00D63EF3"/>
    <w:rsid w:val="00D63F0C"/>
    <w:rsid w:val="00D63FD7"/>
    <w:rsid w:val="00D641ED"/>
    <w:rsid w:val="00D643FE"/>
    <w:rsid w:val="00D6443D"/>
    <w:rsid w:val="00D644C4"/>
    <w:rsid w:val="00D644D4"/>
    <w:rsid w:val="00D6458F"/>
    <w:rsid w:val="00D64595"/>
    <w:rsid w:val="00D6460C"/>
    <w:rsid w:val="00D64690"/>
    <w:rsid w:val="00D6470B"/>
    <w:rsid w:val="00D64760"/>
    <w:rsid w:val="00D6484B"/>
    <w:rsid w:val="00D648B2"/>
    <w:rsid w:val="00D649AD"/>
    <w:rsid w:val="00D64A34"/>
    <w:rsid w:val="00D64A39"/>
    <w:rsid w:val="00D64A6D"/>
    <w:rsid w:val="00D64D1E"/>
    <w:rsid w:val="00D64DE2"/>
    <w:rsid w:val="00D64E81"/>
    <w:rsid w:val="00D64FBE"/>
    <w:rsid w:val="00D65012"/>
    <w:rsid w:val="00D65025"/>
    <w:rsid w:val="00D65043"/>
    <w:rsid w:val="00D65145"/>
    <w:rsid w:val="00D6516D"/>
    <w:rsid w:val="00D651E3"/>
    <w:rsid w:val="00D652E0"/>
    <w:rsid w:val="00D65348"/>
    <w:rsid w:val="00D653DB"/>
    <w:rsid w:val="00D6547A"/>
    <w:rsid w:val="00D654FF"/>
    <w:rsid w:val="00D65534"/>
    <w:rsid w:val="00D65631"/>
    <w:rsid w:val="00D656D8"/>
    <w:rsid w:val="00D656F1"/>
    <w:rsid w:val="00D65800"/>
    <w:rsid w:val="00D659C8"/>
    <w:rsid w:val="00D65A57"/>
    <w:rsid w:val="00D65B4B"/>
    <w:rsid w:val="00D65C1A"/>
    <w:rsid w:val="00D65C78"/>
    <w:rsid w:val="00D65DAF"/>
    <w:rsid w:val="00D65E68"/>
    <w:rsid w:val="00D65F6F"/>
    <w:rsid w:val="00D660BC"/>
    <w:rsid w:val="00D66173"/>
    <w:rsid w:val="00D661AC"/>
    <w:rsid w:val="00D663BB"/>
    <w:rsid w:val="00D66605"/>
    <w:rsid w:val="00D666E5"/>
    <w:rsid w:val="00D666F8"/>
    <w:rsid w:val="00D6678D"/>
    <w:rsid w:val="00D668D0"/>
    <w:rsid w:val="00D66990"/>
    <w:rsid w:val="00D669CD"/>
    <w:rsid w:val="00D669EC"/>
    <w:rsid w:val="00D66BE1"/>
    <w:rsid w:val="00D66C39"/>
    <w:rsid w:val="00D66DDF"/>
    <w:rsid w:val="00D66ED4"/>
    <w:rsid w:val="00D66F10"/>
    <w:rsid w:val="00D67233"/>
    <w:rsid w:val="00D67331"/>
    <w:rsid w:val="00D67346"/>
    <w:rsid w:val="00D6745B"/>
    <w:rsid w:val="00D67826"/>
    <w:rsid w:val="00D67848"/>
    <w:rsid w:val="00D67858"/>
    <w:rsid w:val="00D67BE2"/>
    <w:rsid w:val="00D67BEC"/>
    <w:rsid w:val="00D67C7B"/>
    <w:rsid w:val="00D67D66"/>
    <w:rsid w:val="00D7007B"/>
    <w:rsid w:val="00D7017D"/>
    <w:rsid w:val="00D704DC"/>
    <w:rsid w:val="00D70557"/>
    <w:rsid w:val="00D70558"/>
    <w:rsid w:val="00D705CB"/>
    <w:rsid w:val="00D706EF"/>
    <w:rsid w:val="00D70746"/>
    <w:rsid w:val="00D70766"/>
    <w:rsid w:val="00D7088A"/>
    <w:rsid w:val="00D7093D"/>
    <w:rsid w:val="00D709AB"/>
    <w:rsid w:val="00D709BE"/>
    <w:rsid w:val="00D70AB6"/>
    <w:rsid w:val="00D70B38"/>
    <w:rsid w:val="00D70B56"/>
    <w:rsid w:val="00D70E1F"/>
    <w:rsid w:val="00D7107A"/>
    <w:rsid w:val="00D71233"/>
    <w:rsid w:val="00D7126F"/>
    <w:rsid w:val="00D71408"/>
    <w:rsid w:val="00D71466"/>
    <w:rsid w:val="00D71489"/>
    <w:rsid w:val="00D716A1"/>
    <w:rsid w:val="00D716D6"/>
    <w:rsid w:val="00D71972"/>
    <w:rsid w:val="00D71A70"/>
    <w:rsid w:val="00D71AA0"/>
    <w:rsid w:val="00D71ACD"/>
    <w:rsid w:val="00D71B22"/>
    <w:rsid w:val="00D71B8A"/>
    <w:rsid w:val="00D71BCD"/>
    <w:rsid w:val="00D71E84"/>
    <w:rsid w:val="00D7201A"/>
    <w:rsid w:val="00D7223B"/>
    <w:rsid w:val="00D723DB"/>
    <w:rsid w:val="00D724A8"/>
    <w:rsid w:val="00D72590"/>
    <w:rsid w:val="00D725A4"/>
    <w:rsid w:val="00D72649"/>
    <w:rsid w:val="00D7272F"/>
    <w:rsid w:val="00D727DA"/>
    <w:rsid w:val="00D727FA"/>
    <w:rsid w:val="00D72923"/>
    <w:rsid w:val="00D72A20"/>
    <w:rsid w:val="00D72BD8"/>
    <w:rsid w:val="00D72C21"/>
    <w:rsid w:val="00D72CA9"/>
    <w:rsid w:val="00D72D8C"/>
    <w:rsid w:val="00D72FA8"/>
    <w:rsid w:val="00D72FFC"/>
    <w:rsid w:val="00D73126"/>
    <w:rsid w:val="00D731B7"/>
    <w:rsid w:val="00D731E2"/>
    <w:rsid w:val="00D73245"/>
    <w:rsid w:val="00D732BB"/>
    <w:rsid w:val="00D73317"/>
    <w:rsid w:val="00D73464"/>
    <w:rsid w:val="00D73502"/>
    <w:rsid w:val="00D73744"/>
    <w:rsid w:val="00D7383D"/>
    <w:rsid w:val="00D73881"/>
    <w:rsid w:val="00D73888"/>
    <w:rsid w:val="00D73A9F"/>
    <w:rsid w:val="00D73B6E"/>
    <w:rsid w:val="00D73D87"/>
    <w:rsid w:val="00D73DE8"/>
    <w:rsid w:val="00D74019"/>
    <w:rsid w:val="00D74314"/>
    <w:rsid w:val="00D743D4"/>
    <w:rsid w:val="00D74413"/>
    <w:rsid w:val="00D745A5"/>
    <w:rsid w:val="00D746C3"/>
    <w:rsid w:val="00D7470B"/>
    <w:rsid w:val="00D749ED"/>
    <w:rsid w:val="00D74C23"/>
    <w:rsid w:val="00D74C6F"/>
    <w:rsid w:val="00D74DA3"/>
    <w:rsid w:val="00D74DD2"/>
    <w:rsid w:val="00D74E2E"/>
    <w:rsid w:val="00D74EE9"/>
    <w:rsid w:val="00D74EEB"/>
    <w:rsid w:val="00D74FCF"/>
    <w:rsid w:val="00D75358"/>
    <w:rsid w:val="00D753A8"/>
    <w:rsid w:val="00D75431"/>
    <w:rsid w:val="00D75684"/>
    <w:rsid w:val="00D75877"/>
    <w:rsid w:val="00D75B38"/>
    <w:rsid w:val="00D75D08"/>
    <w:rsid w:val="00D75D99"/>
    <w:rsid w:val="00D75D9A"/>
    <w:rsid w:val="00D75E18"/>
    <w:rsid w:val="00D7600D"/>
    <w:rsid w:val="00D760C2"/>
    <w:rsid w:val="00D761BD"/>
    <w:rsid w:val="00D761C6"/>
    <w:rsid w:val="00D761F0"/>
    <w:rsid w:val="00D76328"/>
    <w:rsid w:val="00D7632A"/>
    <w:rsid w:val="00D76420"/>
    <w:rsid w:val="00D76508"/>
    <w:rsid w:val="00D76686"/>
    <w:rsid w:val="00D76942"/>
    <w:rsid w:val="00D77173"/>
    <w:rsid w:val="00D771A9"/>
    <w:rsid w:val="00D77263"/>
    <w:rsid w:val="00D7729D"/>
    <w:rsid w:val="00D775D4"/>
    <w:rsid w:val="00D7771A"/>
    <w:rsid w:val="00D77726"/>
    <w:rsid w:val="00D77762"/>
    <w:rsid w:val="00D77769"/>
    <w:rsid w:val="00D777A0"/>
    <w:rsid w:val="00D7793F"/>
    <w:rsid w:val="00D779A8"/>
    <w:rsid w:val="00D77A47"/>
    <w:rsid w:val="00D77AFD"/>
    <w:rsid w:val="00D77B5A"/>
    <w:rsid w:val="00D77D68"/>
    <w:rsid w:val="00D77D8B"/>
    <w:rsid w:val="00D77E61"/>
    <w:rsid w:val="00D77EAB"/>
    <w:rsid w:val="00D77F17"/>
    <w:rsid w:val="00D80067"/>
    <w:rsid w:val="00D80153"/>
    <w:rsid w:val="00D8020E"/>
    <w:rsid w:val="00D803D9"/>
    <w:rsid w:val="00D803E4"/>
    <w:rsid w:val="00D804E8"/>
    <w:rsid w:val="00D80571"/>
    <w:rsid w:val="00D805CF"/>
    <w:rsid w:val="00D80638"/>
    <w:rsid w:val="00D80905"/>
    <w:rsid w:val="00D8090B"/>
    <w:rsid w:val="00D8092F"/>
    <w:rsid w:val="00D809AF"/>
    <w:rsid w:val="00D80A0F"/>
    <w:rsid w:val="00D80AB1"/>
    <w:rsid w:val="00D80AE1"/>
    <w:rsid w:val="00D80BBE"/>
    <w:rsid w:val="00D80C0C"/>
    <w:rsid w:val="00D80DE7"/>
    <w:rsid w:val="00D80E5F"/>
    <w:rsid w:val="00D80EB7"/>
    <w:rsid w:val="00D80F0D"/>
    <w:rsid w:val="00D80F86"/>
    <w:rsid w:val="00D811BF"/>
    <w:rsid w:val="00D811EF"/>
    <w:rsid w:val="00D81217"/>
    <w:rsid w:val="00D81375"/>
    <w:rsid w:val="00D81410"/>
    <w:rsid w:val="00D8144B"/>
    <w:rsid w:val="00D81511"/>
    <w:rsid w:val="00D81525"/>
    <w:rsid w:val="00D81587"/>
    <w:rsid w:val="00D815F1"/>
    <w:rsid w:val="00D8170E"/>
    <w:rsid w:val="00D817C3"/>
    <w:rsid w:val="00D817CE"/>
    <w:rsid w:val="00D817D1"/>
    <w:rsid w:val="00D8191E"/>
    <w:rsid w:val="00D81AA1"/>
    <w:rsid w:val="00D81AAD"/>
    <w:rsid w:val="00D81BE0"/>
    <w:rsid w:val="00D81C3B"/>
    <w:rsid w:val="00D81C3D"/>
    <w:rsid w:val="00D81C67"/>
    <w:rsid w:val="00D81DCF"/>
    <w:rsid w:val="00D81E08"/>
    <w:rsid w:val="00D81F27"/>
    <w:rsid w:val="00D8208B"/>
    <w:rsid w:val="00D82157"/>
    <w:rsid w:val="00D82237"/>
    <w:rsid w:val="00D82296"/>
    <w:rsid w:val="00D82336"/>
    <w:rsid w:val="00D82410"/>
    <w:rsid w:val="00D824B8"/>
    <w:rsid w:val="00D8254E"/>
    <w:rsid w:val="00D825DB"/>
    <w:rsid w:val="00D828AA"/>
    <w:rsid w:val="00D82988"/>
    <w:rsid w:val="00D82A21"/>
    <w:rsid w:val="00D82AE4"/>
    <w:rsid w:val="00D82C14"/>
    <w:rsid w:val="00D82D06"/>
    <w:rsid w:val="00D82D44"/>
    <w:rsid w:val="00D82E3A"/>
    <w:rsid w:val="00D83071"/>
    <w:rsid w:val="00D83131"/>
    <w:rsid w:val="00D83168"/>
    <w:rsid w:val="00D831FE"/>
    <w:rsid w:val="00D833FA"/>
    <w:rsid w:val="00D83575"/>
    <w:rsid w:val="00D83916"/>
    <w:rsid w:val="00D83988"/>
    <w:rsid w:val="00D83999"/>
    <w:rsid w:val="00D83A27"/>
    <w:rsid w:val="00D83B33"/>
    <w:rsid w:val="00D83B53"/>
    <w:rsid w:val="00D83CFA"/>
    <w:rsid w:val="00D83E46"/>
    <w:rsid w:val="00D83EB9"/>
    <w:rsid w:val="00D83F9A"/>
    <w:rsid w:val="00D84027"/>
    <w:rsid w:val="00D84113"/>
    <w:rsid w:val="00D84221"/>
    <w:rsid w:val="00D843AD"/>
    <w:rsid w:val="00D845E9"/>
    <w:rsid w:val="00D846AD"/>
    <w:rsid w:val="00D84844"/>
    <w:rsid w:val="00D8489E"/>
    <w:rsid w:val="00D84C50"/>
    <w:rsid w:val="00D84CD2"/>
    <w:rsid w:val="00D84DC4"/>
    <w:rsid w:val="00D84F69"/>
    <w:rsid w:val="00D850D4"/>
    <w:rsid w:val="00D8519B"/>
    <w:rsid w:val="00D851CD"/>
    <w:rsid w:val="00D85445"/>
    <w:rsid w:val="00D85693"/>
    <w:rsid w:val="00D856AB"/>
    <w:rsid w:val="00D856E2"/>
    <w:rsid w:val="00D8571B"/>
    <w:rsid w:val="00D857CD"/>
    <w:rsid w:val="00D857CE"/>
    <w:rsid w:val="00D85826"/>
    <w:rsid w:val="00D8587F"/>
    <w:rsid w:val="00D858BF"/>
    <w:rsid w:val="00D85A56"/>
    <w:rsid w:val="00D85A9D"/>
    <w:rsid w:val="00D85BB8"/>
    <w:rsid w:val="00D85BE1"/>
    <w:rsid w:val="00D85C2C"/>
    <w:rsid w:val="00D85C61"/>
    <w:rsid w:val="00D85CB4"/>
    <w:rsid w:val="00D85DD6"/>
    <w:rsid w:val="00D85DDE"/>
    <w:rsid w:val="00D85EA4"/>
    <w:rsid w:val="00D85F43"/>
    <w:rsid w:val="00D85FBF"/>
    <w:rsid w:val="00D8605F"/>
    <w:rsid w:val="00D860AA"/>
    <w:rsid w:val="00D861E9"/>
    <w:rsid w:val="00D86357"/>
    <w:rsid w:val="00D863C8"/>
    <w:rsid w:val="00D864DC"/>
    <w:rsid w:val="00D86545"/>
    <w:rsid w:val="00D865D7"/>
    <w:rsid w:val="00D865DA"/>
    <w:rsid w:val="00D8673B"/>
    <w:rsid w:val="00D86752"/>
    <w:rsid w:val="00D8675E"/>
    <w:rsid w:val="00D867A3"/>
    <w:rsid w:val="00D8686A"/>
    <w:rsid w:val="00D868DD"/>
    <w:rsid w:val="00D869B1"/>
    <w:rsid w:val="00D86A42"/>
    <w:rsid w:val="00D86AC1"/>
    <w:rsid w:val="00D86BCF"/>
    <w:rsid w:val="00D86BD5"/>
    <w:rsid w:val="00D86C6F"/>
    <w:rsid w:val="00D86E02"/>
    <w:rsid w:val="00D86FCC"/>
    <w:rsid w:val="00D87005"/>
    <w:rsid w:val="00D871DF"/>
    <w:rsid w:val="00D873CC"/>
    <w:rsid w:val="00D874F4"/>
    <w:rsid w:val="00D87518"/>
    <w:rsid w:val="00D87573"/>
    <w:rsid w:val="00D87595"/>
    <w:rsid w:val="00D875A0"/>
    <w:rsid w:val="00D8760D"/>
    <w:rsid w:val="00D87792"/>
    <w:rsid w:val="00D878CC"/>
    <w:rsid w:val="00D87956"/>
    <w:rsid w:val="00D879F3"/>
    <w:rsid w:val="00D87A65"/>
    <w:rsid w:val="00D87A83"/>
    <w:rsid w:val="00D87AAE"/>
    <w:rsid w:val="00D87B74"/>
    <w:rsid w:val="00D87C63"/>
    <w:rsid w:val="00D87CF7"/>
    <w:rsid w:val="00D87DD6"/>
    <w:rsid w:val="00D87DE2"/>
    <w:rsid w:val="00D87FA9"/>
    <w:rsid w:val="00D900A0"/>
    <w:rsid w:val="00D901BC"/>
    <w:rsid w:val="00D90434"/>
    <w:rsid w:val="00D904EF"/>
    <w:rsid w:val="00D9052A"/>
    <w:rsid w:val="00D90733"/>
    <w:rsid w:val="00D9079C"/>
    <w:rsid w:val="00D90873"/>
    <w:rsid w:val="00D90959"/>
    <w:rsid w:val="00D90A42"/>
    <w:rsid w:val="00D90BB0"/>
    <w:rsid w:val="00D90BCA"/>
    <w:rsid w:val="00D90C7E"/>
    <w:rsid w:val="00D90CE4"/>
    <w:rsid w:val="00D90D95"/>
    <w:rsid w:val="00D90E71"/>
    <w:rsid w:val="00D90F5E"/>
    <w:rsid w:val="00D90FB9"/>
    <w:rsid w:val="00D90FD2"/>
    <w:rsid w:val="00D910F5"/>
    <w:rsid w:val="00D91119"/>
    <w:rsid w:val="00D91183"/>
    <w:rsid w:val="00D911EF"/>
    <w:rsid w:val="00D911F9"/>
    <w:rsid w:val="00D911FB"/>
    <w:rsid w:val="00D912C1"/>
    <w:rsid w:val="00D91328"/>
    <w:rsid w:val="00D913AC"/>
    <w:rsid w:val="00D91511"/>
    <w:rsid w:val="00D91532"/>
    <w:rsid w:val="00D915FA"/>
    <w:rsid w:val="00D91623"/>
    <w:rsid w:val="00D916CE"/>
    <w:rsid w:val="00D91746"/>
    <w:rsid w:val="00D91795"/>
    <w:rsid w:val="00D91860"/>
    <w:rsid w:val="00D91A05"/>
    <w:rsid w:val="00D91B43"/>
    <w:rsid w:val="00D91BA9"/>
    <w:rsid w:val="00D91C8D"/>
    <w:rsid w:val="00D91CDC"/>
    <w:rsid w:val="00D91E91"/>
    <w:rsid w:val="00D91EEE"/>
    <w:rsid w:val="00D91F79"/>
    <w:rsid w:val="00D91FA8"/>
    <w:rsid w:val="00D9204B"/>
    <w:rsid w:val="00D920A3"/>
    <w:rsid w:val="00D920FB"/>
    <w:rsid w:val="00D92218"/>
    <w:rsid w:val="00D92308"/>
    <w:rsid w:val="00D9243D"/>
    <w:rsid w:val="00D9246C"/>
    <w:rsid w:val="00D924D9"/>
    <w:rsid w:val="00D92505"/>
    <w:rsid w:val="00D92602"/>
    <w:rsid w:val="00D92697"/>
    <w:rsid w:val="00D9272D"/>
    <w:rsid w:val="00D92750"/>
    <w:rsid w:val="00D927A0"/>
    <w:rsid w:val="00D9288A"/>
    <w:rsid w:val="00D92959"/>
    <w:rsid w:val="00D92968"/>
    <w:rsid w:val="00D929CA"/>
    <w:rsid w:val="00D92B2E"/>
    <w:rsid w:val="00D930BF"/>
    <w:rsid w:val="00D930C2"/>
    <w:rsid w:val="00D931BC"/>
    <w:rsid w:val="00D93238"/>
    <w:rsid w:val="00D9340A"/>
    <w:rsid w:val="00D93666"/>
    <w:rsid w:val="00D9371E"/>
    <w:rsid w:val="00D93805"/>
    <w:rsid w:val="00D939F4"/>
    <w:rsid w:val="00D93B0B"/>
    <w:rsid w:val="00D93B3D"/>
    <w:rsid w:val="00D93B47"/>
    <w:rsid w:val="00D93B49"/>
    <w:rsid w:val="00D93B62"/>
    <w:rsid w:val="00D93BEC"/>
    <w:rsid w:val="00D93BFC"/>
    <w:rsid w:val="00D93C85"/>
    <w:rsid w:val="00D93C87"/>
    <w:rsid w:val="00D93CA5"/>
    <w:rsid w:val="00D93CE9"/>
    <w:rsid w:val="00D93CF0"/>
    <w:rsid w:val="00D93E81"/>
    <w:rsid w:val="00D93F5D"/>
    <w:rsid w:val="00D9400C"/>
    <w:rsid w:val="00D94010"/>
    <w:rsid w:val="00D940E5"/>
    <w:rsid w:val="00D9420E"/>
    <w:rsid w:val="00D94477"/>
    <w:rsid w:val="00D94622"/>
    <w:rsid w:val="00D9463B"/>
    <w:rsid w:val="00D94673"/>
    <w:rsid w:val="00D948DE"/>
    <w:rsid w:val="00D94C9D"/>
    <w:rsid w:val="00D94CCB"/>
    <w:rsid w:val="00D94DC6"/>
    <w:rsid w:val="00D94EE1"/>
    <w:rsid w:val="00D95052"/>
    <w:rsid w:val="00D95124"/>
    <w:rsid w:val="00D951F6"/>
    <w:rsid w:val="00D952DB"/>
    <w:rsid w:val="00D95315"/>
    <w:rsid w:val="00D9542E"/>
    <w:rsid w:val="00D95433"/>
    <w:rsid w:val="00D95443"/>
    <w:rsid w:val="00D95523"/>
    <w:rsid w:val="00D9555C"/>
    <w:rsid w:val="00D9568B"/>
    <w:rsid w:val="00D956A6"/>
    <w:rsid w:val="00D957A6"/>
    <w:rsid w:val="00D958BC"/>
    <w:rsid w:val="00D9594A"/>
    <w:rsid w:val="00D959E6"/>
    <w:rsid w:val="00D95AAA"/>
    <w:rsid w:val="00D95BC5"/>
    <w:rsid w:val="00D95D11"/>
    <w:rsid w:val="00D95E2A"/>
    <w:rsid w:val="00D95FC3"/>
    <w:rsid w:val="00D96059"/>
    <w:rsid w:val="00D9605B"/>
    <w:rsid w:val="00D96085"/>
    <w:rsid w:val="00D9610D"/>
    <w:rsid w:val="00D96419"/>
    <w:rsid w:val="00D96508"/>
    <w:rsid w:val="00D9652F"/>
    <w:rsid w:val="00D9656E"/>
    <w:rsid w:val="00D965E7"/>
    <w:rsid w:val="00D96639"/>
    <w:rsid w:val="00D9675D"/>
    <w:rsid w:val="00D96953"/>
    <w:rsid w:val="00D96A2A"/>
    <w:rsid w:val="00D96AA4"/>
    <w:rsid w:val="00D96ADF"/>
    <w:rsid w:val="00D96B8B"/>
    <w:rsid w:val="00D96D5E"/>
    <w:rsid w:val="00D96D88"/>
    <w:rsid w:val="00D96E38"/>
    <w:rsid w:val="00D9701E"/>
    <w:rsid w:val="00D9710A"/>
    <w:rsid w:val="00D97172"/>
    <w:rsid w:val="00D97176"/>
    <w:rsid w:val="00D971B3"/>
    <w:rsid w:val="00D97230"/>
    <w:rsid w:val="00D97290"/>
    <w:rsid w:val="00D972B1"/>
    <w:rsid w:val="00D97572"/>
    <w:rsid w:val="00D975FF"/>
    <w:rsid w:val="00D97800"/>
    <w:rsid w:val="00D9786A"/>
    <w:rsid w:val="00D97A2A"/>
    <w:rsid w:val="00D97D56"/>
    <w:rsid w:val="00D97DF2"/>
    <w:rsid w:val="00D97E55"/>
    <w:rsid w:val="00D97E91"/>
    <w:rsid w:val="00D97EB0"/>
    <w:rsid w:val="00D97EEF"/>
    <w:rsid w:val="00DA0047"/>
    <w:rsid w:val="00DA022B"/>
    <w:rsid w:val="00DA02A2"/>
    <w:rsid w:val="00DA0303"/>
    <w:rsid w:val="00DA034F"/>
    <w:rsid w:val="00DA0386"/>
    <w:rsid w:val="00DA03AD"/>
    <w:rsid w:val="00DA0410"/>
    <w:rsid w:val="00DA04C5"/>
    <w:rsid w:val="00DA0578"/>
    <w:rsid w:val="00DA0611"/>
    <w:rsid w:val="00DA0676"/>
    <w:rsid w:val="00DA08C7"/>
    <w:rsid w:val="00DA0A03"/>
    <w:rsid w:val="00DA0B83"/>
    <w:rsid w:val="00DA0CB0"/>
    <w:rsid w:val="00DA0D1D"/>
    <w:rsid w:val="00DA0DAC"/>
    <w:rsid w:val="00DA0FF8"/>
    <w:rsid w:val="00DA1004"/>
    <w:rsid w:val="00DA10A5"/>
    <w:rsid w:val="00DA1120"/>
    <w:rsid w:val="00DA11EC"/>
    <w:rsid w:val="00DA1285"/>
    <w:rsid w:val="00DA1391"/>
    <w:rsid w:val="00DA1746"/>
    <w:rsid w:val="00DA1825"/>
    <w:rsid w:val="00DA1988"/>
    <w:rsid w:val="00DA19FB"/>
    <w:rsid w:val="00DA1B10"/>
    <w:rsid w:val="00DA1D05"/>
    <w:rsid w:val="00DA1D7C"/>
    <w:rsid w:val="00DA1F05"/>
    <w:rsid w:val="00DA1F73"/>
    <w:rsid w:val="00DA202E"/>
    <w:rsid w:val="00DA20DD"/>
    <w:rsid w:val="00DA20E3"/>
    <w:rsid w:val="00DA20E5"/>
    <w:rsid w:val="00DA20FB"/>
    <w:rsid w:val="00DA22B1"/>
    <w:rsid w:val="00DA22EB"/>
    <w:rsid w:val="00DA232A"/>
    <w:rsid w:val="00DA2381"/>
    <w:rsid w:val="00DA2576"/>
    <w:rsid w:val="00DA267C"/>
    <w:rsid w:val="00DA26FC"/>
    <w:rsid w:val="00DA2724"/>
    <w:rsid w:val="00DA27B3"/>
    <w:rsid w:val="00DA2810"/>
    <w:rsid w:val="00DA28D0"/>
    <w:rsid w:val="00DA28D4"/>
    <w:rsid w:val="00DA28DD"/>
    <w:rsid w:val="00DA2945"/>
    <w:rsid w:val="00DA296E"/>
    <w:rsid w:val="00DA2A0E"/>
    <w:rsid w:val="00DA2B80"/>
    <w:rsid w:val="00DA2D9D"/>
    <w:rsid w:val="00DA2FB5"/>
    <w:rsid w:val="00DA2FD9"/>
    <w:rsid w:val="00DA30E6"/>
    <w:rsid w:val="00DA31B7"/>
    <w:rsid w:val="00DA3300"/>
    <w:rsid w:val="00DA33E1"/>
    <w:rsid w:val="00DA346A"/>
    <w:rsid w:val="00DA359E"/>
    <w:rsid w:val="00DA36A3"/>
    <w:rsid w:val="00DA39EE"/>
    <w:rsid w:val="00DA3C90"/>
    <w:rsid w:val="00DA3CD3"/>
    <w:rsid w:val="00DA3D88"/>
    <w:rsid w:val="00DA3EDE"/>
    <w:rsid w:val="00DA40D1"/>
    <w:rsid w:val="00DA4157"/>
    <w:rsid w:val="00DA4261"/>
    <w:rsid w:val="00DA4327"/>
    <w:rsid w:val="00DA4359"/>
    <w:rsid w:val="00DA4406"/>
    <w:rsid w:val="00DA44B2"/>
    <w:rsid w:val="00DA4663"/>
    <w:rsid w:val="00DA484D"/>
    <w:rsid w:val="00DA496C"/>
    <w:rsid w:val="00DA4BAE"/>
    <w:rsid w:val="00DA4BB9"/>
    <w:rsid w:val="00DA4BE0"/>
    <w:rsid w:val="00DA4C59"/>
    <w:rsid w:val="00DA4CFC"/>
    <w:rsid w:val="00DA4D6A"/>
    <w:rsid w:val="00DA4E7E"/>
    <w:rsid w:val="00DA4F13"/>
    <w:rsid w:val="00DA5101"/>
    <w:rsid w:val="00DA5161"/>
    <w:rsid w:val="00DA52C6"/>
    <w:rsid w:val="00DA5428"/>
    <w:rsid w:val="00DA54F2"/>
    <w:rsid w:val="00DA551B"/>
    <w:rsid w:val="00DA55C4"/>
    <w:rsid w:val="00DA5813"/>
    <w:rsid w:val="00DA5937"/>
    <w:rsid w:val="00DA596C"/>
    <w:rsid w:val="00DA59B9"/>
    <w:rsid w:val="00DA5A92"/>
    <w:rsid w:val="00DA5BFA"/>
    <w:rsid w:val="00DA5DF0"/>
    <w:rsid w:val="00DA5EA4"/>
    <w:rsid w:val="00DA5ED0"/>
    <w:rsid w:val="00DA6026"/>
    <w:rsid w:val="00DA6129"/>
    <w:rsid w:val="00DA6150"/>
    <w:rsid w:val="00DA6283"/>
    <w:rsid w:val="00DA631B"/>
    <w:rsid w:val="00DA63C1"/>
    <w:rsid w:val="00DA664B"/>
    <w:rsid w:val="00DA666B"/>
    <w:rsid w:val="00DA66C7"/>
    <w:rsid w:val="00DA68B3"/>
    <w:rsid w:val="00DA68F8"/>
    <w:rsid w:val="00DA6926"/>
    <w:rsid w:val="00DA6A55"/>
    <w:rsid w:val="00DA6A77"/>
    <w:rsid w:val="00DA6B04"/>
    <w:rsid w:val="00DA6B17"/>
    <w:rsid w:val="00DA6B45"/>
    <w:rsid w:val="00DA6B64"/>
    <w:rsid w:val="00DA6BE3"/>
    <w:rsid w:val="00DA6C03"/>
    <w:rsid w:val="00DA6C7D"/>
    <w:rsid w:val="00DA6CFF"/>
    <w:rsid w:val="00DA6D26"/>
    <w:rsid w:val="00DA6D2C"/>
    <w:rsid w:val="00DA6D37"/>
    <w:rsid w:val="00DA6D6F"/>
    <w:rsid w:val="00DA6D8B"/>
    <w:rsid w:val="00DA6D99"/>
    <w:rsid w:val="00DA6EDB"/>
    <w:rsid w:val="00DA6F4C"/>
    <w:rsid w:val="00DA7019"/>
    <w:rsid w:val="00DA70B4"/>
    <w:rsid w:val="00DA70FF"/>
    <w:rsid w:val="00DA71A0"/>
    <w:rsid w:val="00DA75D3"/>
    <w:rsid w:val="00DA7608"/>
    <w:rsid w:val="00DA7665"/>
    <w:rsid w:val="00DA778E"/>
    <w:rsid w:val="00DA7993"/>
    <w:rsid w:val="00DA79C4"/>
    <w:rsid w:val="00DA79EF"/>
    <w:rsid w:val="00DA7A2F"/>
    <w:rsid w:val="00DA7ABC"/>
    <w:rsid w:val="00DA7B9A"/>
    <w:rsid w:val="00DA7CFE"/>
    <w:rsid w:val="00DA7D67"/>
    <w:rsid w:val="00DA7E19"/>
    <w:rsid w:val="00DA7E4D"/>
    <w:rsid w:val="00DA7F05"/>
    <w:rsid w:val="00DA7FC4"/>
    <w:rsid w:val="00DB0024"/>
    <w:rsid w:val="00DB01AA"/>
    <w:rsid w:val="00DB0268"/>
    <w:rsid w:val="00DB033A"/>
    <w:rsid w:val="00DB0426"/>
    <w:rsid w:val="00DB05D6"/>
    <w:rsid w:val="00DB0726"/>
    <w:rsid w:val="00DB0842"/>
    <w:rsid w:val="00DB0990"/>
    <w:rsid w:val="00DB0A1E"/>
    <w:rsid w:val="00DB0A3D"/>
    <w:rsid w:val="00DB0A60"/>
    <w:rsid w:val="00DB0A8C"/>
    <w:rsid w:val="00DB0B02"/>
    <w:rsid w:val="00DB0B03"/>
    <w:rsid w:val="00DB0C0B"/>
    <w:rsid w:val="00DB0CE7"/>
    <w:rsid w:val="00DB0D13"/>
    <w:rsid w:val="00DB0EE5"/>
    <w:rsid w:val="00DB10AA"/>
    <w:rsid w:val="00DB117E"/>
    <w:rsid w:val="00DB1199"/>
    <w:rsid w:val="00DB122F"/>
    <w:rsid w:val="00DB1258"/>
    <w:rsid w:val="00DB1390"/>
    <w:rsid w:val="00DB13FF"/>
    <w:rsid w:val="00DB1490"/>
    <w:rsid w:val="00DB1625"/>
    <w:rsid w:val="00DB16E9"/>
    <w:rsid w:val="00DB173B"/>
    <w:rsid w:val="00DB17EF"/>
    <w:rsid w:val="00DB1856"/>
    <w:rsid w:val="00DB185F"/>
    <w:rsid w:val="00DB197D"/>
    <w:rsid w:val="00DB19D6"/>
    <w:rsid w:val="00DB1A22"/>
    <w:rsid w:val="00DB1A3A"/>
    <w:rsid w:val="00DB1A3F"/>
    <w:rsid w:val="00DB1A59"/>
    <w:rsid w:val="00DB1B17"/>
    <w:rsid w:val="00DB1D72"/>
    <w:rsid w:val="00DB1E71"/>
    <w:rsid w:val="00DB1EE3"/>
    <w:rsid w:val="00DB2007"/>
    <w:rsid w:val="00DB2023"/>
    <w:rsid w:val="00DB2068"/>
    <w:rsid w:val="00DB2091"/>
    <w:rsid w:val="00DB20D5"/>
    <w:rsid w:val="00DB2163"/>
    <w:rsid w:val="00DB2329"/>
    <w:rsid w:val="00DB23A5"/>
    <w:rsid w:val="00DB24A2"/>
    <w:rsid w:val="00DB24D6"/>
    <w:rsid w:val="00DB24EB"/>
    <w:rsid w:val="00DB267E"/>
    <w:rsid w:val="00DB26A2"/>
    <w:rsid w:val="00DB26B3"/>
    <w:rsid w:val="00DB271D"/>
    <w:rsid w:val="00DB27BC"/>
    <w:rsid w:val="00DB2861"/>
    <w:rsid w:val="00DB2862"/>
    <w:rsid w:val="00DB2947"/>
    <w:rsid w:val="00DB2A1A"/>
    <w:rsid w:val="00DB2B19"/>
    <w:rsid w:val="00DB2B39"/>
    <w:rsid w:val="00DB2CF7"/>
    <w:rsid w:val="00DB2D65"/>
    <w:rsid w:val="00DB2E8A"/>
    <w:rsid w:val="00DB2F0B"/>
    <w:rsid w:val="00DB31B6"/>
    <w:rsid w:val="00DB3535"/>
    <w:rsid w:val="00DB35F4"/>
    <w:rsid w:val="00DB36E9"/>
    <w:rsid w:val="00DB377E"/>
    <w:rsid w:val="00DB3852"/>
    <w:rsid w:val="00DB39CB"/>
    <w:rsid w:val="00DB39F3"/>
    <w:rsid w:val="00DB3A00"/>
    <w:rsid w:val="00DB3A14"/>
    <w:rsid w:val="00DB3AEF"/>
    <w:rsid w:val="00DB3B74"/>
    <w:rsid w:val="00DB3BFB"/>
    <w:rsid w:val="00DB3EC2"/>
    <w:rsid w:val="00DB3F16"/>
    <w:rsid w:val="00DB40BC"/>
    <w:rsid w:val="00DB4188"/>
    <w:rsid w:val="00DB42EF"/>
    <w:rsid w:val="00DB4305"/>
    <w:rsid w:val="00DB438F"/>
    <w:rsid w:val="00DB43E4"/>
    <w:rsid w:val="00DB455E"/>
    <w:rsid w:val="00DB45CF"/>
    <w:rsid w:val="00DB468E"/>
    <w:rsid w:val="00DB4742"/>
    <w:rsid w:val="00DB4A14"/>
    <w:rsid w:val="00DB4AB2"/>
    <w:rsid w:val="00DB4ADB"/>
    <w:rsid w:val="00DB4AF8"/>
    <w:rsid w:val="00DB4BEA"/>
    <w:rsid w:val="00DB4DC2"/>
    <w:rsid w:val="00DB4DEE"/>
    <w:rsid w:val="00DB4E33"/>
    <w:rsid w:val="00DB4E53"/>
    <w:rsid w:val="00DB4F2F"/>
    <w:rsid w:val="00DB5029"/>
    <w:rsid w:val="00DB543F"/>
    <w:rsid w:val="00DB546E"/>
    <w:rsid w:val="00DB551C"/>
    <w:rsid w:val="00DB56D5"/>
    <w:rsid w:val="00DB5752"/>
    <w:rsid w:val="00DB582F"/>
    <w:rsid w:val="00DB583A"/>
    <w:rsid w:val="00DB5938"/>
    <w:rsid w:val="00DB599A"/>
    <w:rsid w:val="00DB599C"/>
    <w:rsid w:val="00DB59D1"/>
    <w:rsid w:val="00DB5A8C"/>
    <w:rsid w:val="00DB5AB6"/>
    <w:rsid w:val="00DB5BE1"/>
    <w:rsid w:val="00DB5C50"/>
    <w:rsid w:val="00DB5DEC"/>
    <w:rsid w:val="00DB5E10"/>
    <w:rsid w:val="00DB5E43"/>
    <w:rsid w:val="00DB5ED0"/>
    <w:rsid w:val="00DB5F25"/>
    <w:rsid w:val="00DB606E"/>
    <w:rsid w:val="00DB60C7"/>
    <w:rsid w:val="00DB634D"/>
    <w:rsid w:val="00DB63E2"/>
    <w:rsid w:val="00DB6403"/>
    <w:rsid w:val="00DB6443"/>
    <w:rsid w:val="00DB6497"/>
    <w:rsid w:val="00DB65F5"/>
    <w:rsid w:val="00DB674C"/>
    <w:rsid w:val="00DB67C4"/>
    <w:rsid w:val="00DB68CE"/>
    <w:rsid w:val="00DB697F"/>
    <w:rsid w:val="00DB6BB8"/>
    <w:rsid w:val="00DB6BF5"/>
    <w:rsid w:val="00DB6C68"/>
    <w:rsid w:val="00DB6CAF"/>
    <w:rsid w:val="00DB6CE0"/>
    <w:rsid w:val="00DB6D44"/>
    <w:rsid w:val="00DB7142"/>
    <w:rsid w:val="00DB71B7"/>
    <w:rsid w:val="00DB7303"/>
    <w:rsid w:val="00DB733E"/>
    <w:rsid w:val="00DB75D4"/>
    <w:rsid w:val="00DB777F"/>
    <w:rsid w:val="00DB7906"/>
    <w:rsid w:val="00DB79CF"/>
    <w:rsid w:val="00DB79DA"/>
    <w:rsid w:val="00DB7A18"/>
    <w:rsid w:val="00DB7D14"/>
    <w:rsid w:val="00DB7EE0"/>
    <w:rsid w:val="00DB7F8D"/>
    <w:rsid w:val="00DC0033"/>
    <w:rsid w:val="00DC0066"/>
    <w:rsid w:val="00DC00C0"/>
    <w:rsid w:val="00DC00C3"/>
    <w:rsid w:val="00DC0119"/>
    <w:rsid w:val="00DC029D"/>
    <w:rsid w:val="00DC02D5"/>
    <w:rsid w:val="00DC03FB"/>
    <w:rsid w:val="00DC0542"/>
    <w:rsid w:val="00DC063A"/>
    <w:rsid w:val="00DC06AB"/>
    <w:rsid w:val="00DC0746"/>
    <w:rsid w:val="00DC075B"/>
    <w:rsid w:val="00DC077F"/>
    <w:rsid w:val="00DC0834"/>
    <w:rsid w:val="00DC0906"/>
    <w:rsid w:val="00DC0923"/>
    <w:rsid w:val="00DC0A42"/>
    <w:rsid w:val="00DC0AA1"/>
    <w:rsid w:val="00DC0AF6"/>
    <w:rsid w:val="00DC0BC7"/>
    <w:rsid w:val="00DC0C40"/>
    <w:rsid w:val="00DC0CDB"/>
    <w:rsid w:val="00DC0D4A"/>
    <w:rsid w:val="00DC0E09"/>
    <w:rsid w:val="00DC0E9E"/>
    <w:rsid w:val="00DC1020"/>
    <w:rsid w:val="00DC1102"/>
    <w:rsid w:val="00DC11A2"/>
    <w:rsid w:val="00DC13BB"/>
    <w:rsid w:val="00DC13F2"/>
    <w:rsid w:val="00DC143F"/>
    <w:rsid w:val="00DC1459"/>
    <w:rsid w:val="00DC1600"/>
    <w:rsid w:val="00DC1618"/>
    <w:rsid w:val="00DC1649"/>
    <w:rsid w:val="00DC16CE"/>
    <w:rsid w:val="00DC175F"/>
    <w:rsid w:val="00DC180A"/>
    <w:rsid w:val="00DC1A53"/>
    <w:rsid w:val="00DC1A57"/>
    <w:rsid w:val="00DC1A7A"/>
    <w:rsid w:val="00DC1AF7"/>
    <w:rsid w:val="00DC1BE7"/>
    <w:rsid w:val="00DC1DF6"/>
    <w:rsid w:val="00DC1E61"/>
    <w:rsid w:val="00DC1F73"/>
    <w:rsid w:val="00DC2001"/>
    <w:rsid w:val="00DC20CE"/>
    <w:rsid w:val="00DC217D"/>
    <w:rsid w:val="00DC21BB"/>
    <w:rsid w:val="00DC21CB"/>
    <w:rsid w:val="00DC225E"/>
    <w:rsid w:val="00DC22AA"/>
    <w:rsid w:val="00DC2309"/>
    <w:rsid w:val="00DC231C"/>
    <w:rsid w:val="00DC235B"/>
    <w:rsid w:val="00DC2379"/>
    <w:rsid w:val="00DC240A"/>
    <w:rsid w:val="00DC2628"/>
    <w:rsid w:val="00DC2773"/>
    <w:rsid w:val="00DC285F"/>
    <w:rsid w:val="00DC28C7"/>
    <w:rsid w:val="00DC2A75"/>
    <w:rsid w:val="00DC2AC2"/>
    <w:rsid w:val="00DC2DAF"/>
    <w:rsid w:val="00DC2DD0"/>
    <w:rsid w:val="00DC2F3A"/>
    <w:rsid w:val="00DC2F9F"/>
    <w:rsid w:val="00DC3234"/>
    <w:rsid w:val="00DC32A6"/>
    <w:rsid w:val="00DC3314"/>
    <w:rsid w:val="00DC34AE"/>
    <w:rsid w:val="00DC350F"/>
    <w:rsid w:val="00DC3531"/>
    <w:rsid w:val="00DC354D"/>
    <w:rsid w:val="00DC363F"/>
    <w:rsid w:val="00DC3663"/>
    <w:rsid w:val="00DC3724"/>
    <w:rsid w:val="00DC3735"/>
    <w:rsid w:val="00DC3843"/>
    <w:rsid w:val="00DC3862"/>
    <w:rsid w:val="00DC387F"/>
    <w:rsid w:val="00DC3A6A"/>
    <w:rsid w:val="00DC3C3C"/>
    <w:rsid w:val="00DC3E00"/>
    <w:rsid w:val="00DC3E07"/>
    <w:rsid w:val="00DC3F3C"/>
    <w:rsid w:val="00DC3F9F"/>
    <w:rsid w:val="00DC40B7"/>
    <w:rsid w:val="00DC4153"/>
    <w:rsid w:val="00DC4326"/>
    <w:rsid w:val="00DC4436"/>
    <w:rsid w:val="00DC46CA"/>
    <w:rsid w:val="00DC473B"/>
    <w:rsid w:val="00DC4954"/>
    <w:rsid w:val="00DC49CF"/>
    <w:rsid w:val="00DC4A29"/>
    <w:rsid w:val="00DC4AC6"/>
    <w:rsid w:val="00DC4AF8"/>
    <w:rsid w:val="00DC4B7C"/>
    <w:rsid w:val="00DC4E79"/>
    <w:rsid w:val="00DC4E80"/>
    <w:rsid w:val="00DC4F9E"/>
    <w:rsid w:val="00DC5075"/>
    <w:rsid w:val="00DC5160"/>
    <w:rsid w:val="00DC51B6"/>
    <w:rsid w:val="00DC51F4"/>
    <w:rsid w:val="00DC51F9"/>
    <w:rsid w:val="00DC522C"/>
    <w:rsid w:val="00DC5252"/>
    <w:rsid w:val="00DC528E"/>
    <w:rsid w:val="00DC52A3"/>
    <w:rsid w:val="00DC52DE"/>
    <w:rsid w:val="00DC530A"/>
    <w:rsid w:val="00DC53A9"/>
    <w:rsid w:val="00DC5506"/>
    <w:rsid w:val="00DC5507"/>
    <w:rsid w:val="00DC558F"/>
    <w:rsid w:val="00DC55FF"/>
    <w:rsid w:val="00DC56EC"/>
    <w:rsid w:val="00DC5870"/>
    <w:rsid w:val="00DC5990"/>
    <w:rsid w:val="00DC59F2"/>
    <w:rsid w:val="00DC5A0C"/>
    <w:rsid w:val="00DC5AE4"/>
    <w:rsid w:val="00DC5AFC"/>
    <w:rsid w:val="00DC5B28"/>
    <w:rsid w:val="00DC5B78"/>
    <w:rsid w:val="00DC5C65"/>
    <w:rsid w:val="00DC5CD0"/>
    <w:rsid w:val="00DC5D34"/>
    <w:rsid w:val="00DC5DE1"/>
    <w:rsid w:val="00DC5F03"/>
    <w:rsid w:val="00DC5F0A"/>
    <w:rsid w:val="00DC5F92"/>
    <w:rsid w:val="00DC5FA0"/>
    <w:rsid w:val="00DC611A"/>
    <w:rsid w:val="00DC617E"/>
    <w:rsid w:val="00DC61AA"/>
    <w:rsid w:val="00DC6260"/>
    <w:rsid w:val="00DC62EC"/>
    <w:rsid w:val="00DC6328"/>
    <w:rsid w:val="00DC6488"/>
    <w:rsid w:val="00DC6528"/>
    <w:rsid w:val="00DC65D8"/>
    <w:rsid w:val="00DC6654"/>
    <w:rsid w:val="00DC67F9"/>
    <w:rsid w:val="00DC6968"/>
    <w:rsid w:val="00DC6A13"/>
    <w:rsid w:val="00DC6A3C"/>
    <w:rsid w:val="00DC6A4E"/>
    <w:rsid w:val="00DC6A83"/>
    <w:rsid w:val="00DC6B09"/>
    <w:rsid w:val="00DC6B1F"/>
    <w:rsid w:val="00DC6BEF"/>
    <w:rsid w:val="00DC6C09"/>
    <w:rsid w:val="00DC6C50"/>
    <w:rsid w:val="00DC6C86"/>
    <w:rsid w:val="00DC6D97"/>
    <w:rsid w:val="00DC6DA8"/>
    <w:rsid w:val="00DC6EB2"/>
    <w:rsid w:val="00DC6F44"/>
    <w:rsid w:val="00DC6F60"/>
    <w:rsid w:val="00DC708A"/>
    <w:rsid w:val="00DC7204"/>
    <w:rsid w:val="00DC72A1"/>
    <w:rsid w:val="00DC72AB"/>
    <w:rsid w:val="00DC7360"/>
    <w:rsid w:val="00DC7410"/>
    <w:rsid w:val="00DC7491"/>
    <w:rsid w:val="00DC7601"/>
    <w:rsid w:val="00DC767A"/>
    <w:rsid w:val="00DC76EF"/>
    <w:rsid w:val="00DC7703"/>
    <w:rsid w:val="00DC7743"/>
    <w:rsid w:val="00DC77F0"/>
    <w:rsid w:val="00DC795C"/>
    <w:rsid w:val="00DC7C4E"/>
    <w:rsid w:val="00DC7DF6"/>
    <w:rsid w:val="00DC7EBD"/>
    <w:rsid w:val="00DC7F89"/>
    <w:rsid w:val="00DC7FD9"/>
    <w:rsid w:val="00DD0053"/>
    <w:rsid w:val="00DD0076"/>
    <w:rsid w:val="00DD007F"/>
    <w:rsid w:val="00DD0131"/>
    <w:rsid w:val="00DD0350"/>
    <w:rsid w:val="00DD0384"/>
    <w:rsid w:val="00DD06D6"/>
    <w:rsid w:val="00DD07B0"/>
    <w:rsid w:val="00DD07E5"/>
    <w:rsid w:val="00DD0901"/>
    <w:rsid w:val="00DD0CAD"/>
    <w:rsid w:val="00DD0EBF"/>
    <w:rsid w:val="00DD0F20"/>
    <w:rsid w:val="00DD0F58"/>
    <w:rsid w:val="00DD0F6F"/>
    <w:rsid w:val="00DD1097"/>
    <w:rsid w:val="00DD114F"/>
    <w:rsid w:val="00DD11D9"/>
    <w:rsid w:val="00DD120F"/>
    <w:rsid w:val="00DD13D7"/>
    <w:rsid w:val="00DD145E"/>
    <w:rsid w:val="00DD1468"/>
    <w:rsid w:val="00DD1493"/>
    <w:rsid w:val="00DD1514"/>
    <w:rsid w:val="00DD15DE"/>
    <w:rsid w:val="00DD168B"/>
    <w:rsid w:val="00DD1790"/>
    <w:rsid w:val="00DD1A21"/>
    <w:rsid w:val="00DD1C3F"/>
    <w:rsid w:val="00DD1CB6"/>
    <w:rsid w:val="00DD1CCC"/>
    <w:rsid w:val="00DD1DB4"/>
    <w:rsid w:val="00DD1DE1"/>
    <w:rsid w:val="00DD1F9D"/>
    <w:rsid w:val="00DD21BD"/>
    <w:rsid w:val="00DD2207"/>
    <w:rsid w:val="00DD2287"/>
    <w:rsid w:val="00DD2314"/>
    <w:rsid w:val="00DD24D3"/>
    <w:rsid w:val="00DD25B2"/>
    <w:rsid w:val="00DD26F2"/>
    <w:rsid w:val="00DD280D"/>
    <w:rsid w:val="00DD2C4B"/>
    <w:rsid w:val="00DD2C8C"/>
    <w:rsid w:val="00DD2CB9"/>
    <w:rsid w:val="00DD2D03"/>
    <w:rsid w:val="00DD2D69"/>
    <w:rsid w:val="00DD2F26"/>
    <w:rsid w:val="00DD2FC1"/>
    <w:rsid w:val="00DD312A"/>
    <w:rsid w:val="00DD3236"/>
    <w:rsid w:val="00DD3436"/>
    <w:rsid w:val="00DD353B"/>
    <w:rsid w:val="00DD357E"/>
    <w:rsid w:val="00DD36CF"/>
    <w:rsid w:val="00DD3717"/>
    <w:rsid w:val="00DD37AA"/>
    <w:rsid w:val="00DD3966"/>
    <w:rsid w:val="00DD39C6"/>
    <w:rsid w:val="00DD39E8"/>
    <w:rsid w:val="00DD3A57"/>
    <w:rsid w:val="00DD3B05"/>
    <w:rsid w:val="00DD3BC3"/>
    <w:rsid w:val="00DD3D4D"/>
    <w:rsid w:val="00DD3E51"/>
    <w:rsid w:val="00DD3E5F"/>
    <w:rsid w:val="00DD3ED1"/>
    <w:rsid w:val="00DD3FEA"/>
    <w:rsid w:val="00DD3FF2"/>
    <w:rsid w:val="00DD4072"/>
    <w:rsid w:val="00DD40DF"/>
    <w:rsid w:val="00DD40F2"/>
    <w:rsid w:val="00DD41A2"/>
    <w:rsid w:val="00DD41A7"/>
    <w:rsid w:val="00DD41FA"/>
    <w:rsid w:val="00DD4270"/>
    <w:rsid w:val="00DD42C6"/>
    <w:rsid w:val="00DD431F"/>
    <w:rsid w:val="00DD43A6"/>
    <w:rsid w:val="00DD4497"/>
    <w:rsid w:val="00DD45E7"/>
    <w:rsid w:val="00DD460B"/>
    <w:rsid w:val="00DD472E"/>
    <w:rsid w:val="00DD478E"/>
    <w:rsid w:val="00DD47D0"/>
    <w:rsid w:val="00DD489A"/>
    <w:rsid w:val="00DD4908"/>
    <w:rsid w:val="00DD49DF"/>
    <w:rsid w:val="00DD4A09"/>
    <w:rsid w:val="00DD4A24"/>
    <w:rsid w:val="00DD4A4E"/>
    <w:rsid w:val="00DD4A52"/>
    <w:rsid w:val="00DD4AB0"/>
    <w:rsid w:val="00DD4ABB"/>
    <w:rsid w:val="00DD4C02"/>
    <w:rsid w:val="00DD4CE6"/>
    <w:rsid w:val="00DD4D6D"/>
    <w:rsid w:val="00DD4DA1"/>
    <w:rsid w:val="00DD4EA9"/>
    <w:rsid w:val="00DD4ED8"/>
    <w:rsid w:val="00DD516F"/>
    <w:rsid w:val="00DD517C"/>
    <w:rsid w:val="00DD52A7"/>
    <w:rsid w:val="00DD5303"/>
    <w:rsid w:val="00DD530A"/>
    <w:rsid w:val="00DD53E1"/>
    <w:rsid w:val="00DD547A"/>
    <w:rsid w:val="00DD54D3"/>
    <w:rsid w:val="00DD5529"/>
    <w:rsid w:val="00DD55FF"/>
    <w:rsid w:val="00DD5695"/>
    <w:rsid w:val="00DD56EB"/>
    <w:rsid w:val="00DD5764"/>
    <w:rsid w:val="00DD5777"/>
    <w:rsid w:val="00DD5787"/>
    <w:rsid w:val="00DD58A7"/>
    <w:rsid w:val="00DD59EC"/>
    <w:rsid w:val="00DD5ABA"/>
    <w:rsid w:val="00DD5B95"/>
    <w:rsid w:val="00DD5CA7"/>
    <w:rsid w:val="00DD5E07"/>
    <w:rsid w:val="00DD5F53"/>
    <w:rsid w:val="00DD5F72"/>
    <w:rsid w:val="00DD5FCF"/>
    <w:rsid w:val="00DD5FE5"/>
    <w:rsid w:val="00DD61B8"/>
    <w:rsid w:val="00DD6313"/>
    <w:rsid w:val="00DD6340"/>
    <w:rsid w:val="00DD672B"/>
    <w:rsid w:val="00DD683D"/>
    <w:rsid w:val="00DD689A"/>
    <w:rsid w:val="00DD6924"/>
    <w:rsid w:val="00DD6963"/>
    <w:rsid w:val="00DD6C1A"/>
    <w:rsid w:val="00DD6C89"/>
    <w:rsid w:val="00DD6CE6"/>
    <w:rsid w:val="00DD6DD7"/>
    <w:rsid w:val="00DD6E08"/>
    <w:rsid w:val="00DD6E59"/>
    <w:rsid w:val="00DD6F02"/>
    <w:rsid w:val="00DD700F"/>
    <w:rsid w:val="00DD70DB"/>
    <w:rsid w:val="00DD7152"/>
    <w:rsid w:val="00DD717C"/>
    <w:rsid w:val="00DD71D3"/>
    <w:rsid w:val="00DD7240"/>
    <w:rsid w:val="00DD7500"/>
    <w:rsid w:val="00DD7516"/>
    <w:rsid w:val="00DD75A8"/>
    <w:rsid w:val="00DD769B"/>
    <w:rsid w:val="00DD76C0"/>
    <w:rsid w:val="00DD78C4"/>
    <w:rsid w:val="00DD7973"/>
    <w:rsid w:val="00DD7984"/>
    <w:rsid w:val="00DD7AAA"/>
    <w:rsid w:val="00DD7AD7"/>
    <w:rsid w:val="00DD7AF1"/>
    <w:rsid w:val="00DD7B17"/>
    <w:rsid w:val="00DD7B67"/>
    <w:rsid w:val="00DD7C3C"/>
    <w:rsid w:val="00DD7F55"/>
    <w:rsid w:val="00DE0073"/>
    <w:rsid w:val="00DE00A0"/>
    <w:rsid w:val="00DE0223"/>
    <w:rsid w:val="00DE0265"/>
    <w:rsid w:val="00DE0286"/>
    <w:rsid w:val="00DE0293"/>
    <w:rsid w:val="00DE040E"/>
    <w:rsid w:val="00DE0446"/>
    <w:rsid w:val="00DE0515"/>
    <w:rsid w:val="00DE0639"/>
    <w:rsid w:val="00DE074A"/>
    <w:rsid w:val="00DE08FF"/>
    <w:rsid w:val="00DE09DA"/>
    <w:rsid w:val="00DE0A62"/>
    <w:rsid w:val="00DE0B39"/>
    <w:rsid w:val="00DE0C89"/>
    <w:rsid w:val="00DE0D0F"/>
    <w:rsid w:val="00DE0D9D"/>
    <w:rsid w:val="00DE0DF5"/>
    <w:rsid w:val="00DE0FA4"/>
    <w:rsid w:val="00DE10CF"/>
    <w:rsid w:val="00DE1146"/>
    <w:rsid w:val="00DE1422"/>
    <w:rsid w:val="00DE1444"/>
    <w:rsid w:val="00DE1510"/>
    <w:rsid w:val="00DE1635"/>
    <w:rsid w:val="00DE16B6"/>
    <w:rsid w:val="00DE16FC"/>
    <w:rsid w:val="00DE1733"/>
    <w:rsid w:val="00DE17DC"/>
    <w:rsid w:val="00DE19C6"/>
    <w:rsid w:val="00DE1A81"/>
    <w:rsid w:val="00DE1B0E"/>
    <w:rsid w:val="00DE1CBB"/>
    <w:rsid w:val="00DE2225"/>
    <w:rsid w:val="00DE2259"/>
    <w:rsid w:val="00DE2313"/>
    <w:rsid w:val="00DE2321"/>
    <w:rsid w:val="00DE237D"/>
    <w:rsid w:val="00DE2388"/>
    <w:rsid w:val="00DE2399"/>
    <w:rsid w:val="00DE23FD"/>
    <w:rsid w:val="00DE2789"/>
    <w:rsid w:val="00DE27E3"/>
    <w:rsid w:val="00DE2845"/>
    <w:rsid w:val="00DE287C"/>
    <w:rsid w:val="00DE2A5A"/>
    <w:rsid w:val="00DE2BFC"/>
    <w:rsid w:val="00DE2C71"/>
    <w:rsid w:val="00DE2E12"/>
    <w:rsid w:val="00DE2F2D"/>
    <w:rsid w:val="00DE311B"/>
    <w:rsid w:val="00DE31FC"/>
    <w:rsid w:val="00DE3247"/>
    <w:rsid w:val="00DE32DE"/>
    <w:rsid w:val="00DE3323"/>
    <w:rsid w:val="00DE3353"/>
    <w:rsid w:val="00DE337B"/>
    <w:rsid w:val="00DE338C"/>
    <w:rsid w:val="00DE3522"/>
    <w:rsid w:val="00DE355E"/>
    <w:rsid w:val="00DE358B"/>
    <w:rsid w:val="00DE3620"/>
    <w:rsid w:val="00DE368F"/>
    <w:rsid w:val="00DE36CA"/>
    <w:rsid w:val="00DE36E9"/>
    <w:rsid w:val="00DE370E"/>
    <w:rsid w:val="00DE3782"/>
    <w:rsid w:val="00DE3794"/>
    <w:rsid w:val="00DE37E5"/>
    <w:rsid w:val="00DE3987"/>
    <w:rsid w:val="00DE3A99"/>
    <w:rsid w:val="00DE3AA0"/>
    <w:rsid w:val="00DE3BFB"/>
    <w:rsid w:val="00DE3C7B"/>
    <w:rsid w:val="00DE3C8C"/>
    <w:rsid w:val="00DE3D8F"/>
    <w:rsid w:val="00DE3D95"/>
    <w:rsid w:val="00DE3DAF"/>
    <w:rsid w:val="00DE3DD9"/>
    <w:rsid w:val="00DE3E1F"/>
    <w:rsid w:val="00DE3E77"/>
    <w:rsid w:val="00DE3FFC"/>
    <w:rsid w:val="00DE4010"/>
    <w:rsid w:val="00DE4185"/>
    <w:rsid w:val="00DE41B6"/>
    <w:rsid w:val="00DE4305"/>
    <w:rsid w:val="00DE433A"/>
    <w:rsid w:val="00DE43FA"/>
    <w:rsid w:val="00DE4751"/>
    <w:rsid w:val="00DE475D"/>
    <w:rsid w:val="00DE4820"/>
    <w:rsid w:val="00DE4887"/>
    <w:rsid w:val="00DE4974"/>
    <w:rsid w:val="00DE4CAD"/>
    <w:rsid w:val="00DE4D40"/>
    <w:rsid w:val="00DE4DA9"/>
    <w:rsid w:val="00DE5116"/>
    <w:rsid w:val="00DE534C"/>
    <w:rsid w:val="00DE54A0"/>
    <w:rsid w:val="00DE564A"/>
    <w:rsid w:val="00DE5679"/>
    <w:rsid w:val="00DE56A9"/>
    <w:rsid w:val="00DE56DB"/>
    <w:rsid w:val="00DE597A"/>
    <w:rsid w:val="00DE59A4"/>
    <w:rsid w:val="00DE59E9"/>
    <w:rsid w:val="00DE5A6A"/>
    <w:rsid w:val="00DE5A73"/>
    <w:rsid w:val="00DE5B2E"/>
    <w:rsid w:val="00DE5BA1"/>
    <w:rsid w:val="00DE5BAC"/>
    <w:rsid w:val="00DE5D21"/>
    <w:rsid w:val="00DE5D2F"/>
    <w:rsid w:val="00DE5D9E"/>
    <w:rsid w:val="00DE5E01"/>
    <w:rsid w:val="00DE5E63"/>
    <w:rsid w:val="00DE5EC3"/>
    <w:rsid w:val="00DE5EF3"/>
    <w:rsid w:val="00DE6236"/>
    <w:rsid w:val="00DE6290"/>
    <w:rsid w:val="00DE654F"/>
    <w:rsid w:val="00DE6617"/>
    <w:rsid w:val="00DE6738"/>
    <w:rsid w:val="00DE69D3"/>
    <w:rsid w:val="00DE6A04"/>
    <w:rsid w:val="00DE6A75"/>
    <w:rsid w:val="00DE6A93"/>
    <w:rsid w:val="00DE6AA1"/>
    <w:rsid w:val="00DE6B94"/>
    <w:rsid w:val="00DE6D4E"/>
    <w:rsid w:val="00DE6E0F"/>
    <w:rsid w:val="00DE6E28"/>
    <w:rsid w:val="00DE6E56"/>
    <w:rsid w:val="00DE6E6F"/>
    <w:rsid w:val="00DE6EB3"/>
    <w:rsid w:val="00DE6EFB"/>
    <w:rsid w:val="00DE6F14"/>
    <w:rsid w:val="00DE703E"/>
    <w:rsid w:val="00DE709D"/>
    <w:rsid w:val="00DE70B6"/>
    <w:rsid w:val="00DE7107"/>
    <w:rsid w:val="00DE7108"/>
    <w:rsid w:val="00DE7299"/>
    <w:rsid w:val="00DE7303"/>
    <w:rsid w:val="00DE731D"/>
    <w:rsid w:val="00DE73D3"/>
    <w:rsid w:val="00DE73F0"/>
    <w:rsid w:val="00DE749B"/>
    <w:rsid w:val="00DE7558"/>
    <w:rsid w:val="00DE764B"/>
    <w:rsid w:val="00DE788E"/>
    <w:rsid w:val="00DE7957"/>
    <w:rsid w:val="00DE79C0"/>
    <w:rsid w:val="00DE79F8"/>
    <w:rsid w:val="00DE7B45"/>
    <w:rsid w:val="00DE7C74"/>
    <w:rsid w:val="00DE7C7A"/>
    <w:rsid w:val="00DE7E63"/>
    <w:rsid w:val="00DE7EBE"/>
    <w:rsid w:val="00DF014A"/>
    <w:rsid w:val="00DF0155"/>
    <w:rsid w:val="00DF0195"/>
    <w:rsid w:val="00DF020A"/>
    <w:rsid w:val="00DF023D"/>
    <w:rsid w:val="00DF0262"/>
    <w:rsid w:val="00DF049C"/>
    <w:rsid w:val="00DF0600"/>
    <w:rsid w:val="00DF0618"/>
    <w:rsid w:val="00DF074B"/>
    <w:rsid w:val="00DF07F9"/>
    <w:rsid w:val="00DF0878"/>
    <w:rsid w:val="00DF09DE"/>
    <w:rsid w:val="00DF0A0A"/>
    <w:rsid w:val="00DF0BC3"/>
    <w:rsid w:val="00DF0BEB"/>
    <w:rsid w:val="00DF0C0B"/>
    <w:rsid w:val="00DF0C5F"/>
    <w:rsid w:val="00DF0D99"/>
    <w:rsid w:val="00DF0F53"/>
    <w:rsid w:val="00DF1001"/>
    <w:rsid w:val="00DF10FD"/>
    <w:rsid w:val="00DF1254"/>
    <w:rsid w:val="00DF12D3"/>
    <w:rsid w:val="00DF1324"/>
    <w:rsid w:val="00DF13A6"/>
    <w:rsid w:val="00DF14B3"/>
    <w:rsid w:val="00DF14DD"/>
    <w:rsid w:val="00DF1D46"/>
    <w:rsid w:val="00DF1D94"/>
    <w:rsid w:val="00DF1E0A"/>
    <w:rsid w:val="00DF1EF1"/>
    <w:rsid w:val="00DF1F29"/>
    <w:rsid w:val="00DF203C"/>
    <w:rsid w:val="00DF2084"/>
    <w:rsid w:val="00DF21CB"/>
    <w:rsid w:val="00DF2492"/>
    <w:rsid w:val="00DF24B5"/>
    <w:rsid w:val="00DF257B"/>
    <w:rsid w:val="00DF26A3"/>
    <w:rsid w:val="00DF2718"/>
    <w:rsid w:val="00DF29B4"/>
    <w:rsid w:val="00DF2A06"/>
    <w:rsid w:val="00DF2A3D"/>
    <w:rsid w:val="00DF2BB8"/>
    <w:rsid w:val="00DF2C42"/>
    <w:rsid w:val="00DF2D95"/>
    <w:rsid w:val="00DF2E69"/>
    <w:rsid w:val="00DF2F38"/>
    <w:rsid w:val="00DF309C"/>
    <w:rsid w:val="00DF3171"/>
    <w:rsid w:val="00DF3180"/>
    <w:rsid w:val="00DF31A6"/>
    <w:rsid w:val="00DF31A7"/>
    <w:rsid w:val="00DF31FA"/>
    <w:rsid w:val="00DF328C"/>
    <w:rsid w:val="00DF32C6"/>
    <w:rsid w:val="00DF32FE"/>
    <w:rsid w:val="00DF34E3"/>
    <w:rsid w:val="00DF3592"/>
    <w:rsid w:val="00DF36F9"/>
    <w:rsid w:val="00DF3816"/>
    <w:rsid w:val="00DF384A"/>
    <w:rsid w:val="00DF3898"/>
    <w:rsid w:val="00DF38C3"/>
    <w:rsid w:val="00DF38EF"/>
    <w:rsid w:val="00DF39BA"/>
    <w:rsid w:val="00DF3CEC"/>
    <w:rsid w:val="00DF3D3F"/>
    <w:rsid w:val="00DF3D56"/>
    <w:rsid w:val="00DF40AA"/>
    <w:rsid w:val="00DF40F1"/>
    <w:rsid w:val="00DF414A"/>
    <w:rsid w:val="00DF41B3"/>
    <w:rsid w:val="00DF430A"/>
    <w:rsid w:val="00DF4536"/>
    <w:rsid w:val="00DF4551"/>
    <w:rsid w:val="00DF4574"/>
    <w:rsid w:val="00DF4825"/>
    <w:rsid w:val="00DF4867"/>
    <w:rsid w:val="00DF48A6"/>
    <w:rsid w:val="00DF48B0"/>
    <w:rsid w:val="00DF4935"/>
    <w:rsid w:val="00DF4AF8"/>
    <w:rsid w:val="00DF4BD4"/>
    <w:rsid w:val="00DF4C39"/>
    <w:rsid w:val="00DF4D29"/>
    <w:rsid w:val="00DF4E57"/>
    <w:rsid w:val="00DF4E9E"/>
    <w:rsid w:val="00DF5243"/>
    <w:rsid w:val="00DF56E2"/>
    <w:rsid w:val="00DF57EE"/>
    <w:rsid w:val="00DF58C1"/>
    <w:rsid w:val="00DF58CF"/>
    <w:rsid w:val="00DF58F0"/>
    <w:rsid w:val="00DF58FA"/>
    <w:rsid w:val="00DF596F"/>
    <w:rsid w:val="00DF5A55"/>
    <w:rsid w:val="00DF5AC5"/>
    <w:rsid w:val="00DF5C18"/>
    <w:rsid w:val="00DF5D1E"/>
    <w:rsid w:val="00DF5E86"/>
    <w:rsid w:val="00DF5F0B"/>
    <w:rsid w:val="00DF5F6F"/>
    <w:rsid w:val="00DF6119"/>
    <w:rsid w:val="00DF624B"/>
    <w:rsid w:val="00DF6274"/>
    <w:rsid w:val="00DF636F"/>
    <w:rsid w:val="00DF63D0"/>
    <w:rsid w:val="00DF6437"/>
    <w:rsid w:val="00DF6604"/>
    <w:rsid w:val="00DF66C9"/>
    <w:rsid w:val="00DF696D"/>
    <w:rsid w:val="00DF6987"/>
    <w:rsid w:val="00DF6992"/>
    <w:rsid w:val="00DF6BC6"/>
    <w:rsid w:val="00DF6BD9"/>
    <w:rsid w:val="00DF6C18"/>
    <w:rsid w:val="00DF6D32"/>
    <w:rsid w:val="00DF6EAA"/>
    <w:rsid w:val="00DF6F24"/>
    <w:rsid w:val="00DF73C5"/>
    <w:rsid w:val="00DF741F"/>
    <w:rsid w:val="00DF74DC"/>
    <w:rsid w:val="00DF7513"/>
    <w:rsid w:val="00DF758B"/>
    <w:rsid w:val="00DF7626"/>
    <w:rsid w:val="00DF76C5"/>
    <w:rsid w:val="00DF77A2"/>
    <w:rsid w:val="00DF783B"/>
    <w:rsid w:val="00DF784B"/>
    <w:rsid w:val="00DF78E4"/>
    <w:rsid w:val="00DF795C"/>
    <w:rsid w:val="00DF798E"/>
    <w:rsid w:val="00DF7A78"/>
    <w:rsid w:val="00DF7AE1"/>
    <w:rsid w:val="00DF7C29"/>
    <w:rsid w:val="00DF7F00"/>
    <w:rsid w:val="00DF7F73"/>
    <w:rsid w:val="00E00109"/>
    <w:rsid w:val="00E0014E"/>
    <w:rsid w:val="00E001C3"/>
    <w:rsid w:val="00E00275"/>
    <w:rsid w:val="00E002B0"/>
    <w:rsid w:val="00E002C8"/>
    <w:rsid w:val="00E00486"/>
    <w:rsid w:val="00E005C7"/>
    <w:rsid w:val="00E006BD"/>
    <w:rsid w:val="00E006CE"/>
    <w:rsid w:val="00E006E0"/>
    <w:rsid w:val="00E007DA"/>
    <w:rsid w:val="00E00957"/>
    <w:rsid w:val="00E00991"/>
    <w:rsid w:val="00E00AE3"/>
    <w:rsid w:val="00E00C1F"/>
    <w:rsid w:val="00E00C7B"/>
    <w:rsid w:val="00E00DBC"/>
    <w:rsid w:val="00E00E57"/>
    <w:rsid w:val="00E00EE5"/>
    <w:rsid w:val="00E00F50"/>
    <w:rsid w:val="00E01233"/>
    <w:rsid w:val="00E012E1"/>
    <w:rsid w:val="00E013C9"/>
    <w:rsid w:val="00E01517"/>
    <w:rsid w:val="00E0160A"/>
    <w:rsid w:val="00E01651"/>
    <w:rsid w:val="00E01684"/>
    <w:rsid w:val="00E016B5"/>
    <w:rsid w:val="00E0176E"/>
    <w:rsid w:val="00E017C7"/>
    <w:rsid w:val="00E01825"/>
    <w:rsid w:val="00E0188A"/>
    <w:rsid w:val="00E0188F"/>
    <w:rsid w:val="00E01B30"/>
    <w:rsid w:val="00E01B74"/>
    <w:rsid w:val="00E01B90"/>
    <w:rsid w:val="00E01C7F"/>
    <w:rsid w:val="00E01D2F"/>
    <w:rsid w:val="00E01D48"/>
    <w:rsid w:val="00E02055"/>
    <w:rsid w:val="00E020D2"/>
    <w:rsid w:val="00E0212E"/>
    <w:rsid w:val="00E02188"/>
    <w:rsid w:val="00E022F8"/>
    <w:rsid w:val="00E0232D"/>
    <w:rsid w:val="00E02378"/>
    <w:rsid w:val="00E0252F"/>
    <w:rsid w:val="00E026B8"/>
    <w:rsid w:val="00E026BC"/>
    <w:rsid w:val="00E028C0"/>
    <w:rsid w:val="00E02909"/>
    <w:rsid w:val="00E02987"/>
    <w:rsid w:val="00E029B2"/>
    <w:rsid w:val="00E02C57"/>
    <w:rsid w:val="00E02C66"/>
    <w:rsid w:val="00E02C82"/>
    <w:rsid w:val="00E02DFA"/>
    <w:rsid w:val="00E02EC7"/>
    <w:rsid w:val="00E03159"/>
    <w:rsid w:val="00E03204"/>
    <w:rsid w:val="00E0323C"/>
    <w:rsid w:val="00E033E8"/>
    <w:rsid w:val="00E034A5"/>
    <w:rsid w:val="00E0361C"/>
    <w:rsid w:val="00E0363E"/>
    <w:rsid w:val="00E0364C"/>
    <w:rsid w:val="00E03682"/>
    <w:rsid w:val="00E03890"/>
    <w:rsid w:val="00E038AB"/>
    <w:rsid w:val="00E039E6"/>
    <w:rsid w:val="00E03A56"/>
    <w:rsid w:val="00E03AD5"/>
    <w:rsid w:val="00E03C7B"/>
    <w:rsid w:val="00E03CA9"/>
    <w:rsid w:val="00E03D02"/>
    <w:rsid w:val="00E03D6E"/>
    <w:rsid w:val="00E03DD6"/>
    <w:rsid w:val="00E04103"/>
    <w:rsid w:val="00E04107"/>
    <w:rsid w:val="00E0411D"/>
    <w:rsid w:val="00E04192"/>
    <w:rsid w:val="00E041BA"/>
    <w:rsid w:val="00E04203"/>
    <w:rsid w:val="00E04239"/>
    <w:rsid w:val="00E0427C"/>
    <w:rsid w:val="00E0428F"/>
    <w:rsid w:val="00E04493"/>
    <w:rsid w:val="00E044B8"/>
    <w:rsid w:val="00E04698"/>
    <w:rsid w:val="00E0474F"/>
    <w:rsid w:val="00E04833"/>
    <w:rsid w:val="00E048A4"/>
    <w:rsid w:val="00E0493D"/>
    <w:rsid w:val="00E0495B"/>
    <w:rsid w:val="00E0496A"/>
    <w:rsid w:val="00E04A10"/>
    <w:rsid w:val="00E04C35"/>
    <w:rsid w:val="00E04E91"/>
    <w:rsid w:val="00E04EFB"/>
    <w:rsid w:val="00E04FCF"/>
    <w:rsid w:val="00E04FEB"/>
    <w:rsid w:val="00E05080"/>
    <w:rsid w:val="00E05194"/>
    <w:rsid w:val="00E05228"/>
    <w:rsid w:val="00E052F8"/>
    <w:rsid w:val="00E05397"/>
    <w:rsid w:val="00E05465"/>
    <w:rsid w:val="00E05475"/>
    <w:rsid w:val="00E054E8"/>
    <w:rsid w:val="00E05595"/>
    <w:rsid w:val="00E0561E"/>
    <w:rsid w:val="00E05624"/>
    <w:rsid w:val="00E056C5"/>
    <w:rsid w:val="00E056D7"/>
    <w:rsid w:val="00E0576F"/>
    <w:rsid w:val="00E057F0"/>
    <w:rsid w:val="00E058FC"/>
    <w:rsid w:val="00E05FDC"/>
    <w:rsid w:val="00E06125"/>
    <w:rsid w:val="00E06146"/>
    <w:rsid w:val="00E0615D"/>
    <w:rsid w:val="00E061AF"/>
    <w:rsid w:val="00E061E9"/>
    <w:rsid w:val="00E062AD"/>
    <w:rsid w:val="00E062E4"/>
    <w:rsid w:val="00E06421"/>
    <w:rsid w:val="00E0643B"/>
    <w:rsid w:val="00E06496"/>
    <w:rsid w:val="00E0658D"/>
    <w:rsid w:val="00E06781"/>
    <w:rsid w:val="00E06833"/>
    <w:rsid w:val="00E068AF"/>
    <w:rsid w:val="00E06938"/>
    <w:rsid w:val="00E06B9C"/>
    <w:rsid w:val="00E06BA0"/>
    <w:rsid w:val="00E06C84"/>
    <w:rsid w:val="00E06C85"/>
    <w:rsid w:val="00E06D57"/>
    <w:rsid w:val="00E06EF8"/>
    <w:rsid w:val="00E06FB4"/>
    <w:rsid w:val="00E07034"/>
    <w:rsid w:val="00E0711F"/>
    <w:rsid w:val="00E072EA"/>
    <w:rsid w:val="00E07312"/>
    <w:rsid w:val="00E07599"/>
    <w:rsid w:val="00E07772"/>
    <w:rsid w:val="00E07A19"/>
    <w:rsid w:val="00E07A1E"/>
    <w:rsid w:val="00E07B1D"/>
    <w:rsid w:val="00E07BA6"/>
    <w:rsid w:val="00E07E32"/>
    <w:rsid w:val="00E07EBA"/>
    <w:rsid w:val="00E07FB5"/>
    <w:rsid w:val="00E1001E"/>
    <w:rsid w:val="00E10035"/>
    <w:rsid w:val="00E1014B"/>
    <w:rsid w:val="00E1019F"/>
    <w:rsid w:val="00E102EB"/>
    <w:rsid w:val="00E1033E"/>
    <w:rsid w:val="00E10385"/>
    <w:rsid w:val="00E105B1"/>
    <w:rsid w:val="00E10711"/>
    <w:rsid w:val="00E107BF"/>
    <w:rsid w:val="00E10A73"/>
    <w:rsid w:val="00E10E19"/>
    <w:rsid w:val="00E10E41"/>
    <w:rsid w:val="00E10ED8"/>
    <w:rsid w:val="00E10F40"/>
    <w:rsid w:val="00E11020"/>
    <w:rsid w:val="00E110B0"/>
    <w:rsid w:val="00E11201"/>
    <w:rsid w:val="00E1138B"/>
    <w:rsid w:val="00E113AE"/>
    <w:rsid w:val="00E11533"/>
    <w:rsid w:val="00E11551"/>
    <w:rsid w:val="00E11556"/>
    <w:rsid w:val="00E1156D"/>
    <w:rsid w:val="00E1168F"/>
    <w:rsid w:val="00E117E9"/>
    <w:rsid w:val="00E11812"/>
    <w:rsid w:val="00E1187E"/>
    <w:rsid w:val="00E11977"/>
    <w:rsid w:val="00E11980"/>
    <w:rsid w:val="00E11A51"/>
    <w:rsid w:val="00E11A60"/>
    <w:rsid w:val="00E11BB6"/>
    <w:rsid w:val="00E11C0C"/>
    <w:rsid w:val="00E11C1F"/>
    <w:rsid w:val="00E11C52"/>
    <w:rsid w:val="00E11E02"/>
    <w:rsid w:val="00E12032"/>
    <w:rsid w:val="00E12060"/>
    <w:rsid w:val="00E120F5"/>
    <w:rsid w:val="00E1213B"/>
    <w:rsid w:val="00E122C3"/>
    <w:rsid w:val="00E12454"/>
    <w:rsid w:val="00E12462"/>
    <w:rsid w:val="00E124A8"/>
    <w:rsid w:val="00E1265C"/>
    <w:rsid w:val="00E126EB"/>
    <w:rsid w:val="00E12726"/>
    <w:rsid w:val="00E1274F"/>
    <w:rsid w:val="00E12761"/>
    <w:rsid w:val="00E127A1"/>
    <w:rsid w:val="00E12A72"/>
    <w:rsid w:val="00E12AAC"/>
    <w:rsid w:val="00E12AEE"/>
    <w:rsid w:val="00E12B72"/>
    <w:rsid w:val="00E12CA7"/>
    <w:rsid w:val="00E12F19"/>
    <w:rsid w:val="00E13038"/>
    <w:rsid w:val="00E13339"/>
    <w:rsid w:val="00E13397"/>
    <w:rsid w:val="00E13471"/>
    <w:rsid w:val="00E1352C"/>
    <w:rsid w:val="00E13648"/>
    <w:rsid w:val="00E13761"/>
    <w:rsid w:val="00E13784"/>
    <w:rsid w:val="00E13B06"/>
    <w:rsid w:val="00E13BC5"/>
    <w:rsid w:val="00E13D84"/>
    <w:rsid w:val="00E13DE2"/>
    <w:rsid w:val="00E13FAB"/>
    <w:rsid w:val="00E13FDB"/>
    <w:rsid w:val="00E1406B"/>
    <w:rsid w:val="00E1416D"/>
    <w:rsid w:val="00E141B7"/>
    <w:rsid w:val="00E14264"/>
    <w:rsid w:val="00E142A2"/>
    <w:rsid w:val="00E14303"/>
    <w:rsid w:val="00E1434A"/>
    <w:rsid w:val="00E14570"/>
    <w:rsid w:val="00E145BD"/>
    <w:rsid w:val="00E1475A"/>
    <w:rsid w:val="00E14803"/>
    <w:rsid w:val="00E14843"/>
    <w:rsid w:val="00E14892"/>
    <w:rsid w:val="00E14A5B"/>
    <w:rsid w:val="00E14A91"/>
    <w:rsid w:val="00E14AB0"/>
    <w:rsid w:val="00E14ADE"/>
    <w:rsid w:val="00E14B43"/>
    <w:rsid w:val="00E14B92"/>
    <w:rsid w:val="00E14D50"/>
    <w:rsid w:val="00E14D74"/>
    <w:rsid w:val="00E15035"/>
    <w:rsid w:val="00E150A4"/>
    <w:rsid w:val="00E1524D"/>
    <w:rsid w:val="00E152A0"/>
    <w:rsid w:val="00E152B4"/>
    <w:rsid w:val="00E1541F"/>
    <w:rsid w:val="00E15872"/>
    <w:rsid w:val="00E158CC"/>
    <w:rsid w:val="00E15920"/>
    <w:rsid w:val="00E159E9"/>
    <w:rsid w:val="00E15AB9"/>
    <w:rsid w:val="00E15B07"/>
    <w:rsid w:val="00E15DAD"/>
    <w:rsid w:val="00E160B9"/>
    <w:rsid w:val="00E161F2"/>
    <w:rsid w:val="00E162CA"/>
    <w:rsid w:val="00E16370"/>
    <w:rsid w:val="00E16424"/>
    <w:rsid w:val="00E164D6"/>
    <w:rsid w:val="00E165A6"/>
    <w:rsid w:val="00E165DE"/>
    <w:rsid w:val="00E168B7"/>
    <w:rsid w:val="00E16A69"/>
    <w:rsid w:val="00E16A7B"/>
    <w:rsid w:val="00E16B65"/>
    <w:rsid w:val="00E16BE5"/>
    <w:rsid w:val="00E16BF4"/>
    <w:rsid w:val="00E16CB3"/>
    <w:rsid w:val="00E16CC7"/>
    <w:rsid w:val="00E16D0D"/>
    <w:rsid w:val="00E16E2B"/>
    <w:rsid w:val="00E16E5F"/>
    <w:rsid w:val="00E16F76"/>
    <w:rsid w:val="00E17008"/>
    <w:rsid w:val="00E17160"/>
    <w:rsid w:val="00E171C9"/>
    <w:rsid w:val="00E17411"/>
    <w:rsid w:val="00E17422"/>
    <w:rsid w:val="00E176C9"/>
    <w:rsid w:val="00E176F6"/>
    <w:rsid w:val="00E17B9E"/>
    <w:rsid w:val="00E17C03"/>
    <w:rsid w:val="00E17C3E"/>
    <w:rsid w:val="00E17C83"/>
    <w:rsid w:val="00E17D73"/>
    <w:rsid w:val="00E17E1A"/>
    <w:rsid w:val="00E17E5B"/>
    <w:rsid w:val="00E17ECB"/>
    <w:rsid w:val="00E17EDC"/>
    <w:rsid w:val="00E1A887"/>
    <w:rsid w:val="00E20038"/>
    <w:rsid w:val="00E2005E"/>
    <w:rsid w:val="00E2010C"/>
    <w:rsid w:val="00E20110"/>
    <w:rsid w:val="00E2029C"/>
    <w:rsid w:val="00E203C6"/>
    <w:rsid w:val="00E2042A"/>
    <w:rsid w:val="00E204DD"/>
    <w:rsid w:val="00E205EF"/>
    <w:rsid w:val="00E20658"/>
    <w:rsid w:val="00E206BC"/>
    <w:rsid w:val="00E206CB"/>
    <w:rsid w:val="00E20786"/>
    <w:rsid w:val="00E20859"/>
    <w:rsid w:val="00E20956"/>
    <w:rsid w:val="00E20B85"/>
    <w:rsid w:val="00E20B9A"/>
    <w:rsid w:val="00E20C71"/>
    <w:rsid w:val="00E20CDF"/>
    <w:rsid w:val="00E20CE7"/>
    <w:rsid w:val="00E20D7B"/>
    <w:rsid w:val="00E20E90"/>
    <w:rsid w:val="00E20FE5"/>
    <w:rsid w:val="00E210CF"/>
    <w:rsid w:val="00E215B0"/>
    <w:rsid w:val="00E215BC"/>
    <w:rsid w:val="00E21785"/>
    <w:rsid w:val="00E21861"/>
    <w:rsid w:val="00E21882"/>
    <w:rsid w:val="00E21A42"/>
    <w:rsid w:val="00E21DE0"/>
    <w:rsid w:val="00E21E09"/>
    <w:rsid w:val="00E21E82"/>
    <w:rsid w:val="00E21EB4"/>
    <w:rsid w:val="00E21EEE"/>
    <w:rsid w:val="00E21EF7"/>
    <w:rsid w:val="00E21FA1"/>
    <w:rsid w:val="00E22035"/>
    <w:rsid w:val="00E2208C"/>
    <w:rsid w:val="00E2214D"/>
    <w:rsid w:val="00E2215E"/>
    <w:rsid w:val="00E22205"/>
    <w:rsid w:val="00E2222D"/>
    <w:rsid w:val="00E224AA"/>
    <w:rsid w:val="00E22579"/>
    <w:rsid w:val="00E227A6"/>
    <w:rsid w:val="00E22841"/>
    <w:rsid w:val="00E2286F"/>
    <w:rsid w:val="00E2295E"/>
    <w:rsid w:val="00E22AF1"/>
    <w:rsid w:val="00E22BB8"/>
    <w:rsid w:val="00E22CB6"/>
    <w:rsid w:val="00E22D62"/>
    <w:rsid w:val="00E22D78"/>
    <w:rsid w:val="00E230AE"/>
    <w:rsid w:val="00E230C8"/>
    <w:rsid w:val="00E23152"/>
    <w:rsid w:val="00E23175"/>
    <w:rsid w:val="00E23218"/>
    <w:rsid w:val="00E2323C"/>
    <w:rsid w:val="00E2351B"/>
    <w:rsid w:val="00E235DD"/>
    <w:rsid w:val="00E235E6"/>
    <w:rsid w:val="00E23606"/>
    <w:rsid w:val="00E23765"/>
    <w:rsid w:val="00E2389C"/>
    <w:rsid w:val="00E238E1"/>
    <w:rsid w:val="00E2396F"/>
    <w:rsid w:val="00E23983"/>
    <w:rsid w:val="00E239AE"/>
    <w:rsid w:val="00E23B2B"/>
    <w:rsid w:val="00E23C8E"/>
    <w:rsid w:val="00E23FCC"/>
    <w:rsid w:val="00E2402C"/>
    <w:rsid w:val="00E2406C"/>
    <w:rsid w:val="00E24164"/>
    <w:rsid w:val="00E241AE"/>
    <w:rsid w:val="00E241B3"/>
    <w:rsid w:val="00E24309"/>
    <w:rsid w:val="00E24317"/>
    <w:rsid w:val="00E243F5"/>
    <w:rsid w:val="00E2448A"/>
    <w:rsid w:val="00E244AF"/>
    <w:rsid w:val="00E244E6"/>
    <w:rsid w:val="00E24589"/>
    <w:rsid w:val="00E245C9"/>
    <w:rsid w:val="00E246DD"/>
    <w:rsid w:val="00E24792"/>
    <w:rsid w:val="00E24852"/>
    <w:rsid w:val="00E248B0"/>
    <w:rsid w:val="00E248E6"/>
    <w:rsid w:val="00E24924"/>
    <w:rsid w:val="00E24A92"/>
    <w:rsid w:val="00E24B34"/>
    <w:rsid w:val="00E24BC1"/>
    <w:rsid w:val="00E24BF0"/>
    <w:rsid w:val="00E24D8D"/>
    <w:rsid w:val="00E24DC5"/>
    <w:rsid w:val="00E24DEF"/>
    <w:rsid w:val="00E24E3E"/>
    <w:rsid w:val="00E24EBA"/>
    <w:rsid w:val="00E25044"/>
    <w:rsid w:val="00E250CF"/>
    <w:rsid w:val="00E25130"/>
    <w:rsid w:val="00E25150"/>
    <w:rsid w:val="00E2516D"/>
    <w:rsid w:val="00E2532A"/>
    <w:rsid w:val="00E253A7"/>
    <w:rsid w:val="00E25794"/>
    <w:rsid w:val="00E25898"/>
    <w:rsid w:val="00E258EC"/>
    <w:rsid w:val="00E25AC6"/>
    <w:rsid w:val="00E25C3B"/>
    <w:rsid w:val="00E25E18"/>
    <w:rsid w:val="00E25EAC"/>
    <w:rsid w:val="00E25F3A"/>
    <w:rsid w:val="00E25FB0"/>
    <w:rsid w:val="00E25FE7"/>
    <w:rsid w:val="00E2603D"/>
    <w:rsid w:val="00E2617B"/>
    <w:rsid w:val="00E261DE"/>
    <w:rsid w:val="00E26236"/>
    <w:rsid w:val="00E266B8"/>
    <w:rsid w:val="00E26760"/>
    <w:rsid w:val="00E26976"/>
    <w:rsid w:val="00E26AAE"/>
    <w:rsid w:val="00E26B9A"/>
    <w:rsid w:val="00E26BE7"/>
    <w:rsid w:val="00E26C0E"/>
    <w:rsid w:val="00E26D63"/>
    <w:rsid w:val="00E26E44"/>
    <w:rsid w:val="00E26FC3"/>
    <w:rsid w:val="00E2704C"/>
    <w:rsid w:val="00E272F0"/>
    <w:rsid w:val="00E27346"/>
    <w:rsid w:val="00E27406"/>
    <w:rsid w:val="00E2742E"/>
    <w:rsid w:val="00E27535"/>
    <w:rsid w:val="00E27586"/>
    <w:rsid w:val="00E275F8"/>
    <w:rsid w:val="00E275F9"/>
    <w:rsid w:val="00E278C6"/>
    <w:rsid w:val="00E27957"/>
    <w:rsid w:val="00E27959"/>
    <w:rsid w:val="00E27A3B"/>
    <w:rsid w:val="00E27B61"/>
    <w:rsid w:val="00E27D12"/>
    <w:rsid w:val="00E27E0C"/>
    <w:rsid w:val="00E30010"/>
    <w:rsid w:val="00E30031"/>
    <w:rsid w:val="00E3009D"/>
    <w:rsid w:val="00E30115"/>
    <w:rsid w:val="00E3019D"/>
    <w:rsid w:val="00E3024A"/>
    <w:rsid w:val="00E30253"/>
    <w:rsid w:val="00E3025D"/>
    <w:rsid w:val="00E302A4"/>
    <w:rsid w:val="00E3031C"/>
    <w:rsid w:val="00E3036B"/>
    <w:rsid w:val="00E304C3"/>
    <w:rsid w:val="00E304D6"/>
    <w:rsid w:val="00E3061E"/>
    <w:rsid w:val="00E307EC"/>
    <w:rsid w:val="00E309DF"/>
    <w:rsid w:val="00E30BBF"/>
    <w:rsid w:val="00E30C4F"/>
    <w:rsid w:val="00E30D32"/>
    <w:rsid w:val="00E30FCF"/>
    <w:rsid w:val="00E31068"/>
    <w:rsid w:val="00E311E6"/>
    <w:rsid w:val="00E311EA"/>
    <w:rsid w:val="00E31349"/>
    <w:rsid w:val="00E3161A"/>
    <w:rsid w:val="00E3164C"/>
    <w:rsid w:val="00E317F2"/>
    <w:rsid w:val="00E318D0"/>
    <w:rsid w:val="00E31982"/>
    <w:rsid w:val="00E319C7"/>
    <w:rsid w:val="00E31C1C"/>
    <w:rsid w:val="00E31C49"/>
    <w:rsid w:val="00E31EFD"/>
    <w:rsid w:val="00E31F47"/>
    <w:rsid w:val="00E31F92"/>
    <w:rsid w:val="00E31FFE"/>
    <w:rsid w:val="00E32022"/>
    <w:rsid w:val="00E32150"/>
    <w:rsid w:val="00E321F7"/>
    <w:rsid w:val="00E322F4"/>
    <w:rsid w:val="00E323EC"/>
    <w:rsid w:val="00E32433"/>
    <w:rsid w:val="00E324DC"/>
    <w:rsid w:val="00E325B3"/>
    <w:rsid w:val="00E3265E"/>
    <w:rsid w:val="00E326EA"/>
    <w:rsid w:val="00E32838"/>
    <w:rsid w:val="00E32AB0"/>
    <w:rsid w:val="00E32AFE"/>
    <w:rsid w:val="00E32BDD"/>
    <w:rsid w:val="00E32C44"/>
    <w:rsid w:val="00E32C8F"/>
    <w:rsid w:val="00E32D64"/>
    <w:rsid w:val="00E32ED2"/>
    <w:rsid w:val="00E32FF3"/>
    <w:rsid w:val="00E33041"/>
    <w:rsid w:val="00E331C8"/>
    <w:rsid w:val="00E33366"/>
    <w:rsid w:val="00E3343A"/>
    <w:rsid w:val="00E33471"/>
    <w:rsid w:val="00E33682"/>
    <w:rsid w:val="00E336AC"/>
    <w:rsid w:val="00E33934"/>
    <w:rsid w:val="00E3394D"/>
    <w:rsid w:val="00E3395E"/>
    <w:rsid w:val="00E33971"/>
    <w:rsid w:val="00E33A46"/>
    <w:rsid w:val="00E33AD9"/>
    <w:rsid w:val="00E33BE7"/>
    <w:rsid w:val="00E33C72"/>
    <w:rsid w:val="00E33CD7"/>
    <w:rsid w:val="00E33D27"/>
    <w:rsid w:val="00E33D44"/>
    <w:rsid w:val="00E33E53"/>
    <w:rsid w:val="00E33EF9"/>
    <w:rsid w:val="00E33F73"/>
    <w:rsid w:val="00E34001"/>
    <w:rsid w:val="00E34108"/>
    <w:rsid w:val="00E342A9"/>
    <w:rsid w:val="00E3437B"/>
    <w:rsid w:val="00E34485"/>
    <w:rsid w:val="00E344E3"/>
    <w:rsid w:val="00E3457B"/>
    <w:rsid w:val="00E345F4"/>
    <w:rsid w:val="00E348FE"/>
    <w:rsid w:val="00E349F7"/>
    <w:rsid w:val="00E34A7C"/>
    <w:rsid w:val="00E34AA9"/>
    <w:rsid w:val="00E34B55"/>
    <w:rsid w:val="00E34BB1"/>
    <w:rsid w:val="00E35030"/>
    <w:rsid w:val="00E3507B"/>
    <w:rsid w:val="00E35087"/>
    <w:rsid w:val="00E350D6"/>
    <w:rsid w:val="00E350F7"/>
    <w:rsid w:val="00E3517B"/>
    <w:rsid w:val="00E352F4"/>
    <w:rsid w:val="00E35349"/>
    <w:rsid w:val="00E3541C"/>
    <w:rsid w:val="00E3542E"/>
    <w:rsid w:val="00E3552C"/>
    <w:rsid w:val="00E35579"/>
    <w:rsid w:val="00E3557C"/>
    <w:rsid w:val="00E355F3"/>
    <w:rsid w:val="00E35626"/>
    <w:rsid w:val="00E3566E"/>
    <w:rsid w:val="00E356BC"/>
    <w:rsid w:val="00E35800"/>
    <w:rsid w:val="00E3584D"/>
    <w:rsid w:val="00E35901"/>
    <w:rsid w:val="00E359CC"/>
    <w:rsid w:val="00E35AD5"/>
    <w:rsid w:val="00E35B12"/>
    <w:rsid w:val="00E35BA1"/>
    <w:rsid w:val="00E35C57"/>
    <w:rsid w:val="00E35CC2"/>
    <w:rsid w:val="00E35D6A"/>
    <w:rsid w:val="00E35E25"/>
    <w:rsid w:val="00E35E56"/>
    <w:rsid w:val="00E35FD4"/>
    <w:rsid w:val="00E3602D"/>
    <w:rsid w:val="00E3608E"/>
    <w:rsid w:val="00E3617A"/>
    <w:rsid w:val="00E36266"/>
    <w:rsid w:val="00E362AB"/>
    <w:rsid w:val="00E3634D"/>
    <w:rsid w:val="00E3647B"/>
    <w:rsid w:val="00E364C5"/>
    <w:rsid w:val="00E366E6"/>
    <w:rsid w:val="00E3671F"/>
    <w:rsid w:val="00E367A1"/>
    <w:rsid w:val="00E367C5"/>
    <w:rsid w:val="00E368B4"/>
    <w:rsid w:val="00E36AD5"/>
    <w:rsid w:val="00E36BC2"/>
    <w:rsid w:val="00E36C21"/>
    <w:rsid w:val="00E36FEB"/>
    <w:rsid w:val="00E37288"/>
    <w:rsid w:val="00E373AD"/>
    <w:rsid w:val="00E3745D"/>
    <w:rsid w:val="00E374B9"/>
    <w:rsid w:val="00E37658"/>
    <w:rsid w:val="00E376D3"/>
    <w:rsid w:val="00E3776C"/>
    <w:rsid w:val="00E3798E"/>
    <w:rsid w:val="00E37A18"/>
    <w:rsid w:val="00E37AA8"/>
    <w:rsid w:val="00E37CE2"/>
    <w:rsid w:val="00E37D8A"/>
    <w:rsid w:val="00E37E22"/>
    <w:rsid w:val="00E37E71"/>
    <w:rsid w:val="00E37F0A"/>
    <w:rsid w:val="00E37F19"/>
    <w:rsid w:val="00E37F63"/>
    <w:rsid w:val="00E3C659"/>
    <w:rsid w:val="00E40115"/>
    <w:rsid w:val="00E4012D"/>
    <w:rsid w:val="00E40161"/>
    <w:rsid w:val="00E4034F"/>
    <w:rsid w:val="00E4038B"/>
    <w:rsid w:val="00E4052C"/>
    <w:rsid w:val="00E405E3"/>
    <w:rsid w:val="00E40619"/>
    <w:rsid w:val="00E4065E"/>
    <w:rsid w:val="00E406C3"/>
    <w:rsid w:val="00E407B1"/>
    <w:rsid w:val="00E407F1"/>
    <w:rsid w:val="00E40878"/>
    <w:rsid w:val="00E40927"/>
    <w:rsid w:val="00E4099C"/>
    <w:rsid w:val="00E40C26"/>
    <w:rsid w:val="00E41380"/>
    <w:rsid w:val="00E413C9"/>
    <w:rsid w:val="00E4143E"/>
    <w:rsid w:val="00E4145C"/>
    <w:rsid w:val="00E415C9"/>
    <w:rsid w:val="00E4164F"/>
    <w:rsid w:val="00E41650"/>
    <w:rsid w:val="00E4178E"/>
    <w:rsid w:val="00E417D5"/>
    <w:rsid w:val="00E417E6"/>
    <w:rsid w:val="00E419CE"/>
    <w:rsid w:val="00E41B3B"/>
    <w:rsid w:val="00E41BA8"/>
    <w:rsid w:val="00E41C4F"/>
    <w:rsid w:val="00E41CE5"/>
    <w:rsid w:val="00E41CFC"/>
    <w:rsid w:val="00E41DB8"/>
    <w:rsid w:val="00E41E0D"/>
    <w:rsid w:val="00E41E42"/>
    <w:rsid w:val="00E41EDC"/>
    <w:rsid w:val="00E41F1D"/>
    <w:rsid w:val="00E42085"/>
    <w:rsid w:val="00E420DB"/>
    <w:rsid w:val="00E421EC"/>
    <w:rsid w:val="00E4221F"/>
    <w:rsid w:val="00E4229B"/>
    <w:rsid w:val="00E422B9"/>
    <w:rsid w:val="00E4243B"/>
    <w:rsid w:val="00E42486"/>
    <w:rsid w:val="00E424A6"/>
    <w:rsid w:val="00E424BF"/>
    <w:rsid w:val="00E424DB"/>
    <w:rsid w:val="00E425BD"/>
    <w:rsid w:val="00E42601"/>
    <w:rsid w:val="00E4261A"/>
    <w:rsid w:val="00E426BB"/>
    <w:rsid w:val="00E42747"/>
    <w:rsid w:val="00E42783"/>
    <w:rsid w:val="00E42789"/>
    <w:rsid w:val="00E42792"/>
    <w:rsid w:val="00E42847"/>
    <w:rsid w:val="00E428C2"/>
    <w:rsid w:val="00E428E5"/>
    <w:rsid w:val="00E428F3"/>
    <w:rsid w:val="00E42A9B"/>
    <w:rsid w:val="00E42AA1"/>
    <w:rsid w:val="00E42AD7"/>
    <w:rsid w:val="00E42B5F"/>
    <w:rsid w:val="00E42C2B"/>
    <w:rsid w:val="00E42EDC"/>
    <w:rsid w:val="00E43193"/>
    <w:rsid w:val="00E431A6"/>
    <w:rsid w:val="00E43263"/>
    <w:rsid w:val="00E433D5"/>
    <w:rsid w:val="00E43434"/>
    <w:rsid w:val="00E434EF"/>
    <w:rsid w:val="00E43543"/>
    <w:rsid w:val="00E435CD"/>
    <w:rsid w:val="00E43669"/>
    <w:rsid w:val="00E436D1"/>
    <w:rsid w:val="00E43749"/>
    <w:rsid w:val="00E438D5"/>
    <w:rsid w:val="00E4394D"/>
    <w:rsid w:val="00E43A09"/>
    <w:rsid w:val="00E43BF9"/>
    <w:rsid w:val="00E43E32"/>
    <w:rsid w:val="00E43F03"/>
    <w:rsid w:val="00E43F0B"/>
    <w:rsid w:val="00E4402E"/>
    <w:rsid w:val="00E44053"/>
    <w:rsid w:val="00E44076"/>
    <w:rsid w:val="00E441D5"/>
    <w:rsid w:val="00E4481D"/>
    <w:rsid w:val="00E449F3"/>
    <w:rsid w:val="00E44A19"/>
    <w:rsid w:val="00E44A8C"/>
    <w:rsid w:val="00E44B72"/>
    <w:rsid w:val="00E44B9C"/>
    <w:rsid w:val="00E44CDD"/>
    <w:rsid w:val="00E44CF2"/>
    <w:rsid w:val="00E44D04"/>
    <w:rsid w:val="00E44D23"/>
    <w:rsid w:val="00E44E86"/>
    <w:rsid w:val="00E45197"/>
    <w:rsid w:val="00E452D1"/>
    <w:rsid w:val="00E45329"/>
    <w:rsid w:val="00E45474"/>
    <w:rsid w:val="00E454D0"/>
    <w:rsid w:val="00E4553C"/>
    <w:rsid w:val="00E45698"/>
    <w:rsid w:val="00E4571B"/>
    <w:rsid w:val="00E4575E"/>
    <w:rsid w:val="00E457AD"/>
    <w:rsid w:val="00E45895"/>
    <w:rsid w:val="00E45899"/>
    <w:rsid w:val="00E45942"/>
    <w:rsid w:val="00E45993"/>
    <w:rsid w:val="00E45A8F"/>
    <w:rsid w:val="00E45BF9"/>
    <w:rsid w:val="00E45CFD"/>
    <w:rsid w:val="00E45DFF"/>
    <w:rsid w:val="00E45E07"/>
    <w:rsid w:val="00E45F19"/>
    <w:rsid w:val="00E45F29"/>
    <w:rsid w:val="00E45F65"/>
    <w:rsid w:val="00E45F8C"/>
    <w:rsid w:val="00E45FAC"/>
    <w:rsid w:val="00E45FBB"/>
    <w:rsid w:val="00E46064"/>
    <w:rsid w:val="00E461C5"/>
    <w:rsid w:val="00E46352"/>
    <w:rsid w:val="00E463DD"/>
    <w:rsid w:val="00E4641C"/>
    <w:rsid w:val="00E4652F"/>
    <w:rsid w:val="00E4663F"/>
    <w:rsid w:val="00E467FC"/>
    <w:rsid w:val="00E4680B"/>
    <w:rsid w:val="00E468D7"/>
    <w:rsid w:val="00E46912"/>
    <w:rsid w:val="00E4695C"/>
    <w:rsid w:val="00E4696B"/>
    <w:rsid w:val="00E46970"/>
    <w:rsid w:val="00E469C9"/>
    <w:rsid w:val="00E46ACE"/>
    <w:rsid w:val="00E46B1F"/>
    <w:rsid w:val="00E46C77"/>
    <w:rsid w:val="00E46D66"/>
    <w:rsid w:val="00E46E35"/>
    <w:rsid w:val="00E46EF6"/>
    <w:rsid w:val="00E46F34"/>
    <w:rsid w:val="00E46F4F"/>
    <w:rsid w:val="00E4702F"/>
    <w:rsid w:val="00E470B9"/>
    <w:rsid w:val="00E470FF"/>
    <w:rsid w:val="00E4716D"/>
    <w:rsid w:val="00E4719C"/>
    <w:rsid w:val="00E47294"/>
    <w:rsid w:val="00E472EC"/>
    <w:rsid w:val="00E47366"/>
    <w:rsid w:val="00E4739C"/>
    <w:rsid w:val="00E473F7"/>
    <w:rsid w:val="00E47440"/>
    <w:rsid w:val="00E4759F"/>
    <w:rsid w:val="00E47701"/>
    <w:rsid w:val="00E47749"/>
    <w:rsid w:val="00E478FE"/>
    <w:rsid w:val="00E47929"/>
    <w:rsid w:val="00E47B86"/>
    <w:rsid w:val="00E47C42"/>
    <w:rsid w:val="00E47CAF"/>
    <w:rsid w:val="00E47CB0"/>
    <w:rsid w:val="00E47D5D"/>
    <w:rsid w:val="00E47DB6"/>
    <w:rsid w:val="00E47DE8"/>
    <w:rsid w:val="00E47F04"/>
    <w:rsid w:val="00E47FAF"/>
    <w:rsid w:val="00E500FD"/>
    <w:rsid w:val="00E50103"/>
    <w:rsid w:val="00E50322"/>
    <w:rsid w:val="00E5032D"/>
    <w:rsid w:val="00E5035A"/>
    <w:rsid w:val="00E503D2"/>
    <w:rsid w:val="00E50414"/>
    <w:rsid w:val="00E50455"/>
    <w:rsid w:val="00E504E4"/>
    <w:rsid w:val="00E506E6"/>
    <w:rsid w:val="00E506F9"/>
    <w:rsid w:val="00E50882"/>
    <w:rsid w:val="00E508AE"/>
    <w:rsid w:val="00E50906"/>
    <w:rsid w:val="00E5091C"/>
    <w:rsid w:val="00E5091F"/>
    <w:rsid w:val="00E509BD"/>
    <w:rsid w:val="00E50A60"/>
    <w:rsid w:val="00E50AC8"/>
    <w:rsid w:val="00E50B5E"/>
    <w:rsid w:val="00E50B67"/>
    <w:rsid w:val="00E50D4D"/>
    <w:rsid w:val="00E50D79"/>
    <w:rsid w:val="00E50E19"/>
    <w:rsid w:val="00E51000"/>
    <w:rsid w:val="00E510EA"/>
    <w:rsid w:val="00E5117A"/>
    <w:rsid w:val="00E5127C"/>
    <w:rsid w:val="00E5129D"/>
    <w:rsid w:val="00E51450"/>
    <w:rsid w:val="00E514B7"/>
    <w:rsid w:val="00E514F8"/>
    <w:rsid w:val="00E51554"/>
    <w:rsid w:val="00E516E4"/>
    <w:rsid w:val="00E51735"/>
    <w:rsid w:val="00E51846"/>
    <w:rsid w:val="00E51886"/>
    <w:rsid w:val="00E518B2"/>
    <w:rsid w:val="00E518D2"/>
    <w:rsid w:val="00E51929"/>
    <w:rsid w:val="00E51AA8"/>
    <w:rsid w:val="00E51B95"/>
    <w:rsid w:val="00E51BC8"/>
    <w:rsid w:val="00E51D62"/>
    <w:rsid w:val="00E51D9F"/>
    <w:rsid w:val="00E51DED"/>
    <w:rsid w:val="00E51EE3"/>
    <w:rsid w:val="00E51EED"/>
    <w:rsid w:val="00E51F7E"/>
    <w:rsid w:val="00E52057"/>
    <w:rsid w:val="00E52122"/>
    <w:rsid w:val="00E52126"/>
    <w:rsid w:val="00E52199"/>
    <w:rsid w:val="00E521FA"/>
    <w:rsid w:val="00E5238C"/>
    <w:rsid w:val="00E52495"/>
    <w:rsid w:val="00E52605"/>
    <w:rsid w:val="00E527CD"/>
    <w:rsid w:val="00E52808"/>
    <w:rsid w:val="00E5281E"/>
    <w:rsid w:val="00E52A4D"/>
    <w:rsid w:val="00E52BF0"/>
    <w:rsid w:val="00E52D7B"/>
    <w:rsid w:val="00E52DA6"/>
    <w:rsid w:val="00E52DAC"/>
    <w:rsid w:val="00E52DC7"/>
    <w:rsid w:val="00E52E40"/>
    <w:rsid w:val="00E52EB6"/>
    <w:rsid w:val="00E52ED8"/>
    <w:rsid w:val="00E52F16"/>
    <w:rsid w:val="00E52F61"/>
    <w:rsid w:val="00E52F92"/>
    <w:rsid w:val="00E52FC6"/>
    <w:rsid w:val="00E53176"/>
    <w:rsid w:val="00E533AF"/>
    <w:rsid w:val="00E53437"/>
    <w:rsid w:val="00E53549"/>
    <w:rsid w:val="00E5363F"/>
    <w:rsid w:val="00E5388B"/>
    <w:rsid w:val="00E53897"/>
    <w:rsid w:val="00E53A03"/>
    <w:rsid w:val="00E53B58"/>
    <w:rsid w:val="00E53B87"/>
    <w:rsid w:val="00E53BEA"/>
    <w:rsid w:val="00E53C77"/>
    <w:rsid w:val="00E53DCB"/>
    <w:rsid w:val="00E53E0E"/>
    <w:rsid w:val="00E53F2C"/>
    <w:rsid w:val="00E542C1"/>
    <w:rsid w:val="00E54409"/>
    <w:rsid w:val="00E544BF"/>
    <w:rsid w:val="00E545A1"/>
    <w:rsid w:val="00E546AE"/>
    <w:rsid w:val="00E5479B"/>
    <w:rsid w:val="00E547CF"/>
    <w:rsid w:val="00E54818"/>
    <w:rsid w:val="00E548E2"/>
    <w:rsid w:val="00E54915"/>
    <w:rsid w:val="00E549EC"/>
    <w:rsid w:val="00E549F6"/>
    <w:rsid w:val="00E54A73"/>
    <w:rsid w:val="00E54B0F"/>
    <w:rsid w:val="00E54C23"/>
    <w:rsid w:val="00E54C37"/>
    <w:rsid w:val="00E54D6A"/>
    <w:rsid w:val="00E54DBE"/>
    <w:rsid w:val="00E54DEC"/>
    <w:rsid w:val="00E54E7E"/>
    <w:rsid w:val="00E5507B"/>
    <w:rsid w:val="00E5508B"/>
    <w:rsid w:val="00E5510F"/>
    <w:rsid w:val="00E55205"/>
    <w:rsid w:val="00E552CC"/>
    <w:rsid w:val="00E553C3"/>
    <w:rsid w:val="00E5543D"/>
    <w:rsid w:val="00E555B0"/>
    <w:rsid w:val="00E555DF"/>
    <w:rsid w:val="00E5560B"/>
    <w:rsid w:val="00E5564E"/>
    <w:rsid w:val="00E556C5"/>
    <w:rsid w:val="00E556FD"/>
    <w:rsid w:val="00E557D7"/>
    <w:rsid w:val="00E5581F"/>
    <w:rsid w:val="00E5593F"/>
    <w:rsid w:val="00E55954"/>
    <w:rsid w:val="00E5598F"/>
    <w:rsid w:val="00E559EF"/>
    <w:rsid w:val="00E55A26"/>
    <w:rsid w:val="00E55A6E"/>
    <w:rsid w:val="00E55B2D"/>
    <w:rsid w:val="00E55B63"/>
    <w:rsid w:val="00E55B9C"/>
    <w:rsid w:val="00E55BA0"/>
    <w:rsid w:val="00E55D87"/>
    <w:rsid w:val="00E55FB1"/>
    <w:rsid w:val="00E56088"/>
    <w:rsid w:val="00E56221"/>
    <w:rsid w:val="00E56378"/>
    <w:rsid w:val="00E563BC"/>
    <w:rsid w:val="00E563C3"/>
    <w:rsid w:val="00E56485"/>
    <w:rsid w:val="00E5652E"/>
    <w:rsid w:val="00E5674F"/>
    <w:rsid w:val="00E5691D"/>
    <w:rsid w:val="00E56925"/>
    <w:rsid w:val="00E56B17"/>
    <w:rsid w:val="00E56BBF"/>
    <w:rsid w:val="00E56C8B"/>
    <w:rsid w:val="00E56CBA"/>
    <w:rsid w:val="00E56CD1"/>
    <w:rsid w:val="00E56E6B"/>
    <w:rsid w:val="00E57009"/>
    <w:rsid w:val="00E57034"/>
    <w:rsid w:val="00E571D0"/>
    <w:rsid w:val="00E573D8"/>
    <w:rsid w:val="00E574FE"/>
    <w:rsid w:val="00E57559"/>
    <w:rsid w:val="00E5756E"/>
    <w:rsid w:val="00E578BA"/>
    <w:rsid w:val="00E57D92"/>
    <w:rsid w:val="00E57DE3"/>
    <w:rsid w:val="00E57F1D"/>
    <w:rsid w:val="00E5AB6D"/>
    <w:rsid w:val="00E5CEDB"/>
    <w:rsid w:val="00E60045"/>
    <w:rsid w:val="00E60259"/>
    <w:rsid w:val="00E6031B"/>
    <w:rsid w:val="00E6033B"/>
    <w:rsid w:val="00E604A1"/>
    <w:rsid w:val="00E604F3"/>
    <w:rsid w:val="00E6053F"/>
    <w:rsid w:val="00E60782"/>
    <w:rsid w:val="00E60841"/>
    <w:rsid w:val="00E60CCE"/>
    <w:rsid w:val="00E60CFB"/>
    <w:rsid w:val="00E60E36"/>
    <w:rsid w:val="00E60F6D"/>
    <w:rsid w:val="00E6127C"/>
    <w:rsid w:val="00E61335"/>
    <w:rsid w:val="00E613C3"/>
    <w:rsid w:val="00E61615"/>
    <w:rsid w:val="00E61740"/>
    <w:rsid w:val="00E6185A"/>
    <w:rsid w:val="00E6193D"/>
    <w:rsid w:val="00E61967"/>
    <w:rsid w:val="00E61984"/>
    <w:rsid w:val="00E61AD4"/>
    <w:rsid w:val="00E61BB1"/>
    <w:rsid w:val="00E61C00"/>
    <w:rsid w:val="00E61C10"/>
    <w:rsid w:val="00E61D76"/>
    <w:rsid w:val="00E61D8B"/>
    <w:rsid w:val="00E61F12"/>
    <w:rsid w:val="00E62128"/>
    <w:rsid w:val="00E6226C"/>
    <w:rsid w:val="00E622D2"/>
    <w:rsid w:val="00E62512"/>
    <w:rsid w:val="00E62637"/>
    <w:rsid w:val="00E627BC"/>
    <w:rsid w:val="00E62880"/>
    <w:rsid w:val="00E62895"/>
    <w:rsid w:val="00E62983"/>
    <w:rsid w:val="00E629B7"/>
    <w:rsid w:val="00E629CE"/>
    <w:rsid w:val="00E62B4A"/>
    <w:rsid w:val="00E62B76"/>
    <w:rsid w:val="00E62B8B"/>
    <w:rsid w:val="00E62C12"/>
    <w:rsid w:val="00E62F31"/>
    <w:rsid w:val="00E62FC6"/>
    <w:rsid w:val="00E62FD3"/>
    <w:rsid w:val="00E63147"/>
    <w:rsid w:val="00E6325C"/>
    <w:rsid w:val="00E632CD"/>
    <w:rsid w:val="00E632ED"/>
    <w:rsid w:val="00E63343"/>
    <w:rsid w:val="00E63503"/>
    <w:rsid w:val="00E6372D"/>
    <w:rsid w:val="00E63A72"/>
    <w:rsid w:val="00E63BBA"/>
    <w:rsid w:val="00E63C91"/>
    <w:rsid w:val="00E63D15"/>
    <w:rsid w:val="00E63DF3"/>
    <w:rsid w:val="00E63E86"/>
    <w:rsid w:val="00E63EDC"/>
    <w:rsid w:val="00E63FC3"/>
    <w:rsid w:val="00E64110"/>
    <w:rsid w:val="00E6412C"/>
    <w:rsid w:val="00E64135"/>
    <w:rsid w:val="00E6416D"/>
    <w:rsid w:val="00E6419C"/>
    <w:rsid w:val="00E641B1"/>
    <w:rsid w:val="00E642DC"/>
    <w:rsid w:val="00E6436E"/>
    <w:rsid w:val="00E6438A"/>
    <w:rsid w:val="00E644B7"/>
    <w:rsid w:val="00E64710"/>
    <w:rsid w:val="00E64712"/>
    <w:rsid w:val="00E64770"/>
    <w:rsid w:val="00E64803"/>
    <w:rsid w:val="00E64A50"/>
    <w:rsid w:val="00E64A56"/>
    <w:rsid w:val="00E64A5D"/>
    <w:rsid w:val="00E64A7C"/>
    <w:rsid w:val="00E64A95"/>
    <w:rsid w:val="00E64C46"/>
    <w:rsid w:val="00E64CAE"/>
    <w:rsid w:val="00E64CC0"/>
    <w:rsid w:val="00E64DF5"/>
    <w:rsid w:val="00E64E01"/>
    <w:rsid w:val="00E65092"/>
    <w:rsid w:val="00E650D7"/>
    <w:rsid w:val="00E651AB"/>
    <w:rsid w:val="00E6524B"/>
    <w:rsid w:val="00E65483"/>
    <w:rsid w:val="00E655E3"/>
    <w:rsid w:val="00E655EA"/>
    <w:rsid w:val="00E656A3"/>
    <w:rsid w:val="00E656AC"/>
    <w:rsid w:val="00E656FA"/>
    <w:rsid w:val="00E6578D"/>
    <w:rsid w:val="00E658DA"/>
    <w:rsid w:val="00E65904"/>
    <w:rsid w:val="00E6597C"/>
    <w:rsid w:val="00E659CA"/>
    <w:rsid w:val="00E65A6C"/>
    <w:rsid w:val="00E65C74"/>
    <w:rsid w:val="00E65CB7"/>
    <w:rsid w:val="00E65CD4"/>
    <w:rsid w:val="00E65D97"/>
    <w:rsid w:val="00E65DAE"/>
    <w:rsid w:val="00E65E7D"/>
    <w:rsid w:val="00E65EA8"/>
    <w:rsid w:val="00E65F91"/>
    <w:rsid w:val="00E65F93"/>
    <w:rsid w:val="00E66106"/>
    <w:rsid w:val="00E66562"/>
    <w:rsid w:val="00E665C0"/>
    <w:rsid w:val="00E6663F"/>
    <w:rsid w:val="00E66699"/>
    <w:rsid w:val="00E66817"/>
    <w:rsid w:val="00E66945"/>
    <w:rsid w:val="00E66A3F"/>
    <w:rsid w:val="00E66B74"/>
    <w:rsid w:val="00E66B7A"/>
    <w:rsid w:val="00E66C11"/>
    <w:rsid w:val="00E66C69"/>
    <w:rsid w:val="00E66CC4"/>
    <w:rsid w:val="00E66E3A"/>
    <w:rsid w:val="00E670BE"/>
    <w:rsid w:val="00E671C0"/>
    <w:rsid w:val="00E671D9"/>
    <w:rsid w:val="00E67216"/>
    <w:rsid w:val="00E672A1"/>
    <w:rsid w:val="00E67396"/>
    <w:rsid w:val="00E6746C"/>
    <w:rsid w:val="00E67569"/>
    <w:rsid w:val="00E675E5"/>
    <w:rsid w:val="00E6766A"/>
    <w:rsid w:val="00E676C0"/>
    <w:rsid w:val="00E676C3"/>
    <w:rsid w:val="00E67704"/>
    <w:rsid w:val="00E67763"/>
    <w:rsid w:val="00E677C3"/>
    <w:rsid w:val="00E67A40"/>
    <w:rsid w:val="00E67ACA"/>
    <w:rsid w:val="00E67C6C"/>
    <w:rsid w:val="00E67DA5"/>
    <w:rsid w:val="00E67F8D"/>
    <w:rsid w:val="00E67FD3"/>
    <w:rsid w:val="00E70002"/>
    <w:rsid w:val="00E70016"/>
    <w:rsid w:val="00E700F1"/>
    <w:rsid w:val="00E70123"/>
    <w:rsid w:val="00E7013B"/>
    <w:rsid w:val="00E70140"/>
    <w:rsid w:val="00E7016A"/>
    <w:rsid w:val="00E7018D"/>
    <w:rsid w:val="00E7025B"/>
    <w:rsid w:val="00E7029B"/>
    <w:rsid w:val="00E70354"/>
    <w:rsid w:val="00E70531"/>
    <w:rsid w:val="00E705DF"/>
    <w:rsid w:val="00E70624"/>
    <w:rsid w:val="00E7062E"/>
    <w:rsid w:val="00E7087D"/>
    <w:rsid w:val="00E70985"/>
    <w:rsid w:val="00E70A81"/>
    <w:rsid w:val="00E70B54"/>
    <w:rsid w:val="00E70B58"/>
    <w:rsid w:val="00E70B7F"/>
    <w:rsid w:val="00E70BD9"/>
    <w:rsid w:val="00E70D23"/>
    <w:rsid w:val="00E70D3C"/>
    <w:rsid w:val="00E70D45"/>
    <w:rsid w:val="00E70D7F"/>
    <w:rsid w:val="00E70E97"/>
    <w:rsid w:val="00E70ED2"/>
    <w:rsid w:val="00E70FB5"/>
    <w:rsid w:val="00E71114"/>
    <w:rsid w:val="00E7121A"/>
    <w:rsid w:val="00E7122C"/>
    <w:rsid w:val="00E7122F"/>
    <w:rsid w:val="00E713CA"/>
    <w:rsid w:val="00E71458"/>
    <w:rsid w:val="00E71485"/>
    <w:rsid w:val="00E71560"/>
    <w:rsid w:val="00E7171C"/>
    <w:rsid w:val="00E71723"/>
    <w:rsid w:val="00E71740"/>
    <w:rsid w:val="00E71807"/>
    <w:rsid w:val="00E71828"/>
    <w:rsid w:val="00E7184D"/>
    <w:rsid w:val="00E718BD"/>
    <w:rsid w:val="00E71927"/>
    <w:rsid w:val="00E7192E"/>
    <w:rsid w:val="00E71936"/>
    <w:rsid w:val="00E71989"/>
    <w:rsid w:val="00E71A53"/>
    <w:rsid w:val="00E71AAE"/>
    <w:rsid w:val="00E71B07"/>
    <w:rsid w:val="00E71B51"/>
    <w:rsid w:val="00E71C2B"/>
    <w:rsid w:val="00E71C7E"/>
    <w:rsid w:val="00E71D0B"/>
    <w:rsid w:val="00E71DDF"/>
    <w:rsid w:val="00E71F29"/>
    <w:rsid w:val="00E7212E"/>
    <w:rsid w:val="00E72159"/>
    <w:rsid w:val="00E721D2"/>
    <w:rsid w:val="00E72302"/>
    <w:rsid w:val="00E7237F"/>
    <w:rsid w:val="00E72431"/>
    <w:rsid w:val="00E72575"/>
    <w:rsid w:val="00E726B2"/>
    <w:rsid w:val="00E7273A"/>
    <w:rsid w:val="00E7273C"/>
    <w:rsid w:val="00E7293C"/>
    <w:rsid w:val="00E7298D"/>
    <w:rsid w:val="00E72A63"/>
    <w:rsid w:val="00E72BAD"/>
    <w:rsid w:val="00E72C8C"/>
    <w:rsid w:val="00E72E75"/>
    <w:rsid w:val="00E72F6C"/>
    <w:rsid w:val="00E730BD"/>
    <w:rsid w:val="00E73138"/>
    <w:rsid w:val="00E731CD"/>
    <w:rsid w:val="00E731DC"/>
    <w:rsid w:val="00E73290"/>
    <w:rsid w:val="00E73300"/>
    <w:rsid w:val="00E733B4"/>
    <w:rsid w:val="00E733DC"/>
    <w:rsid w:val="00E73478"/>
    <w:rsid w:val="00E734F0"/>
    <w:rsid w:val="00E73605"/>
    <w:rsid w:val="00E73733"/>
    <w:rsid w:val="00E73852"/>
    <w:rsid w:val="00E73A8A"/>
    <w:rsid w:val="00E73AA8"/>
    <w:rsid w:val="00E73BB6"/>
    <w:rsid w:val="00E73C3A"/>
    <w:rsid w:val="00E73C8A"/>
    <w:rsid w:val="00E73D4C"/>
    <w:rsid w:val="00E73FA9"/>
    <w:rsid w:val="00E740A8"/>
    <w:rsid w:val="00E74171"/>
    <w:rsid w:val="00E74282"/>
    <w:rsid w:val="00E742AE"/>
    <w:rsid w:val="00E74322"/>
    <w:rsid w:val="00E7432C"/>
    <w:rsid w:val="00E74401"/>
    <w:rsid w:val="00E74523"/>
    <w:rsid w:val="00E74696"/>
    <w:rsid w:val="00E74B25"/>
    <w:rsid w:val="00E74BB0"/>
    <w:rsid w:val="00E74C3D"/>
    <w:rsid w:val="00E74CB0"/>
    <w:rsid w:val="00E74CC3"/>
    <w:rsid w:val="00E74F33"/>
    <w:rsid w:val="00E74FB2"/>
    <w:rsid w:val="00E75035"/>
    <w:rsid w:val="00E75351"/>
    <w:rsid w:val="00E75502"/>
    <w:rsid w:val="00E75503"/>
    <w:rsid w:val="00E7552C"/>
    <w:rsid w:val="00E7554A"/>
    <w:rsid w:val="00E756A2"/>
    <w:rsid w:val="00E757AA"/>
    <w:rsid w:val="00E7586C"/>
    <w:rsid w:val="00E758B1"/>
    <w:rsid w:val="00E758F4"/>
    <w:rsid w:val="00E7596D"/>
    <w:rsid w:val="00E75A23"/>
    <w:rsid w:val="00E75A47"/>
    <w:rsid w:val="00E75AE9"/>
    <w:rsid w:val="00E75B2C"/>
    <w:rsid w:val="00E75BE7"/>
    <w:rsid w:val="00E75C9A"/>
    <w:rsid w:val="00E75CAE"/>
    <w:rsid w:val="00E75D8F"/>
    <w:rsid w:val="00E75E8A"/>
    <w:rsid w:val="00E75FFA"/>
    <w:rsid w:val="00E76117"/>
    <w:rsid w:val="00E761C1"/>
    <w:rsid w:val="00E76303"/>
    <w:rsid w:val="00E76329"/>
    <w:rsid w:val="00E76397"/>
    <w:rsid w:val="00E763D8"/>
    <w:rsid w:val="00E7649C"/>
    <w:rsid w:val="00E765AF"/>
    <w:rsid w:val="00E76624"/>
    <w:rsid w:val="00E766AA"/>
    <w:rsid w:val="00E766B9"/>
    <w:rsid w:val="00E76736"/>
    <w:rsid w:val="00E767BA"/>
    <w:rsid w:val="00E76812"/>
    <w:rsid w:val="00E7699C"/>
    <w:rsid w:val="00E76C8C"/>
    <w:rsid w:val="00E76C98"/>
    <w:rsid w:val="00E76CD8"/>
    <w:rsid w:val="00E76E11"/>
    <w:rsid w:val="00E770A9"/>
    <w:rsid w:val="00E77118"/>
    <w:rsid w:val="00E77189"/>
    <w:rsid w:val="00E771A2"/>
    <w:rsid w:val="00E771FB"/>
    <w:rsid w:val="00E7763A"/>
    <w:rsid w:val="00E77807"/>
    <w:rsid w:val="00E7783B"/>
    <w:rsid w:val="00E77845"/>
    <w:rsid w:val="00E7786D"/>
    <w:rsid w:val="00E778CB"/>
    <w:rsid w:val="00E77B4D"/>
    <w:rsid w:val="00E77BFC"/>
    <w:rsid w:val="00E77CC4"/>
    <w:rsid w:val="00E77D9B"/>
    <w:rsid w:val="00E77E23"/>
    <w:rsid w:val="00E77F19"/>
    <w:rsid w:val="00E77F82"/>
    <w:rsid w:val="00E8002F"/>
    <w:rsid w:val="00E80078"/>
    <w:rsid w:val="00E8013D"/>
    <w:rsid w:val="00E801F4"/>
    <w:rsid w:val="00E80228"/>
    <w:rsid w:val="00E8022A"/>
    <w:rsid w:val="00E80242"/>
    <w:rsid w:val="00E804D1"/>
    <w:rsid w:val="00E805B9"/>
    <w:rsid w:val="00E80645"/>
    <w:rsid w:val="00E8068D"/>
    <w:rsid w:val="00E806FA"/>
    <w:rsid w:val="00E808B4"/>
    <w:rsid w:val="00E809BC"/>
    <w:rsid w:val="00E80A50"/>
    <w:rsid w:val="00E80AB2"/>
    <w:rsid w:val="00E80B40"/>
    <w:rsid w:val="00E80C91"/>
    <w:rsid w:val="00E80D3F"/>
    <w:rsid w:val="00E80E12"/>
    <w:rsid w:val="00E80F66"/>
    <w:rsid w:val="00E80FF3"/>
    <w:rsid w:val="00E810E3"/>
    <w:rsid w:val="00E811DC"/>
    <w:rsid w:val="00E8142A"/>
    <w:rsid w:val="00E8146C"/>
    <w:rsid w:val="00E81479"/>
    <w:rsid w:val="00E815BD"/>
    <w:rsid w:val="00E815D8"/>
    <w:rsid w:val="00E816A0"/>
    <w:rsid w:val="00E81856"/>
    <w:rsid w:val="00E8196B"/>
    <w:rsid w:val="00E81AF7"/>
    <w:rsid w:val="00E81E44"/>
    <w:rsid w:val="00E81F38"/>
    <w:rsid w:val="00E81F48"/>
    <w:rsid w:val="00E81F59"/>
    <w:rsid w:val="00E81F77"/>
    <w:rsid w:val="00E82065"/>
    <w:rsid w:val="00E8214C"/>
    <w:rsid w:val="00E822BF"/>
    <w:rsid w:val="00E822F1"/>
    <w:rsid w:val="00E823FB"/>
    <w:rsid w:val="00E8272F"/>
    <w:rsid w:val="00E82792"/>
    <w:rsid w:val="00E827EB"/>
    <w:rsid w:val="00E8282D"/>
    <w:rsid w:val="00E828E5"/>
    <w:rsid w:val="00E829E0"/>
    <w:rsid w:val="00E82ABA"/>
    <w:rsid w:val="00E82B1B"/>
    <w:rsid w:val="00E82B7D"/>
    <w:rsid w:val="00E82E13"/>
    <w:rsid w:val="00E82E17"/>
    <w:rsid w:val="00E82ECE"/>
    <w:rsid w:val="00E8316A"/>
    <w:rsid w:val="00E83387"/>
    <w:rsid w:val="00E834D6"/>
    <w:rsid w:val="00E8358E"/>
    <w:rsid w:val="00E835AC"/>
    <w:rsid w:val="00E836A5"/>
    <w:rsid w:val="00E836D1"/>
    <w:rsid w:val="00E83808"/>
    <w:rsid w:val="00E83831"/>
    <w:rsid w:val="00E839DE"/>
    <w:rsid w:val="00E83E88"/>
    <w:rsid w:val="00E83EE4"/>
    <w:rsid w:val="00E83F68"/>
    <w:rsid w:val="00E83F90"/>
    <w:rsid w:val="00E84031"/>
    <w:rsid w:val="00E84104"/>
    <w:rsid w:val="00E8410B"/>
    <w:rsid w:val="00E8412E"/>
    <w:rsid w:val="00E841FF"/>
    <w:rsid w:val="00E84482"/>
    <w:rsid w:val="00E84702"/>
    <w:rsid w:val="00E847AA"/>
    <w:rsid w:val="00E847DF"/>
    <w:rsid w:val="00E84990"/>
    <w:rsid w:val="00E84BB0"/>
    <w:rsid w:val="00E84BD3"/>
    <w:rsid w:val="00E84BF2"/>
    <w:rsid w:val="00E84C99"/>
    <w:rsid w:val="00E84D1E"/>
    <w:rsid w:val="00E850A8"/>
    <w:rsid w:val="00E85107"/>
    <w:rsid w:val="00E852E6"/>
    <w:rsid w:val="00E85323"/>
    <w:rsid w:val="00E8532F"/>
    <w:rsid w:val="00E8546D"/>
    <w:rsid w:val="00E85598"/>
    <w:rsid w:val="00E856AE"/>
    <w:rsid w:val="00E8571B"/>
    <w:rsid w:val="00E857DE"/>
    <w:rsid w:val="00E85932"/>
    <w:rsid w:val="00E85945"/>
    <w:rsid w:val="00E85949"/>
    <w:rsid w:val="00E85A39"/>
    <w:rsid w:val="00E85AEE"/>
    <w:rsid w:val="00E85BA7"/>
    <w:rsid w:val="00E85E41"/>
    <w:rsid w:val="00E85E74"/>
    <w:rsid w:val="00E85E8A"/>
    <w:rsid w:val="00E85F15"/>
    <w:rsid w:val="00E85FAF"/>
    <w:rsid w:val="00E86045"/>
    <w:rsid w:val="00E86068"/>
    <w:rsid w:val="00E860A1"/>
    <w:rsid w:val="00E86174"/>
    <w:rsid w:val="00E861C9"/>
    <w:rsid w:val="00E8620B"/>
    <w:rsid w:val="00E8620E"/>
    <w:rsid w:val="00E86444"/>
    <w:rsid w:val="00E86479"/>
    <w:rsid w:val="00E8649C"/>
    <w:rsid w:val="00E864D5"/>
    <w:rsid w:val="00E86575"/>
    <w:rsid w:val="00E865B2"/>
    <w:rsid w:val="00E865CB"/>
    <w:rsid w:val="00E8666E"/>
    <w:rsid w:val="00E8690E"/>
    <w:rsid w:val="00E869D3"/>
    <w:rsid w:val="00E86A52"/>
    <w:rsid w:val="00E86A76"/>
    <w:rsid w:val="00E86ABA"/>
    <w:rsid w:val="00E86AE5"/>
    <w:rsid w:val="00E86B24"/>
    <w:rsid w:val="00E86B7B"/>
    <w:rsid w:val="00E86D2A"/>
    <w:rsid w:val="00E86D9F"/>
    <w:rsid w:val="00E86F7F"/>
    <w:rsid w:val="00E87058"/>
    <w:rsid w:val="00E87080"/>
    <w:rsid w:val="00E870A6"/>
    <w:rsid w:val="00E8711A"/>
    <w:rsid w:val="00E87125"/>
    <w:rsid w:val="00E87174"/>
    <w:rsid w:val="00E87200"/>
    <w:rsid w:val="00E8727C"/>
    <w:rsid w:val="00E87326"/>
    <w:rsid w:val="00E873BA"/>
    <w:rsid w:val="00E873EB"/>
    <w:rsid w:val="00E87686"/>
    <w:rsid w:val="00E8779F"/>
    <w:rsid w:val="00E87882"/>
    <w:rsid w:val="00E879C7"/>
    <w:rsid w:val="00E87AB7"/>
    <w:rsid w:val="00E87AD0"/>
    <w:rsid w:val="00E87CAB"/>
    <w:rsid w:val="00E87D78"/>
    <w:rsid w:val="00E87E50"/>
    <w:rsid w:val="00E87E51"/>
    <w:rsid w:val="00E90044"/>
    <w:rsid w:val="00E901F3"/>
    <w:rsid w:val="00E90217"/>
    <w:rsid w:val="00E90227"/>
    <w:rsid w:val="00E9031A"/>
    <w:rsid w:val="00E905BC"/>
    <w:rsid w:val="00E905F4"/>
    <w:rsid w:val="00E90679"/>
    <w:rsid w:val="00E90721"/>
    <w:rsid w:val="00E9077C"/>
    <w:rsid w:val="00E9095C"/>
    <w:rsid w:val="00E90A5F"/>
    <w:rsid w:val="00E90B4A"/>
    <w:rsid w:val="00E90B6E"/>
    <w:rsid w:val="00E90E70"/>
    <w:rsid w:val="00E90F4B"/>
    <w:rsid w:val="00E9106A"/>
    <w:rsid w:val="00E910CB"/>
    <w:rsid w:val="00E9112E"/>
    <w:rsid w:val="00E911E4"/>
    <w:rsid w:val="00E911E6"/>
    <w:rsid w:val="00E912C7"/>
    <w:rsid w:val="00E91517"/>
    <w:rsid w:val="00E91A31"/>
    <w:rsid w:val="00E91A8C"/>
    <w:rsid w:val="00E91AC9"/>
    <w:rsid w:val="00E91B4D"/>
    <w:rsid w:val="00E91ECD"/>
    <w:rsid w:val="00E91F2B"/>
    <w:rsid w:val="00E92110"/>
    <w:rsid w:val="00E92223"/>
    <w:rsid w:val="00E92337"/>
    <w:rsid w:val="00E92454"/>
    <w:rsid w:val="00E924C6"/>
    <w:rsid w:val="00E92553"/>
    <w:rsid w:val="00E92594"/>
    <w:rsid w:val="00E925E7"/>
    <w:rsid w:val="00E92746"/>
    <w:rsid w:val="00E92939"/>
    <w:rsid w:val="00E92970"/>
    <w:rsid w:val="00E92AA3"/>
    <w:rsid w:val="00E92E30"/>
    <w:rsid w:val="00E930A1"/>
    <w:rsid w:val="00E930AA"/>
    <w:rsid w:val="00E930B2"/>
    <w:rsid w:val="00E931A4"/>
    <w:rsid w:val="00E93367"/>
    <w:rsid w:val="00E933CA"/>
    <w:rsid w:val="00E93494"/>
    <w:rsid w:val="00E934B4"/>
    <w:rsid w:val="00E93531"/>
    <w:rsid w:val="00E93557"/>
    <w:rsid w:val="00E93657"/>
    <w:rsid w:val="00E9367D"/>
    <w:rsid w:val="00E93688"/>
    <w:rsid w:val="00E936B4"/>
    <w:rsid w:val="00E936CB"/>
    <w:rsid w:val="00E93781"/>
    <w:rsid w:val="00E937A5"/>
    <w:rsid w:val="00E93B88"/>
    <w:rsid w:val="00E93D73"/>
    <w:rsid w:val="00E93DC5"/>
    <w:rsid w:val="00E93F52"/>
    <w:rsid w:val="00E9402D"/>
    <w:rsid w:val="00E940C9"/>
    <w:rsid w:val="00E941CC"/>
    <w:rsid w:val="00E9422E"/>
    <w:rsid w:val="00E94386"/>
    <w:rsid w:val="00E943D5"/>
    <w:rsid w:val="00E9442A"/>
    <w:rsid w:val="00E94612"/>
    <w:rsid w:val="00E94705"/>
    <w:rsid w:val="00E9477F"/>
    <w:rsid w:val="00E94A32"/>
    <w:rsid w:val="00E94AFA"/>
    <w:rsid w:val="00E94B66"/>
    <w:rsid w:val="00E94B7B"/>
    <w:rsid w:val="00E94EF4"/>
    <w:rsid w:val="00E94F08"/>
    <w:rsid w:val="00E9501C"/>
    <w:rsid w:val="00E950B1"/>
    <w:rsid w:val="00E950C6"/>
    <w:rsid w:val="00E952A3"/>
    <w:rsid w:val="00E952EE"/>
    <w:rsid w:val="00E9542D"/>
    <w:rsid w:val="00E954E1"/>
    <w:rsid w:val="00E955B9"/>
    <w:rsid w:val="00E9562F"/>
    <w:rsid w:val="00E958C4"/>
    <w:rsid w:val="00E95907"/>
    <w:rsid w:val="00E95936"/>
    <w:rsid w:val="00E95991"/>
    <w:rsid w:val="00E9599C"/>
    <w:rsid w:val="00E959BD"/>
    <w:rsid w:val="00E95AD4"/>
    <w:rsid w:val="00E95AE5"/>
    <w:rsid w:val="00E95B9C"/>
    <w:rsid w:val="00E95BA0"/>
    <w:rsid w:val="00E95BFD"/>
    <w:rsid w:val="00E95DC1"/>
    <w:rsid w:val="00E95EFA"/>
    <w:rsid w:val="00E95F36"/>
    <w:rsid w:val="00E9617D"/>
    <w:rsid w:val="00E961C1"/>
    <w:rsid w:val="00E96219"/>
    <w:rsid w:val="00E9634A"/>
    <w:rsid w:val="00E9636C"/>
    <w:rsid w:val="00E96382"/>
    <w:rsid w:val="00E96478"/>
    <w:rsid w:val="00E964D4"/>
    <w:rsid w:val="00E9650C"/>
    <w:rsid w:val="00E96654"/>
    <w:rsid w:val="00E9670F"/>
    <w:rsid w:val="00E9676C"/>
    <w:rsid w:val="00E968A1"/>
    <w:rsid w:val="00E96AC8"/>
    <w:rsid w:val="00E96AD5"/>
    <w:rsid w:val="00E96B34"/>
    <w:rsid w:val="00E96C4B"/>
    <w:rsid w:val="00E96C6B"/>
    <w:rsid w:val="00E96D8B"/>
    <w:rsid w:val="00E96E82"/>
    <w:rsid w:val="00E96EE2"/>
    <w:rsid w:val="00E96F9E"/>
    <w:rsid w:val="00E97090"/>
    <w:rsid w:val="00E97163"/>
    <w:rsid w:val="00E97194"/>
    <w:rsid w:val="00E9723C"/>
    <w:rsid w:val="00E9734F"/>
    <w:rsid w:val="00E97765"/>
    <w:rsid w:val="00E97813"/>
    <w:rsid w:val="00E978F4"/>
    <w:rsid w:val="00E97A80"/>
    <w:rsid w:val="00E97A88"/>
    <w:rsid w:val="00E97B17"/>
    <w:rsid w:val="00E97B6F"/>
    <w:rsid w:val="00E97BEA"/>
    <w:rsid w:val="00E97C8C"/>
    <w:rsid w:val="00E97CCA"/>
    <w:rsid w:val="00E97D7C"/>
    <w:rsid w:val="00E97DC2"/>
    <w:rsid w:val="00E97EE3"/>
    <w:rsid w:val="00EA0143"/>
    <w:rsid w:val="00EA023D"/>
    <w:rsid w:val="00EA0330"/>
    <w:rsid w:val="00EA051D"/>
    <w:rsid w:val="00EA056E"/>
    <w:rsid w:val="00EA0583"/>
    <w:rsid w:val="00EA05A9"/>
    <w:rsid w:val="00EA05EF"/>
    <w:rsid w:val="00EA05F4"/>
    <w:rsid w:val="00EA05F9"/>
    <w:rsid w:val="00EA0610"/>
    <w:rsid w:val="00EA083B"/>
    <w:rsid w:val="00EA0A5D"/>
    <w:rsid w:val="00EA0A6E"/>
    <w:rsid w:val="00EA0A72"/>
    <w:rsid w:val="00EA0B23"/>
    <w:rsid w:val="00EA0B53"/>
    <w:rsid w:val="00EA0CFF"/>
    <w:rsid w:val="00EA0F48"/>
    <w:rsid w:val="00EA1120"/>
    <w:rsid w:val="00EA139C"/>
    <w:rsid w:val="00EA149C"/>
    <w:rsid w:val="00EA14DD"/>
    <w:rsid w:val="00EA1511"/>
    <w:rsid w:val="00EA1568"/>
    <w:rsid w:val="00EA1670"/>
    <w:rsid w:val="00EA16C4"/>
    <w:rsid w:val="00EA19F7"/>
    <w:rsid w:val="00EA1A0A"/>
    <w:rsid w:val="00EA1A2C"/>
    <w:rsid w:val="00EA1A4B"/>
    <w:rsid w:val="00EA1A6A"/>
    <w:rsid w:val="00EA1A96"/>
    <w:rsid w:val="00EA1B39"/>
    <w:rsid w:val="00EA1BC9"/>
    <w:rsid w:val="00EA1C8B"/>
    <w:rsid w:val="00EA1C8C"/>
    <w:rsid w:val="00EA1C8D"/>
    <w:rsid w:val="00EA1D99"/>
    <w:rsid w:val="00EA1F0B"/>
    <w:rsid w:val="00EA2048"/>
    <w:rsid w:val="00EA20C9"/>
    <w:rsid w:val="00EA21E7"/>
    <w:rsid w:val="00EA2206"/>
    <w:rsid w:val="00EA2236"/>
    <w:rsid w:val="00EA23B5"/>
    <w:rsid w:val="00EA2440"/>
    <w:rsid w:val="00EA2537"/>
    <w:rsid w:val="00EA2549"/>
    <w:rsid w:val="00EA258B"/>
    <w:rsid w:val="00EA25BA"/>
    <w:rsid w:val="00EA25CB"/>
    <w:rsid w:val="00EA2603"/>
    <w:rsid w:val="00EA262D"/>
    <w:rsid w:val="00EA27DF"/>
    <w:rsid w:val="00EA29EF"/>
    <w:rsid w:val="00EA29F1"/>
    <w:rsid w:val="00EA2B7E"/>
    <w:rsid w:val="00EA2C3B"/>
    <w:rsid w:val="00EA2C43"/>
    <w:rsid w:val="00EA2CA4"/>
    <w:rsid w:val="00EA2CB9"/>
    <w:rsid w:val="00EA2CFD"/>
    <w:rsid w:val="00EA2D16"/>
    <w:rsid w:val="00EA2DBD"/>
    <w:rsid w:val="00EA2E40"/>
    <w:rsid w:val="00EA2ED4"/>
    <w:rsid w:val="00EA3257"/>
    <w:rsid w:val="00EA329C"/>
    <w:rsid w:val="00EA32A4"/>
    <w:rsid w:val="00EA32D8"/>
    <w:rsid w:val="00EA32E4"/>
    <w:rsid w:val="00EA33E9"/>
    <w:rsid w:val="00EA33F4"/>
    <w:rsid w:val="00EA33F7"/>
    <w:rsid w:val="00EA34CE"/>
    <w:rsid w:val="00EA352B"/>
    <w:rsid w:val="00EA358C"/>
    <w:rsid w:val="00EA35F1"/>
    <w:rsid w:val="00EA38A4"/>
    <w:rsid w:val="00EA38ED"/>
    <w:rsid w:val="00EA3A78"/>
    <w:rsid w:val="00EA3B34"/>
    <w:rsid w:val="00EA3B80"/>
    <w:rsid w:val="00EA3BA8"/>
    <w:rsid w:val="00EA3CBE"/>
    <w:rsid w:val="00EA3FA6"/>
    <w:rsid w:val="00EA3FF6"/>
    <w:rsid w:val="00EA4081"/>
    <w:rsid w:val="00EA40BF"/>
    <w:rsid w:val="00EA411C"/>
    <w:rsid w:val="00EA41CA"/>
    <w:rsid w:val="00EA420C"/>
    <w:rsid w:val="00EA4251"/>
    <w:rsid w:val="00EA42DC"/>
    <w:rsid w:val="00EA430B"/>
    <w:rsid w:val="00EA433A"/>
    <w:rsid w:val="00EA4364"/>
    <w:rsid w:val="00EA43C3"/>
    <w:rsid w:val="00EA44F1"/>
    <w:rsid w:val="00EA45CD"/>
    <w:rsid w:val="00EA45DF"/>
    <w:rsid w:val="00EA4749"/>
    <w:rsid w:val="00EA47B4"/>
    <w:rsid w:val="00EA47F5"/>
    <w:rsid w:val="00EA48FC"/>
    <w:rsid w:val="00EA491A"/>
    <w:rsid w:val="00EA49A6"/>
    <w:rsid w:val="00EA4C08"/>
    <w:rsid w:val="00EA4E80"/>
    <w:rsid w:val="00EA4E8F"/>
    <w:rsid w:val="00EA4F7F"/>
    <w:rsid w:val="00EA4FD9"/>
    <w:rsid w:val="00EA503D"/>
    <w:rsid w:val="00EA5044"/>
    <w:rsid w:val="00EA50CE"/>
    <w:rsid w:val="00EA5149"/>
    <w:rsid w:val="00EA51C9"/>
    <w:rsid w:val="00EA5423"/>
    <w:rsid w:val="00EA54C2"/>
    <w:rsid w:val="00EA56F9"/>
    <w:rsid w:val="00EA571F"/>
    <w:rsid w:val="00EA595C"/>
    <w:rsid w:val="00EA5AD1"/>
    <w:rsid w:val="00EA5BDC"/>
    <w:rsid w:val="00EA5C4D"/>
    <w:rsid w:val="00EA5C88"/>
    <w:rsid w:val="00EA5CE5"/>
    <w:rsid w:val="00EA5D77"/>
    <w:rsid w:val="00EA5D7A"/>
    <w:rsid w:val="00EA5DCB"/>
    <w:rsid w:val="00EA5F81"/>
    <w:rsid w:val="00EA608C"/>
    <w:rsid w:val="00EA6237"/>
    <w:rsid w:val="00EA627E"/>
    <w:rsid w:val="00EA643D"/>
    <w:rsid w:val="00EA6503"/>
    <w:rsid w:val="00EA657F"/>
    <w:rsid w:val="00EA6581"/>
    <w:rsid w:val="00EA6635"/>
    <w:rsid w:val="00EA68FE"/>
    <w:rsid w:val="00EA6A48"/>
    <w:rsid w:val="00EA6A7C"/>
    <w:rsid w:val="00EA6A93"/>
    <w:rsid w:val="00EA6AA0"/>
    <w:rsid w:val="00EA6AA2"/>
    <w:rsid w:val="00EA6B75"/>
    <w:rsid w:val="00EA6CD2"/>
    <w:rsid w:val="00EA6D5C"/>
    <w:rsid w:val="00EA6DEF"/>
    <w:rsid w:val="00EA6E77"/>
    <w:rsid w:val="00EA6E80"/>
    <w:rsid w:val="00EA6E8E"/>
    <w:rsid w:val="00EA70D8"/>
    <w:rsid w:val="00EA70E3"/>
    <w:rsid w:val="00EA7251"/>
    <w:rsid w:val="00EA7320"/>
    <w:rsid w:val="00EA73A4"/>
    <w:rsid w:val="00EA7425"/>
    <w:rsid w:val="00EA75F8"/>
    <w:rsid w:val="00EA76AF"/>
    <w:rsid w:val="00EA76CB"/>
    <w:rsid w:val="00EA7814"/>
    <w:rsid w:val="00EA790C"/>
    <w:rsid w:val="00EA7AD0"/>
    <w:rsid w:val="00EA7B1F"/>
    <w:rsid w:val="00EA7BB0"/>
    <w:rsid w:val="00EA7BD9"/>
    <w:rsid w:val="00EA7C6A"/>
    <w:rsid w:val="00EA7C73"/>
    <w:rsid w:val="00EA7D7F"/>
    <w:rsid w:val="00EA7D8E"/>
    <w:rsid w:val="00EA7E49"/>
    <w:rsid w:val="00EA7E59"/>
    <w:rsid w:val="00EA7F2A"/>
    <w:rsid w:val="00EA7FF4"/>
    <w:rsid w:val="00EA81C7"/>
    <w:rsid w:val="00EB02D4"/>
    <w:rsid w:val="00EB034F"/>
    <w:rsid w:val="00EB03B7"/>
    <w:rsid w:val="00EB0420"/>
    <w:rsid w:val="00EB046E"/>
    <w:rsid w:val="00EB0584"/>
    <w:rsid w:val="00EB0682"/>
    <w:rsid w:val="00EB06A8"/>
    <w:rsid w:val="00EB06E3"/>
    <w:rsid w:val="00EB0730"/>
    <w:rsid w:val="00EB08F3"/>
    <w:rsid w:val="00EB0BAB"/>
    <w:rsid w:val="00EB0CA2"/>
    <w:rsid w:val="00EB0D18"/>
    <w:rsid w:val="00EB0D39"/>
    <w:rsid w:val="00EB0D9C"/>
    <w:rsid w:val="00EB0E41"/>
    <w:rsid w:val="00EB0EF2"/>
    <w:rsid w:val="00EB1061"/>
    <w:rsid w:val="00EB118F"/>
    <w:rsid w:val="00EB11AC"/>
    <w:rsid w:val="00EB1231"/>
    <w:rsid w:val="00EB127A"/>
    <w:rsid w:val="00EB12E9"/>
    <w:rsid w:val="00EB13E4"/>
    <w:rsid w:val="00EB1583"/>
    <w:rsid w:val="00EB15A9"/>
    <w:rsid w:val="00EB16A8"/>
    <w:rsid w:val="00EB170F"/>
    <w:rsid w:val="00EB17FE"/>
    <w:rsid w:val="00EB1844"/>
    <w:rsid w:val="00EB186F"/>
    <w:rsid w:val="00EB1934"/>
    <w:rsid w:val="00EB1A24"/>
    <w:rsid w:val="00EB1A8D"/>
    <w:rsid w:val="00EB1B00"/>
    <w:rsid w:val="00EB1E9D"/>
    <w:rsid w:val="00EB1F8E"/>
    <w:rsid w:val="00EB2138"/>
    <w:rsid w:val="00EB21D4"/>
    <w:rsid w:val="00EB2247"/>
    <w:rsid w:val="00EB2282"/>
    <w:rsid w:val="00EB23C9"/>
    <w:rsid w:val="00EB2425"/>
    <w:rsid w:val="00EB24A5"/>
    <w:rsid w:val="00EB24BA"/>
    <w:rsid w:val="00EB24E7"/>
    <w:rsid w:val="00EB25E3"/>
    <w:rsid w:val="00EB266C"/>
    <w:rsid w:val="00EB267B"/>
    <w:rsid w:val="00EB2723"/>
    <w:rsid w:val="00EB283D"/>
    <w:rsid w:val="00EB2864"/>
    <w:rsid w:val="00EB28AD"/>
    <w:rsid w:val="00EB294C"/>
    <w:rsid w:val="00EB29CA"/>
    <w:rsid w:val="00EB2A7D"/>
    <w:rsid w:val="00EB2B7A"/>
    <w:rsid w:val="00EB2B9B"/>
    <w:rsid w:val="00EB2BCB"/>
    <w:rsid w:val="00EB2D1A"/>
    <w:rsid w:val="00EB2D20"/>
    <w:rsid w:val="00EB2D27"/>
    <w:rsid w:val="00EB2E22"/>
    <w:rsid w:val="00EB2FC6"/>
    <w:rsid w:val="00EB3305"/>
    <w:rsid w:val="00EB3319"/>
    <w:rsid w:val="00EB334B"/>
    <w:rsid w:val="00EB3469"/>
    <w:rsid w:val="00EB357D"/>
    <w:rsid w:val="00EB3582"/>
    <w:rsid w:val="00EB3885"/>
    <w:rsid w:val="00EB3888"/>
    <w:rsid w:val="00EB38E3"/>
    <w:rsid w:val="00EB392D"/>
    <w:rsid w:val="00EB3A4E"/>
    <w:rsid w:val="00EB3AE2"/>
    <w:rsid w:val="00EB3BAD"/>
    <w:rsid w:val="00EB3C48"/>
    <w:rsid w:val="00EB4025"/>
    <w:rsid w:val="00EB4038"/>
    <w:rsid w:val="00EB411B"/>
    <w:rsid w:val="00EB4232"/>
    <w:rsid w:val="00EB44CF"/>
    <w:rsid w:val="00EB4513"/>
    <w:rsid w:val="00EB4608"/>
    <w:rsid w:val="00EB46DC"/>
    <w:rsid w:val="00EB47A5"/>
    <w:rsid w:val="00EB485F"/>
    <w:rsid w:val="00EB49D9"/>
    <w:rsid w:val="00EB4ABE"/>
    <w:rsid w:val="00EB5010"/>
    <w:rsid w:val="00EB5186"/>
    <w:rsid w:val="00EB5280"/>
    <w:rsid w:val="00EB52EC"/>
    <w:rsid w:val="00EB54A9"/>
    <w:rsid w:val="00EB5563"/>
    <w:rsid w:val="00EB57C3"/>
    <w:rsid w:val="00EB5925"/>
    <w:rsid w:val="00EB596E"/>
    <w:rsid w:val="00EB59AA"/>
    <w:rsid w:val="00EB59ED"/>
    <w:rsid w:val="00EB5A7F"/>
    <w:rsid w:val="00EB5E0A"/>
    <w:rsid w:val="00EB608C"/>
    <w:rsid w:val="00EB6162"/>
    <w:rsid w:val="00EB61C3"/>
    <w:rsid w:val="00EB63C2"/>
    <w:rsid w:val="00EB659F"/>
    <w:rsid w:val="00EB663A"/>
    <w:rsid w:val="00EB6864"/>
    <w:rsid w:val="00EB696B"/>
    <w:rsid w:val="00EB69F2"/>
    <w:rsid w:val="00EB6E0B"/>
    <w:rsid w:val="00EB6E1C"/>
    <w:rsid w:val="00EB6EA8"/>
    <w:rsid w:val="00EB6ED7"/>
    <w:rsid w:val="00EB7037"/>
    <w:rsid w:val="00EB7185"/>
    <w:rsid w:val="00EB7203"/>
    <w:rsid w:val="00EB72E8"/>
    <w:rsid w:val="00EB730A"/>
    <w:rsid w:val="00EB731A"/>
    <w:rsid w:val="00EB7332"/>
    <w:rsid w:val="00EB736E"/>
    <w:rsid w:val="00EB73A0"/>
    <w:rsid w:val="00EB73F2"/>
    <w:rsid w:val="00EB7526"/>
    <w:rsid w:val="00EB77B6"/>
    <w:rsid w:val="00EB77DE"/>
    <w:rsid w:val="00EB7918"/>
    <w:rsid w:val="00EB795A"/>
    <w:rsid w:val="00EB7A9E"/>
    <w:rsid w:val="00EB7B48"/>
    <w:rsid w:val="00EB7D6F"/>
    <w:rsid w:val="00EB7E67"/>
    <w:rsid w:val="00EB7F69"/>
    <w:rsid w:val="00EB7F7B"/>
    <w:rsid w:val="00EB7F97"/>
    <w:rsid w:val="00EC02AB"/>
    <w:rsid w:val="00EC02B5"/>
    <w:rsid w:val="00EC0327"/>
    <w:rsid w:val="00EC034F"/>
    <w:rsid w:val="00EC03C7"/>
    <w:rsid w:val="00EC0424"/>
    <w:rsid w:val="00EC0510"/>
    <w:rsid w:val="00EC07CD"/>
    <w:rsid w:val="00EC07EB"/>
    <w:rsid w:val="00EC0849"/>
    <w:rsid w:val="00EC0850"/>
    <w:rsid w:val="00EC089B"/>
    <w:rsid w:val="00EC08A7"/>
    <w:rsid w:val="00EC0900"/>
    <w:rsid w:val="00EC0910"/>
    <w:rsid w:val="00EC0912"/>
    <w:rsid w:val="00EC0975"/>
    <w:rsid w:val="00EC097D"/>
    <w:rsid w:val="00EC0DBE"/>
    <w:rsid w:val="00EC109D"/>
    <w:rsid w:val="00EC10A0"/>
    <w:rsid w:val="00EC1188"/>
    <w:rsid w:val="00EC126D"/>
    <w:rsid w:val="00EC128A"/>
    <w:rsid w:val="00EC1412"/>
    <w:rsid w:val="00EC15B9"/>
    <w:rsid w:val="00EC15C0"/>
    <w:rsid w:val="00EC160A"/>
    <w:rsid w:val="00EC16D0"/>
    <w:rsid w:val="00EC1724"/>
    <w:rsid w:val="00EC1781"/>
    <w:rsid w:val="00EC1956"/>
    <w:rsid w:val="00EC19B6"/>
    <w:rsid w:val="00EC1A48"/>
    <w:rsid w:val="00EC1A7A"/>
    <w:rsid w:val="00EC1B05"/>
    <w:rsid w:val="00EC1CEE"/>
    <w:rsid w:val="00EC1D19"/>
    <w:rsid w:val="00EC2049"/>
    <w:rsid w:val="00EC21A7"/>
    <w:rsid w:val="00EC2283"/>
    <w:rsid w:val="00EC22BC"/>
    <w:rsid w:val="00EC22F0"/>
    <w:rsid w:val="00EC2381"/>
    <w:rsid w:val="00EC23AB"/>
    <w:rsid w:val="00EC23CC"/>
    <w:rsid w:val="00EC23E7"/>
    <w:rsid w:val="00EC23FB"/>
    <w:rsid w:val="00EC2457"/>
    <w:rsid w:val="00EC24DB"/>
    <w:rsid w:val="00EC2538"/>
    <w:rsid w:val="00EC2609"/>
    <w:rsid w:val="00EC2638"/>
    <w:rsid w:val="00EC2659"/>
    <w:rsid w:val="00EC27E9"/>
    <w:rsid w:val="00EC289D"/>
    <w:rsid w:val="00EC2A5C"/>
    <w:rsid w:val="00EC2AC6"/>
    <w:rsid w:val="00EC2B60"/>
    <w:rsid w:val="00EC2C9D"/>
    <w:rsid w:val="00EC2D14"/>
    <w:rsid w:val="00EC2D6F"/>
    <w:rsid w:val="00EC2D74"/>
    <w:rsid w:val="00EC2D95"/>
    <w:rsid w:val="00EC2F39"/>
    <w:rsid w:val="00EC2F5C"/>
    <w:rsid w:val="00EC30BD"/>
    <w:rsid w:val="00EC3169"/>
    <w:rsid w:val="00EC318F"/>
    <w:rsid w:val="00EC323C"/>
    <w:rsid w:val="00EC3313"/>
    <w:rsid w:val="00EC335B"/>
    <w:rsid w:val="00EC342F"/>
    <w:rsid w:val="00EC359B"/>
    <w:rsid w:val="00EC36E8"/>
    <w:rsid w:val="00EC3886"/>
    <w:rsid w:val="00EC38C0"/>
    <w:rsid w:val="00EC38CB"/>
    <w:rsid w:val="00EC396C"/>
    <w:rsid w:val="00EC3A0B"/>
    <w:rsid w:val="00EC3ADC"/>
    <w:rsid w:val="00EC3B46"/>
    <w:rsid w:val="00EC3C6D"/>
    <w:rsid w:val="00EC3CB5"/>
    <w:rsid w:val="00EC3CF0"/>
    <w:rsid w:val="00EC3E90"/>
    <w:rsid w:val="00EC4023"/>
    <w:rsid w:val="00EC40CB"/>
    <w:rsid w:val="00EC4108"/>
    <w:rsid w:val="00EC4267"/>
    <w:rsid w:val="00EC4559"/>
    <w:rsid w:val="00EC46B7"/>
    <w:rsid w:val="00EC46BB"/>
    <w:rsid w:val="00EC46FD"/>
    <w:rsid w:val="00EC4845"/>
    <w:rsid w:val="00EC48E0"/>
    <w:rsid w:val="00EC4A8A"/>
    <w:rsid w:val="00EC4B4E"/>
    <w:rsid w:val="00EC4BE1"/>
    <w:rsid w:val="00EC4D2D"/>
    <w:rsid w:val="00EC4F3A"/>
    <w:rsid w:val="00EC4F53"/>
    <w:rsid w:val="00EC4F55"/>
    <w:rsid w:val="00EC4FBC"/>
    <w:rsid w:val="00EC4FD5"/>
    <w:rsid w:val="00EC5098"/>
    <w:rsid w:val="00EC50C5"/>
    <w:rsid w:val="00EC52F3"/>
    <w:rsid w:val="00EC5402"/>
    <w:rsid w:val="00EC5703"/>
    <w:rsid w:val="00EC57A5"/>
    <w:rsid w:val="00EC57DA"/>
    <w:rsid w:val="00EC5908"/>
    <w:rsid w:val="00EC596A"/>
    <w:rsid w:val="00EC59C2"/>
    <w:rsid w:val="00EC5ABE"/>
    <w:rsid w:val="00EC5C3F"/>
    <w:rsid w:val="00EC5D16"/>
    <w:rsid w:val="00EC5D4D"/>
    <w:rsid w:val="00EC5D8C"/>
    <w:rsid w:val="00EC619D"/>
    <w:rsid w:val="00EC61EB"/>
    <w:rsid w:val="00EC62E5"/>
    <w:rsid w:val="00EC634C"/>
    <w:rsid w:val="00EC641E"/>
    <w:rsid w:val="00EC6529"/>
    <w:rsid w:val="00EC6767"/>
    <w:rsid w:val="00EC67CD"/>
    <w:rsid w:val="00EC68C3"/>
    <w:rsid w:val="00EC6A2D"/>
    <w:rsid w:val="00EC6ABF"/>
    <w:rsid w:val="00EC6CA4"/>
    <w:rsid w:val="00EC6E28"/>
    <w:rsid w:val="00EC6E3D"/>
    <w:rsid w:val="00EC6F58"/>
    <w:rsid w:val="00EC6F5F"/>
    <w:rsid w:val="00EC6FD6"/>
    <w:rsid w:val="00EC7017"/>
    <w:rsid w:val="00EC70AB"/>
    <w:rsid w:val="00EC720C"/>
    <w:rsid w:val="00EC7247"/>
    <w:rsid w:val="00EC733C"/>
    <w:rsid w:val="00EC73E4"/>
    <w:rsid w:val="00EC7406"/>
    <w:rsid w:val="00EC7470"/>
    <w:rsid w:val="00EC748F"/>
    <w:rsid w:val="00EC760A"/>
    <w:rsid w:val="00EC76B2"/>
    <w:rsid w:val="00EC7931"/>
    <w:rsid w:val="00EC7955"/>
    <w:rsid w:val="00EC7991"/>
    <w:rsid w:val="00EC7997"/>
    <w:rsid w:val="00EC7B20"/>
    <w:rsid w:val="00EC7B69"/>
    <w:rsid w:val="00EC7D13"/>
    <w:rsid w:val="00EC7DAB"/>
    <w:rsid w:val="00EC7F7B"/>
    <w:rsid w:val="00ED0099"/>
    <w:rsid w:val="00ED02B3"/>
    <w:rsid w:val="00ED0378"/>
    <w:rsid w:val="00ED042D"/>
    <w:rsid w:val="00ED08FB"/>
    <w:rsid w:val="00ED0977"/>
    <w:rsid w:val="00ED0A03"/>
    <w:rsid w:val="00ED0B22"/>
    <w:rsid w:val="00ED0BF7"/>
    <w:rsid w:val="00ED0C5A"/>
    <w:rsid w:val="00ED0CD8"/>
    <w:rsid w:val="00ED0DA4"/>
    <w:rsid w:val="00ED0DB8"/>
    <w:rsid w:val="00ED0E84"/>
    <w:rsid w:val="00ED0EC4"/>
    <w:rsid w:val="00ED1065"/>
    <w:rsid w:val="00ED11B1"/>
    <w:rsid w:val="00ED11EE"/>
    <w:rsid w:val="00ED1248"/>
    <w:rsid w:val="00ED13F7"/>
    <w:rsid w:val="00ED14DB"/>
    <w:rsid w:val="00ED1607"/>
    <w:rsid w:val="00ED164B"/>
    <w:rsid w:val="00ED165F"/>
    <w:rsid w:val="00ED1827"/>
    <w:rsid w:val="00ED1928"/>
    <w:rsid w:val="00ED1A4B"/>
    <w:rsid w:val="00ED1A87"/>
    <w:rsid w:val="00ED1AC0"/>
    <w:rsid w:val="00ED1CF0"/>
    <w:rsid w:val="00ED1D20"/>
    <w:rsid w:val="00ED1D2D"/>
    <w:rsid w:val="00ED1E2B"/>
    <w:rsid w:val="00ED1EA2"/>
    <w:rsid w:val="00ED20A4"/>
    <w:rsid w:val="00ED216D"/>
    <w:rsid w:val="00ED228C"/>
    <w:rsid w:val="00ED2354"/>
    <w:rsid w:val="00ED23F9"/>
    <w:rsid w:val="00ED241B"/>
    <w:rsid w:val="00ED2801"/>
    <w:rsid w:val="00ED2812"/>
    <w:rsid w:val="00ED297B"/>
    <w:rsid w:val="00ED2A11"/>
    <w:rsid w:val="00ED2A82"/>
    <w:rsid w:val="00ED2B0B"/>
    <w:rsid w:val="00ED2BC3"/>
    <w:rsid w:val="00ED2E1F"/>
    <w:rsid w:val="00ED2E6A"/>
    <w:rsid w:val="00ED2F9D"/>
    <w:rsid w:val="00ED2FF5"/>
    <w:rsid w:val="00ED301A"/>
    <w:rsid w:val="00ED30E7"/>
    <w:rsid w:val="00ED3265"/>
    <w:rsid w:val="00ED3285"/>
    <w:rsid w:val="00ED3292"/>
    <w:rsid w:val="00ED3499"/>
    <w:rsid w:val="00ED377B"/>
    <w:rsid w:val="00ED394A"/>
    <w:rsid w:val="00ED39CF"/>
    <w:rsid w:val="00ED3A40"/>
    <w:rsid w:val="00ED3A8D"/>
    <w:rsid w:val="00ED3C2C"/>
    <w:rsid w:val="00ED3C95"/>
    <w:rsid w:val="00ED3CCB"/>
    <w:rsid w:val="00ED3CE7"/>
    <w:rsid w:val="00ED3DB1"/>
    <w:rsid w:val="00ED3ED7"/>
    <w:rsid w:val="00ED4096"/>
    <w:rsid w:val="00ED40BA"/>
    <w:rsid w:val="00ED40CA"/>
    <w:rsid w:val="00ED4151"/>
    <w:rsid w:val="00ED41F0"/>
    <w:rsid w:val="00ED429A"/>
    <w:rsid w:val="00ED433E"/>
    <w:rsid w:val="00ED4356"/>
    <w:rsid w:val="00ED4A4F"/>
    <w:rsid w:val="00ED4CDB"/>
    <w:rsid w:val="00ED4D0D"/>
    <w:rsid w:val="00ED4D50"/>
    <w:rsid w:val="00ED4DD9"/>
    <w:rsid w:val="00ED4E0A"/>
    <w:rsid w:val="00ED4F89"/>
    <w:rsid w:val="00ED4FF5"/>
    <w:rsid w:val="00ED52B8"/>
    <w:rsid w:val="00ED5316"/>
    <w:rsid w:val="00ED535B"/>
    <w:rsid w:val="00ED54D3"/>
    <w:rsid w:val="00ED5580"/>
    <w:rsid w:val="00ED558A"/>
    <w:rsid w:val="00ED57EF"/>
    <w:rsid w:val="00ED586E"/>
    <w:rsid w:val="00ED58B1"/>
    <w:rsid w:val="00ED591E"/>
    <w:rsid w:val="00ED5AA5"/>
    <w:rsid w:val="00ED5B41"/>
    <w:rsid w:val="00ED5C71"/>
    <w:rsid w:val="00ED5D3B"/>
    <w:rsid w:val="00ED5D8C"/>
    <w:rsid w:val="00ED5DB2"/>
    <w:rsid w:val="00ED5E3E"/>
    <w:rsid w:val="00ED5E72"/>
    <w:rsid w:val="00ED5F55"/>
    <w:rsid w:val="00ED5F6D"/>
    <w:rsid w:val="00ED5FE7"/>
    <w:rsid w:val="00ED611A"/>
    <w:rsid w:val="00ED6178"/>
    <w:rsid w:val="00ED61DE"/>
    <w:rsid w:val="00ED61EF"/>
    <w:rsid w:val="00ED6208"/>
    <w:rsid w:val="00ED628C"/>
    <w:rsid w:val="00ED63A8"/>
    <w:rsid w:val="00ED63C8"/>
    <w:rsid w:val="00ED63CA"/>
    <w:rsid w:val="00ED6488"/>
    <w:rsid w:val="00ED653C"/>
    <w:rsid w:val="00ED6580"/>
    <w:rsid w:val="00ED6712"/>
    <w:rsid w:val="00ED6783"/>
    <w:rsid w:val="00ED68D5"/>
    <w:rsid w:val="00ED6913"/>
    <w:rsid w:val="00ED69FD"/>
    <w:rsid w:val="00ED6AA3"/>
    <w:rsid w:val="00ED6B23"/>
    <w:rsid w:val="00ED6C21"/>
    <w:rsid w:val="00ED6C70"/>
    <w:rsid w:val="00ED6E65"/>
    <w:rsid w:val="00ED6EFF"/>
    <w:rsid w:val="00ED6F66"/>
    <w:rsid w:val="00ED6FC0"/>
    <w:rsid w:val="00ED6FDC"/>
    <w:rsid w:val="00ED71B1"/>
    <w:rsid w:val="00ED7313"/>
    <w:rsid w:val="00ED75ED"/>
    <w:rsid w:val="00ED7681"/>
    <w:rsid w:val="00ED76C8"/>
    <w:rsid w:val="00ED772D"/>
    <w:rsid w:val="00ED7A1C"/>
    <w:rsid w:val="00ED7A81"/>
    <w:rsid w:val="00ED7AAC"/>
    <w:rsid w:val="00ED7B1D"/>
    <w:rsid w:val="00ED7BDC"/>
    <w:rsid w:val="00ED7C19"/>
    <w:rsid w:val="00ED7C3C"/>
    <w:rsid w:val="00ED7D0A"/>
    <w:rsid w:val="00ED7D5F"/>
    <w:rsid w:val="00ED7D6E"/>
    <w:rsid w:val="00ED7E78"/>
    <w:rsid w:val="00ED7F34"/>
    <w:rsid w:val="00ED7FC7"/>
    <w:rsid w:val="00ED7FF4"/>
    <w:rsid w:val="00EDD3A1"/>
    <w:rsid w:val="00EDFE20"/>
    <w:rsid w:val="00EE002F"/>
    <w:rsid w:val="00EE014E"/>
    <w:rsid w:val="00EE02EB"/>
    <w:rsid w:val="00EE03F7"/>
    <w:rsid w:val="00EE046C"/>
    <w:rsid w:val="00EE04E0"/>
    <w:rsid w:val="00EE0551"/>
    <w:rsid w:val="00EE0570"/>
    <w:rsid w:val="00EE063F"/>
    <w:rsid w:val="00EE07EE"/>
    <w:rsid w:val="00EE08E7"/>
    <w:rsid w:val="00EE0A61"/>
    <w:rsid w:val="00EE0A71"/>
    <w:rsid w:val="00EE0A7F"/>
    <w:rsid w:val="00EE0AD0"/>
    <w:rsid w:val="00EE0D33"/>
    <w:rsid w:val="00EE0DB4"/>
    <w:rsid w:val="00EE0E4A"/>
    <w:rsid w:val="00EE0FAF"/>
    <w:rsid w:val="00EE1199"/>
    <w:rsid w:val="00EE119E"/>
    <w:rsid w:val="00EE11B6"/>
    <w:rsid w:val="00EE1236"/>
    <w:rsid w:val="00EE1334"/>
    <w:rsid w:val="00EE17E6"/>
    <w:rsid w:val="00EE1914"/>
    <w:rsid w:val="00EE1944"/>
    <w:rsid w:val="00EE1A3C"/>
    <w:rsid w:val="00EE1A7B"/>
    <w:rsid w:val="00EE1CBD"/>
    <w:rsid w:val="00EE1D33"/>
    <w:rsid w:val="00EE1E10"/>
    <w:rsid w:val="00EE1E12"/>
    <w:rsid w:val="00EE2206"/>
    <w:rsid w:val="00EE2220"/>
    <w:rsid w:val="00EE2239"/>
    <w:rsid w:val="00EE2305"/>
    <w:rsid w:val="00EE243C"/>
    <w:rsid w:val="00EE24C4"/>
    <w:rsid w:val="00EE27E1"/>
    <w:rsid w:val="00EE2929"/>
    <w:rsid w:val="00EE2A31"/>
    <w:rsid w:val="00EE2D5C"/>
    <w:rsid w:val="00EE2DD3"/>
    <w:rsid w:val="00EE2DF0"/>
    <w:rsid w:val="00EE2DFD"/>
    <w:rsid w:val="00EE2E67"/>
    <w:rsid w:val="00EE2E8D"/>
    <w:rsid w:val="00EE30C0"/>
    <w:rsid w:val="00EE30F8"/>
    <w:rsid w:val="00EE310C"/>
    <w:rsid w:val="00EE3213"/>
    <w:rsid w:val="00EE330D"/>
    <w:rsid w:val="00EE351B"/>
    <w:rsid w:val="00EE35A1"/>
    <w:rsid w:val="00EE35DA"/>
    <w:rsid w:val="00EE3604"/>
    <w:rsid w:val="00EE3654"/>
    <w:rsid w:val="00EE386A"/>
    <w:rsid w:val="00EE38AD"/>
    <w:rsid w:val="00EE38E0"/>
    <w:rsid w:val="00EE38FC"/>
    <w:rsid w:val="00EE3A41"/>
    <w:rsid w:val="00EE3A82"/>
    <w:rsid w:val="00EE3B1D"/>
    <w:rsid w:val="00EE3B82"/>
    <w:rsid w:val="00EE3C2E"/>
    <w:rsid w:val="00EE3C96"/>
    <w:rsid w:val="00EE3CC4"/>
    <w:rsid w:val="00EE3D5A"/>
    <w:rsid w:val="00EE3DC8"/>
    <w:rsid w:val="00EE4000"/>
    <w:rsid w:val="00EE4003"/>
    <w:rsid w:val="00EE4049"/>
    <w:rsid w:val="00EE405C"/>
    <w:rsid w:val="00EE407F"/>
    <w:rsid w:val="00EE40F5"/>
    <w:rsid w:val="00EE4120"/>
    <w:rsid w:val="00EE412F"/>
    <w:rsid w:val="00EE4137"/>
    <w:rsid w:val="00EE413C"/>
    <w:rsid w:val="00EE41E8"/>
    <w:rsid w:val="00EE425C"/>
    <w:rsid w:val="00EE426A"/>
    <w:rsid w:val="00EE4287"/>
    <w:rsid w:val="00EE4296"/>
    <w:rsid w:val="00EE441F"/>
    <w:rsid w:val="00EE444A"/>
    <w:rsid w:val="00EE44AB"/>
    <w:rsid w:val="00EE44E4"/>
    <w:rsid w:val="00EE4536"/>
    <w:rsid w:val="00EE461E"/>
    <w:rsid w:val="00EE4767"/>
    <w:rsid w:val="00EE4C29"/>
    <w:rsid w:val="00EE4C38"/>
    <w:rsid w:val="00EE4CBA"/>
    <w:rsid w:val="00EE520A"/>
    <w:rsid w:val="00EE54BE"/>
    <w:rsid w:val="00EE54E9"/>
    <w:rsid w:val="00EE55B0"/>
    <w:rsid w:val="00EE5630"/>
    <w:rsid w:val="00EE563D"/>
    <w:rsid w:val="00EE5671"/>
    <w:rsid w:val="00EE56DF"/>
    <w:rsid w:val="00EE5724"/>
    <w:rsid w:val="00EE58D8"/>
    <w:rsid w:val="00EE5A16"/>
    <w:rsid w:val="00EE5B36"/>
    <w:rsid w:val="00EE5B80"/>
    <w:rsid w:val="00EE5BCF"/>
    <w:rsid w:val="00EE5D80"/>
    <w:rsid w:val="00EE5D81"/>
    <w:rsid w:val="00EE5EE0"/>
    <w:rsid w:val="00EE5F35"/>
    <w:rsid w:val="00EE6116"/>
    <w:rsid w:val="00EE6150"/>
    <w:rsid w:val="00EE6151"/>
    <w:rsid w:val="00EE6510"/>
    <w:rsid w:val="00EE65AE"/>
    <w:rsid w:val="00EE6602"/>
    <w:rsid w:val="00EE6608"/>
    <w:rsid w:val="00EE6632"/>
    <w:rsid w:val="00EE69D2"/>
    <w:rsid w:val="00EE69D4"/>
    <w:rsid w:val="00EE6B18"/>
    <w:rsid w:val="00EE6B22"/>
    <w:rsid w:val="00EE6B9D"/>
    <w:rsid w:val="00EE6C9F"/>
    <w:rsid w:val="00EE6CAC"/>
    <w:rsid w:val="00EE6CFA"/>
    <w:rsid w:val="00EE6D3D"/>
    <w:rsid w:val="00EE6E3C"/>
    <w:rsid w:val="00EE7081"/>
    <w:rsid w:val="00EE717E"/>
    <w:rsid w:val="00EE71F8"/>
    <w:rsid w:val="00EE7204"/>
    <w:rsid w:val="00EE7208"/>
    <w:rsid w:val="00EE720A"/>
    <w:rsid w:val="00EE7237"/>
    <w:rsid w:val="00EE739C"/>
    <w:rsid w:val="00EE7465"/>
    <w:rsid w:val="00EE7476"/>
    <w:rsid w:val="00EE7580"/>
    <w:rsid w:val="00EE75C3"/>
    <w:rsid w:val="00EE7635"/>
    <w:rsid w:val="00EE782F"/>
    <w:rsid w:val="00EE7955"/>
    <w:rsid w:val="00EE79EB"/>
    <w:rsid w:val="00EE7AB4"/>
    <w:rsid w:val="00EE7B00"/>
    <w:rsid w:val="00EE7BA3"/>
    <w:rsid w:val="00EE7BA5"/>
    <w:rsid w:val="00EE7BE1"/>
    <w:rsid w:val="00EE7BE2"/>
    <w:rsid w:val="00EE7C49"/>
    <w:rsid w:val="00EE7C56"/>
    <w:rsid w:val="00EE7C91"/>
    <w:rsid w:val="00EE7D57"/>
    <w:rsid w:val="00EE7E06"/>
    <w:rsid w:val="00EE7E23"/>
    <w:rsid w:val="00EF0198"/>
    <w:rsid w:val="00EF01EC"/>
    <w:rsid w:val="00EF0286"/>
    <w:rsid w:val="00EF0360"/>
    <w:rsid w:val="00EF03D8"/>
    <w:rsid w:val="00EF03E4"/>
    <w:rsid w:val="00EF049D"/>
    <w:rsid w:val="00EF0532"/>
    <w:rsid w:val="00EF0607"/>
    <w:rsid w:val="00EF069D"/>
    <w:rsid w:val="00EF0736"/>
    <w:rsid w:val="00EF075E"/>
    <w:rsid w:val="00EF0842"/>
    <w:rsid w:val="00EF092F"/>
    <w:rsid w:val="00EF0E2C"/>
    <w:rsid w:val="00EF0E87"/>
    <w:rsid w:val="00EF0E97"/>
    <w:rsid w:val="00EF0F23"/>
    <w:rsid w:val="00EF0F28"/>
    <w:rsid w:val="00EF1001"/>
    <w:rsid w:val="00EF1130"/>
    <w:rsid w:val="00EF138B"/>
    <w:rsid w:val="00EF1407"/>
    <w:rsid w:val="00EF1569"/>
    <w:rsid w:val="00EF1590"/>
    <w:rsid w:val="00EF15B2"/>
    <w:rsid w:val="00EF1719"/>
    <w:rsid w:val="00EF174A"/>
    <w:rsid w:val="00EF1785"/>
    <w:rsid w:val="00EF18D6"/>
    <w:rsid w:val="00EF1A75"/>
    <w:rsid w:val="00EF1B0A"/>
    <w:rsid w:val="00EF1DDA"/>
    <w:rsid w:val="00EF1F36"/>
    <w:rsid w:val="00EF1FAC"/>
    <w:rsid w:val="00EF2063"/>
    <w:rsid w:val="00EF21AF"/>
    <w:rsid w:val="00EF243C"/>
    <w:rsid w:val="00EF251A"/>
    <w:rsid w:val="00EF2561"/>
    <w:rsid w:val="00EF267A"/>
    <w:rsid w:val="00EF2693"/>
    <w:rsid w:val="00EF2982"/>
    <w:rsid w:val="00EF2A9D"/>
    <w:rsid w:val="00EF2B6A"/>
    <w:rsid w:val="00EF2CE1"/>
    <w:rsid w:val="00EF2CE8"/>
    <w:rsid w:val="00EF2D45"/>
    <w:rsid w:val="00EF2E67"/>
    <w:rsid w:val="00EF336A"/>
    <w:rsid w:val="00EF336D"/>
    <w:rsid w:val="00EF3609"/>
    <w:rsid w:val="00EF37F6"/>
    <w:rsid w:val="00EF3807"/>
    <w:rsid w:val="00EF383A"/>
    <w:rsid w:val="00EF3A55"/>
    <w:rsid w:val="00EF3BA2"/>
    <w:rsid w:val="00EF3CFB"/>
    <w:rsid w:val="00EF3CFC"/>
    <w:rsid w:val="00EF3D56"/>
    <w:rsid w:val="00EF3F8F"/>
    <w:rsid w:val="00EF4028"/>
    <w:rsid w:val="00EF406A"/>
    <w:rsid w:val="00EF4232"/>
    <w:rsid w:val="00EF4302"/>
    <w:rsid w:val="00EF4472"/>
    <w:rsid w:val="00EF48A1"/>
    <w:rsid w:val="00EF496A"/>
    <w:rsid w:val="00EF496B"/>
    <w:rsid w:val="00EF4B13"/>
    <w:rsid w:val="00EF4B2D"/>
    <w:rsid w:val="00EF4C72"/>
    <w:rsid w:val="00EF4CDC"/>
    <w:rsid w:val="00EF4D67"/>
    <w:rsid w:val="00EF4DA1"/>
    <w:rsid w:val="00EF4EA0"/>
    <w:rsid w:val="00EF4F79"/>
    <w:rsid w:val="00EF4FCA"/>
    <w:rsid w:val="00EF4FDC"/>
    <w:rsid w:val="00EF4FEC"/>
    <w:rsid w:val="00EF5130"/>
    <w:rsid w:val="00EF5207"/>
    <w:rsid w:val="00EF544C"/>
    <w:rsid w:val="00EF573A"/>
    <w:rsid w:val="00EF580E"/>
    <w:rsid w:val="00EF5B73"/>
    <w:rsid w:val="00EF5C95"/>
    <w:rsid w:val="00EF5D10"/>
    <w:rsid w:val="00EF5EF9"/>
    <w:rsid w:val="00EF5F22"/>
    <w:rsid w:val="00EF5F92"/>
    <w:rsid w:val="00EF5FE5"/>
    <w:rsid w:val="00EF602C"/>
    <w:rsid w:val="00EF60BE"/>
    <w:rsid w:val="00EF61D6"/>
    <w:rsid w:val="00EF6205"/>
    <w:rsid w:val="00EF62D6"/>
    <w:rsid w:val="00EF637A"/>
    <w:rsid w:val="00EF63C6"/>
    <w:rsid w:val="00EF63EF"/>
    <w:rsid w:val="00EF655C"/>
    <w:rsid w:val="00EF6589"/>
    <w:rsid w:val="00EF6636"/>
    <w:rsid w:val="00EF66C2"/>
    <w:rsid w:val="00EF6771"/>
    <w:rsid w:val="00EF67D9"/>
    <w:rsid w:val="00EF682D"/>
    <w:rsid w:val="00EF68C4"/>
    <w:rsid w:val="00EF6949"/>
    <w:rsid w:val="00EF6A30"/>
    <w:rsid w:val="00EF6BC7"/>
    <w:rsid w:val="00EF6CE9"/>
    <w:rsid w:val="00EF6CF1"/>
    <w:rsid w:val="00EF6E05"/>
    <w:rsid w:val="00EF6E84"/>
    <w:rsid w:val="00EF6F36"/>
    <w:rsid w:val="00EF6F9C"/>
    <w:rsid w:val="00EF7062"/>
    <w:rsid w:val="00EF707F"/>
    <w:rsid w:val="00EF70AA"/>
    <w:rsid w:val="00EF7302"/>
    <w:rsid w:val="00EF732B"/>
    <w:rsid w:val="00EF739A"/>
    <w:rsid w:val="00EF740F"/>
    <w:rsid w:val="00EF74A7"/>
    <w:rsid w:val="00EF74F1"/>
    <w:rsid w:val="00EF7571"/>
    <w:rsid w:val="00EF797C"/>
    <w:rsid w:val="00EF79F7"/>
    <w:rsid w:val="00EF7C54"/>
    <w:rsid w:val="00EF7D10"/>
    <w:rsid w:val="00EF7E49"/>
    <w:rsid w:val="00EF7F1B"/>
    <w:rsid w:val="00EF7F7F"/>
    <w:rsid w:val="00F00050"/>
    <w:rsid w:val="00F00260"/>
    <w:rsid w:val="00F00273"/>
    <w:rsid w:val="00F002A1"/>
    <w:rsid w:val="00F004F7"/>
    <w:rsid w:val="00F005F2"/>
    <w:rsid w:val="00F00664"/>
    <w:rsid w:val="00F00700"/>
    <w:rsid w:val="00F00701"/>
    <w:rsid w:val="00F00713"/>
    <w:rsid w:val="00F0099D"/>
    <w:rsid w:val="00F009B5"/>
    <w:rsid w:val="00F00A89"/>
    <w:rsid w:val="00F00AB4"/>
    <w:rsid w:val="00F00AF7"/>
    <w:rsid w:val="00F00BC9"/>
    <w:rsid w:val="00F00D13"/>
    <w:rsid w:val="00F00D2D"/>
    <w:rsid w:val="00F00E3E"/>
    <w:rsid w:val="00F00F1A"/>
    <w:rsid w:val="00F00F9B"/>
    <w:rsid w:val="00F00FC1"/>
    <w:rsid w:val="00F01080"/>
    <w:rsid w:val="00F0116D"/>
    <w:rsid w:val="00F0132C"/>
    <w:rsid w:val="00F0159C"/>
    <w:rsid w:val="00F016CB"/>
    <w:rsid w:val="00F01856"/>
    <w:rsid w:val="00F018D2"/>
    <w:rsid w:val="00F019D0"/>
    <w:rsid w:val="00F01A2F"/>
    <w:rsid w:val="00F01CAB"/>
    <w:rsid w:val="00F01CCB"/>
    <w:rsid w:val="00F01D1A"/>
    <w:rsid w:val="00F01D29"/>
    <w:rsid w:val="00F01D74"/>
    <w:rsid w:val="00F01DA3"/>
    <w:rsid w:val="00F01E39"/>
    <w:rsid w:val="00F01FBC"/>
    <w:rsid w:val="00F0211D"/>
    <w:rsid w:val="00F02139"/>
    <w:rsid w:val="00F022C3"/>
    <w:rsid w:val="00F0238B"/>
    <w:rsid w:val="00F023EB"/>
    <w:rsid w:val="00F0248B"/>
    <w:rsid w:val="00F026C7"/>
    <w:rsid w:val="00F02AA1"/>
    <w:rsid w:val="00F02D14"/>
    <w:rsid w:val="00F02D49"/>
    <w:rsid w:val="00F02E10"/>
    <w:rsid w:val="00F02E85"/>
    <w:rsid w:val="00F02E8D"/>
    <w:rsid w:val="00F02F2C"/>
    <w:rsid w:val="00F02F36"/>
    <w:rsid w:val="00F02FBC"/>
    <w:rsid w:val="00F0302A"/>
    <w:rsid w:val="00F030B2"/>
    <w:rsid w:val="00F031F6"/>
    <w:rsid w:val="00F032E7"/>
    <w:rsid w:val="00F03343"/>
    <w:rsid w:val="00F03452"/>
    <w:rsid w:val="00F0346E"/>
    <w:rsid w:val="00F034AD"/>
    <w:rsid w:val="00F034FB"/>
    <w:rsid w:val="00F0366C"/>
    <w:rsid w:val="00F036E0"/>
    <w:rsid w:val="00F0372E"/>
    <w:rsid w:val="00F0383A"/>
    <w:rsid w:val="00F038E4"/>
    <w:rsid w:val="00F03909"/>
    <w:rsid w:val="00F03935"/>
    <w:rsid w:val="00F03A14"/>
    <w:rsid w:val="00F03BE6"/>
    <w:rsid w:val="00F03DF7"/>
    <w:rsid w:val="00F03F8E"/>
    <w:rsid w:val="00F04270"/>
    <w:rsid w:val="00F04366"/>
    <w:rsid w:val="00F043C4"/>
    <w:rsid w:val="00F04449"/>
    <w:rsid w:val="00F0448D"/>
    <w:rsid w:val="00F044B8"/>
    <w:rsid w:val="00F04588"/>
    <w:rsid w:val="00F04633"/>
    <w:rsid w:val="00F046D1"/>
    <w:rsid w:val="00F04934"/>
    <w:rsid w:val="00F04974"/>
    <w:rsid w:val="00F049DF"/>
    <w:rsid w:val="00F04A39"/>
    <w:rsid w:val="00F04AC2"/>
    <w:rsid w:val="00F04AE8"/>
    <w:rsid w:val="00F04BB4"/>
    <w:rsid w:val="00F04DC1"/>
    <w:rsid w:val="00F05031"/>
    <w:rsid w:val="00F050EE"/>
    <w:rsid w:val="00F0515A"/>
    <w:rsid w:val="00F052C2"/>
    <w:rsid w:val="00F05306"/>
    <w:rsid w:val="00F053DA"/>
    <w:rsid w:val="00F054EC"/>
    <w:rsid w:val="00F054F0"/>
    <w:rsid w:val="00F0551E"/>
    <w:rsid w:val="00F055C9"/>
    <w:rsid w:val="00F055D2"/>
    <w:rsid w:val="00F05606"/>
    <w:rsid w:val="00F0562A"/>
    <w:rsid w:val="00F05697"/>
    <w:rsid w:val="00F056CB"/>
    <w:rsid w:val="00F058F3"/>
    <w:rsid w:val="00F059CA"/>
    <w:rsid w:val="00F05DC4"/>
    <w:rsid w:val="00F05E1A"/>
    <w:rsid w:val="00F05F63"/>
    <w:rsid w:val="00F05F99"/>
    <w:rsid w:val="00F06002"/>
    <w:rsid w:val="00F06048"/>
    <w:rsid w:val="00F06075"/>
    <w:rsid w:val="00F06159"/>
    <w:rsid w:val="00F0626A"/>
    <w:rsid w:val="00F0627F"/>
    <w:rsid w:val="00F0631A"/>
    <w:rsid w:val="00F063AB"/>
    <w:rsid w:val="00F066A8"/>
    <w:rsid w:val="00F066C6"/>
    <w:rsid w:val="00F06817"/>
    <w:rsid w:val="00F068AD"/>
    <w:rsid w:val="00F06A78"/>
    <w:rsid w:val="00F06B9F"/>
    <w:rsid w:val="00F06C7B"/>
    <w:rsid w:val="00F06E0F"/>
    <w:rsid w:val="00F06E66"/>
    <w:rsid w:val="00F06F0F"/>
    <w:rsid w:val="00F06F80"/>
    <w:rsid w:val="00F0729F"/>
    <w:rsid w:val="00F07303"/>
    <w:rsid w:val="00F07398"/>
    <w:rsid w:val="00F07540"/>
    <w:rsid w:val="00F075E9"/>
    <w:rsid w:val="00F07786"/>
    <w:rsid w:val="00F077D4"/>
    <w:rsid w:val="00F07854"/>
    <w:rsid w:val="00F07930"/>
    <w:rsid w:val="00F07941"/>
    <w:rsid w:val="00F079BC"/>
    <w:rsid w:val="00F07A11"/>
    <w:rsid w:val="00F07AF6"/>
    <w:rsid w:val="00F07CA9"/>
    <w:rsid w:val="00F07CB0"/>
    <w:rsid w:val="00F10004"/>
    <w:rsid w:val="00F1004D"/>
    <w:rsid w:val="00F101A1"/>
    <w:rsid w:val="00F10393"/>
    <w:rsid w:val="00F105F5"/>
    <w:rsid w:val="00F10693"/>
    <w:rsid w:val="00F106D9"/>
    <w:rsid w:val="00F1075A"/>
    <w:rsid w:val="00F107CE"/>
    <w:rsid w:val="00F10B50"/>
    <w:rsid w:val="00F10EB0"/>
    <w:rsid w:val="00F10F70"/>
    <w:rsid w:val="00F10FEC"/>
    <w:rsid w:val="00F110B3"/>
    <w:rsid w:val="00F110BB"/>
    <w:rsid w:val="00F110F7"/>
    <w:rsid w:val="00F11194"/>
    <w:rsid w:val="00F111A8"/>
    <w:rsid w:val="00F111B6"/>
    <w:rsid w:val="00F11226"/>
    <w:rsid w:val="00F11297"/>
    <w:rsid w:val="00F113A5"/>
    <w:rsid w:val="00F114A2"/>
    <w:rsid w:val="00F1151D"/>
    <w:rsid w:val="00F1164A"/>
    <w:rsid w:val="00F1166F"/>
    <w:rsid w:val="00F116BC"/>
    <w:rsid w:val="00F116F5"/>
    <w:rsid w:val="00F11761"/>
    <w:rsid w:val="00F117BE"/>
    <w:rsid w:val="00F11833"/>
    <w:rsid w:val="00F118BB"/>
    <w:rsid w:val="00F11997"/>
    <w:rsid w:val="00F119B7"/>
    <w:rsid w:val="00F11B18"/>
    <w:rsid w:val="00F11B4A"/>
    <w:rsid w:val="00F11B7E"/>
    <w:rsid w:val="00F11BF2"/>
    <w:rsid w:val="00F11D6C"/>
    <w:rsid w:val="00F11E70"/>
    <w:rsid w:val="00F11FC7"/>
    <w:rsid w:val="00F12115"/>
    <w:rsid w:val="00F1212C"/>
    <w:rsid w:val="00F12468"/>
    <w:rsid w:val="00F12684"/>
    <w:rsid w:val="00F12730"/>
    <w:rsid w:val="00F127AE"/>
    <w:rsid w:val="00F127B7"/>
    <w:rsid w:val="00F127F1"/>
    <w:rsid w:val="00F128A4"/>
    <w:rsid w:val="00F1292E"/>
    <w:rsid w:val="00F129E3"/>
    <w:rsid w:val="00F12A69"/>
    <w:rsid w:val="00F12ADB"/>
    <w:rsid w:val="00F12B20"/>
    <w:rsid w:val="00F12BF0"/>
    <w:rsid w:val="00F12C64"/>
    <w:rsid w:val="00F12C6A"/>
    <w:rsid w:val="00F12C75"/>
    <w:rsid w:val="00F12C8D"/>
    <w:rsid w:val="00F12CA7"/>
    <w:rsid w:val="00F12DE5"/>
    <w:rsid w:val="00F12E6E"/>
    <w:rsid w:val="00F1316C"/>
    <w:rsid w:val="00F1322D"/>
    <w:rsid w:val="00F13298"/>
    <w:rsid w:val="00F1330C"/>
    <w:rsid w:val="00F13362"/>
    <w:rsid w:val="00F133BD"/>
    <w:rsid w:val="00F134EC"/>
    <w:rsid w:val="00F137BD"/>
    <w:rsid w:val="00F1381E"/>
    <w:rsid w:val="00F13943"/>
    <w:rsid w:val="00F13BC0"/>
    <w:rsid w:val="00F13FD1"/>
    <w:rsid w:val="00F14005"/>
    <w:rsid w:val="00F14010"/>
    <w:rsid w:val="00F144B7"/>
    <w:rsid w:val="00F144D1"/>
    <w:rsid w:val="00F14501"/>
    <w:rsid w:val="00F1475F"/>
    <w:rsid w:val="00F147CE"/>
    <w:rsid w:val="00F148E4"/>
    <w:rsid w:val="00F149B4"/>
    <w:rsid w:val="00F14CFC"/>
    <w:rsid w:val="00F14E12"/>
    <w:rsid w:val="00F14ED3"/>
    <w:rsid w:val="00F14FA0"/>
    <w:rsid w:val="00F152B5"/>
    <w:rsid w:val="00F154A6"/>
    <w:rsid w:val="00F15644"/>
    <w:rsid w:val="00F15680"/>
    <w:rsid w:val="00F156EE"/>
    <w:rsid w:val="00F15748"/>
    <w:rsid w:val="00F15895"/>
    <w:rsid w:val="00F1596C"/>
    <w:rsid w:val="00F1599A"/>
    <w:rsid w:val="00F15A21"/>
    <w:rsid w:val="00F15AD0"/>
    <w:rsid w:val="00F15B7B"/>
    <w:rsid w:val="00F15CBB"/>
    <w:rsid w:val="00F15E24"/>
    <w:rsid w:val="00F15EC3"/>
    <w:rsid w:val="00F16058"/>
    <w:rsid w:val="00F16087"/>
    <w:rsid w:val="00F160E1"/>
    <w:rsid w:val="00F16102"/>
    <w:rsid w:val="00F1612E"/>
    <w:rsid w:val="00F1616E"/>
    <w:rsid w:val="00F162D6"/>
    <w:rsid w:val="00F1636E"/>
    <w:rsid w:val="00F16419"/>
    <w:rsid w:val="00F164D3"/>
    <w:rsid w:val="00F16587"/>
    <w:rsid w:val="00F166C0"/>
    <w:rsid w:val="00F167E1"/>
    <w:rsid w:val="00F16858"/>
    <w:rsid w:val="00F16875"/>
    <w:rsid w:val="00F16A3B"/>
    <w:rsid w:val="00F16A46"/>
    <w:rsid w:val="00F16C0B"/>
    <w:rsid w:val="00F16C0F"/>
    <w:rsid w:val="00F16E1E"/>
    <w:rsid w:val="00F16E77"/>
    <w:rsid w:val="00F16F05"/>
    <w:rsid w:val="00F16FC5"/>
    <w:rsid w:val="00F17215"/>
    <w:rsid w:val="00F17303"/>
    <w:rsid w:val="00F17314"/>
    <w:rsid w:val="00F17366"/>
    <w:rsid w:val="00F173D3"/>
    <w:rsid w:val="00F17404"/>
    <w:rsid w:val="00F1749D"/>
    <w:rsid w:val="00F174F5"/>
    <w:rsid w:val="00F174F7"/>
    <w:rsid w:val="00F17516"/>
    <w:rsid w:val="00F175B9"/>
    <w:rsid w:val="00F175DF"/>
    <w:rsid w:val="00F17648"/>
    <w:rsid w:val="00F17769"/>
    <w:rsid w:val="00F17911"/>
    <w:rsid w:val="00F17A59"/>
    <w:rsid w:val="00F17B26"/>
    <w:rsid w:val="00F17C64"/>
    <w:rsid w:val="00F17E0B"/>
    <w:rsid w:val="00F17EAE"/>
    <w:rsid w:val="00F17F0C"/>
    <w:rsid w:val="00F20150"/>
    <w:rsid w:val="00F20205"/>
    <w:rsid w:val="00F20263"/>
    <w:rsid w:val="00F202DD"/>
    <w:rsid w:val="00F206F2"/>
    <w:rsid w:val="00F20907"/>
    <w:rsid w:val="00F20A0C"/>
    <w:rsid w:val="00F20B9D"/>
    <w:rsid w:val="00F20C66"/>
    <w:rsid w:val="00F20D50"/>
    <w:rsid w:val="00F20DE9"/>
    <w:rsid w:val="00F20E81"/>
    <w:rsid w:val="00F20E97"/>
    <w:rsid w:val="00F20F3F"/>
    <w:rsid w:val="00F20FAA"/>
    <w:rsid w:val="00F210EF"/>
    <w:rsid w:val="00F21176"/>
    <w:rsid w:val="00F211D1"/>
    <w:rsid w:val="00F2133B"/>
    <w:rsid w:val="00F2135D"/>
    <w:rsid w:val="00F21427"/>
    <w:rsid w:val="00F2152B"/>
    <w:rsid w:val="00F21561"/>
    <w:rsid w:val="00F21751"/>
    <w:rsid w:val="00F21752"/>
    <w:rsid w:val="00F2176A"/>
    <w:rsid w:val="00F217FB"/>
    <w:rsid w:val="00F2188E"/>
    <w:rsid w:val="00F21AD8"/>
    <w:rsid w:val="00F2205F"/>
    <w:rsid w:val="00F22193"/>
    <w:rsid w:val="00F221C2"/>
    <w:rsid w:val="00F22485"/>
    <w:rsid w:val="00F224CF"/>
    <w:rsid w:val="00F224E0"/>
    <w:rsid w:val="00F225EF"/>
    <w:rsid w:val="00F22652"/>
    <w:rsid w:val="00F22808"/>
    <w:rsid w:val="00F22842"/>
    <w:rsid w:val="00F2288E"/>
    <w:rsid w:val="00F22893"/>
    <w:rsid w:val="00F22997"/>
    <w:rsid w:val="00F22A10"/>
    <w:rsid w:val="00F22B72"/>
    <w:rsid w:val="00F22C61"/>
    <w:rsid w:val="00F22E82"/>
    <w:rsid w:val="00F22EF8"/>
    <w:rsid w:val="00F22EFC"/>
    <w:rsid w:val="00F22F71"/>
    <w:rsid w:val="00F22F90"/>
    <w:rsid w:val="00F22FBD"/>
    <w:rsid w:val="00F2310E"/>
    <w:rsid w:val="00F2311C"/>
    <w:rsid w:val="00F2313D"/>
    <w:rsid w:val="00F2318C"/>
    <w:rsid w:val="00F231F8"/>
    <w:rsid w:val="00F23356"/>
    <w:rsid w:val="00F233AB"/>
    <w:rsid w:val="00F2344E"/>
    <w:rsid w:val="00F23581"/>
    <w:rsid w:val="00F23645"/>
    <w:rsid w:val="00F237F6"/>
    <w:rsid w:val="00F23820"/>
    <w:rsid w:val="00F239FD"/>
    <w:rsid w:val="00F23A07"/>
    <w:rsid w:val="00F23AC7"/>
    <w:rsid w:val="00F23ACC"/>
    <w:rsid w:val="00F23BA7"/>
    <w:rsid w:val="00F23BB5"/>
    <w:rsid w:val="00F23CC5"/>
    <w:rsid w:val="00F23CCB"/>
    <w:rsid w:val="00F23E72"/>
    <w:rsid w:val="00F24073"/>
    <w:rsid w:val="00F240CB"/>
    <w:rsid w:val="00F240D5"/>
    <w:rsid w:val="00F24103"/>
    <w:rsid w:val="00F24336"/>
    <w:rsid w:val="00F24385"/>
    <w:rsid w:val="00F245C5"/>
    <w:rsid w:val="00F2483A"/>
    <w:rsid w:val="00F24886"/>
    <w:rsid w:val="00F24A5D"/>
    <w:rsid w:val="00F24B73"/>
    <w:rsid w:val="00F24BA4"/>
    <w:rsid w:val="00F24C17"/>
    <w:rsid w:val="00F24D7B"/>
    <w:rsid w:val="00F24E27"/>
    <w:rsid w:val="00F24E44"/>
    <w:rsid w:val="00F24EC8"/>
    <w:rsid w:val="00F24F21"/>
    <w:rsid w:val="00F24F3C"/>
    <w:rsid w:val="00F25038"/>
    <w:rsid w:val="00F250AE"/>
    <w:rsid w:val="00F25186"/>
    <w:rsid w:val="00F2527B"/>
    <w:rsid w:val="00F25471"/>
    <w:rsid w:val="00F2555B"/>
    <w:rsid w:val="00F25612"/>
    <w:rsid w:val="00F2576D"/>
    <w:rsid w:val="00F257A8"/>
    <w:rsid w:val="00F258D3"/>
    <w:rsid w:val="00F25928"/>
    <w:rsid w:val="00F25970"/>
    <w:rsid w:val="00F25A33"/>
    <w:rsid w:val="00F25AA7"/>
    <w:rsid w:val="00F25B67"/>
    <w:rsid w:val="00F25F2E"/>
    <w:rsid w:val="00F25F7A"/>
    <w:rsid w:val="00F25FAC"/>
    <w:rsid w:val="00F26139"/>
    <w:rsid w:val="00F261AE"/>
    <w:rsid w:val="00F2623D"/>
    <w:rsid w:val="00F262EE"/>
    <w:rsid w:val="00F2632F"/>
    <w:rsid w:val="00F268C3"/>
    <w:rsid w:val="00F269FC"/>
    <w:rsid w:val="00F26A23"/>
    <w:rsid w:val="00F26A75"/>
    <w:rsid w:val="00F26B0C"/>
    <w:rsid w:val="00F26B69"/>
    <w:rsid w:val="00F26BF9"/>
    <w:rsid w:val="00F26CCE"/>
    <w:rsid w:val="00F26D05"/>
    <w:rsid w:val="00F26E36"/>
    <w:rsid w:val="00F26E37"/>
    <w:rsid w:val="00F26E77"/>
    <w:rsid w:val="00F26F7A"/>
    <w:rsid w:val="00F26F9A"/>
    <w:rsid w:val="00F26FAE"/>
    <w:rsid w:val="00F26FC7"/>
    <w:rsid w:val="00F272E4"/>
    <w:rsid w:val="00F273A2"/>
    <w:rsid w:val="00F274AA"/>
    <w:rsid w:val="00F275ED"/>
    <w:rsid w:val="00F2769F"/>
    <w:rsid w:val="00F277DC"/>
    <w:rsid w:val="00F278B1"/>
    <w:rsid w:val="00F27975"/>
    <w:rsid w:val="00F279AD"/>
    <w:rsid w:val="00F27A4B"/>
    <w:rsid w:val="00F27B8A"/>
    <w:rsid w:val="00F27D56"/>
    <w:rsid w:val="00F27DDD"/>
    <w:rsid w:val="00F27EFB"/>
    <w:rsid w:val="00F30056"/>
    <w:rsid w:val="00F3010C"/>
    <w:rsid w:val="00F30110"/>
    <w:rsid w:val="00F3016A"/>
    <w:rsid w:val="00F30208"/>
    <w:rsid w:val="00F30274"/>
    <w:rsid w:val="00F302BC"/>
    <w:rsid w:val="00F30302"/>
    <w:rsid w:val="00F30398"/>
    <w:rsid w:val="00F30465"/>
    <w:rsid w:val="00F304A1"/>
    <w:rsid w:val="00F304D9"/>
    <w:rsid w:val="00F3061A"/>
    <w:rsid w:val="00F3061F"/>
    <w:rsid w:val="00F3064C"/>
    <w:rsid w:val="00F30652"/>
    <w:rsid w:val="00F3085B"/>
    <w:rsid w:val="00F30864"/>
    <w:rsid w:val="00F308B9"/>
    <w:rsid w:val="00F30973"/>
    <w:rsid w:val="00F30AB0"/>
    <w:rsid w:val="00F30AE0"/>
    <w:rsid w:val="00F30B86"/>
    <w:rsid w:val="00F30BF4"/>
    <w:rsid w:val="00F30D08"/>
    <w:rsid w:val="00F30F08"/>
    <w:rsid w:val="00F30F2D"/>
    <w:rsid w:val="00F313E9"/>
    <w:rsid w:val="00F31524"/>
    <w:rsid w:val="00F315BE"/>
    <w:rsid w:val="00F317CD"/>
    <w:rsid w:val="00F3187F"/>
    <w:rsid w:val="00F31A32"/>
    <w:rsid w:val="00F31C71"/>
    <w:rsid w:val="00F31CD6"/>
    <w:rsid w:val="00F31D0F"/>
    <w:rsid w:val="00F31E79"/>
    <w:rsid w:val="00F3209D"/>
    <w:rsid w:val="00F320E0"/>
    <w:rsid w:val="00F3210A"/>
    <w:rsid w:val="00F321A4"/>
    <w:rsid w:val="00F321FD"/>
    <w:rsid w:val="00F32340"/>
    <w:rsid w:val="00F324A7"/>
    <w:rsid w:val="00F324D5"/>
    <w:rsid w:val="00F3252F"/>
    <w:rsid w:val="00F325CA"/>
    <w:rsid w:val="00F3272F"/>
    <w:rsid w:val="00F328E3"/>
    <w:rsid w:val="00F32917"/>
    <w:rsid w:val="00F32AB4"/>
    <w:rsid w:val="00F32B56"/>
    <w:rsid w:val="00F32BEC"/>
    <w:rsid w:val="00F32BF2"/>
    <w:rsid w:val="00F32C26"/>
    <w:rsid w:val="00F32D21"/>
    <w:rsid w:val="00F32E2C"/>
    <w:rsid w:val="00F32E37"/>
    <w:rsid w:val="00F32F66"/>
    <w:rsid w:val="00F33054"/>
    <w:rsid w:val="00F331A1"/>
    <w:rsid w:val="00F33211"/>
    <w:rsid w:val="00F3323F"/>
    <w:rsid w:val="00F33437"/>
    <w:rsid w:val="00F33515"/>
    <w:rsid w:val="00F33540"/>
    <w:rsid w:val="00F3368D"/>
    <w:rsid w:val="00F3369E"/>
    <w:rsid w:val="00F33700"/>
    <w:rsid w:val="00F33761"/>
    <w:rsid w:val="00F337BF"/>
    <w:rsid w:val="00F338A3"/>
    <w:rsid w:val="00F33A12"/>
    <w:rsid w:val="00F33A4F"/>
    <w:rsid w:val="00F33ABB"/>
    <w:rsid w:val="00F33C8C"/>
    <w:rsid w:val="00F33CFD"/>
    <w:rsid w:val="00F33D14"/>
    <w:rsid w:val="00F33E0F"/>
    <w:rsid w:val="00F34055"/>
    <w:rsid w:val="00F341A2"/>
    <w:rsid w:val="00F341CF"/>
    <w:rsid w:val="00F34284"/>
    <w:rsid w:val="00F343E2"/>
    <w:rsid w:val="00F34479"/>
    <w:rsid w:val="00F3447D"/>
    <w:rsid w:val="00F345C7"/>
    <w:rsid w:val="00F34757"/>
    <w:rsid w:val="00F3483E"/>
    <w:rsid w:val="00F34923"/>
    <w:rsid w:val="00F34952"/>
    <w:rsid w:val="00F34BC0"/>
    <w:rsid w:val="00F34D28"/>
    <w:rsid w:val="00F34E4E"/>
    <w:rsid w:val="00F34FE6"/>
    <w:rsid w:val="00F350BA"/>
    <w:rsid w:val="00F350D3"/>
    <w:rsid w:val="00F35214"/>
    <w:rsid w:val="00F3524C"/>
    <w:rsid w:val="00F3528B"/>
    <w:rsid w:val="00F354D6"/>
    <w:rsid w:val="00F355AC"/>
    <w:rsid w:val="00F3562F"/>
    <w:rsid w:val="00F35652"/>
    <w:rsid w:val="00F3589E"/>
    <w:rsid w:val="00F3591A"/>
    <w:rsid w:val="00F35967"/>
    <w:rsid w:val="00F3596D"/>
    <w:rsid w:val="00F35A28"/>
    <w:rsid w:val="00F35A6D"/>
    <w:rsid w:val="00F35B05"/>
    <w:rsid w:val="00F35BF0"/>
    <w:rsid w:val="00F35D8E"/>
    <w:rsid w:val="00F35E62"/>
    <w:rsid w:val="00F35EEC"/>
    <w:rsid w:val="00F35FBC"/>
    <w:rsid w:val="00F35FDA"/>
    <w:rsid w:val="00F3612B"/>
    <w:rsid w:val="00F36189"/>
    <w:rsid w:val="00F36418"/>
    <w:rsid w:val="00F36433"/>
    <w:rsid w:val="00F3649B"/>
    <w:rsid w:val="00F364FC"/>
    <w:rsid w:val="00F36562"/>
    <w:rsid w:val="00F36664"/>
    <w:rsid w:val="00F36729"/>
    <w:rsid w:val="00F36741"/>
    <w:rsid w:val="00F36789"/>
    <w:rsid w:val="00F367CB"/>
    <w:rsid w:val="00F36817"/>
    <w:rsid w:val="00F3695A"/>
    <w:rsid w:val="00F36B13"/>
    <w:rsid w:val="00F36BB9"/>
    <w:rsid w:val="00F36C33"/>
    <w:rsid w:val="00F36CB5"/>
    <w:rsid w:val="00F36CE2"/>
    <w:rsid w:val="00F36D8A"/>
    <w:rsid w:val="00F36F6D"/>
    <w:rsid w:val="00F371F7"/>
    <w:rsid w:val="00F3720E"/>
    <w:rsid w:val="00F37235"/>
    <w:rsid w:val="00F373BE"/>
    <w:rsid w:val="00F3742C"/>
    <w:rsid w:val="00F374C4"/>
    <w:rsid w:val="00F37513"/>
    <w:rsid w:val="00F37589"/>
    <w:rsid w:val="00F375C0"/>
    <w:rsid w:val="00F376B7"/>
    <w:rsid w:val="00F37711"/>
    <w:rsid w:val="00F377F3"/>
    <w:rsid w:val="00F37BC9"/>
    <w:rsid w:val="00F37BFB"/>
    <w:rsid w:val="00F37D02"/>
    <w:rsid w:val="00F37D98"/>
    <w:rsid w:val="00F37DE4"/>
    <w:rsid w:val="00F40058"/>
    <w:rsid w:val="00F400B7"/>
    <w:rsid w:val="00F401F7"/>
    <w:rsid w:val="00F403B7"/>
    <w:rsid w:val="00F403FB"/>
    <w:rsid w:val="00F40459"/>
    <w:rsid w:val="00F4045E"/>
    <w:rsid w:val="00F40709"/>
    <w:rsid w:val="00F407BB"/>
    <w:rsid w:val="00F408B8"/>
    <w:rsid w:val="00F4095C"/>
    <w:rsid w:val="00F40A45"/>
    <w:rsid w:val="00F40C01"/>
    <w:rsid w:val="00F40CF9"/>
    <w:rsid w:val="00F40DA4"/>
    <w:rsid w:val="00F40DDD"/>
    <w:rsid w:val="00F40E14"/>
    <w:rsid w:val="00F4113D"/>
    <w:rsid w:val="00F412EA"/>
    <w:rsid w:val="00F41307"/>
    <w:rsid w:val="00F41377"/>
    <w:rsid w:val="00F413A2"/>
    <w:rsid w:val="00F4153E"/>
    <w:rsid w:val="00F4159A"/>
    <w:rsid w:val="00F416CE"/>
    <w:rsid w:val="00F41745"/>
    <w:rsid w:val="00F41773"/>
    <w:rsid w:val="00F417D1"/>
    <w:rsid w:val="00F417F2"/>
    <w:rsid w:val="00F41875"/>
    <w:rsid w:val="00F41A0D"/>
    <w:rsid w:val="00F41A42"/>
    <w:rsid w:val="00F41B83"/>
    <w:rsid w:val="00F41D70"/>
    <w:rsid w:val="00F41DC3"/>
    <w:rsid w:val="00F41DF4"/>
    <w:rsid w:val="00F41E31"/>
    <w:rsid w:val="00F42085"/>
    <w:rsid w:val="00F420FA"/>
    <w:rsid w:val="00F42278"/>
    <w:rsid w:val="00F4229B"/>
    <w:rsid w:val="00F42368"/>
    <w:rsid w:val="00F423F1"/>
    <w:rsid w:val="00F425B3"/>
    <w:rsid w:val="00F425F0"/>
    <w:rsid w:val="00F426F8"/>
    <w:rsid w:val="00F42873"/>
    <w:rsid w:val="00F428B9"/>
    <w:rsid w:val="00F429E0"/>
    <w:rsid w:val="00F42A15"/>
    <w:rsid w:val="00F42AAA"/>
    <w:rsid w:val="00F42AD4"/>
    <w:rsid w:val="00F42C8E"/>
    <w:rsid w:val="00F42DB8"/>
    <w:rsid w:val="00F42E56"/>
    <w:rsid w:val="00F42E6A"/>
    <w:rsid w:val="00F42EB6"/>
    <w:rsid w:val="00F42EC9"/>
    <w:rsid w:val="00F430CE"/>
    <w:rsid w:val="00F43113"/>
    <w:rsid w:val="00F431A3"/>
    <w:rsid w:val="00F433A8"/>
    <w:rsid w:val="00F433EA"/>
    <w:rsid w:val="00F4352C"/>
    <w:rsid w:val="00F437F8"/>
    <w:rsid w:val="00F43802"/>
    <w:rsid w:val="00F43898"/>
    <w:rsid w:val="00F438D7"/>
    <w:rsid w:val="00F4393A"/>
    <w:rsid w:val="00F4396C"/>
    <w:rsid w:val="00F43A93"/>
    <w:rsid w:val="00F43BE6"/>
    <w:rsid w:val="00F43CF4"/>
    <w:rsid w:val="00F43F55"/>
    <w:rsid w:val="00F43FAF"/>
    <w:rsid w:val="00F4403D"/>
    <w:rsid w:val="00F4426E"/>
    <w:rsid w:val="00F443A0"/>
    <w:rsid w:val="00F445D1"/>
    <w:rsid w:val="00F4468D"/>
    <w:rsid w:val="00F447DE"/>
    <w:rsid w:val="00F447E6"/>
    <w:rsid w:val="00F44967"/>
    <w:rsid w:val="00F44972"/>
    <w:rsid w:val="00F44997"/>
    <w:rsid w:val="00F44A95"/>
    <w:rsid w:val="00F44AB9"/>
    <w:rsid w:val="00F44ABD"/>
    <w:rsid w:val="00F44BA3"/>
    <w:rsid w:val="00F44E0A"/>
    <w:rsid w:val="00F44E35"/>
    <w:rsid w:val="00F44F59"/>
    <w:rsid w:val="00F450B6"/>
    <w:rsid w:val="00F450E1"/>
    <w:rsid w:val="00F4512F"/>
    <w:rsid w:val="00F45399"/>
    <w:rsid w:val="00F45499"/>
    <w:rsid w:val="00F454DA"/>
    <w:rsid w:val="00F455AE"/>
    <w:rsid w:val="00F4573C"/>
    <w:rsid w:val="00F45778"/>
    <w:rsid w:val="00F4578E"/>
    <w:rsid w:val="00F45993"/>
    <w:rsid w:val="00F459F5"/>
    <w:rsid w:val="00F45A98"/>
    <w:rsid w:val="00F45B28"/>
    <w:rsid w:val="00F45D74"/>
    <w:rsid w:val="00F45EC1"/>
    <w:rsid w:val="00F45F15"/>
    <w:rsid w:val="00F45F22"/>
    <w:rsid w:val="00F45F5E"/>
    <w:rsid w:val="00F46074"/>
    <w:rsid w:val="00F46178"/>
    <w:rsid w:val="00F461D4"/>
    <w:rsid w:val="00F46246"/>
    <w:rsid w:val="00F46271"/>
    <w:rsid w:val="00F4638D"/>
    <w:rsid w:val="00F463FB"/>
    <w:rsid w:val="00F46400"/>
    <w:rsid w:val="00F46561"/>
    <w:rsid w:val="00F46629"/>
    <w:rsid w:val="00F4669D"/>
    <w:rsid w:val="00F466F1"/>
    <w:rsid w:val="00F4673B"/>
    <w:rsid w:val="00F46944"/>
    <w:rsid w:val="00F46964"/>
    <w:rsid w:val="00F469AC"/>
    <w:rsid w:val="00F46A43"/>
    <w:rsid w:val="00F46B7C"/>
    <w:rsid w:val="00F46B9F"/>
    <w:rsid w:val="00F46CDF"/>
    <w:rsid w:val="00F46D86"/>
    <w:rsid w:val="00F47001"/>
    <w:rsid w:val="00F47053"/>
    <w:rsid w:val="00F4713A"/>
    <w:rsid w:val="00F471EF"/>
    <w:rsid w:val="00F473B6"/>
    <w:rsid w:val="00F47404"/>
    <w:rsid w:val="00F4753D"/>
    <w:rsid w:val="00F475A6"/>
    <w:rsid w:val="00F475DF"/>
    <w:rsid w:val="00F476E9"/>
    <w:rsid w:val="00F476EB"/>
    <w:rsid w:val="00F47860"/>
    <w:rsid w:val="00F478C5"/>
    <w:rsid w:val="00F47A99"/>
    <w:rsid w:val="00F47AE9"/>
    <w:rsid w:val="00F47B48"/>
    <w:rsid w:val="00F47B67"/>
    <w:rsid w:val="00F47BF9"/>
    <w:rsid w:val="00F47CFB"/>
    <w:rsid w:val="00F47D41"/>
    <w:rsid w:val="00F47FEA"/>
    <w:rsid w:val="00F49028"/>
    <w:rsid w:val="00F502F6"/>
    <w:rsid w:val="00F5037A"/>
    <w:rsid w:val="00F503D6"/>
    <w:rsid w:val="00F5045C"/>
    <w:rsid w:val="00F504B8"/>
    <w:rsid w:val="00F505F3"/>
    <w:rsid w:val="00F505FE"/>
    <w:rsid w:val="00F50723"/>
    <w:rsid w:val="00F50930"/>
    <w:rsid w:val="00F5093E"/>
    <w:rsid w:val="00F50B68"/>
    <w:rsid w:val="00F50B6F"/>
    <w:rsid w:val="00F50CFE"/>
    <w:rsid w:val="00F50DFC"/>
    <w:rsid w:val="00F50E57"/>
    <w:rsid w:val="00F50EA5"/>
    <w:rsid w:val="00F50EB8"/>
    <w:rsid w:val="00F50EFB"/>
    <w:rsid w:val="00F50F78"/>
    <w:rsid w:val="00F50F88"/>
    <w:rsid w:val="00F510A5"/>
    <w:rsid w:val="00F511D6"/>
    <w:rsid w:val="00F51256"/>
    <w:rsid w:val="00F51289"/>
    <w:rsid w:val="00F512E1"/>
    <w:rsid w:val="00F5148C"/>
    <w:rsid w:val="00F51573"/>
    <w:rsid w:val="00F517E4"/>
    <w:rsid w:val="00F5189A"/>
    <w:rsid w:val="00F51992"/>
    <w:rsid w:val="00F51A73"/>
    <w:rsid w:val="00F51B35"/>
    <w:rsid w:val="00F51BEE"/>
    <w:rsid w:val="00F51CD1"/>
    <w:rsid w:val="00F51CE3"/>
    <w:rsid w:val="00F51D53"/>
    <w:rsid w:val="00F5203E"/>
    <w:rsid w:val="00F520E5"/>
    <w:rsid w:val="00F52131"/>
    <w:rsid w:val="00F52250"/>
    <w:rsid w:val="00F522E0"/>
    <w:rsid w:val="00F523C7"/>
    <w:rsid w:val="00F524F7"/>
    <w:rsid w:val="00F525D2"/>
    <w:rsid w:val="00F52682"/>
    <w:rsid w:val="00F52704"/>
    <w:rsid w:val="00F527B9"/>
    <w:rsid w:val="00F527C4"/>
    <w:rsid w:val="00F5286A"/>
    <w:rsid w:val="00F52A4A"/>
    <w:rsid w:val="00F52A9A"/>
    <w:rsid w:val="00F52B91"/>
    <w:rsid w:val="00F52D3A"/>
    <w:rsid w:val="00F52DF6"/>
    <w:rsid w:val="00F52E57"/>
    <w:rsid w:val="00F53017"/>
    <w:rsid w:val="00F53120"/>
    <w:rsid w:val="00F5324B"/>
    <w:rsid w:val="00F53261"/>
    <w:rsid w:val="00F53263"/>
    <w:rsid w:val="00F5329A"/>
    <w:rsid w:val="00F5329F"/>
    <w:rsid w:val="00F5351B"/>
    <w:rsid w:val="00F53533"/>
    <w:rsid w:val="00F536CB"/>
    <w:rsid w:val="00F53855"/>
    <w:rsid w:val="00F53898"/>
    <w:rsid w:val="00F53962"/>
    <w:rsid w:val="00F53A8E"/>
    <w:rsid w:val="00F53AC1"/>
    <w:rsid w:val="00F53BB9"/>
    <w:rsid w:val="00F53C45"/>
    <w:rsid w:val="00F53D3B"/>
    <w:rsid w:val="00F53D75"/>
    <w:rsid w:val="00F53DFC"/>
    <w:rsid w:val="00F53E06"/>
    <w:rsid w:val="00F53F11"/>
    <w:rsid w:val="00F53FA1"/>
    <w:rsid w:val="00F54105"/>
    <w:rsid w:val="00F54188"/>
    <w:rsid w:val="00F543AE"/>
    <w:rsid w:val="00F5461E"/>
    <w:rsid w:val="00F546EF"/>
    <w:rsid w:val="00F547D1"/>
    <w:rsid w:val="00F547E2"/>
    <w:rsid w:val="00F54AC7"/>
    <w:rsid w:val="00F54B26"/>
    <w:rsid w:val="00F54B99"/>
    <w:rsid w:val="00F54C67"/>
    <w:rsid w:val="00F54CBC"/>
    <w:rsid w:val="00F54CC0"/>
    <w:rsid w:val="00F54CD4"/>
    <w:rsid w:val="00F54D4D"/>
    <w:rsid w:val="00F54DB3"/>
    <w:rsid w:val="00F54ECC"/>
    <w:rsid w:val="00F550C8"/>
    <w:rsid w:val="00F55171"/>
    <w:rsid w:val="00F55261"/>
    <w:rsid w:val="00F5538B"/>
    <w:rsid w:val="00F554CF"/>
    <w:rsid w:val="00F55570"/>
    <w:rsid w:val="00F556C2"/>
    <w:rsid w:val="00F558A1"/>
    <w:rsid w:val="00F559EF"/>
    <w:rsid w:val="00F55AD5"/>
    <w:rsid w:val="00F55B28"/>
    <w:rsid w:val="00F55D82"/>
    <w:rsid w:val="00F55DD1"/>
    <w:rsid w:val="00F55E43"/>
    <w:rsid w:val="00F55E44"/>
    <w:rsid w:val="00F55FB3"/>
    <w:rsid w:val="00F5602C"/>
    <w:rsid w:val="00F560BC"/>
    <w:rsid w:val="00F5617F"/>
    <w:rsid w:val="00F56207"/>
    <w:rsid w:val="00F562C2"/>
    <w:rsid w:val="00F56346"/>
    <w:rsid w:val="00F56467"/>
    <w:rsid w:val="00F56668"/>
    <w:rsid w:val="00F5670C"/>
    <w:rsid w:val="00F56763"/>
    <w:rsid w:val="00F5689B"/>
    <w:rsid w:val="00F56A2C"/>
    <w:rsid w:val="00F56A52"/>
    <w:rsid w:val="00F56ACD"/>
    <w:rsid w:val="00F56B50"/>
    <w:rsid w:val="00F56D83"/>
    <w:rsid w:val="00F56DF7"/>
    <w:rsid w:val="00F56E05"/>
    <w:rsid w:val="00F57090"/>
    <w:rsid w:val="00F570F1"/>
    <w:rsid w:val="00F57100"/>
    <w:rsid w:val="00F57241"/>
    <w:rsid w:val="00F574C6"/>
    <w:rsid w:val="00F5751A"/>
    <w:rsid w:val="00F576C9"/>
    <w:rsid w:val="00F578FC"/>
    <w:rsid w:val="00F5795C"/>
    <w:rsid w:val="00F579BD"/>
    <w:rsid w:val="00F57A8D"/>
    <w:rsid w:val="00F57C89"/>
    <w:rsid w:val="00F57E8A"/>
    <w:rsid w:val="00F57FCE"/>
    <w:rsid w:val="00F57FF7"/>
    <w:rsid w:val="00F5A13A"/>
    <w:rsid w:val="00F60040"/>
    <w:rsid w:val="00F600DC"/>
    <w:rsid w:val="00F600F5"/>
    <w:rsid w:val="00F60106"/>
    <w:rsid w:val="00F60177"/>
    <w:rsid w:val="00F6017B"/>
    <w:rsid w:val="00F60372"/>
    <w:rsid w:val="00F603BC"/>
    <w:rsid w:val="00F60651"/>
    <w:rsid w:val="00F60731"/>
    <w:rsid w:val="00F60769"/>
    <w:rsid w:val="00F60A1F"/>
    <w:rsid w:val="00F60A4E"/>
    <w:rsid w:val="00F60AEA"/>
    <w:rsid w:val="00F60C1F"/>
    <w:rsid w:val="00F60CCA"/>
    <w:rsid w:val="00F60D0E"/>
    <w:rsid w:val="00F60D51"/>
    <w:rsid w:val="00F60DBD"/>
    <w:rsid w:val="00F60E0B"/>
    <w:rsid w:val="00F61021"/>
    <w:rsid w:val="00F61043"/>
    <w:rsid w:val="00F61079"/>
    <w:rsid w:val="00F6134F"/>
    <w:rsid w:val="00F6165A"/>
    <w:rsid w:val="00F616F4"/>
    <w:rsid w:val="00F61715"/>
    <w:rsid w:val="00F6182F"/>
    <w:rsid w:val="00F6186A"/>
    <w:rsid w:val="00F6186E"/>
    <w:rsid w:val="00F6194A"/>
    <w:rsid w:val="00F61960"/>
    <w:rsid w:val="00F619A3"/>
    <w:rsid w:val="00F619C9"/>
    <w:rsid w:val="00F619F6"/>
    <w:rsid w:val="00F61AE6"/>
    <w:rsid w:val="00F61BD8"/>
    <w:rsid w:val="00F61C3E"/>
    <w:rsid w:val="00F61F19"/>
    <w:rsid w:val="00F620B4"/>
    <w:rsid w:val="00F62105"/>
    <w:rsid w:val="00F622FC"/>
    <w:rsid w:val="00F623B9"/>
    <w:rsid w:val="00F623CC"/>
    <w:rsid w:val="00F62538"/>
    <w:rsid w:val="00F625FA"/>
    <w:rsid w:val="00F6275A"/>
    <w:rsid w:val="00F6299C"/>
    <w:rsid w:val="00F629B4"/>
    <w:rsid w:val="00F62A25"/>
    <w:rsid w:val="00F62B73"/>
    <w:rsid w:val="00F62B9F"/>
    <w:rsid w:val="00F62C66"/>
    <w:rsid w:val="00F62CE9"/>
    <w:rsid w:val="00F62D83"/>
    <w:rsid w:val="00F62E68"/>
    <w:rsid w:val="00F6307F"/>
    <w:rsid w:val="00F63120"/>
    <w:rsid w:val="00F63171"/>
    <w:rsid w:val="00F6317D"/>
    <w:rsid w:val="00F631E3"/>
    <w:rsid w:val="00F63358"/>
    <w:rsid w:val="00F634E8"/>
    <w:rsid w:val="00F636A9"/>
    <w:rsid w:val="00F636AA"/>
    <w:rsid w:val="00F6382E"/>
    <w:rsid w:val="00F63857"/>
    <w:rsid w:val="00F639A7"/>
    <w:rsid w:val="00F63AA7"/>
    <w:rsid w:val="00F63AD4"/>
    <w:rsid w:val="00F63C4F"/>
    <w:rsid w:val="00F63CE1"/>
    <w:rsid w:val="00F63E54"/>
    <w:rsid w:val="00F63F57"/>
    <w:rsid w:val="00F63F72"/>
    <w:rsid w:val="00F64127"/>
    <w:rsid w:val="00F6422E"/>
    <w:rsid w:val="00F64232"/>
    <w:rsid w:val="00F64261"/>
    <w:rsid w:val="00F643F8"/>
    <w:rsid w:val="00F64578"/>
    <w:rsid w:val="00F645C5"/>
    <w:rsid w:val="00F64876"/>
    <w:rsid w:val="00F64921"/>
    <w:rsid w:val="00F64A51"/>
    <w:rsid w:val="00F64A9A"/>
    <w:rsid w:val="00F64ACB"/>
    <w:rsid w:val="00F64B78"/>
    <w:rsid w:val="00F64CAE"/>
    <w:rsid w:val="00F64D0A"/>
    <w:rsid w:val="00F64D50"/>
    <w:rsid w:val="00F64E2C"/>
    <w:rsid w:val="00F64E3B"/>
    <w:rsid w:val="00F64F12"/>
    <w:rsid w:val="00F6503E"/>
    <w:rsid w:val="00F650B9"/>
    <w:rsid w:val="00F652B2"/>
    <w:rsid w:val="00F6532F"/>
    <w:rsid w:val="00F653C8"/>
    <w:rsid w:val="00F6560D"/>
    <w:rsid w:val="00F65670"/>
    <w:rsid w:val="00F656AD"/>
    <w:rsid w:val="00F656C2"/>
    <w:rsid w:val="00F65713"/>
    <w:rsid w:val="00F65714"/>
    <w:rsid w:val="00F657AD"/>
    <w:rsid w:val="00F657CC"/>
    <w:rsid w:val="00F65A36"/>
    <w:rsid w:val="00F65C3F"/>
    <w:rsid w:val="00F65D48"/>
    <w:rsid w:val="00F65FC9"/>
    <w:rsid w:val="00F66029"/>
    <w:rsid w:val="00F66078"/>
    <w:rsid w:val="00F660C7"/>
    <w:rsid w:val="00F6613A"/>
    <w:rsid w:val="00F66187"/>
    <w:rsid w:val="00F6618A"/>
    <w:rsid w:val="00F661B9"/>
    <w:rsid w:val="00F6622E"/>
    <w:rsid w:val="00F664AD"/>
    <w:rsid w:val="00F6665B"/>
    <w:rsid w:val="00F667C4"/>
    <w:rsid w:val="00F66883"/>
    <w:rsid w:val="00F66937"/>
    <w:rsid w:val="00F669E0"/>
    <w:rsid w:val="00F66C20"/>
    <w:rsid w:val="00F66C73"/>
    <w:rsid w:val="00F66C8E"/>
    <w:rsid w:val="00F66CAC"/>
    <w:rsid w:val="00F66CB2"/>
    <w:rsid w:val="00F66D42"/>
    <w:rsid w:val="00F66E28"/>
    <w:rsid w:val="00F66E8D"/>
    <w:rsid w:val="00F66EBB"/>
    <w:rsid w:val="00F66F48"/>
    <w:rsid w:val="00F66FD3"/>
    <w:rsid w:val="00F66FDB"/>
    <w:rsid w:val="00F67140"/>
    <w:rsid w:val="00F67250"/>
    <w:rsid w:val="00F67251"/>
    <w:rsid w:val="00F674B3"/>
    <w:rsid w:val="00F674D1"/>
    <w:rsid w:val="00F675AD"/>
    <w:rsid w:val="00F67715"/>
    <w:rsid w:val="00F677BC"/>
    <w:rsid w:val="00F677D9"/>
    <w:rsid w:val="00F67845"/>
    <w:rsid w:val="00F678B7"/>
    <w:rsid w:val="00F67937"/>
    <w:rsid w:val="00F67942"/>
    <w:rsid w:val="00F67A9B"/>
    <w:rsid w:val="00F67DCE"/>
    <w:rsid w:val="00F67EA7"/>
    <w:rsid w:val="00F70144"/>
    <w:rsid w:val="00F70146"/>
    <w:rsid w:val="00F70225"/>
    <w:rsid w:val="00F7034F"/>
    <w:rsid w:val="00F70383"/>
    <w:rsid w:val="00F703B9"/>
    <w:rsid w:val="00F706E2"/>
    <w:rsid w:val="00F7092D"/>
    <w:rsid w:val="00F70975"/>
    <w:rsid w:val="00F70A54"/>
    <w:rsid w:val="00F70B3D"/>
    <w:rsid w:val="00F70C85"/>
    <w:rsid w:val="00F70CA6"/>
    <w:rsid w:val="00F70F1F"/>
    <w:rsid w:val="00F70F66"/>
    <w:rsid w:val="00F70F79"/>
    <w:rsid w:val="00F710D2"/>
    <w:rsid w:val="00F710EC"/>
    <w:rsid w:val="00F7121C"/>
    <w:rsid w:val="00F7128E"/>
    <w:rsid w:val="00F714F1"/>
    <w:rsid w:val="00F715EF"/>
    <w:rsid w:val="00F7172F"/>
    <w:rsid w:val="00F717A6"/>
    <w:rsid w:val="00F719A6"/>
    <w:rsid w:val="00F71A3E"/>
    <w:rsid w:val="00F71AF8"/>
    <w:rsid w:val="00F71BB4"/>
    <w:rsid w:val="00F71DD1"/>
    <w:rsid w:val="00F71EFB"/>
    <w:rsid w:val="00F71F8B"/>
    <w:rsid w:val="00F7201F"/>
    <w:rsid w:val="00F720B8"/>
    <w:rsid w:val="00F720E7"/>
    <w:rsid w:val="00F72140"/>
    <w:rsid w:val="00F721AA"/>
    <w:rsid w:val="00F72296"/>
    <w:rsid w:val="00F727A5"/>
    <w:rsid w:val="00F7299A"/>
    <w:rsid w:val="00F72A70"/>
    <w:rsid w:val="00F72B19"/>
    <w:rsid w:val="00F73060"/>
    <w:rsid w:val="00F7313C"/>
    <w:rsid w:val="00F7328F"/>
    <w:rsid w:val="00F73394"/>
    <w:rsid w:val="00F735C3"/>
    <w:rsid w:val="00F7372F"/>
    <w:rsid w:val="00F73A11"/>
    <w:rsid w:val="00F73A14"/>
    <w:rsid w:val="00F73AD5"/>
    <w:rsid w:val="00F73B1E"/>
    <w:rsid w:val="00F73EE2"/>
    <w:rsid w:val="00F7411D"/>
    <w:rsid w:val="00F7413D"/>
    <w:rsid w:val="00F741B7"/>
    <w:rsid w:val="00F74665"/>
    <w:rsid w:val="00F747A8"/>
    <w:rsid w:val="00F74806"/>
    <w:rsid w:val="00F7486D"/>
    <w:rsid w:val="00F748C2"/>
    <w:rsid w:val="00F74A41"/>
    <w:rsid w:val="00F74A9E"/>
    <w:rsid w:val="00F74BEA"/>
    <w:rsid w:val="00F74C86"/>
    <w:rsid w:val="00F74D07"/>
    <w:rsid w:val="00F74E46"/>
    <w:rsid w:val="00F74F3C"/>
    <w:rsid w:val="00F74F46"/>
    <w:rsid w:val="00F74F4F"/>
    <w:rsid w:val="00F75065"/>
    <w:rsid w:val="00F75148"/>
    <w:rsid w:val="00F7519A"/>
    <w:rsid w:val="00F751AE"/>
    <w:rsid w:val="00F75335"/>
    <w:rsid w:val="00F75379"/>
    <w:rsid w:val="00F75456"/>
    <w:rsid w:val="00F754A1"/>
    <w:rsid w:val="00F754BA"/>
    <w:rsid w:val="00F754E2"/>
    <w:rsid w:val="00F754F0"/>
    <w:rsid w:val="00F75508"/>
    <w:rsid w:val="00F75641"/>
    <w:rsid w:val="00F75678"/>
    <w:rsid w:val="00F756A7"/>
    <w:rsid w:val="00F756AC"/>
    <w:rsid w:val="00F756D1"/>
    <w:rsid w:val="00F759C0"/>
    <w:rsid w:val="00F759CE"/>
    <w:rsid w:val="00F75A54"/>
    <w:rsid w:val="00F75B27"/>
    <w:rsid w:val="00F75C06"/>
    <w:rsid w:val="00F75C3D"/>
    <w:rsid w:val="00F75E32"/>
    <w:rsid w:val="00F7604A"/>
    <w:rsid w:val="00F760EE"/>
    <w:rsid w:val="00F7616B"/>
    <w:rsid w:val="00F765F1"/>
    <w:rsid w:val="00F76602"/>
    <w:rsid w:val="00F7660C"/>
    <w:rsid w:val="00F767F2"/>
    <w:rsid w:val="00F768BC"/>
    <w:rsid w:val="00F768E6"/>
    <w:rsid w:val="00F76942"/>
    <w:rsid w:val="00F76B6E"/>
    <w:rsid w:val="00F76D9A"/>
    <w:rsid w:val="00F76DD7"/>
    <w:rsid w:val="00F76EC2"/>
    <w:rsid w:val="00F76FA9"/>
    <w:rsid w:val="00F76FD0"/>
    <w:rsid w:val="00F7701B"/>
    <w:rsid w:val="00F77040"/>
    <w:rsid w:val="00F770B3"/>
    <w:rsid w:val="00F7727D"/>
    <w:rsid w:val="00F7731E"/>
    <w:rsid w:val="00F775FB"/>
    <w:rsid w:val="00F7763C"/>
    <w:rsid w:val="00F77790"/>
    <w:rsid w:val="00F779B9"/>
    <w:rsid w:val="00F77A91"/>
    <w:rsid w:val="00F77CDC"/>
    <w:rsid w:val="00F77E51"/>
    <w:rsid w:val="00F8008A"/>
    <w:rsid w:val="00F80123"/>
    <w:rsid w:val="00F8055B"/>
    <w:rsid w:val="00F80596"/>
    <w:rsid w:val="00F805B1"/>
    <w:rsid w:val="00F805FC"/>
    <w:rsid w:val="00F8060F"/>
    <w:rsid w:val="00F806B1"/>
    <w:rsid w:val="00F806B2"/>
    <w:rsid w:val="00F806E7"/>
    <w:rsid w:val="00F8085C"/>
    <w:rsid w:val="00F808AC"/>
    <w:rsid w:val="00F80A30"/>
    <w:rsid w:val="00F80A69"/>
    <w:rsid w:val="00F80A7E"/>
    <w:rsid w:val="00F80AF5"/>
    <w:rsid w:val="00F80B67"/>
    <w:rsid w:val="00F80BCF"/>
    <w:rsid w:val="00F80D66"/>
    <w:rsid w:val="00F80E13"/>
    <w:rsid w:val="00F80EB2"/>
    <w:rsid w:val="00F80F08"/>
    <w:rsid w:val="00F80FB9"/>
    <w:rsid w:val="00F81199"/>
    <w:rsid w:val="00F811D3"/>
    <w:rsid w:val="00F814D8"/>
    <w:rsid w:val="00F81599"/>
    <w:rsid w:val="00F815E2"/>
    <w:rsid w:val="00F816E4"/>
    <w:rsid w:val="00F818D3"/>
    <w:rsid w:val="00F81A72"/>
    <w:rsid w:val="00F81AFB"/>
    <w:rsid w:val="00F81F1C"/>
    <w:rsid w:val="00F81F67"/>
    <w:rsid w:val="00F820EF"/>
    <w:rsid w:val="00F8218B"/>
    <w:rsid w:val="00F821C4"/>
    <w:rsid w:val="00F8223A"/>
    <w:rsid w:val="00F82316"/>
    <w:rsid w:val="00F82397"/>
    <w:rsid w:val="00F82554"/>
    <w:rsid w:val="00F827AE"/>
    <w:rsid w:val="00F828F9"/>
    <w:rsid w:val="00F82900"/>
    <w:rsid w:val="00F829A1"/>
    <w:rsid w:val="00F829D5"/>
    <w:rsid w:val="00F82D1B"/>
    <w:rsid w:val="00F82D7F"/>
    <w:rsid w:val="00F82D8D"/>
    <w:rsid w:val="00F82DBB"/>
    <w:rsid w:val="00F82DCE"/>
    <w:rsid w:val="00F82DF2"/>
    <w:rsid w:val="00F82E46"/>
    <w:rsid w:val="00F82EE7"/>
    <w:rsid w:val="00F82FAD"/>
    <w:rsid w:val="00F831D7"/>
    <w:rsid w:val="00F831E1"/>
    <w:rsid w:val="00F83292"/>
    <w:rsid w:val="00F832AF"/>
    <w:rsid w:val="00F832EA"/>
    <w:rsid w:val="00F8341D"/>
    <w:rsid w:val="00F834CC"/>
    <w:rsid w:val="00F83564"/>
    <w:rsid w:val="00F837E0"/>
    <w:rsid w:val="00F83827"/>
    <w:rsid w:val="00F838AC"/>
    <w:rsid w:val="00F838F2"/>
    <w:rsid w:val="00F83910"/>
    <w:rsid w:val="00F83938"/>
    <w:rsid w:val="00F8397B"/>
    <w:rsid w:val="00F839B8"/>
    <w:rsid w:val="00F839C1"/>
    <w:rsid w:val="00F839D9"/>
    <w:rsid w:val="00F839E5"/>
    <w:rsid w:val="00F83B73"/>
    <w:rsid w:val="00F83C89"/>
    <w:rsid w:val="00F83D0A"/>
    <w:rsid w:val="00F83DA9"/>
    <w:rsid w:val="00F83F36"/>
    <w:rsid w:val="00F840A3"/>
    <w:rsid w:val="00F840B8"/>
    <w:rsid w:val="00F8411C"/>
    <w:rsid w:val="00F84165"/>
    <w:rsid w:val="00F841B4"/>
    <w:rsid w:val="00F841D9"/>
    <w:rsid w:val="00F842B2"/>
    <w:rsid w:val="00F842D2"/>
    <w:rsid w:val="00F84342"/>
    <w:rsid w:val="00F84441"/>
    <w:rsid w:val="00F84445"/>
    <w:rsid w:val="00F84479"/>
    <w:rsid w:val="00F84598"/>
    <w:rsid w:val="00F846C8"/>
    <w:rsid w:val="00F84707"/>
    <w:rsid w:val="00F847A9"/>
    <w:rsid w:val="00F84819"/>
    <w:rsid w:val="00F848A4"/>
    <w:rsid w:val="00F848C1"/>
    <w:rsid w:val="00F84CCF"/>
    <w:rsid w:val="00F84D87"/>
    <w:rsid w:val="00F84F3D"/>
    <w:rsid w:val="00F84F83"/>
    <w:rsid w:val="00F84FA5"/>
    <w:rsid w:val="00F8508C"/>
    <w:rsid w:val="00F85123"/>
    <w:rsid w:val="00F85149"/>
    <w:rsid w:val="00F851FE"/>
    <w:rsid w:val="00F8530C"/>
    <w:rsid w:val="00F85373"/>
    <w:rsid w:val="00F853C2"/>
    <w:rsid w:val="00F853EC"/>
    <w:rsid w:val="00F8542F"/>
    <w:rsid w:val="00F8546A"/>
    <w:rsid w:val="00F8571B"/>
    <w:rsid w:val="00F85842"/>
    <w:rsid w:val="00F85916"/>
    <w:rsid w:val="00F85993"/>
    <w:rsid w:val="00F859F0"/>
    <w:rsid w:val="00F85A48"/>
    <w:rsid w:val="00F85AFD"/>
    <w:rsid w:val="00F85B6C"/>
    <w:rsid w:val="00F85C34"/>
    <w:rsid w:val="00F85C4E"/>
    <w:rsid w:val="00F85CD9"/>
    <w:rsid w:val="00F85DC2"/>
    <w:rsid w:val="00F85E6B"/>
    <w:rsid w:val="00F85EB9"/>
    <w:rsid w:val="00F85EFA"/>
    <w:rsid w:val="00F85FE8"/>
    <w:rsid w:val="00F8603F"/>
    <w:rsid w:val="00F86089"/>
    <w:rsid w:val="00F861C4"/>
    <w:rsid w:val="00F86415"/>
    <w:rsid w:val="00F86432"/>
    <w:rsid w:val="00F86479"/>
    <w:rsid w:val="00F864CD"/>
    <w:rsid w:val="00F8655A"/>
    <w:rsid w:val="00F867A1"/>
    <w:rsid w:val="00F867C7"/>
    <w:rsid w:val="00F86945"/>
    <w:rsid w:val="00F86B88"/>
    <w:rsid w:val="00F86C05"/>
    <w:rsid w:val="00F86C9B"/>
    <w:rsid w:val="00F86DBF"/>
    <w:rsid w:val="00F86E6A"/>
    <w:rsid w:val="00F86E6E"/>
    <w:rsid w:val="00F86E8A"/>
    <w:rsid w:val="00F86F60"/>
    <w:rsid w:val="00F86F84"/>
    <w:rsid w:val="00F8700B"/>
    <w:rsid w:val="00F87275"/>
    <w:rsid w:val="00F87681"/>
    <w:rsid w:val="00F8769F"/>
    <w:rsid w:val="00F876A7"/>
    <w:rsid w:val="00F876EB"/>
    <w:rsid w:val="00F87820"/>
    <w:rsid w:val="00F87A04"/>
    <w:rsid w:val="00F87A92"/>
    <w:rsid w:val="00F87A99"/>
    <w:rsid w:val="00F87B3E"/>
    <w:rsid w:val="00F87B97"/>
    <w:rsid w:val="00F87BB1"/>
    <w:rsid w:val="00F87C27"/>
    <w:rsid w:val="00F87CBE"/>
    <w:rsid w:val="00F87D0E"/>
    <w:rsid w:val="00F87E28"/>
    <w:rsid w:val="00F87F93"/>
    <w:rsid w:val="00F9011E"/>
    <w:rsid w:val="00F9023C"/>
    <w:rsid w:val="00F9037D"/>
    <w:rsid w:val="00F903D5"/>
    <w:rsid w:val="00F90406"/>
    <w:rsid w:val="00F90478"/>
    <w:rsid w:val="00F90521"/>
    <w:rsid w:val="00F905C1"/>
    <w:rsid w:val="00F90692"/>
    <w:rsid w:val="00F907C0"/>
    <w:rsid w:val="00F90810"/>
    <w:rsid w:val="00F909F1"/>
    <w:rsid w:val="00F90DD9"/>
    <w:rsid w:val="00F90E96"/>
    <w:rsid w:val="00F90F67"/>
    <w:rsid w:val="00F91136"/>
    <w:rsid w:val="00F9129B"/>
    <w:rsid w:val="00F915F7"/>
    <w:rsid w:val="00F916AA"/>
    <w:rsid w:val="00F916C3"/>
    <w:rsid w:val="00F91707"/>
    <w:rsid w:val="00F917A1"/>
    <w:rsid w:val="00F917CA"/>
    <w:rsid w:val="00F9189B"/>
    <w:rsid w:val="00F91B15"/>
    <w:rsid w:val="00F91DBA"/>
    <w:rsid w:val="00F91DD0"/>
    <w:rsid w:val="00F91E0E"/>
    <w:rsid w:val="00F92033"/>
    <w:rsid w:val="00F9216B"/>
    <w:rsid w:val="00F92235"/>
    <w:rsid w:val="00F922FA"/>
    <w:rsid w:val="00F92331"/>
    <w:rsid w:val="00F92496"/>
    <w:rsid w:val="00F925A5"/>
    <w:rsid w:val="00F9260F"/>
    <w:rsid w:val="00F9275D"/>
    <w:rsid w:val="00F927FC"/>
    <w:rsid w:val="00F92879"/>
    <w:rsid w:val="00F9288A"/>
    <w:rsid w:val="00F929AE"/>
    <w:rsid w:val="00F92A25"/>
    <w:rsid w:val="00F92B77"/>
    <w:rsid w:val="00F92E54"/>
    <w:rsid w:val="00F92EE9"/>
    <w:rsid w:val="00F92EEA"/>
    <w:rsid w:val="00F92F30"/>
    <w:rsid w:val="00F93213"/>
    <w:rsid w:val="00F932EF"/>
    <w:rsid w:val="00F93344"/>
    <w:rsid w:val="00F93355"/>
    <w:rsid w:val="00F934CF"/>
    <w:rsid w:val="00F934E6"/>
    <w:rsid w:val="00F9350E"/>
    <w:rsid w:val="00F9351E"/>
    <w:rsid w:val="00F93673"/>
    <w:rsid w:val="00F9367B"/>
    <w:rsid w:val="00F936B3"/>
    <w:rsid w:val="00F9388D"/>
    <w:rsid w:val="00F938A1"/>
    <w:rsid w:val="00F93902"/>
    <w:rsid w:val="00F93915"/>
    <w:rsid w:val="00F93A86"/>
    <w:rsid w:val="00F93AF2"/>
    <w:rsid w:val="00F93CA5"/>
    <w:rsid w:val="00F93CBC"/>
    <w:rsid w:val="00F93CC6"/>
    <w:rsid w:val="00F93F3C"/>
    <w:rsid w:val="00F93FC3"/>
    <w:rsid w:val="00F9411D"/>
    <w:rsid w:val="00F94124"/>
    <w:rsid w:val="00F94E4D"/>
    <w:rsid w:val="00F94E93"/>
    <w:rsid w:val="00F94EA4"/>
    <w:rsid w:val="00F94FFF"/>
    <w:rsid w:val="00F950AC"/>
    <w:rsid w:val="00F950B1"/>
    <w:rsid w:val="00F952A3"/>
    <w:rsid w:val="00F95333"/>
    <w:rsid w:val="00F9536E"/>
    <w:rsid w:val="00F95399"/>
    <w:rsid w:val="00F954AA"/>
    <w:rsid w:val="00F954B1"/>
    <w:rsid w:val="00F95898"/>
    <w:rsid w:val="00F958F2"/>
    <w:rsid w:val="00F95927"/>
    <w:rsid w:val="00F95BE8"/>
    <w:rsid w:val="00F95DBA"/>
    <w:rsid w:val="00F95DEB"/>
    <w:rsid w:val="00F95F5A"/>
    <w:rsid w:val="00F961E6"/>
    <w:rsid w:val="00F9639E"/>
    <w:rsid w:val="00F9645D"/>
    <w:rsid w:val="00F9650E"/>
    <w:rsid w:val="00F966B9"/>
    <w:rsid w:val="00F96701"/>
    <w:rsid w:val="00F96762"/>
    <w:rsid w:val="00F9693F"/>
    <w:rsid w:val="00F96A89"/>
    <w:rsid w:val="00F96AF6"/>
    <w:rsid w:val="00F96CBE"/>
    <w:rsid w:val="00F96D0F"/>
    <w:rsid w:val="00F96EB4"/>
    <w:rsid w:val="00F96EFA"/>
    <w:rsid w:val="00F970D3"/>
    <w:rsid w:val="00F971C4"/>
    <w:rsid w:val="00F9723B"/>
    <w:rsid w:val="00F972B6"/>
    <w:rsid w:val="00F97358"/>
    <w:rsid w:val="00F97368"/>
    <w:rsid w:val="00F973DA"/>
    <w:rsid w:val="00F97561"/>
    <w:rsid w:val="00F976FC"/>
    <w:rsid w:val="00F9772C"/>
    <w:rsid w:val="00F977B3"/>
    <w:rsid w:val="00F9780A"/>
    <w:rsid w:val="00F97A9F"/>
    <w:rsid w:val="00F97BAF"/>
    <w:rsid w:val="00F97DEA"/>
    <w:rsid w:val="00F97F99"/>
    <w:rsid w:val="00F9BD9D"/>
    <w:rsid w:val="00FA0053"/>
    <w:rsid w:val="00FA00B9"/>
    <w:rsid w:val="00FA00C0"/>
    <w:rsid w:val="00FA0300"/>
    <w:rsid w:val="00FA041C"/>
    <w:rsid w:val="00FA04CA"/>
    <w:rsid w:val="00FA0578"/>
    <w:rsid w:val="00FA0584"/>
    <w:rsid w:val="00FA07D5"/>
    <w:rsid w:val="00FA08BC"/>
    <w:rsid w:val="00FA090C"/>
    <w:rsid w:val="00FA09EC"/>
    <w:rsid w:val="00FA0A61"/>
    <w:rsid w:val="00FA0AF9"/>
    <w:rsid w:val="00FA0B4B"/>
    <w:rsid w:val="00FA0B4C"/>
    <w:rsid w:val="00FA0BC1"/>
    <w:rsid w:val="00FA0C5F"/>
    <w:rsid w:val="00FA0C97"/>
    <w:rsid w:val="00FA0D54"/>
    <w:rsid w:val="00FA0E55"/>
    <w:rsid w:val="00FA0ECE"/>
    <w:rsid w:val="00FA0EF5"/>
    <w:rsid w:val="00FA0F3D"/>
    <w:rsid w:val="00FA0F61"/>
    <w:rsid w:val="00FA0F73"/>
    <w:rsid w:val="00FA0FEF"/>
    <w:rsid w:val="00FA0FFC"/>
    <w:rsid w:val="00FA10A4"/>
    <w:rsid w:val="00FA11C5"/>
    <w:rsid w:val="00FA11DA"/>
    <w:rsid w:val="00FA1338"/>
    <w:rsid w:val="00FA14A5"/>
    <w:rsid w:val="00FA14DC"/>
    <w:rsid w:val="00FA14E5"/>
    <w:rsid w:val="00FA1568"/>
    <w:rsid w:val="00FA15FF"/>
    <w:rsid w:val="00FA1603"/>
    <w:rsid w:val="00FA1654"/>
    <w:rsid w:val="00FA166E"/>
    <w:rsid w:val="00FA16B2"/>
    <w:rsid w:val="00FA18AE"/>
    <w:rsid w:val="00FA1A0D"/>
    <w:rsid w:val="00FA1A92"/>
    <w:rsid w:val="00FA1DF2"/>
    <w:rsid w:val="00FA1F28"/>
    <w:rsid w:val="00FA210C"/>
    <w:rsid w:val="00FA216B"/>
    <w:rsid w:val="00FA2218"/>
    <w:rsid w:val="00FA227E"/>
    <w:rsid w:val="00FA22BD"/>
    <w:rsid w:val="00FA22BF"/>
    <w:rsid w:val="00FA232F"/>
    <w:rsid w:val="00FA2769"/>
    <w:rsid w:val="00FA27CD"/>
    <w:rsid w:val="00FA27E6"/>
    <w:rsid w:val="00FA2805"/>
    <w:rsid w:val="00FA2854"/>
    <w:rsid w:val="00FA2C18"/>
    <w:rsid w:val="00FA2C45"/>
    <w:rsid w:val="00FA2CA2"/>
    <w:rsid w:val="00FA2CA8"/>
    <w:rsid w:val="00FA2DA4"/>
    <w:rsid w:val="00FA2DA5"/>
    <w:rsid w:val="00FA2DD9"/>
    <w:rsid w:val="00FA2EE8"/>
    <w:rsid w:val="00FA312D"/>
    <w:rsid w:val="00FA319A"/>
    <w:rsid w:val="00FA3367"/>
    <w:rsid w:val="00FA33A0"/>
    <w:rsid w:val="00FA342B"/>
    <w:rsid w:val="00FA34E0"/>
    <w:rsid w:val="00FA356C"/>
    <w:rsid w:val="00FA3582"/>
    <w:rsid w:val="00FA3607"/>
    <w:rsid w:val="00FA3692"/>
    <w:rsid w:val="00FA379A"/>
    <w:rsid w:val="00FA395E"/>
    <w:rsid w:val="00FA3978"/>
    <w:rsid w:val="00FA3B75"/>
    <w:rsid w:val="00FA3CA6"/>
    <w:rsid w:val="00FA3D68"/>
    <w:rsid w:val="00FA40D4"/>
    <w:rsid w:val="00FA41F0"/>
    <w:rsid w:val="00FA42DD"/>
    <w:rsid w:val="00FA4354"/>
    <w:rsid w:val="00FA44CD"/>
    <w:rsid w:val="00FA4577"/>
    <w:rsid w:val="00FA485E"/>
    <w:rsid w:val="00FA48A5"/>
    <w:rsid w:val="00FA4941"/>
    <w:rsid w:val="00FA4A4F"/>
    <w:rsid w:val="00FA4AA2"/>
    <w:rsid w:val="00FA4D86"/>
    <w:rsid w:val="00FA4DA5"/>
    <w:rsid w:val="00FA4E17"/>
    <w:rsid w:val="00FA4EA9"/>
    <w:rsid w:val="00FA50E8"/>
    <w:rsid w:val="00FA5268"/>
    <w:rsid w:val="00FA5378"/>
    <w:rsid w:val="00FA54B1"/>
    <w:rsid w:val="00FA54F5"/>
    <w:rsid w:val="00FA5658"/>
    <w:rsid w:val="00FA56F5"/>
    <w:rsid w:val="00FA5781"/>
    <w:rsid w:val="00FA582A"/>
    <w:rsid w:val="00FA592D"/>
    <w:rsid w:val="00FA5935"/>
    <w:rsid w:val="00FA59B0"/>
    <w:rsid w:val="00FA59D2"/>
    <w:rsid w:val="00FA5A91"/>
    <w:rsid w:val="00FA5AD9"/>
    <w:rsid w:val="00FA5AF0"/>
    <w:rsid w:val="00FA5B6C"/>
    <w:rsid w:val="00FA5C42"/>
    <w:rsid w:val="00FA5C5A"/>
    <w:rsid w:val="00FA5C72"/>
    <w:rsid w:val="00FA5E22"/>
    <w:rsid w:val="00FA5EE5"/>
    <w:rsid w:val="00FA5F37"/>
    <w:rsid w:val="00FA5FD1"/>
    <w:rsid w:val="00FA5FE9"/>
    <w:rsid w:val="00FA602C"/>
    <w:rsid w:val="00FA60B3"/>
    <w:rsid w:val="00FA60FF"/>
    <w:rsid w:val="00FA61A1"/>
    <w:rsid w:val="00FA6224"/>
    <w:rsid w:val="00FA6257"/>
    <w:rsid w:val="00FA6282"/>
    <w:rsid w:val="00FA6372"/>
    <w:rsid w:val="00FA63C0"/>
    <w:rsid w:val="00FA63E2"/>
    <w:rsid w:val="00FA64A6"/>
    <w:rsid w:val="00FA652D"/>
    <w:rsid w:val="00FA6719"/>
    <w:rsid w:val="00FA6723"/>
    <w:rsid w:val="00FA6793"/>
    <w:rsid w:val="00FA67D2"/>
    <w:rsid w:val="00FA68CE"/>
    <w:rsid w:val="00FA68FC"/>
    <w:rsid w:val="00FA6972"/>
    <w:rsid w:val="00FA6AF5"/>
    <w:rsid w:val="00FA6B2B"/>
    <w:rsid w:val="00FA6B56"/>
    <w:rsid w:val="00FA6B6C"/>
    <w:rsid w:val="00FA6C1B"/>
    <w:rsid w:val="00FA6D84"/>
    <w:rsid w:val="00FA6DDE"/>
    <w:rsid w:val="00FA6E67"/>
    <w:rsid w:val="00FA6EE0"/>
    <w:rsid w:val="00FA6FAF"/>
    <w:rsid w:val="00FA720A"/>
    <w:rsid w:val="00FA72AF"/>
    <w:rsid w:val="00FA738E"/>
    <w:rsid w:val="00FA751D"/>
    <w:rsid w:val="00FA75BE"/>
    <w:rsid w:val="00FA78A8"/>
    <w:rsid w:val="00FA7937"/>
    <w:rsid w:val="00FA79A9"/>
    <w:rsid w:val="00FA79C9"/>
    <w:rsid w:val="00FA7AF1"/>
    <w:rsid w:val="00FA7BEB"/>
    <w:rsid w:val="00FA7C0C"/>
    <w:rsid w:val="00FA7C58"/>
    <w:rsid w:val="00FA7DB4"/>
    <w:rsid w:val="00FA7DD7"/>
    <w:rsid w:val="00FA7FA3"/>
    <w:rsid w:val="00FB01AB"/>
    <w:rsid w:val="00FB02C2"/>
    <w:rsid w:val="00FB0425"/>
    <w:rsid w:val="00FB04FD"/>
    <w:rsid w:val="00FB0562"/>
    <w:rsid w:val="00FB0784"/>
    <w:rsid w:val="00FB0794"/>
    <w:rsid w:val="00FB0A12"/>
    <w:rsid w:val="00FB0C71"/>
    <w:rsid w:val="00FB0DDC"/>
    <w:rsid w:val="00FB0E2A"/>
    <w:rsid w:val="00FB0F8F"/>
    <w:rsid w:val="00FB0FBE"/>
    <w:rsid w:val="00FB1245"/>
    <w:rsid w:val="00FB124E"/>
    <w:rsid w:val="00FB1272"/>
    <w:rsid w:val="00FB13D2"/>
    <w:rsid w:val="00FB13DD"/>
    <w:rsid w:val="00FB13E9"/>
    <w:rsid w:val="00FB14EE"/>
    <w:rsid w:val="00FB1562"/>
    <w:rsid w:val="00FB1814"/>
    <w:rsid w:val="00FB1891"/>
    <w:rsid w:val="00FB193A"/>
    <w:rsid w:val="00FB197E"/>
    <w:rsid w:val="00FB1990"/>
    <w:rsid w:val="00FB1A1D"/>
    <w:rsid w:val="00FB1B5C"/>
    <w:rsid w:val="00FB1C1D"/>
    <w:rsid w:val="00FB1E5F"/>
    <w:rsid w:val="00FB1FC6"/>
    <w:rsid w:val="00FB20D2"/>
    <w:rsid w:val="00FB21DF"/>
    <w:rsid w:val="00FB2227"/>
    <w:rsid w:val="00FB2282"/>
    <w:rsid w:val="00FB2290"/>
    <w:rsid w:val="00FB236E"/>
    <w:rsid w:val="00FB23BE"/>
    <w:rsid w:val="00FB249C"/>
    <w:rsid w:val="00FB256C"/>
    <w:rsid w:val="00FB258D"/>
    <w:rsid w:val="00FB25D0"/>
    <w:rsid w:val="00FB26BF"/>
    <w:rsid w:val="00FB2708"/>
    <w:rsid w:val="00FB274A"/>
    <w:rsid w:val="00FB2901"/>
    <w:rsid w:val="00FB295F"/>
    <w:rsid w:val="00FB2B5D"/>
    <w:rsid w:val="00FB2C55"/>
    <w:rsid w:val="00FB2F0E"/>
    <w:rsid w:val="00FB2F4B"/>
    <w:rsid w:val="00FB2F66"/>
    <w:rsid w:val="00FB2FB5"/>
    <w:rsid w:val="00FB301E"/>
    <w:rsid w:val="00FB302F"/>
    <w:rsid w:val="00FB3067"/>
    <w:rsid w:val="00FB3092"/>
    <w:rsid w:val="00FB32D7"/>
    <w:rsid w:val="00FB346F"/>
    <w:rsid w:val="00FB34ED"/>
    <w:rsid w:val="00FB350F"/>
    <w:rsid w:val="00FB37A1"/>
    <w:rsid w:val="00FB3819"/>
    <w:rsid w:val="00FB3AA4"/>
    <w:rsid w:val="00FB3D3F"/>
    <w:rsid w:val="00FB3E96"/>
    <w:rsid w:val="00FB4018"/>
    <w:rsid w:val="00FB4021"/>
    <w:rsid w:val="00FB4085"/>
    <w:rsid w:val="00FB40B8"/>
    <w:rsid w:val="00FB44F2"/>
    <w:rsid w:val="00FB4515"/>
    <w:rsid w:val="00FB4561"/>
    <w:rsid w:val="00FB4649"/>
    <w:rsid w:val="00FB4869"/>
    <w:rsid w:val="00FB4A5B"/>
    <w:rsid w:val="00FB4C71"/>
    <w:rsid w:val="00FB4CB5"/>
    <w:rsid w:val="00FB4D03"/>
    <w:rsid w:val="00FB4D33"/>
    <w:rsid w:val="00FB4D74"/>
    <w:rsid w:val="00FB4DCE"/>
    <w:rsid w:val="00FB4EEE"/>
    <w:rsid w:val="00FB4F5E"/>
    <w:rsid w:val="00FB4FC4"/>
    <w:rsid w:val="00FB5084"/>
    <w:rsid w:val="00FB50AE"/>
    <w:rsid w:val="00FB50B1"/>
    <w:rsid w:val="00FB5384"/>
    <w:rsid w:val="00FB5594"/>
    <w:rsid w:val="00FB560D"/>
    <w:rsid w:val="00FB5726"/>
    <w:rsid w:val="00FB577D"/>
    <w:rsid w:val="00FB5A92"/>
    <w:rsid w:val="00FB5BDB"/>
    <w:rsid w:val="00FB5BE7"/>
    <w:rsid w:val="00FB5C50"/>
    <w:rsid w:val="00FB5C64"/>
    <w:rsid w:val="00FB5CAE"/>
    <w:rsid w:val="00FB5D67"/>
    <w:rsid w:val="00FB5DD0"/>
    <w:rsid w:val="00FB5E10"/>
    <w:rsid w:val="00FB5EE8"/>
    <w:rsid w:val="00FB6019"/>
    <w:rsid w:val="00FB6169"/>
    <w:rsid w:val="00FB6199"/>
    <w:rsid w:val="00FB62C7"/>
    <w:rsid w:val="00FB63F6"/>
    <w:rsid w:val="00FB63FD"/>
    <w:rsid w:val="00FB64DB"/>
    <w:rsid w:val="00FB6606"/>
    <w:rsid w:val="00FB6668"/>
    <w:rsid w:val="00FB67F4"/>
    <w:rsid w:val="00FB694D"/>
    <w:rsid w:val="00FB696F"/>
    <w:rsid w:val="00FB6AC8"/>
    <w:rsid w:val="00FB6BF3"/>
    <w:rsid w:val="00FB6C69"/>
    <w:rsid w:val="00FB6CB3"/>
    <w:rsid w:val="00FB6D08"/>
    <w:rsid w:val="00FB6D48"/>
    <w:rsid w:val="00FB6D87"/>
    <w:rsid w:val="00FB6F35"/>
    <w:rsid w:val="00FB6F42"/>
    <w:rsid w:val="00FB70F3"/>
    <w:rsid w:val="00FB7245"/>
    <w:rsid w:val="00FB7260"/>
    <w:rsid w:val="00FB7293"/>
    <w:rsid w:val="00FB72B0"/>
    <w:rsid w:val="00FB736A"/>
    <w:rsid w:val="00FB73BC"/>
    <w:rsid w:val="00FB753D"/>
    <w:rsid w:val="00FB755A"/>
    <w:rsid w:val="00FB7630"/>
    <w:rsid w:val="00FB7880"/>
    <w:rsid w:val="00FB78C8"/>
    <w:rsid w:val="00FB79FA"/>
    <w:rsid w:val="00FB7C5C"/>
    <w:rsid w:val="00FB7CF2"/>
    <w:rsid w:val="00FB7E5B"/>
    <w:rsid w:val="00FB7F4D"/>
    <w:rsid w:val="00FC00E2"/>
    <w:rsid w:val="00FC00FF"/>
    <w:rsid w:val="00FC0114"/>
    <w:rsid w:val="00FC015C"/>
    <w:rsid w:val="00FC0163"/>
    <w:rsid w:val="00FC0214"/>
    <w:rsid w:val="00FC02B3"/>
    <w:rsid w:val="00FC030C"/>
    <w:rsid w:val="00FC043B"/>
    <w:rsid w:val="00FC0451"/>
    <w:rsid w:val="00FC0462"/>
    <w:rsid w:val="00FC05B9"/>
    <w:rsid w:val="00FC05E2"/>
    <w:rsid w:val="00FC080E"/>
    <w:rsid w:val="00FC08A2"/>
    <w:rsid w:val="00FC0C7C"/>
    <w:rsid w:val="00FC0DE0"/>
    <w:rsid w:val="00FC0E51"/>
    <w:rsid w:val="00FC10AB"/>
    <w:rsid w:val="00FC1196"/>
    <w:rsid w:val="00FC11C9"/>
    <w:rsid w:val="00FC12BA"/>
    <w:rsid w:val="00FC12BE"/>
    <w:rsid w:val="00FC1474"/>
    <w:rsid w:val="00FC1544"/>
    <w:rsid w:val="00FC158A"/>
    <w:rsid w:val="00FC167D"/>
    <w:rsid w:val="00FC170C"/>
    <w:rsid w:val="00FC189D"/>
    <w:rsid w:val="00FC1936"/>
    <w:rsid w:val="00FC19BE"/>
    <w:rsid w:val="00FC19C0"/>
    <w:rsid w:val="00FC1A08"/>
    <w:rsid w:val="00FC1A6B"/>
    <w:rsid w:val="00FC1B1B"/>
    <w:rsid w:val="00FC1BC0"/>
    <w:rsid w:val="00FC1BE9"/>
    <w:rsid w:val="00FC1C2D"/>
    <w:rsid w:val="00FC1C69"/>
    <w:rsid w:val="00FC1C9B"/>
    <w:rsid w:val="00FC1CD6"/>
    <w:rsid w:val="00FC1DA7"/>
    <w:rsid w:val="00FC1E62"/>
    <w:rsid w:val="00FC1EFD"/>
    <w:rsid w:val="00FC1F5C"/>
    <w:rsid w:val="00FC1FD9"/>
    <w:rsid w:val="00FC2041"/>
    <w:rsid w:val="00FC23C6"/>
    <w:rsid w:val="00FC2415"/>
    <w:rsid w:val="00FC24E4"/>
    <w:rsid w:val="00FC278C"/>
    <w:rsid w:val="00FC2927"/>
    <w:rsid w:val="00FC294E"/>
    <w:rsid w:val="00FC297D"/>
    <w:rsid w:val="00FC29D5"/>
    <w:rsid w:val="00FC2A09"/>
    <w:rsid w:val="00FC2AAE"/>
    <w:rsid w:val="00FC2B43"/>
    <w:rsid w:val="00FC2CA9"/>
    <w:rsid w:val="00FC2DCE"/>
    <w:rsid w:val="00FC2DD9"/>
    <w:rsid w:val="00FC2DFD"/>
    <w:rsid w:val="00FC2E4D"/>
    <w:rsid w:val="00FC2EF8"/>
    <w:rsid w:val="00FC2F90"/>
    <w:rsid w:val="00FC31B5"/>
    <w:rsid w:val="00FC32B1"/>
    <w:rsid w:val="00FC330D"/>
    <w:rsid w:val="00FC33AE"/>
    <w:rsid w:val="00FC33C0"/>
    <w:rsid w:val="00FC357D"/>
    <w:rsid w:val="00FC35B2"/>
    <w:rsid w:val="00FC362A"/>
    <w:rsid w:val="00FC3647"/>
    <w:rsid w:val="00FC3739"/>
    <w:rsid w:val="00FC37B2"/>
    <w:rsid w:val="00FC394B"/>
    <w:rsid w:val="00FC3B6B"/>
    <w:rsid w:val="00FC3D16"/>
    <w:rsid w:val="00FC3DB5"/>
    <w:rsid w:val="00FC3E66"/>
    <w:rsid w:val="00FC3ED5"/>
    <w:rsid w:val="00FC406A"/>
    <w:rsid w:val="00FC4179"/>
    <w:rsid w:val="00FC41E1"/>
    <w:rsid w:val="00FC44AA"/>
    <w:rsid w:val="00FC4766"/>
    <w:rsid w:val="00FC493C"/>
    <w:rsid w:val="00FC4B50"/>
    <w:rsid w:val="00FC4BA9"/>
    <w:rsid w:val="00FC4CCA"/>
    <w:rsid w:val="00FC4D2D"/>
    <w:rsid w:val="00FC4D30"/>
    <w:rsid w:val="00FC4DDE"/>
    <w:rsid w:val="00FC4E54"/>
    <w:rsid w:val="00FC4F98"/>
    <w:rsid w:val="00FC500F"/>
    <w:rsid w:val="00FC5039"/>
    <w:rsid w:val="00FC50E0"/>
    <w:rsid w:val="00FC5151"/>
    <w:rsid w:val="00FC5185"/>
    <w:rsid w:val="00FC533F"/>
    <w:rsid w:val="00FC534E"/>
    <w:rsid w:val="00FC53D2"/>
    <w:rsid w:val="00FC5401"/>
    <w:rsid w:val="00FC5515"/>
    <w:rsid w:val="00FC565D"/>
    <w:rsid w:val="00FC5735"/>
    <w:rsid w:val="00FC579D"/>
    <w:rsid w:val="00FC580D"/>
    <w:rsid w:val="00FC58C6"/>
    <w:rsid w:val="00FC590F"/>
    <w:rsid w:val="00FC59C8"/>
    <w:rsid w:val="00FC5CC8"/>
    <w:rsid w:val="00FC5CE9"/>
    <w:rsid w:val="00FC5ECC"/>
    <w:rsid w:val="00FC5F93"/>
    <w:rsid w:val="00FC603D"/>
    <w:rsid w:val="00FC60A2"/>
    <w:rsid w:val="00FC6186"/>
    <w:rsid w:val="00FC61C7"/>
    <w:rsid w:val="00FC61EE"/>
    <w:rsid w:val="00FC620E"/>
    <w:rsid w:val="00FC6387"/>
    <w:rsid w:val="00FC64D4"/>
    <w:rsid w:val="00FC655F"/>
    <w:rsid w:val="00FC6684"/>
    <w:rsid w:val="00FC66C8"/>
    <w:rsid w:val="00FC66D0"/>
    <w:rsid w:val="00FC67D1"/>
    <w:rsid w:val="00FC68E9"/>
    <w:rsid w:val="00FC6BDF"/>
    <w:rsid w:val="00FC6CD6"/>
    <w:rsid w:val="00FC6DF1"/>
    <w:rsid w:val="00FC6E8C"/>
    <w:rsid w:val="00FC6F98"/>
    <w:rsid w:val="00FC7058"/>
    <w:rsid w:val="00FC719D"/>
    <w:rsid w:val="00FC7267"/>
    <w:rsid w:val="00FC72F3"/>
    <w:rsid w:val="00FC7359"/>
    <w:rsid w:val="00FC74C1"/>
    <w:rsid w:val="00FC74D8"/>
    <w:rsid w:val="00FC7519"/>
    <w:rsid w:val="00FC7540"/>
    <w:rsid w:val="00FC75D6"/>
    <w:rsid w:val="00FC7647"/>
    <w:rsid w:val="00FC76C5"/>
    <w:rsid w:val="00FC771F"/>
    <w:rsid w:val="00FC7767"/>
    <w:rsid w:val="00FC77F6"/>
    <w:rsid w:val="00FC7965"/>
    <w:rsid w:val="00FC7A63"/>
    <w:rsid w:val="00FC7AC2"/>
    <w:rsid w:val="00FC7BE8"/>
    <w:rsid w:val="00FC7C25"/>
    <w:rsid w:val="00FC7D25"/>
    <w:rsid w:val="00FC7DB2"/>
    <w:rsid w:val="00FC7E42"/>
    <w:rsid w:val="00FC7E74"/>
    <w:rsid w:val="00FC7F56"/>
    <w:rsid w:val="00FD0165"/>
    <w:rsid w:val="00FD039C"/>
    <w:rsid w:val="00FD04C3"/>
    <w:rsid w:val="00FD06B0"/>
    <w:rsid w:val="00FD08AC"/>
    <w:rsid w:val="00FD09B3"/>
    <w:rsid w:val="00FD0A23"/>
    <w:rsid w:val="00FD0A30"/>
    <w:rsid w:val="00FD0BA0"/>
    <w:rsid w:val="00FD0BB4"/>
    <w:rsid w:val="00FD0C96"/>
    <w:rsid w:val="00FD0CA0"/>
    <w:rsid w:val="00FD0CB3"/>
    <w:rsid w:val="00FD0CE7"/>
    <w:rsid w:val="00FD0DE3"/>
    <w:rsid w:val="00FD0E55"/>
    <w:rsid w:val="00FD0EE8"/>
    <w:rsid w:val="00FD0F48"/>
    <w:rsid w:val="00FD11EB"/>
    <w:rsid w:val="00FD12CF"/>
    <w:rsid w:val="00FD1384"/>
    <w:rsid w:val="00FD143A"/>
    <w:rsid w:val="00FD1552"/>
    <w:rsid w:val="00FD15B9"/>
    <w:rsid w:val="00FD1775"/>
    <w:rsid w:val="00FD17D2"/>
    <w:rsid w:val="00FD1816"/>
    <w:rsid w:val="00FD189C"/>
    <w:rsid w:val="00FD1937"/>
    <w:rsid w:val="00FD1991"/>
    <w:rsid w:val="00FD1A2B"/>
    <w:rsid w:val="00FD1A47"/>
    <w:rsid w:val="00FD1B05"/>
    <w:rsid w:val="00FD1B29"/>
    <w:rsid w:val="00FD1B76"/>
    <w:rsid w:val="00FD1D46"/>
    <w:rsid w:val="00FD1EEF"/>
    <w:rsid w:val="00FD20D8"/>
    <w:rsid w:val="00FD21F1"/>
    <w:rsid w:val="00FD22C3"/>
    <w:rsid w:val="00FD2317"/>
    <w:rsid w:val="00FD235A"/>
    <w:rsid w:val="00FD23CF"/>
    <w:rsid w:val="00FD244F"/>
    <w:rsid w:val="00FD24E7"/>
    <w:rsid w:val="00FD2814"/>
    <w:rsid w:val="00FD293A"/>
    <w:rsid w:val="00FD2B67"/>
    <w:rsid w:val="00FD2B9F"/>
    <w:rsid w:val="00FD2CBC"/>
    <w:rsid w:val="00FD2D8D"/>
    <w:rsid w:val="00FD2E92"/>
    <w:rsid w:val="00FD2EAD"/>
    <w:rsid w:val="00FD2FA2"/>
    <w:rsid w:val="00FD3052"/>
    <w:rsid w:val="00FD3058"/>
    <w:rsid w:val="00FD3208"/>
    <w:rsid w:val="00FD3279"/>
    <w:rsid w:val="00FD32BA"/>
    <w:rsid w:val="00FD3364"/>
    <w:rsid w:val="00FD33AB"/>
    <w:rsid w:val="00FD33C4"/>
    <w:rsid w:val="00FD34AC"/>
    <w:rsid w:val="00FD34D8"/>
    <w:rsid w:val="00FD362B"/>
    <w:rsid w:val="00FD36F8"/>
    <w:rsid w:val="00FD37AC"/>
    <w:rsid w:val="00FD37BA"/>
    <w:rsid w:val="00FD37E4"/>
    <w:rsid w:val="00FD388E"/>
    <w:rsid w:val="00FD3949"/>
    <w:rsid w:val="00FD399E"/>
    <w:rsid w:val="00FD3AC9"/>
    <w:rsid w:val="00FD3B39"/>
    <w:rsid w:val="00FD3B9F"/>
    <w:rsid w:val="00FD3CA9"/>
    <w:rsid w:val="00FD3CE5"/>
    <w:rsid w:val="00FD3D4F"/>
    <w:rsid w:val="00FD3D53"/>
    <w:rsid w:val="00FD3E16"/>
    <w:rsid w:val="00FD3EF8"/>
    <w:rsid w:val="00FD3F03"/>
    <w:rsid w:val="00FD3F7C"/>
    <w:rsid w:val="00FD400D"/>
    <w:rsid w:val="00FD4037"/>
    <w:rsid w:val="00FD4194"/>
    <w:rsid w:val="00FD41C6"/>
    <w:rsid w:val="00FD42EE"/>
    <w:rsid w:val="00FD4377"/>
    <w:rsid w:val="00FD438A"/>
    <w:rsid w:val="00FD4392"/>
    <w:rsid w:val="00FD4436"/>
    <w:rsid w:val="00FD4613"/>
    <w:rsid w:val="00FD46EC"/>
    <w:rsid w:val="00FD46F1"/>
    <w:rsid w:val="00FD4775"/>
    <w:rsid w:val="00FD4980"/>
    <w:rsid w:val="00FD4B16"/>
    <w:rsid w:val="00FD4B64"/>
    <w:rsid w:val="00FD4DCC"/>
    <w:rsid w:val="00FD4DF5"/>
    <w:rsid w:val="00FD4E6F"/>
    <w:rsid w:val="00FD4ECA"/>
    <w:rsid w:val="00FD4EDE"/>
    <w:rsid w:val="00FD4F0D"/>
    <w:rsid w:val="00FD4F8F"/>
    <w:rsid w:val="00FD507E"/>
    <w:rsid w:val="00FD523D"/>
    <w:rsid w:val="00FD52F4"/>
    <w:rsid w:val="00FD5482"/>
    <w:rsid w:val="00FD551E"/>
    <w:rsid w:val="00FD5628"/>
    <w:rsid w:val="00FD568B"/>
    <w:rsid w:val="00FD5739"/>
    <w:rsid w:val="00FD57DF"/>
    <w:rsid w:val="00FD57FD"/>
    <w:rsid w:val="00FD58C5"/>
    <w:rsid w:val="00FD5909"/>
    <w:rsid w:val="00FD592A"/>
    <w:rsid w:val="00FD5A35"/>
    <w:rsid w:val="00FD5A75"/>
    <w:rsid w:val="00FD5A80"/>
    <w:rsid w:val="00FD5BF6"/>
    <w:rsid w:val="00FD5C66"/>
    <w:rsid w:val="00FD5CA0"/>
    <w:rsid w:val="00FD5D3E"/>
    <w:rsid w:val="00FD5E62"/>
    <w:rsid w:val="00FD6053"/>
    <w:rsid w:val="00FD60DA"/>
    <w:rsid w:val="00FD6172"/>
    <w:rsid w:val="00FD6189"/>
    <w:rsid w:val="00FD639D"/>
    <w:rsid w:val="00FD644E"/>
    <w:rsid w:val="00FD653B"/>
    <w:rsid w:val="00FD66F3"/>
    <w:rsid w:val="00FD6782"/>
    <w:rsid w:val="00FD689C"/>
    <w:rsid w:val="00FD68D7"/>
    <w:rsid w:val="00FD69C7"/>
    <w:rsid w:val="00FD69DA"/>
    <w:rsid w:val="00FD6AC3"/>
    <w:rsid w:val="00FD6B2E"/>
    <w:rsid w:val="00FD6B49"/>
    <w:rsid w:val="00FD6E43"/>
    <w:rsid w:val="00FD6E54"/>
    <w:rsid w:val="00FD6EF7"/>
    <w:rsid w:val="00FD7064"/>
    <w:rsid w:val="00FD70A1"/>
    <w:rsid w:val="00FD70A8"/>
    <w:rsid w:val="00FD7167"/>
    <w:rsid w:val="00FD71EC"/>
    <w:rsid w:val="00FD7270"/>
    <w:rsid w:val="00FD7288"/>
    <w:rsid w:val="00FD72AE"/>
    <w:rsid w:val="00FD73F1"/>
    <w:rsid w:val="00FD7411"/>
    <w:rsid w:val="00FD7445"/>
    <w:rsid w:val="00FD7498"/>
    <w:rsid w:val="00FD74D7"/>
    <w:rsid w:val="00FD7652"/>
    <w:rsid w:val="00FD7696"/>
    <w:rsid w:val="00FD7717"/>
    <w:rsid w:val="00FD79E4"/>
    <w:rsid w:val="00FD7C07"/>
    <w:rsid w:val="00FD7CBA"/>
    <w:rsid w:val="00FD7CEB"/>
    <w:rsid w:val="00FD7EA6"/>
    <w:rsid w:val="00FD7FD6"/>
    <w:rsid w:val="00FE0006"/>
    <w:rsid w:val="00FE0058"/>
    <w:rsid w:val="00FE012C"/>
    <w:rsid w:val="00FE0217"/>
    <w:rsid w:val="00FE02DD"/>
    <w:rsid w:val="00FE0475"/>
    <w:rsid w:val="00FE0654"/>
    <w:rsid w:val="00FE0693"/>
    <w:rsid w:val="00FE0761"/>
    <w:rsid w:val="00FE078D"/>
    <w:rsid w:val="00FE08CC"/>
    <w:rsid w:val="00FE0917"/>
    <w:rsid w:val="00FE0AB9"/>
    <w:rsid w:val="00FE0B0E"/>
    <w:rsid w:val="00FE0C04"/>
    <w:rsid w:val="00FE0DDF"/>
    <w:rsid w:val="00FE0E35"/>
    <w:rsid w:val="00FE0E87"/>
    <w:rsid w:val="00FE0F20"/>
    <w:rsid w:val="00FE1283"/>
    <w:rsid w:val="00FE153E"/>
    <w:rsid w:val="00FE15F2"/>
    <w:rsid w:val="00FE161D"/>
    <w:rsid w:val="00FE1632"/>
    <w:rsid w:val="00FE1652"/>
    <w:rsid w:val="00FE165F"/>
    <w:rsid w:val="00FE177F"/>
    <w:rsid w:val="00FE190D"/>
    <w:rsid w:val="00FE1983"/>
    <w:rsid w:val="00FE19A1"/>
    <w:rsid w:val="00FE19DF"/>
    <w:rsid w:val="00FE1A95"/>
    <w:rsid w:val="00FE1ACC"/>
    <w:rsid w:val="00FE1AD5"/>
    <w:rsid w:val="00FE1BCC"/>
    <w:rsid w:val="00FE1CA3"/>
    <w:rsid w:val="00FE1E55"/>
    <w:rsid w:val="00FE1F26"/>
    <w:rsid w:val="00FE1F90"/>
    <w:rsid w:val="00FE2034"/>
    <w:rsid w:val="00FE20A2"/>
    <w:rsid w:val="00FE2237"/>
    <w:rsid w:val="00FE2280"/>
    <w:rsid w:val="00FE2302"/>
    <w:rsid w:val="00FE2497"/>
    <w:rsid w:val="00FE25F1"/>
    <w:rsid w:val="00FE25F4"/>
    <w:rsid w:val="00FE2602"/>
    <w:rsid w:val="00FE26A6"/>
    <w:rsid w:val="00FE26BC"/>
    <w:rsid w:val="00FE2823"/>
    <w:rsid w:val="00FE2966"/>
    <w:rsid w:val="00FE2970"/>
    <w:rsid w:val="00FE2B10"/>
    <w:rsid w:val="00FE2C37"/>
    <w:rsid w:val="00FE2D04"/>
    <w:rsid w:val="00FE2F56"/>
    <w:rsid w:val="00FE2FDF"/>
    <w:rsid w:val="00FE301F"/>
    <w:rsid w:val="00FE303A"/>
    <w:rsid w:val="00FE329C"/>
    <w:rsid w:val="00FE33B7"/>
    <w:rsid w:val="00FE3578"/>
    <w:rsid w:val="00FE3793"/>
    <w:rsid w:val="00FE38AE"/>
    <w:rsid w:val="00FE39C4"/>
    <w:rsid w:val="00FE39FC"/>
    <w:rsid w:val="00FE3A2F"/>
    <w:rsid w:val="00FE3B71"/>
    <w:rsid w:val="00FE3D07"/>
    <w:rsid w:val="00FE3ECB"/>
    <w:rsid w:val="00FE3F30"/>
    <w:rsid w:val="00FE3F92"/>
    <w:rsid w:val="00FE3FA3"/>
    <w:rsid w:val="00FE4063"/>
    <w:rsid w:val="00FE410B"/>
    <w:rsid w:val="00FE41A9"/>
    <w:rsid w:val="00FE41AC"/>
    <w:rsid w:val="00FE42A8"/>
    <w:rsid w:val="00FE433E"/>
    <w:rsid w:val="00FE43A2"/>
    <w:rsid w:val="00FE4433"/>
    <w:rsid w:val="00FE4737"/>
    <w:rsid w:val="00FE487A"/>
    <w:rsid w:val="00FE487E"/>
    <w:rsid w:val="00FE4921"/>
    <w:rsid w:val="00FE495E"/>
    <w:rsid w:val="00FE4A82"/>
    <w:rsid w:val="00FE4B4D"/>
    <w:rsid w:val="00FE4D37"/>
    <w:rsid w:val="00FE4D57"/>
    <w:rsid w:val="00FE4DEC"/>
    <w:rsid w:val="00FE4E5D"/>
    <w:rsid w:val="00FE501C"/>
    <w:rsid w:val="00FE50D6"/>
    <w:rsid w:val="00FE56C0"/>
    <w:rsid w:val="00FE573D"/>
    <w:rsid w:val="00FE57CA"/>
    <w:rsid w:val="00FE57E9"/>
    <w:rsid w:val="00FE5925"/>
    <w:rsid w:val="00FE599F"/>
    <w:rsid w:val="00FE5A21"/>
    <w:rsid w:val="00FE5AC0"/>
    <w:rsid w:val="00FE5AD9"/>
    <w:rsid w:val="00FE5BD5"/>
    <w:rsid w:val="00FE5BDA"/>
    <w:rsid w:val="00FE5C47"/>
    <w:rsid w:val="00FE5C9D"/>
    <w:rsid w:val="00FE5D69"/>
    <w:rsid w:val="00FE5E82"/>
    <w:rsid w:val="00FE614D"/>
    <w:rsid w:val="00FE61A8"/>
    <w:rsid w:val="00FE61D2"/>
    <w:rsid w:val="00FE61FE"/>
    <w:rsid w:val="00FE6285"/>
    <w:rsid w:val="00FE629D"/>
    <w:rsid w:val="00FE64E8"/>
    <w:rsid w:val="00FE6657"/>
    <w:rsid w:val="00FE6765"/>
    <w:rsid w:val="00FE6914"/>
    <w:rsid w:val="00FE6982"/>
    <w:rsid w:val="00FE6C3F"/>
    <w:rsid w:val="00FE6C85"/>
    <w:rsid w:val="00FE6D31"/>
    <w:rsid w:val="00FE72DF"/>
    <w:rsid w:val="00FE732D"/>
    <w:rsid w:val="00FE736C"/>
    <w:rsid w:val="00FE7381"/>
    <w:rsid w:val="00FE73A4"/>
    <w:rsid w:val="00FE76EB"/>
    <w:rsid w:val="00FE78B6"/>
    <w:rsid w:val="00FE79DF"/>
    <w:rsid w:val="00FE7A33"/>
    <w:rsid w:val="00FE7AB9"/>
    <w:rsid w:val="00FE7ABD"/>
    <w:rsid w:val="00FE7B13"/>
    <w:rsid w:val="00FE7B4C"/>
    <w:rsid w:val="00FE7D51"/>
    <w:rsid w:val="00FE7E6A"/>
    <w:rsid w:val="00FE7F6A"/>
    <w:rsid w:val="00FE8264"/>
    <w:rsid w:val="00FF0069"/>
    <w:rsid w:val="00FF01FE"/>
    <w:rsid w:val="00FF02F8"/>
    <w:rsid w:val="00FF035C"/>
    <w:rsid w:val="00FF043A"/>
    <w:rsid w:val="00FF0469"/>
    <w:rsid w:val="00FF04D4"/>
    <w:rsid w:val="00FF0500"/>
    <w:rsid w:val="00FF060C"/>
    <w:rsid w:val="00FF0660"/>
    <w:rsid w:val="00FF0906"/>
    <w:rsid w:val="00FF0924"/>
    <w:rsid w:val="00FF0B1D"/>
    <w:rsid w:val="00FF0C60"/>
    <w:rsid w:val="00FF0E99"/>
    <w:rsid w:val="00FF0F10"/>
    <w:rsid w:val="00FF0F69"/>
    <w:rsid w:val="00FF103E"/>
    <w:rsid w:val="00FF1113"/>
    <w:rsid w:val="00FF1190"/>
    <w:rsid w:val="00FF1268"/>
    <w:rsid w:val="00FF1279"/>
    <w:rsid w:val="00FF12B4"/>
    <w:rsid w:val="00FF136F"/>
    <w:rsid w:val="00FF140E"/>
    <w:rsid w:val="00FF144A"/>
    <w:rsid w:val="00FF149A"/>
    <w:rsid w:val="00FF15C4"/>
    <w:rsid w:val="00FF160D"/>
    <w:rsid w:val="00FF1625"/>
    <w:rsid w:val="00FF1659"/>
    <w:rsid w:val="00FF16AB"/>
    <w:rsid w:val="00FF16DA"/>
    <w:rsid w:val="00FF1753"/>
    <w:rsid w:val="00FF17A3"/>
    <w:rsid w:val="00FF19C2"/>
    <w:rsid w:val="00FF19D0"/>
    <w:rsid w:val="00FF1AA4"/>
    <w:rsid w:val="00FF1DB2"/>
    <w:rsid w:val="00FF1DBC"/>
    <w:rsid w:val="00FF20BD"/>
    <w:rsid w:val="00FF220F"/>
    <w:rsid w:val="00FF2219"/>
    <w:rsid w:val="00FF2385"/>
    <w:rsid w:val="00FF239D"/>
    <w:rsid w:val="00FF243D"/>
    <w:rsid w:val="00FF245E"/>
    <w:rsid w:val="00FF24A1"/>
    <w:rsid w:val="00FF25D1"/>
    <w:rsid w:val="00FF271B"/>
    <w:rsid w:val="00FF2787"/>
    <w:rsid w:val="00FF281A"/>
    <w:rsid w:val="00FF2883"/>
    <w:rsid w:val="00FF2916"/>
    <w:rsid w:val="00FF2950"/>
    <w:rsid w:val="00FF2A4B"/>
    <w:rsid w:val="00FF2A57"/>
    <w:rsid w:val="00FF2A5E"/>
    <w:rsid w:val="00FF2A95"/>
    <w:rsid w:val="00FF2B74"/>
    <w:rsid w:val="00FF2CF1"/>
    <w:rsid w:val="00FF2D52"/>
    <w:rsid w:val="00FF2EE8"/>
    <w:rsid w:val="00FF2F64"/>
    <w:rsid w:val="00FF2F6A"/>
    <w:rsid w:val="00FF2F83"/>
    <w:rsid w:val="00FF30FE"/>
    <w:rsid w:val="00FF319E"/>
    <w:rsid w:val="00FF3233"/>
    <w:rsid w:val="00FF32DB"/>
    <w:rsid w:val="00FF3359"/>
    <w:rsid w:val="00FF3414"/>
    <w:rsid w:val="00FF3472"/>
    <w:rsid w:val="00FF3574"/>
    <w:rsid w:val="00FF378D"/>
    <w:rsid w:val="00FF37B6"/>
    <w:rsid w:val="00FF37D9"/>
    <w:rsid w:val="00FF37F5"/>
    <w:rsid w:val="00FF3865"/>
    <w:rsid w:val="00FF38A0"/>
    <w:rsid w:val="00FF39A7"/>
    <w:rsid w:val="00FF3A2A"/>
    <w:rsid w:val="00FF3AE7"/>
    <w:rsid w:val="00FF3BB2"/>
    <w:rsid w:val="00FF3C26"/>
    <w:rsid w:val="00FF3D8E"/>
    <w:rsid w:val="00FF3E1E"/>
    <w:rsid w:val="00FF3EC6"/>
    <w:rsid w:val="00FF3EE3"/>
    <w:rsid w:val="00FF41AE"/>
    <w:rsid w:val="00FF41E8"/>
    <w:rsid w:val="00FF41F0"/>
    <w:rsid w:val="00FF4419"/>
    <w:rsid w:val="00FF444D"/>
    <w:rsid w:val="00FF4481"/>
    <w:rsid w:val="00FF450F"/>
    <w:rsid w:val="00FF45F5"/>
    <w:rsid w:val="00FF46A0"/>
    <w:rsid w:val="00FF4707"/>
    <w:rsid w:val="00FF47D0"/>
    <w:rsid w:val="00FF4803"/>
    <w:rsid w:val="00FF486F"/>
    <w:rsid w:val="00FF4A35"/>
    <w:rsid w:val="00FF4AE2"/>
    <w:rsid w:val="00FF4C36"/>
    <w:rsid w:val="00FF4CB0"/>
    <w:rsid w:val="00FF4EBF"/>
    <w:rsid w:val="00FF4F39"/>
    <w:rsid w:val="00FF4FBA"/>
    <w:rsid w:val="00FF4FFA"/>
    <w:rsid w:val="00FF512D"/>
    <w:rsid w:val="00FF5191"/>
    <w:rsid w:val="00FF53FA"/>
    <w:rsid w:val="00FF5482"/>
    <w:rsid w:val="00FF5546"/>
    <w:rsid w:val="00FF5550"/>
    <w:rsid w:val="00FF5576"/>
    <w:rsid w:val="00FF570E"/>
    <w:rsid w:val="00FF5715"/>
    <w:rsid w:val="00FF576F"/>
    <w:rsid w:val="00FF5B2F"/>
    <w:rsid w:val="00FF5D17"/>
    <w:rsid w:val="00FF5E3D"/>
    <w:rsid w:val="00FF5ED9"/>
    <w:rsid w:val="00FF5F84"/>
    <w:rsid w:val="00FF5FAF"/>
    <w:rsid w:val="00FF614C"/>
    <w:rsid w:val="00FF6233"/>
    <w:rsid w:val="00FF627A"/>
    <w:rsid w:val="00FF62AC"/>
    <w:rsid w:val="00FF634D"/>
    <w:rsid w:val="00FF64A4"/>
    <w:rsid w:val="00FF64F7"/>
    <w:rsid w:val="00FF64FD"/>
    <w:rsid w:val="00FF6660"/>
    <w:rsid w:val="00FF6849"/>
    <w:rsid w:val="00FF693A"/>
    <w:rsid w:val="00FF6A38"/>
    <w:rsid w:val="00FF6ABD"/>
    <w:rsid w:val="00FF6AF7"/>
    <w:rsid w:val="00FF6BAC"/>
    <w:rsid w:val="00FF6D07"/>
    <w:rsid w:val="00FF6EFF"/>
    <w:rsid w:val="00FF702C"/>
    <w:rsid w:val="00FF702D"/>
    <w:rsid w:val="00FF72DE"/>
    <w:rsid w:val="00FF741F"/>
    <w:rsid w:val="00FF7455"/>
    <w:rsid w:val="00FF7512"/>
    <w:rsid w:val="00FF751C"/>
    <w:rsid w:val="00FF75B9"/>
    <w:rsid w:val="00FF763A"/>
    <w:rsid w:val="00FF76BF"/>
    <w:rsid w:val="00FF76C3"/>
    <w:rsid w:val="00FF7721"/>
    <w:rsid w:val="00FF782E"/>
    <w:rsid w:val="00FF792A"/>
    <w:rsid w:val="00FF7A7E"/>
    <w:rsid w:val="00FF7A97"/>
    <w:rsid w:val="00FF7C0C"/>
    <w:rsid w:val="00FF7D48"/>
    <w:rsid w:val="00FF7D4A"/>
    <w:rsid w:val="00FF7DA2"/>
    <w:rsid w:val="00FF7DF7"/>
    <w:rsid w:val="00FF7F17"/>
    <w:rsid w:val="01048E68"/>
    <w:rsid w:val="01049A03"/>
    <w:rsid w:val="0108AC5C"/>
    <w:rsid w:val="01095B29"/>
    <w:rsid w:val="010B5F11"/>
    <w:rsid w:val="010E3D34"/>
    <w:rsid w:val="010E6F82"/>
    <w:rsid w:val="010FF26B"/>
    <w:rsid w:val="0110CBE2"/>
    <w:rsid w:val="01120EAF"/>
    <w:rsid w:val="01176BED"/>
    <w:rsid w:val="0117A36A"/>
    <w:rsid w:val="011B8D78"/>
    <w:rsid w:val="0121C580"/>
    <w:rsid w:val="012995D0"/>
    <w:rsid w:val="012ED0C0"/>
    <w:rsid w:val="01309182"/>
    <w:rsid w:val="013096D1"/>
    <w:rsid w:val="01340CD9"/>
    <w:rsid w:val="0138EB93"/>
    <w:rsid w:val="0144B79B"/>
    <w:rsid w:val="014900E6"/>
    <w:rsid w:val="014BFF2D"/>
    <w:rsid w:val="014C36FF"/>
    <w:rsid w:val="01538544"/>
    <w:rsid w:val="0153D6DB"/>
    <w:rsid w:val="015A1DF9"/>
    <w:rsid w:val="015E37AC"/>
    <w:rsid w:val="015EC171"/>
    <w:rsid w:val="015F457B"/>
    <w:rsid w:val="015F6ABD"/>
    <w:rsid w:val="01617EC4"/>
    <w:rsid w:val="0161EAC0"/>
    <w:rsid w:val="0167FC79"/>
    <w:rsid w:val="016CB35E"/>
    <w:rsid w:val="0170C4D2"/>
    <w:rsid w:val="0171121E"/>
    <w:rsid w:val="01742233"/>
    <w:rsid w:val="01764789"/>
    <w:rsid w:val="01776A4D"/>
    <w:rsid w:val="01779DD0"/>
    <w:rsid w:val="017A7E1F"/>
    <w:rsid w:val="017AD322"/>
    <w:rsid w:val="017E1461"/>
    <w:rsid w:val="0182DCD5"/>
    <w:rsid w:val="018BE0FD"/>
    <w:rsid w:val="018E6D95"/>
    <w:rsid w:val="019001E4"/>
    <w:rsid w:val="01906D9B"/>
    <w:rsid w:val="0190A5DC"/>
    <w:rsid w:val="0190B50A"/>
    <w:rsid w:val="0198475A"/>
    <w:rsid w:val="019B045D"/>
    <w:rsid w:val="01A37AE1"/>
    <w:rsid w:val="01A7B241"/>
    <w:rsid w:val="01A954D7"/>
    <w:rsid w:val="01AAB180"/>
    <w:rsid w:val="01AB186E"/>
    <w:rsid w:val="01ACE80A"/>
    <w:rsid w:val="01AF6275"/>
    <w:rsid w:val="01B2D27B"/>
    <w:rsid w:val="01B6142C"/>
    <w:rsid w:val="01B9F369"/>
    <w:rsid w:val="01BB38CD"/>
    <w:rsid w:val="01C32032"/>
    <w:rsid w:val="01CCA5B0"/>
    <w:rsid w:val="01D5D1F1"/>
    <w:rsid w:val="01D91D7F"/>
    <w:rsid w:val="01E06F63"/>
    <w:rsid w:val="01E33473"/>
    <w:rsid w:val="01E3AE5E"/>
    <w:rsid w:val="01E4B874"/>
    <w:rsid w:val="01E9A1E9"/>
    <w:rsid w:val="01ECE428"/>
    <w:rsid w:val="01EE517D"/>
    <w:rsid w:val="01EE62BC"/>
    <w:rsid w:val="01F198AD"/>
    <w:rsid w:val="01F78435"/>
    <w:rsid w:val="01FCA364"/>
    <w:rsid w:val="01FF209E"/>
    <w:rsid w:val="01FFFF8A"/>
    <w:rsid w:val="0203221F"/>
    <w:rsid w:val="0204307A"/>
    <w:rsid w:val="02063C62"/>
    <w:rsid w:val="0208ECC6"/>
    <w:rsid w:val="020E396C"/>
    <w:rsid w:val="02111A01"/>
    <w:rsid w:val="021181B5"/>
    <w:rsid w:val="0212096F"/>
    <w:rsid w:val="021456EB"/>
    <w:rsid w:val="02164DE0"/>
    <w:rsid w:val="021659D2"/>
    <w:rsid w:val="02207E5B"/>
    <w:rsid w:val="02207FB0"/>
    <w:rsid w:val="02253126"/>
    <w:rsid w:val="02256981"/>
    <w:rsid w:val="0226731D"/>
    <w:rsid w:val="022731E5"/>
    <w:rsid w:val="0227F8B6"/>
    <w:rsid w:val="0238AA86"/>
    <w:rsid w:val="02397200"/>
    <w:rsid w:val="023EBA6D"/>
    <w:rsid w:val="0244F0CF"/>
    <w:rsid w:val="0246FB6F"/>
    <w:rsid w:val="0249E0DF"/>
    <w:rsid w:val="024B8D2A"/>
    <w:rsid w:val="024BC2C5"/>
    <w:rsid w:val="02522412"/>
    <w:rsid w:val="02545C6D"/>
    <w:rsid w:val="02561284"/>
    <w:rsid w:val="0262545F"/>
    <w:rsid w:val="02667AE4"/>
    <w:rsid w:val="026E7504"/>
    <w:rsid w:val="02729D2A"/>
    <w:rsid w:val="0273F832"/>
    <w:rsid w:val="027C72A2"/>
    <w:rsid w:val="027C7EF5"/>
    <w:rsid w:val="0286D537"/>
    <w:rsid w:val="0288120B"/>
    <w:rsid w:val="0288FF37"/>
    <w:rsid w:val="02896FC6"/>
    <w:rsid w:val="028A5936"/>
    <w:rsid w:val="028A5F3E"/>
    <w:rsid w:val="028E69AA"/>
    <w:rsid w:val="028FB702"/>
    <w:rsid w:val="029425DD"/>
    <w:rsid w:val="029712B1"/>
    <w:rsid w:val="029A4AD9"/>
    <w:rsid w:val="029A6288"/>
    <w:rsid w:val="029D05F1"/>
    <w:rsid w:val="029F94EB"/>
    <w:rsid w:val="02A88C5C"/>
    <w:rsid w:val="02A8D9F7"/>
    <w:rsid w:val="02AAEF28"/>
    <w:rsid w:val="02ABC9C9"/>
    <w:rsid w:val="02B20E8D"/>
    <w:rsid w:val="02B3FCCB"/>
    <w:rsid w:val="02B6074E"/>
    <w:rsid w:val="02BE39F7"/>
    <w:rsid w:val="02C6B49F"/>
    <w:rsid w:val="02CED8B0"/>
    <w:rsid w:val="02D112FD"/>
    <w:rsid w:val="02D21027"/>
    <w:rsid w:val="02D591DB"/>
    <w:rsid w:val="02D5A684"/>
    <w:rsid w:val="02D5BF84"/>
    <w:rsid w:val="02D8EA7D"/>
    <w:rsid w:val="02DBCAAF"/>
    <w:rsid w:val="02DC6F42"/>
    <w:rsid w:val="02E127FD"/>
    <w:rsid w:val="02E159D7"/>
    <w:rsid w:val="02E49C4C"/>
    <w:rsid w:val="02E5043B"/>
    <w:rsid w:val="02E61097"/>
    <w:rsid w:val="02E7ED07"/>
    <w:rsid w:val="02EE3DC9"/>
    <w:rsid w:val="02EF4F05"/>
    <w:rsid w:val="02F0B527"/>
    <w:rsid w:val="02FCFA92"/>
    <w:rsid w:val="02FEF6A1"/>
    <w:rsid w:val="0305C09C"/>
    <w:rsid w:val="03075DD8"/>
    <w:rsid w:val="03095263"/>
    <w:rsid w:val="030A7607"/>
    <w:rsid w:val="030BB961"/>
    <w:rsid w:val="030ED1BB"/>
    <w:rsid w:val="030F18C6"/>
    <w:rsid w:val="030FB7CD"/>
    <w:rsid w:val="03163A70"/>
    <w:rsid w:val="03182360"/>
    <w:rsid w:val="0318EB41"/>
    <w:rsid w:val="031B94E3"/>
    <w:rsid w:val="031BF2D4"/>
    <w:rsid w:val="03241645"/>
    <w:rsid w:val="0328120C"/>
    <w:rsid w:val="032E8DEB"/>
    <w:rsid w:val="033054A1"/>
    <w:rsid w:val="033507E2"/>
    <w:rsid w:val="0337770B"/>
    <w:rsid w:val="0338DB08"/>
    <w:rsid w:val="033ABD72"/>
    <w:rsid w:val="033CE0F8"/>
    <w:rsid w:val="033F10A6"/>
    <w:rsid w:val="033FFB91"/>
    <w:rsid w:val="034275A2"/>
    <w:rsid w:val="03473555"/>
    <w:rsid w:val="034A2B69"/>
    <w:rsid w:val="034B07CF"/>
    <w:rsid w:val="034CB2B5"/>
    <w:rsid w:val="034D2C93"/>
    <w:rsid w:val="0356A856"/>
    <w:rsid w:val="03572C51"/>
    <w:rsid w:val="035737D6"/>
    <w:rsid w:val="035C8313"/>
    <w:rsid w:val="0366CFEB"/>
    <w:rsid w:val="0369ED6B"/>
    <w:rsid w:val="036B0DF0"/>
    <w:rsid w:val="0370446B"/>
    <w:rsid w:val="0372CD8C"/>
    <w:rsid w:val="0372F6C0"/>
    <w:rsid w:val="0373C8DF"/>
    <w:rsid w:val="03779E41"/>
    <w:rsid w:val="0378AC1F"/>
    <w:rsid w:val="037A91A8"/>
    <w:rsid w:val="037AAAC9"/>
    <w:rsid w:val="037B7EF8"/>
    <w:rsid w:val="037BE6DC"/>
    <w:rsid w:val="037D10BF"/>
    <w:rsid w:val="037F6DBA"/>
    <w:rsid w:val="03804A7F"/>
    <w:rsid w:val="03837870"/>
    <w:rsid w:val="038677D4"/>
    <w:rsid w:val="03899CBA"/>
    <w:rsid w:val="038EF2CE"/>
    <w:rsid w:val="038F0B05"/>
    <w:rsid w:val="03909C4C"/>
    <w:rsid w:val="03954CDE"/>
    <w:rsid w:val="03990785"/>
    <w:rsid w:val="039AE362"/>
    <w:rsid w:val="039FC8D2"/>
    <w:rsid w:val="03A24AE6"/>
    <w:rsid w:val="03A3579B"/>
    <w:rsid w:val="03A3C39A"/>
    <w:rsid w:val="03A422AC"/>
    <w:rsid w:val="03A9722B"/>
    <w:rsid w:val="03AA1CDE"/>
    <w:rsid w:val="03AD5470"/>
    <w:rsid w:val="03AF4417"/>
    <w:rsid w:val="03B2A922"/>
    <w:rsid w:val="03B2ECB8"/>
    <w:rsid w:val="03C77A66"/>
    <w:rsid w:val="03CD4967"/>
    <w:rsid w:val="03D04EF1"/>
    <w:rsid w:val="03D0AF30"/>
    <w:rsid w:val="03D242E3"/>
    <w:rsid w:val="03D3B878"/>
    <w:rsid w:val="03D9E37E"/>
    <w:rsid w:val="03DB3CD7"/>
    <w:rsid w:val="03DC32D4"/>
    <w:rsid w:val="03DF5F1F"/>
    <w:rsid w:val="03E6E881"/>
    <w:rsid w:val="03E8F4D3"/>
    <w:rsid w:val="03EBE04E"/>
    <w:rsid w:val="03ED039A"/>
    <w:rsid w:val="03EF4845"/>
    <w:rsid w:val="03F08088"/>
    <w:rsid w:val="03F5940D"/>
    <w:rsid w:val="03F745C4"/>
    <w:rsid w:val="03F9081A"/>
    <w:rsid w:val="03FBA118"/>
    <w:rsid w:val="03FEF186"/>
    <w:rsid w:val="0400BB80"/>
    <w:rsid w:val="040372F0"/>
    <w:rsid w:val="0404EB8E"/>
    <w:rsid w:val="04057DB0"/>
    <w:rsid w:val="0405B764"/>
    <w:rsid w:val="04090829"/>
    <w:rsid w:val="040C81D3"/>
    <w:rsid w:val="040DEB35"/>
    <w:rsid w:val="0412DDC2"/>
    <w:rsid w:val="04143B2F"/>
    <w:rsid w:val="0415ECD4"/>
    <w:rsid w:val="041685F3"/>
    <w:rsid w:val="041891DD"/>
    <w:rsid w:val="041A7986"/>
    <w:rsid w:val="041AD2FD"/>
    <w:rsid w:val="0420916B"/>
    <w:rsid w:val="0420B6D2"/>
    <w:rsid w:val="0420D467"/>
    <w:rsid w:val="04224999"/>
    <w:rsid w:val="0422E35E"/>
    <w:rsid w:val="04245E73"/>
    <w:rsid w:val="0425564D"/>
    <w:rsid w:val="0428A9CF"/>
    <w:rsid w:val="042BC40C"/>
    <w:rsid w:val="043F18D7"/>
    <w:rsid w:val="04487E02"/>
    <w:rsid w:val="044AD953"/>
    <w:rsid w:val="044B986A"/>
    <w:rsid w:val="044E5E88"/>
    <w:rsid w:val="044F3F4C"/>
    <w:rsid w:val="045090EC"/>
    <w:rsid w:val="04519761"/>
    <w:rsid w:val="0459038F"/>
    <w:rsid w:val="0459653E"/>
    <w:rsid w:val="045FE5CF"/>
    <w:rsid w:val="04603D5A"/>
    <w:rsid w:val="0463010E"/>
    <w:rsid w:val="046752C2"/>
    <w:rsid w:val="04679770"/>
    <w:rsid w:val="046861CC"/>
    <w:rsid w:val="0468D5FE"/>
    <w:rsid w:val="046A07C2"/>
    <w:rsid w:val="046B91F3"/>
    <w:rsid w:val="046D3E94"/>
    <w:rsid w:val="046DBCC9"/>
    <w:rsid w:val="046F427C"/>
    <w:rsid w:val="046F955F"/>
    <w:rsid w:val="0470EF44"/>
    <w:rsid w:val="0476D2E7"/>
    <w:rsid w:val="047F5DFE"/>
    <w:rsid w:val="048182CC"/>
    <w:rsid w:val="0483273A"/>
    <w:rsid w:val="0485BD1B"/>
    <w:rsid w:val="0485E284"/>
    <w:rsid w:val="0485EAF4"/>
    <w:rsid w:val="0486207B"/>
    <w:rsid w:val="0486B7B3"/>
    <w:rsid w:val="048C1874"/>
    <w:rsid w:val="04907C23"/>
    <w:rsid w:val="04915AF3"/>
    <w:rsid w:val="0493AC08"/>
    <w:rsid w:val="04956BB2"/>
    <w:rsid w:val="049AB307"/>
    <w:rsid w:val="049D2328"/>
    <w:rsid w:val="049D4D76"/>
    <w:rsid w:val="04A6D5D2"/>
    <w:rsid w:val="04A93B8E"/>
    <w:rsid w:val="04A95239"/>
    <w:rsid w:val="04AB7CBE"/>
    <w:rsid w:val="04AF71D5"/>
    <w:rsid w:val="04B5B7AE"/>
    <w:rsid w:val="04B65EB5"/>
    <w:rsid w:val="04B675C7"/>
    <w:rsid w:val="04B86162"/>
    <w:rsid w:val="04BF6A38"/>
    <w:rsid w:val="04C26FB5"/>
    <w:rsid w:val="04C556D4"/>
    <w:rsid w:val="04C5CB6A"/>
    <w:rsid w:val="04C6308A"/>
    <w:rsid w:val="04CB2D3C"/>
    <w:rsid w:val="04D1A807"/>
    <w:rsid w:val="04D238A1"/>
    <w:rsid w:val="04D988D8"/>
    <w:rsid w:val="04DCC314"/>
    <w:rsid w:val="04DDBDB5"/>
    <w:rsid w:val="04EA1044"/>
    <w:rsid w:val="04EA927B"/>
    <w:rsid w:val="04EB05BA"/>
    <w:rsid w:val="04EDC8EC"/>
    <w:rsid w:val="04EDCB62"/>
    <w:rsid w:val="04EEE250"/>
    <w:rsid w:val="04F06B05"/>
    <w:rsid w:val="04F09F6B"/>
    <w:rsid w:val="04F1753A"/>
    <w:rsid w:val="04F48F7C"/>
    <w:rsid w:val="04F4E225"/>
    <w:rsid w:val="04FBF021"/>
    <w:rsid w:val="04FD1317"/>
    <w:rsid w:val="04FECD32"/>
    <w:rsid w:val="05004CF1"/>
    <w:rsid w:val="050295CF"/>
    <w:rsid w:val="0507F02B"/>
    <w:rsid w:val="050C3583"/>
    <w:rsid w:val="050C36F4"/>
    <w:rsid w:val="0510186F"/>
    <w:rsid w:val="05111209"/>
    <w:rsid w:val="05124F66"/>
    <w:rsid w:val="051303C5"/>
    <w:rsid w:val="051564EE"/>
    <w:rsid w:val="05167A67"/>
    <w:rsid w:val="0516DF23"/>
    <w:rsid w:val="0517BAC0"/>
    <w:rsid w:val="051A3CE3"/>
    <w:rsid w:val="051A8072"/>
    <w:rsid w:val="051B9E76"/>
    <w:rsid w:val="0521BE24"/>
    <w:rsid w:val="0522E7C7"/>
    <w:rsid w:val="052996ED"/>
    <w:rsid w:val="05356CC4"/>
    <w:rsid w:val="053573A9"/>
    <w:rsid w:val="05358EBA"/>
    <w:rsid w:val="0537922D"/>
    <w:rsid w:val="0537B3C2"/>
    <w:rsid w:val="053B17BF"/>
    <w:rsid w:val="053B30B6"/>
    <w:rsid w:val="053CBB19"/>
    <w:rsid w:val="0542A46F"/>
    <w:rsid w:val="05431A26"/>
    <w:rsid w:val="0543627C"/>
    <w:rsid w:val="0546F09F"/>
    <w:rsid w:val="054A9FC5"/>
    <w:rsid w:val="054ACEE2"/>
    <w:rsid w:val="054C4197"/>
    <w:rsid w:val="054D0A42"/>
    <w:rsid w:val="054D7277"/>
    <w:rsid w:val="054E6A75"/>
    <w:rsid w:val="054EF69A"/>
    <w:rsid w:val="0550DC1C"/>
    <w:rsid w:val="055243C5"/>
    <w:rsid w:val="05543812"/>
    <w:rsid w:val="055640F0"/>
    <w:rsid w:val="0556CC19"/>
    <w:rsid w:val="055831C8"/>
    <w:rsid w:val="0559191B"/>
    <w:rsid w:val="055D8875"/>
    <w:rsid w:val="0565543A"/>
    <w:rsid w:val="056D9B97"/>
    <w:rsid w:val="056FF388"/>
    <w:rsid w:val="057180CB"/>
    <w:rsid w:val="05749F09"/>
    <w:rsid w:val="05750184"/>
    <w:rsid w:val="057958AF"/>
    <w:rsid w:val="057E0A99"/>
    <w:rsid w:val="058157C3"/>
    <w:rsid w:val="05819593"/>
    <w:rsid w:val="0586CCAB"/>
    <w:rsid w:val="05898AAE"/>
    <w:rsid w:val="058A55E2"/>
    <w:rsid w:val="058C74E3"/>
    <w:rsid w:val="058DBB4D"/>
    <w:rsid w:val="058DD6D0"/>
    <w:rsid w:val="058F53E0"/>
    <w:rsid w:val="05902EE2"/>
    <w:rsid w:val="05923948"/>
    <w:rsid w:val="0596306E"/>
    <w:rsid w:val="059830A8"/>
    <w:rsid w:val="0599E4DE"/>
    <w:rsid w:val="059F8A3A"/>
    <w:rsid w:val="05A086C4"/>
    <w:rsid w:val="05A2DD47"/>
    <w:rsid w:val="05A391B7"/>
    <w:rsid w:val="05A62026"/>
    <w:rsid w:val="05A62BC9"/>
    <w:rsid w:val="05A7DCDC"/>
    <w:rsid w:val="05A814C2"/>
    <w:rsid w:val="05A81E17"/>
    <w:rsid w:val="05A88732"/>
    <w:rsid w:val="05AC4047"/>
    <w:rsid w:val="05ADF1F3"/>
    <w:rsid w:val="05AF1E8E"/>
    <w:rsid w:val="05AF41C6"/>
    <w:rsid w:val="05B2A41A"/>
    <w:rsid w:val="05B30E96"/>
    <w:rsid w:val="05BB7F5D"/>
    <w:rsid w:val="05BDB9D3"/>
    <w:rsid w:val="05C35829"/>
    <w:rsid w:val="05C83514"/>
    <w:rsid w:val="05CD42B9"/>
    <w:rsid w:val="05D982F4"/>
    <w:rsid w:val="05D9E87A"/>
    <w:rsid w:val="05DA2C5D"/>
    <w:rsid w:val="05DC8314"/>
    <w:rsid w:val="05E02EBB"/>
    <w:rsid w:val="05E145D1"/>
    <w:rsid w:val="05E56161"/>
    <w:rsid w:val="05E5FFB8"/>
    <w:rsid w:val="05E95CE9"/>
    <w:rsid w:val="05ED9F74"/>
    <w:rsid w:val="05EE3086"/>
    <w:rsid w:val="05F42484"/>
    <w:rsid w:val="05FB5B68"/>
    <w:rsid w:val="05FC6EA6"/>
    <w:rsid w:val="05FDD374"/>
    <w:rsid w:val="05FF49A2"/>
    <w:rsid w:val="06008230"/>
    <w:rsid w:val="0602B19A"/>
    <w:rsid w:val="060FD6FC"/>
    <w:rsid w:val="061113FC"/>
    <w:rsid w:val="06126F56"/>
    <w:rsid w:val="06167829"/>
    <w:rsid w:val="061B8DA4"/>
    <w:rsid w:val="061BCA87"/>
    <w:rsid w:val="061C36C8"/>
    <w:rsid w:val="061EDB0D"/>
    <w:rsid w:val="061FF841"/>
    <w:rsid w:val="0620655B"/>
    <w:rsid w:val="06244A94"/>
    <w:rsid w:val="0626E499"/>
    <w:rsid w:val="06274227"/>
    <w:rsid w:val="062762BF"/>
    <w:rsid w:val="062837B8"/>
    <w:rsid w:val="06293FB4"/>
    <w:rsid w:val="062BDF7B"/>
    <w:rsid w:val="062E2A3D"/>
    <w:rsid w:val="06302F0A"/>
    <w:rsid w:val="06311868"/>
    <w:rsid w:val="0637901D"/>
    <w:rsid w:val="063885DA"/>
    <w:rsid w:val="063F79F4"/>
    <w:rsid w:val="0643CE6E"/>
    <w:rsid w:val="0644A432"/>
    <w:rsid w:val="0646DEF6"/>
    <w:rsid w:val="0649154E"/>
    <w:rsid w:val="0649CFF7"/>
    <w:rsid w:val="0649F69B"/>
    <w:rsid w:val="064C0F50"/>
    <w:rsid w:val="064DF179"/>
    <w:rsid w:val="0654CDEB"/>
    <w:rsid w:val="06563001"/>
    <w:rsid w:val="065759F1"/>
    <w:rsid w:val="065BE362"/>
    <w:rsid w:val="065BF932"/>
    <w:rsid w:val="065D524A"/>
    <w:rsid w:val="065D8144"/>
    <w:rsid w:val="066590D1"/>
    <w:rsid w:val="066E76D3"/>
    <w:rsid w:val="066E7A75"/>
    <w:rsid w:val="066E9B48"/>
    <w:rsid w:val="06728253"/>
    <w:rsid w:val="0673B1BC"/>
    <w:rsid w:val="0674C8A3"/>
    <w:rsid w:val="0675125B"/>
    <w:rsid w:val="06777434"/>
    <w:rsid w:val="0677BE21"/>
    <w:rsid w:val="067A23C7"/>
    <w:rsid w:val="067ACC32"/>
    <w:rsid w:val="067C6F93"/>
    <w:rsid w:val="067E6C2F"/>
    <w:rsid w:val="067E8594"/>
    <w:rsid w:val="067F09E0"/>
    <w:rsid w:val="06813D53"/>
    <w:rsid w:val="068A70D8"/>
    <w:rsid w:val="068B88B2"/>
    <w:rsid w:val="068D11DF"/>
    <w:rsid w:val="0693962F"/>
    <w:rsid w:val="0694B5CC"/>
    <w:rsid w:val="06958C56"/>
    <w:rsid w:val="0696A7B3"/>
    <w:rsid w:val="06970048"/>
    <w:rsid w:val="0697F597"/>
    <w:rsid w:val="06983A70"/>
    <w:rsid w:val="069CCC7E"/>
    <w:rsid w:val="06A4BB7D"/>
    <w:rsid w:val="06A85AAD"/>
    <w:rsid w:val="06A9549A"/>
    <w:rsid w:val="06AACB82"/>
    <w:rsid w:val="06AF3C1C"/>
    <w:rsid w:val="06B2F0A2"/>
    <w:rsid w:val="06B5703A"/>
    <w:rsid w:val="06B8227D"/>
    <w:rsid w:val="06B88C82"/>
    <w:rsid w:val="06B933DF"/>
    <w:rsid w:val="06BCB4EA"/>
    <w:rsid w:val="06BD87EA"/>
    <w:rsid w:val="06C353DD"/>
    <w:rsid w:val="06C82051"/>
    <w:rsid w:val="06C9609A"/>
    <w:rsid w:val="06CB23D8"/>
    <w:rsid w:val="06CC0EFD"/>
    <w:rsid w:val="06CC488F"/>
    <w:rsid w:val="06D696A5"/>
    <w:rsid w:val="06D8AA1B"/>
    <w:rsid w:val="06DAFFAB"/>
    <w:rsid w:val="06DCFE25"/>
    <w:rsid w:val="06DDD828"/>
    <w:rsid w:val="06E58BC7"/>
    <w:rsid w:val="06E72166"/>
    <w:rsid w:val="06E73C1A"/>
    <w:rsid w:val="06E7AD0C"/>
    <w:rsid w:val="06EB0E4F"/>
    <w:rsid w:val="06EB608A"/>
    <w:rsid w:val="06F28343"/>
    <w:rsid w:val="06F98025"/>
    <w:rsid w:val="06FCEE3C"/>
    <w:rsid w:val="06FF4F05"/>
    <w:rsid w:val="06FFF31B"/>
    <w:rsid w:val="07037F01"/>
    <w:rsid w:val="070452FE"/>
    <w:rsid w:val="070582B5"/>
    <w:rsid w:val="07062AA5"/>
    <w:rsid w:val="07107176"/>
    <w:rsid w:val="0713575B"/>
    <w:rsid w:val="07136459"/>
    <w:rsid w:val="07143E90"/>
    <w:rsid w:val="0717C839"/>
    <w:rsid w:val="07182AB5"/>
    <w:rsid w:val="071ABB3B"/>
    <w:rsid w:val="071E5042"/>
    <w:rsid w:val="0720A8E0"/>
    <w:rsid w:val="07212E87"/>
    <w:rsid w:val="07278897"/>
    <w:rsid w:val="072EA95B"/>
    <w:rsid w:val="07312D74"/>
    <w:rsid w:val="07353E79"/>
    <w:rsid w:val="0736AC90"/>
    <w:rsid w:val="073AE822"/>
    <w:rsid w:val="073B8369"/>
    <w:rsid w:val="073C80D1"/>
    <w:rsid w:val="073D9238"/>
    <w:rsid w:val="0744FC8A"/>
    <w:rsid w:val="07479AD0"/>
    <w:rsid w:val="074AAE8D"/>
    <w:rsid w:val="074C47BC"/>
    <w:rsid w:val="074E2AAC"/>
    <w:rsid w:val="074E6E99"/>
    <w:rsid w:val="0751C666"/>
    <w:rsid w:val="075489D8"/>
    <w:rsid w:val="0755569B"/>
    <w:rsid w:val="0757B008"/>
    <w:rsid w:val="0758BB6E"/>
    <w:rsid w:val="075A7BDD"/>
    <w:rsid w:val="075AAD41"/>
    <w:rsid w:val="075B9143"/>
    <w:rsid w:val="075BC5EF"/>
    <w:rsid w:val="075F70C9"/>
    <w:rsid w:val="07612A89"/>
    <w:rsid w:val="07632EC1"/>
    <w:rsid w:val="0767EE9F"/>
    <w:rsid w:val="07711190"/>
    <w:rsid w:val="07717054"/>
    <w:rsid w:val="077AF901"/>
    <w:rsid w:val="077B4935"/>
    <w:rsid w:val="0788D9D1"/>
    <w:rsid w:val="078C6D5C"/>
    <w:rsid w:val="078E66CF"/>
    <w:rsid w:val="078FB1F7"/>
    <w:rsid w:val="078FDACA"/>
    <w:rsid w:val="078FE54B"/>
    <w:rsid w:val="07921ADB"/>
    <w:rsid w:val="0794A83E"/>
    <w:rsid w:val="0796AE66"/>
    <w:rsid w:val="07971013"/>
    <w:rsid w:val="079ADCFC"/>
    <w:rsid w:val="079AF214"/>
    <w:rsid w:val="079B5A93"/>
    <w:rsid w:val="079CB5D9"/>
    <w:rsid w:val="079CEE12"/>
    <w:rsid w:val="079D56DF"/>
    <w:rsid w:val="07A315D6"/>
    <w:rsid w:val="07A3FA51"/>
    <w:rsid w:val="07A7FE9A"/>
    <w:rsid w:val="07AC7653"/>
    <w:rsid w:val="07AE73C8"/>
    <w:rsid w:val="07B4545B"/>
    <w:rsid w:val="07B58772"/>
    <w:rsid w:val="07B65EBE"/>
    <w:rsid w:val="07B80181"/>
    <w:rsid w:val="07BA7B67"/>
    <w:rsid w:val="07BC3927"/>
    <w:rsid w:val="07BCC506"/>
    <w:rsid w:val="07BD722A"/>
    <w:rsid w:val="07BE0129"/>
    <w:rsid w:val="07C0E4DC"/>
    <w:rsid w:val="07C2AAAC"/>
    <w:rsid w:val="07C599E7"/>
    <w:rsid w:val="07C7BFB3"/>
    <w:rsid w:val="07CB9C43"/>
    <w:rsid w:val="07CC1405"/>
    <w:rsid w:val="07CC24CD"/>
    <w:rsid w:val="07CC4718"/>
    <w:rsid w:val="07CCEC02"/>
    <w:rsid w:val="07D39393"/>
    <w:rsid w:val="07D97218"/>
    <w:rsid w:val="07DC6415"/>
    <w:rsid w:val="07E5786D"/>
    <w:rsid w:val="07E5910E"/>
    <w:rsid w:val="07EA0F07"/>
    <w:rsid w:val="07F113F5"/>
    <w:rsid w:val="07F273DF"/>
    <w:rsid w:val="07F9BBBB"/>
    <w:rsid w:val="0801FC3E"/>
    <w:rsid w:val="080432FC"/>
    <w:rsid w:val="08044215"/>
    <w:rsid w:val="08046944"/>
    <w:rsid w:val="0805ACD9"/>
    <w:rsid w:val="080C382F"/>
    <w:rsid w:val="080F8A2C"/>
    <w:rsid w:val="081A93CA"/>
    <w:rsid w:val="081B0E0D"/>
    <w:rsid w:val="08200CD0"/>
    <w:rsid w:val="0820FF49"/>
    <w:rsid w:val="08288F33"/>
    <w:rsid w:val="0828BFEB"/>
    <w:rsid w:val="083341CC"/>
    <w:rsid w:val="0834EF52"/>
    <w:rsid w:val="08359753"/>
    <w:rsid w:val="08362E30"/>
    <w:rsid w:val="0839702C"/>
    <w:rsid w:val="083B0C2B"/>
    <w:rsid w:val="083D22D5"/>
    <w:rsid w:val="083D49A8"/>
    <w:rsid w:val="083E9541"/>
    <w:rsid w:val="083FA5A5"/>
    <w:rsid w:val="0841AFDF"/>
    <w:rsid w:val="084A2C53"/>
    <w:rsid w:val="084AA675"/>
    <w:rsid w:val="084F1EDC"/>
    <w:rsid w:val="0850128C"/>
    <w:rsid w:val="085051B1"/>
    <w:rsid w:val="0851FFFA"/>
    <w:rsid w:val="0852D816"/>
    <w:rsid w:val="0855F07F"/>
    <w:rsid w:val="0855FCBA"/>
    <w:rsid w:val="08583D60"/>
    <w:rsid w:val="0858A8DC"/>
    <w:rsid w:val="085A4CE2"/>
    <w:rsid w:val="085CD0BB"/>
    <w:rsid w:val="08600307"/>
    <w:rsid w:val="0860ABE4"/>
    <w:rsid w:val="0863084D"/>
    <w:rsid w:val="0865CCCB"/>
    <w:rsid w:val="08666623"/>
    <w:rsid w:val="08690780"/>
    <w:rsid w:val="086E5E5E"/>
    <w:rsid w:val="08725F85"/>
    <w:rsid w:val="087454D5"/>
    <w:rsid w:val="0877BF0B"/>
    <w:rsid w:val="087A226B"/>
    <w:rsid w:val="088094C3"/>
    <w:rsid w:val="08809ABF"/>
    <w:rsid w:val="0881351B"/>
    <w:rsid w:val="0882968F"/>
    <w:rsid w:val="088699C8"/>
    <w:rsid w:val="08876E25"/>
    <w:rsid w:val="088A92ED"/>
    <w:rsid w:val="088D8EFB"/>
    <w:rsid w:val="0890E79A"/>
    <w:rsid w:val="08979BD6"/>
    <w:rsid w:val="089F2993"/>
    <w:rsid w:val="08A04914"/>
    <w:rsid w:val="08A09940"/>
    <w:rsid w:val="08A3D058"/>
    <w:rsid w:val="08A496E0"/>
    <w:rsid w:val="08A4D3D5"/>
    <w:rsid w:val="08A66124"/>
    <w:rsid w:val="08A78315"/>
    <w:rsid w:val="08ACC3E8"/>
    <w:rsid w:val="08AE10B2"/>
    <w:rsid w:val="08B0C9A9"/>
    <w:rsid w:val="08B3DC95"/>
    <w:rsid w:val="08B62705"/>
    <w:rsid w:val="08B70686"/>
    <w:rsid w:val="08B7E44C"/>
    <w:rsid w:val="08BD24ED"/>
    <w:rsid w:val="08C22B3F"/>
    <w:rsid w:val="08C34323"/>
    <w:rsid w:val="08C5D885"/>
    <w:rsid w:val="08CA7749"/>
    <w:rsid w:val="08CB8DFF"/>
    <w:rsid w:val="08D0A4AB"/>
    <w:rsid w:val="08D441D3"/>
    <w:rsid w:val="08D7134E"/>
    <w:rsid w:val="08D767FE"/>
    <w:rsid w:val="08D89C01"/>
    <w:rsid w:val="08DA306F"/>
    <w:rsid w:val="08DAD796"/>
    <w:rsid w:val="08DAFB56"/>
    <w:rsid w:val="08E2539F"/>
    <w:rsid w:val="08E2C683"/>
    <w:rsid w:val="08E2F226"/>
    <w:rsid w:val="08E55B38"/>
    <w:rsid w:val="08E71E18"/>
    <w:rsid w:val="08E88745"/>
    <w:rsid w:val="08E93150"/>
    <w:rsid w:val="08EB11D4"/>
    <w:rsid w:val="08ED6093"/>
    <w:rsid w:val="08F02735"/>
    <w:rsid w:val="08F4E2C1"/>
    <w:rsid w:val="08F7490A"/>
    <w:rsid w:val="08FA7344"/>
    <w:rsid w:val="08FCBAB5"/>
    <w:rsid w:val="08FD4D6A"/>
    <w:rsid w:val="08FE74B8"/>
    <w:rsid w:val="090073E4"/>
    <w:rsid w:val="0900ECF3"/>
    <w:rsid w:val="09023D8E"/>
    <w:rsid w:val="0909BD51"/>
    <w:rsid w:val="090D56F5"/>
    <w:rsid w:val="090D9F91"/>
    <w:rsid w:val="0910DF8C"/>
    <w:rsid w:val="0911750D"/>
    <w:rsid w:val="091322CB"/>
    <w:rsid w:val="0918FEAB"/>
    <w:rsid w:val="091FE2B2"/>
    <w:rsid w:val="0922A6DA"/>
    <w:rsid w:val="0923F873"/>
    <w:rsid w:val="092A923C"/>
    <w:rsid w:val="092B8B22"/>
    <w:rsid w:val="092D724E"/>
    <w:rsid w:val="092E2DB4"/>
    <w:rsid w:val="0931C4D3"/>
    <w:rsid w:val="093385E8"/>
    <w:rsid w:val="0936FDD0"/>
    <w:rsid w:val="0937A64D"/>
    <w:rsid w:val="093B4402"/>
    <w:rsid w:val="094464F1"/>
    <w:rsid w:val="094941FD"/>
    <w:rsid w:val="094B6D03"/>
    <w:rsid w:val="094DA2EF"/>
    <w:rsid w:val="0958C784"/>
    <w:rsid w:val="095B0EFC"/>
    <w:rsid w:val="095F1B0B"/>
    <w:rsid w:val="09609EA6"/>
    <w:rsid w:val="09660825"/>
    <w:rsid w:val="096A1B97"/>
    <w:rsid w:val="096F5351"/>
    <w:rsid w:val="0970547B"/>
    <w:rsid w:val="097170AA"/>
    <w:rsid w:val="0971D396"/>
    <w:rsid w:val="097604C9"/>
    <w:rsid w:val="097669C4"/>
    <w:rsid w:val="097C6FF7"/>
    <w:rsid w:val="097F3F0B"/>
    <w:rsid w:val="0985D285"/>
    <w:rsid w:val="098639D0"/>
    <w:rsid w:val="09899CE8"/>
    <w:rsid w:val="098BB0F9"/>
    <w:rsid w:val="09900FC6"/>
    <w:rsid w:val="0991314C"/>
    <w:rsid w:val="0991EB26"/>
    <w:rsid w:val="09966F7D"/>
    <w:rsid w:val="0996C4FF"/>
    <w:rsid w:val="0997F3FE"/>
    <w:rsid w:val="0999AEAF"/>
    <w:rsid w:val="099C7292"/>
    <w:rsid w:val="09A118F4"/>
    <w:rsid w:val="09AA9137"/>
    <w:rsid w:val="09AB4754"/>
    <w:rsid w:val="09AB7C93"/>
    <w:rsid w:val="09AEE739"/>
    <w:rsid w:val="09B18405"/>
    <w:rsid w:val="09B672E5"/>
    <w:rsid w:val="09B70CF4"/>
    <w:rsid w:val="09B72ABE"/>
    <w:rsid w:val="09B82477"/>
    <w:rsid w:val="09B9AEB1"/>
    <w:rsid w:val="09C26610"/>
    <w:rsid w:val="09C6FAC8"/>
    <w:rsid w:val="09CDC4E0"/>
    <w:rsid w:val="09D01D74"/>
    <w:rsid w:val="09D552FE"/>
    <w:rsid w:val="09D61ECB"/>
    <w:rsid w:val="09D64948"/>
    <w:rsid w:val="09DBF1C6"/>
    <w:rsid w:val="09DBF743"/>
    <w:rsid w:val="09DCC0DC"/>
    <w:rsid w:val="09E1B1B1"/>
    <w:rsid w:val="09E25A0E"/>
    <w:rsid w:val="09E2F64C"/>
    <w:rsid w:val="09E7FB7F"/>
    <w:rsid w:val="09E88EC4"/>
    <w:rsid w:val="09F0F9E1"/>
    <w:rsid w:val="09F3E4F6"/>
    <w:rsid w:val="09F95311"/>
    <w:rsid w:val="09F95724"/>
    <w:rsid w:val="09F9D7CA"/>
    <w:rsid w:val="09FF9CF2"/>
    <w:rsid w:val="0A03B1C3"/>
    <w:rsid w:val="0A086592"/>
    <w:rsid w:val="0A0B758B"/>
    <w:rsid w:val="0A0DFE66"/>
    <w:rsid w:val="0A1B2304"/>
    <w:rsid w:val="0A2558DF"/>
    <w:rsid w:val="0A26BECD"/>
    <w:rsid w:val="0A270B0A"/>
    <w:rsid w:val="0A27D6D4"/>
    <w:rsid w:val="0A27DCD0"/>
    <w:rsid w:val="0A281BE9"/>
    <w:rsid w:val="0A284E18"/>
    <w:rsid w:val="0A2A30AB"/>
    <w:rsid w:val="0A2A370D"/>
    <w:rsid w:val="0A2BD5BF"/>
    <w:rsid w:val="0A2C27B2"/>
    <w:rsid w:val="0A2D9519"/>
    <w:rsid w:val="0A2E50F4"/>
    <w:rsid w:val="0A38FC3F"/>
    <w:rsid w:val="0A394FCF"/>
    <w:rsid w:val="0A3ABA70"/>
    <w:rsid w:val="0A3BB969"/>
    <w:rsid w:val="0A3CC98C"/>
    <w:rsid w:val="0A3EEDCB"/>
    <w:rsid w:val="0A42C051"/>
    <w:rsid w:val="0A4596B5"/>
    <w:rsid w:val="0A4AABC7"/>
    <w:rsid w:val="0A4AD1B9"/>
    <w:rsid w:val="0A55411C"/>
    <w:rsid w:val="0A57B46F"/>
    <w:rsid w:val="0A58D8B5"/>
    <w:rsid w:val="0A59A1E8"/>
    <w:rsid w:val="0A604BA8"/>
    <w:rsid w:val="0A610756"/>
    <w:rsid w:val="0A61817B"/>
    <w:rsid w:val="0A6B00CD"/>
    <w:rsid w:val="0A6B6F83"/>
    <w:rsid w:val="0A701742"/>
    <w:rsid w:val="0A717EAD"/>
    <w:rsid w:val="0A7596AA"/>
    <w:rsid w:val="0A759C5D"/>
    <w:rsid w:val="0A7DF570"/>
    <w:rsid w:val="0A7E591D"/>
    <w:rsid w:val="0A886566"/>
    <w:rsid w:val="0A8D9CAF"/>
    <w:rsid w:val="0A8E6A2A"/>
    <w:rsid w:val="0A8EFAEF"/>
    <w:rsid w:val="0A90C641"/>
    <w:rsid w:val="0A91D566"/>
    <w:rsid w:val="0A99AA91"/>
    <w:rsid w:val="0A9B0A11"/>
    <w:rsid w:val="0A9B2A02"/>
    <w:rsid w:val="0A9E56E3"/>
    <w:rsid w:val="0AA0DA95"/>
    <w:rsid w:val="0AA2270C"/>
    <w:rsid w:val="0AB08E9D"/>
    <w:rsid w:val="0AB34132"/>
    <w:rsid w:val="0AB5547B"/>
    <w:rsid w:val="0ABC3BE2"/>
    <w:rsid w:val="0ABCD575"/>
    <w:rsid w:val="0ABCDC7F"/>
    <w:rsid w:val="0ABE3728"/>
    <w:rsid w:val="0AC01319"/>
    <w:rsid w:val="0AC4EE18"/>
    <w:rsid w:val="0AC51EE1"/>
    <w:rsid w:val="0AC54A68"/>
    <w:rsid w:val="0AC8BED2"/>
    <w:rsid w:val="0ACE1D26"/>
    <w:rsid w:val="0AD1A202"/>
    <w:rsid w:val="0AD26DD2"/>
    <w:rsid w:val="0AD5AE50"/>
    <w:rsid w:val="0AD7B9C6"/>
    <w:rsid w:val="0AD9542C"/>
    <w:rsid w:val="0ADA5BC9"/>
    <w:rsid w:val="0ADB7DA4"/>
    <w:rsid w:val="0ADC22A8"/>
    <w:rsid w:val="0AE0371F"/>
    <w:rsid w:val="0AE1B2B6"/>
    <w:rsid w:val="0AE1D4BE"/>
    <w:rsid w:val="0AE33392"/>
    <w:rsid w:val="0AE69DAF"/>
    <w:rsid w:val="0AE8B551"/>
    <w:rsid w:val="0AE9B407"/>
    <w:rsid w:val="0AEAA673"/>
    <w:rsid w:val="0AEBE021"/>
    <w:rsid w:val="0AEF82BC"/>
    <w:rsid w:val="0AF00517"/>
    <w:rsid w:val="0AF02CA3"/>
    <w:rsid w:val="0AF6D8A5"/>
    <w:rsid w:val="0AF93C6A"/>
    <w:rsid w:val="0B03B574"/>
    <w:rsid w:val="0B08A686"/>
    <w:rsid w:val="0B130B49"/>
    <w:rsid w:val="0B14883E"/>
    <w:rsid w:val="0B1DE0BE"/>
    <w:rsid w:val="0B1F0BFB"/>
    <w:rsid w:val="0B1F15B3"/>
    <w:rsid w:val="0B2BC8A4"/>
    <w:rsid w:val="0B2CC255"/>
    <w:rsid w:val="0B31B18A"/>
    <w:rsid w:val="0B31E397"/>
    <w:rsid w:val="0B3677E2"/>
    <w:rsid w:val="0B40AF8B"/>
    <w:rsid w:val="0B418868"/>
    <w:rsid w:val="0B434488"/>
    <w:rsid w:val="0B46AC83"/>
    <w:rsid w:val="0B4977B9"/>
    <w:rsid w:val="0B4A713E"/>
    <w:rsid w:val="0B4AAD13"/>
    <w:rsid w:val="0B4C0192"/>
    <w:rsid w:val="0B4DD259"/>
    <w:rsid w:val="0B4FCBA2"/>
    <w:rsid w:val="0B5033DA"/>
    <w:rsid w:val="0B510C7B"/>
    <w:rsid w:val="0B516D25"/>
    <w:rsid w:val="0B543018"/>
    <w:rsid w:val="0B58C384"/>
    <w:rsid w:val="0B5B8411"/>
    <w:rsid w:val="0B5BCD3F"/>
    <w:rsid w:val="0B5F19E0"/>
    <w:rsid w:val="0B607B57"/>
    <w:rsid w:val="0B61DF3D"/>
    <w:rsid w:val="0B61E8BF"/>
    <w:rsid w:val="0B62A8A2"/>
    <w:rsid w:val="0B62DFA6"/>
    <w:rsid w:val="0B6BE590"/>
    <w:rsid w:val="0B75362B"/>
    <w:rsid w:val="0B756A06"/>
    <w:rsid w:val="0B759A46"/>
    <w:rsid w:val="0B7F2FD0"/>
    <w:rsid w:val="0B803763"/>
    <w:rsid w:val="0B808359"/>
    <w:rsid w:val="0B81F464"/>
    <w:rsid w:val="0B8276C0"/>
    <w:rsid w:val="0B836E4D"/>
    <w:rsid w:val="0B84EF0E"/>
    <w:rsid w:val="0B881895"/>
    <w:rsid w:val="0B889E29"/>
    <w:rsid w:val="0B89EBD9"/>
    <w:rsid w:val="0B949660"/>
    <w:rsid w:val="0B96D083"/>
    <w:rsid w:val="0B96E856"/>
    <w:rsid w:val="0B988ADA"/>
    <w:rsid w:val="0B9A4259"/>
    <w:rsid w:val="0B9AB390"/>
    <w:rsid w:val="0B9BF5A4"/>
    <w:rsid w:val="0B9D5DC2"/>
    <w:rsid w:val="0BA57009"/>
    <w:rsid w:val="0BA5CC72"/>
    <w:rsid w:val="0BA6E0EE"/>
    <w:rsid w:val="0BA87ABC"/>
    <w:rsid w:val="0BAC9D46"/>
    <w:rsid w:val="0BB1297F"/>
    <w:rsid w:val="0BB251E5"/>
    <w:rsid w:val="0BB3282F"/>
    <w:rsid w:val="0BB6BC10"/>
    <w:rsid w:val="0BB7A8B2"/>
    <w:rsid w:val="0BB9E853"/>
    <w:rsid w:val="0BBDB3F1"/>
    <w:rsid w:val="0BBDC392"/>
    <w:rsid w:val="0BBED154"/>
    <w:rsid w:val="0BC0156C"/>
    <w:rsid w:val="0BC6FEBF"/>
    <w:rsid w:val="0BC7E9CE"/>
    <w:rsid w:val="0BC9BEDE"/>
    <w:rsid w:val="0BC9E65C"/>
    <w:rsid w:val="0BCA668D"/>
    <w:rsid w:val="0BCE9200"/>
    <w:rsid w:val="0BD09DC6"/>
    <w:rsid w:val="0BD127DC"/>
    <w:rsid w:val="0BD51CFC"/>
    <w:rsid w:val="0BD7534F"/>
    <w:rsid w:val="0BE7E95E"/>
    <w:rsid w:val="0BE9A73C"/>
    <w:rsid w:val="0BEA62E7"/>
    <w:rsid w:val="0BF2724B"/>
    <w:rsid w:val="0BF88FCE"/>
    <w:rsid w:val="0BFE7796"/>
    <w:rsid w:val="0C008F18"/>
    <w:rsid w:val="0C00C661"/>
    <w:rsid w:val="0C030496"/>
    <w:rsid w:val="0C03C10C"/>
    <w:rsid w:val="0C07F123"/>
    <w:rsid w:val="0C08816B"/>
    <w:rsid w:val="0C09A3BD"/>
    <w:rsid w:val="0C0D98E0"/>
    <w:rsid w:val="0C13FE5E"/>
    <w:rsid w:val="0C14418F"/>
    <w:rsid w:val="0C1470DF"/>
    <w:rsid w:val="0C181A88"/>
    <w:rsid w:val="0C19A513"/>
    <w:rsid w:val="0C24C141"/>
    <w:rsid w:val="0C266F6B"/>
    <w:rsid w:val="0C27E081"/>
    <w:rsid w:val="0C2910D4"/>
    <w:rsid w:val="0C34D733"/>
    <w:rsid w:val="0C34EEA9"/>
    <w:rsid w:val="0C3A57A3"/>
    <w:rsid w:val="0C3CC9D4"/>
    <w:rsid w:val="0C42BBAC"/>
    <w:rsid w:val="0C443485"/>
    <w:rsid w:val="0C44EF9B"/>
    <w:rsid w:val="0C47AB1A"/>
    <w:rsid w:val="0C4BF87A"/>
    <w:rsid w:val="0C4CEB27"/>
    <w:rsid w:val="0C4D57DC"/>
    <w:rsid w:val="0C55E852"/>
    <w:rsid w:val="0C5BE2B1"/>
    <w:rsid w:val="0C5CD314"/>
    <w:rsid w:val="0C5D662B"/>
    <w:rsid w:val="0C5E0480"/>
    <w:rsid w:val="0C5E0671"/>
    <w:rsid w:val="0C6B330B"/>
    <w:rsid w:val="0C6D6D6F"/>
    <w:rsid w:val="0C76BF87"/>
    <w:rsid w:val="0C774D11"/>
    <w:rsid w:val="0C7BAF43"/>
    <w:rsid w:val="0C839CB4"/>
    <w:rsid w:val="0C877054"/>
    <w:rsid w:val="0C8A006F"/>
    <w:rsid w:val="0C8A40B5"/>
    <w:rsid w:val="0C8D6B68"/>
    <w:rsid w:val="0C8E3ED1"/>
    <w:rsid w:val="0C929F44"/>
    <w:rsid w:val="0C9529CF"/>
    <w:rsid w:val="0C97C838"/>
    <w:rsid w:val="0C9B5BF2"/>
    <w:rsid w:val="0C9D41A7"/>
    <w:rsid w:val="0CA25303"/>
    <w:rsid w:val="0CA58E24"/>
    <w:rsid w:val="0CAAD502"/>
    <w:rsid w:val="0CB3B7AE"/>
    <w:rsid w:val="0CB3BC32"/>
    <w:rsid w:val="0CB3FAA1"/>
    <w:rsid w:val="0CB557E2"/>
    <w:rsid w:val="0CBA3CAD"/>
    <w:rsid w:val="0CBF63A5"/>
    <w:rsid w:val="0CBF69DD"/>
    <w:rsid w:val="0CC0EBF3"/>
    <w:rsid w:val="0CC18005"/>
    <w:rsid w:val="0CC2C04B"/>
    <w:rsid w:val="0CC76EA5"/>
    <w:rsid w:val="0CC996CF"/>
    <w:rsid w:val="0CCFE0CE"/>
    <w:rsid w:val="0CD39178"/>
    <w:rsid w:val="0CD452B0"/>
    <w:rsid w:val="0CD90C3E"/>
    <w:rsid w:val="0CD9779E"/>
    <w:rsid w:val="0CDE7906"/>
    <w:rsid w:val="0CDE8AB8"/>
    <w:rsid w:val="0CE0595D"/>
    <w:rsid w:val="0CE0F39A"/>
    <w:rsid w:val="0CE7FB6E"/>
    <w:rsid w:val="0CEAFA1A"/>
    <w:rsid w:val="0CF6856A"/>
    <w:rsid w:val="0CFC3F02"/>
    <w:rsid w:val="0CFE0410"/>
    <w:rsid w:val="0CFEB15B"/>
    <w:rsid w:val="0D041F91"/>
    <w:rsid w:val="0D0A71BF"/>
    <w:rsid w:val="0D0A898A"/>
    <w:rsid w:val="0D16B2EB"/>
    <w:rsid w:val="0D172756"/>
    <w:rsid w:val="0D18D8BA"/>
    <w:rsid w:val="0D1A3593"/>
    <w:rsid w:val="0D1E4462"/>
    <w:rsid w:val="0D214A15"/>
    <w:rsid w:val="0D2687F9"/>
    <w:rsid w:val="0D272C17"/>
    <w:rsid w:val="0D284CA2"/>
    <w:rsid w:val="0D2BB316"/>
    <w:rsid w:val="0D2E6A45"/>
    <w:rsid w:val="0D301631"/>
    <w:rsid w:val="0D3169AB"/>
    <w:rsid w:val="0D343485"/>
    <w:rsid w:val="0D3464DE"/>
    <w:rsid w:val="0D34862D"/>
    <w:rsid w:val="0D38F194"/>
    <w:rsid w:val="0D3A9C1A"/>
    <w:rsid w:val="0D3DE6CC"/>
    <w:rsid w:val="0D4118BB"/>
    <w:rsid w:val="0D42EACE"/>
    <w:rsid w:val="0D475377"/>
    <w:rsid w:val="0D4C5A57"/>
    <w:rsid w:val="0D4D64FD"/>
    <w:rsid w:val="0D4DCE24"/>
    <w:rsid w:val="0D516EB4"/>
    <w:rsid w:val="0D538828"/>
    <w:rsid w:val="0D5394CD"/>
    <w:rsid w:val="0D559CB3"/>
    <w:rsid w:val="0D5A6188"/>
    <w:rsid w:val="0D5A78A7"/>
    <w:rsid w:val="0D60A8B2"/>
    <w:rsid w:val="0D65A975"/>
    <w:rsid w:val="0D66803E"/>
    <w:rsid w:val="0D6CC5FF"/>
    <w:rsid w:val="0D73872C"/>
    <w:rsid w:val="0D74C243"/>
    <w:rsid w:val="0D776B16"/>
    <w:rsid w:val="0D78DA1B"/>
    <w:rsid w:val="0D821CCA"/>
    <w:rsid w:val="0D8481D5"/>
    <w:rsid w:val="0D8F6112"/>
    <w:rsid w:val="0D928CA4"/>
    <w:rsid w:val="0D9449DD"/>
    <w:rsid w:val="0D95931A"/>
    <w:rsid w:val="0D97C0D9"/>
    <w:rsid w:val="0D97DDB2"/>
    <w:rsid w:val="0D9A7C87"/>
    <w:rsid w:val="0D9D3542"/>
    <w:rsid w:val="0D9D4D3B"/>
    <w:rsid w:val="0D9FACE9"/>
    <w:rsid w:val="0DA01B78"/>
    <w:rsid w:val="0DA0E21C"/>
    <w:rsid w:val="0DA1AD3C"/>
    <w:rsid w:val="0DA35822"/>
    <w:rsid w:val="0DA617D7"/>
    <w:rsid w:val="0DA9098C"/>
    <w:rsid w:val="0DAC01BD"/>
    <w:rsid w:val="0DAC389A"/>
    <w:rsid w:val="0DADD002"/>
    <w:rsid w:val="0DAEE4A0"/>
    <w:rsid w:val="0DB4C280"/>
    <w:rsid w:val="0DB816C2"/>
    <w:rsid w:val="0DBBC49A"/>
    <w:rsid w:val="0DBCC0BC"/>
    <w:rsid w:val="0DBDB208"/>
    <w:rsid w:val="0DC2BF7C"/>
    <w:rsid w:val="0DC71915"/>
    <w:rsid w:val="0DC852B0"/>
    <w:rsid w:val="0DC92FA5"/>
    <w:rsid w:val="0DCEC286"/>
    <w:rsid w:val="0DCED5EA"/>
    <w:rsid w:val="0DD33E3C"/>
    <w:rsid w:val="0DD48599"/>
    <w:rsid w:val="0DDBDE1F"/>
    <w:rsid w:val="0DE946E1"/>
    <w:rsid w:val="0DEB3F34"/>
    <w:rsid w:val="0DEC0B9F"/>
    <w:rsid w:val="0DF1482C"/>
    <w:rsid w:val="0DF34A1A"/>
    <w:rsid w:val="0DF361F8"/>
    <w:rsid w:val="0DF3C067"/>
    <w:rsid w:val="0DFD0725"/>
    <w:rsid w:val="0DFDD88D"/>
    <w:rsid w:val="0DFED46A"/>
    <w:rsid w:val="0E07DEFB"/>
    <w:rsid w:val="0E091D0D"/>
    <w:rsid w:val="0E0998B2"/>
    <w:rsid w:val="0E0A5FEA"/>
    <w:rsid w:val="0E0C54DE"/>
    <w:rsid w:val="0E0CBA84"/>
    <w:rsid w:val="0E0CF3FE"/>
    <w:rsid w:val="0E110A93"/>
    <w:rsid w:val="0E1416FA"/>
    <w:rsid w:val="0E1527B7"/>
    <w:rsid w:val="0E15946D"/>
    <w:rsid w:val="0E15E412"/>
    <w:rsid w:val="0E1AD7EE"/>
    <w:rsid w:val="0E1C7D6C"/>
    <w:rsid w:val="0E1E0B69"/>
    <w:rsid w:val="0E218C35"/>
    <w:rsid w:val="0E221167"/>
    <w:rsid w:val="0E26B96A"/>
    <w:rsid w:val="0E270CEF"/>
    <w:rsid w:val="0E2DD48D"/>
    <w:rsid w:val="0E31A8D0"/>
    <w:rsid w:val="0E31ABB6"/>
    <w:rsid w:val="0E358E3B"/>
    <w:rsid w:val="0E37F49D"/>
    <w:rsid w:val="0E3BD022"/>
    <w:rsid w:val="0E3D59E9"/>
    <w:rsid w:val="0E3D62B1"/>
    <w:rsid w:val="0E3F03F6"/>
    <w:rsid w:val="0E3F8570"/>
    <w:rsid w:val="0E43A045"/>
    <w:rsid w:val="0E43A10A"/>
    <w:rsid w:val="0E4613C0"/>
    <w:rsid w:val="0E47FA04"/>
    <w:rsid w:val="0E48D278"/>
    <w:rsid w:val="0E492B1F"/>
    <w:rsid w:val="0E4AE269"/>
    <w:rsid w:val="0E4CB24E"/>
    <w:rsid w:val="0E4CF637"/>
    <w:rsid w:val="0E4DDAB0"/>
    <w:rsid w:val="0E4DE526"/>
    <w:rsid w:val="0E50595A"/>
    <w:rsid w:val="0E541532"/>
    <w:rsid w:val="0E5E80C3"/>
    <w:rsid w:val="0E5EA8F7"/>
    <w:rsid w:val="0E714E8D"/>
    <w:rsid w:val="0E72DF09"/>
    <w:rsid w:val="0E73048C"/>
    <w:rsid w:val="0E77A80E"/>
    <w:rsid w:val="0E7AEE24"/>
    <w:rsid w:val="0E7C9523"/>
    <w:rsid w:val="0E7D570C"/>
    <w:rsid w:val="0E7DDE32"/>
    <w:rsid w:val="0E8305DA"/>
    <w:rsid w:val="0E851596"/>
    <w:rsid w:val="0E876D52"/>
    <w:rsid w:val="0E89FE4B"/>
    <w:rsid w:val="0E8B5FBE"/>
    <w:rsid w:val="0E8B76B6"/>
    <w:rsid w:val="0E8DE9DD"/>
    <w:rsid w:val="0E8F5025"/>
    <w:rsid w:val="0E90A690"/>
    <w:rsid w:val="0E919C2D"/>
    <w:rsid w:val="0E933764"/>
    <w:rsid w:val="0E95322C"/>
    <w:rsid w:val="0E956E80"/>
    <w:rsid w:val="0E980DCB"/>
    <w:rsid w:val="0E995F8D"/>
    <w:rsid w:val="0E9A8554"/>
    <w:rsid w:val="0E9E049A"/>
    <w:rsid w:val="0E9E4447"/>
    <w:rsid w:val="0EA10CE7"/>
    <w:rsid w:val="0EA11775"/>
    <w:rsid w:val="0EA5D2F1"/>
    <w:rsid w:val="0EAE6366"/>
    <w:rsid w:val="0EAF86C8"/>
    <w:rsid w:val="0EB45068"/>
    <w:rsid w:val="0EB5D8C0"/>
    <w:rsid w:val="0EB75591"/>
    <w:rsid w:val="0EB79A3E"/>
    <w:rsid w:val="0EBAC429"/>
    <w:rsid w:val="0ECE3CD5"/>
    <w:rsid w:val="0ED42797"/>
    <w:rsid w:val="0ED4E587"/>
    <w:rsid w:val="0ED5AFC0"/>
    <w:rsid w:val="0ED5C4BD"/>
    <w:rsid w:val="0ED7BCCE"/>
    <w:rsid w:val="0EE0FAAB"/>
    <w:rsid w:val="0EE1050C"/>
    <w:rsid w:val="0EE1A953"/>
    <w:rsid w:val="0EE245CC"/>
    <w:rsid w:val="0EE5AFA8"/>
    <w:rsid w:val="0EE6B75E"/>
    <w:rsid w:val="0EE72790"/>
    <w:rsid w:val="0EE88F79"/>
    <w:rsid w:val="0EE906A9"/>
    <w:rsid w:val="0EEFE26D"/>
    <w:rsid w:val="0EF32738"/>
    <w:rsid w:val="0EFA45BA"/>
    <w:rsid w:val="0EFDA161"/>
    <w:rsid w:val="0F0044BD"/>
    <w:rsid w:val="0F0407B5"/>
    <w:rsid w:val="0F0534E3"/>
    <w:rsid w:val="0F0658DF"/>
    <w:rsid w:val="0F0B7304"/>
    <w:rsid w:val="0F0E2D0A"/>
    <w:rsid w:val="0F1034B3"/>
    <w:rsid w:val="0F10B688"/>
    <w:rsid w:val="0F1323E0"/>
    <w:rsid w:val="0F172926"/>
    <w:rsid w:val="0F179916"/>
    <w:rsid w:val="0F212F61"/>
    <w:rsid w:val="0F23748D"/>
    <w:rsid w:val="0F245269"/>
    <w:rsid w:val="0F251DE5"/>
    <w:rsid w:val="0F2889FF"/>
    <w:rsid w:val="0F2E647F"/>
    <w:rsid w:val="0F302563"/>
    <w:rsid w:val="0F34B0F8"/>
    <w:rsid w:val="0F36BFFE"/>
    <w:rsid w:val="0F372F19"/>
    <w:rsid w:val="0F394B76"/>
    <w:rsid w:val="0F3C3373"/>
    <w:rsid w:val="0F3C5473"/>
    <w:rsid w:val="0F3F10E7"/>
    <w:rsid w:val="0F400A2C"/>
    <w:rsid w:val="0F41310A"/>
    <w:rsid w:val="0F4188FC"/>
    <w:rsid w:val="0F424DE6"/>
    <w:rsid w:val="0F4329FC"/>
    <w:rsid w:val="0F484A20"/>
    <w:rsid w:val="0F4E3158"/>
    <w:rsid w:val="0F4F7C23"/>
    <w:rsid w:val="0F4FA9DE"/>
    <w:rsid w:val="0F53B047"/>
    <w:rsid w:val="0F54443B"/>
    <w:rsid w:val="0F5854A9"/>
    <w:rsid w:val="0F5C9714"/>
    <w:rsid w:val="0F5F401C"/>
    <w:rsid w:val="0F605B52"/>
    <w:rsid w:val="0F644569"/>
    <w:rsid w:val="0F69CBE0"/>
    <w:rsid w:val="0F6A5B8E"/>
    <w:rsid w:val="0F6B9136"/>
    <w:rsid w:val="0F6CC128"/>
    <w:rsid w:val="0F7045F1"/>
    <w:rsid w:val="0F71A625"/>
    <w:rsid w:val="0F76A347"/>
    <w:rsid w:val="0F77DA8B"/>
    <w:rsid w:val="0F7938FF"/>
    <w:rsid w:val="0F79459C"/>
    <w:rsid w:val="0F79C9EB"/>
    <w:rsid w:val="0F7E53A4"/>
    <w:rsid w:val="0F801555"/>
    <w:rsid w:val="0F80CE36"/>
    <w:rsid w:val="0F83203F"/>
    <w:rsid w:val="0F8450F8"/>
    <w:rsid w:val="0F877F5D"/>
    <w:rsid w:val="0F87BB0C"/>
    <w:rsid w:val="0F8A9853"/>
    <w:rsid w:val="0F8ABFE5"/>
    <w:rsid w:val="0F8B36B7"/>
    <w:rsid w:val="0F8EBDFE"/>
    <w:rsid w:val="0F917405"/>
    <w:rsid w:val="0F9411FC"/>
    <w:rsid w:val="0F970DA4"/>
    <w:rsid w:val="0F9A9847"/>
    <w:rsid w:val="0F9B7A8B"/>
    <w:rsid w:val="0F9C5C64"/>
    <w:rsid w:val="0FA12297"/>
    <w:rsid w:val="0FA157DC"/>
    <w:rsid w:val="0FA3C71B"/>
    <w:rsid w:val="0FA5912E"/>
    <w:rsid w:val="0FA7C62F"/>
    <w:rsid w:val="0FAB6607"/>
    <w:rsid w:val="0FAC2786"/>
    <w:rsid w:val="0FAC77A4"/>
    <w:rsid w:val="0FB0648A"/>
    <w:rsid w:val="0FB2951C"/>
    <w:rsid w:val="0FB45CC9"/>
    <w:rsid w:val="0FB69D7D"/>
    <w:rsid w:val="0FB6A6E1"/>
    <w:rsid w:val="0FB6C2AC"/>
    <w:rsid w:val="0FBBC0FE"/>
    <w:rsid w:val="0FC1B4B4"/>
    <w:rsid w:val="0FC1EAA1"/>
    <w:rsid w:val="0FC61202"/>
    <w:rsid w:val="0FCF69BD"/>
    <w:rsid w:val="0FD23767"/>
    <w:rsid w:val="0FD377F2"/>
    <w:rsid w:val="0FD3BFA9"/>
    <w:rsid w:val="0FD82071"/>
    <w:rsid w:val="0FE4D07A"/>
    <w:rsid w:val="0FE56FD5"/>
    <w:rsid w:val="0FF0F58C"/>
    <w:rsid w:val="0FF4D56E"/>
    <w:rsid w:val="0FF873F7"/>
    <w:rsid w:val="0FFA46EC"/>
    <w:rsid w:val="0FFB0F75"/>
    <w:rsid w:val="1002357C"/>
    <w:rsid w:val="10049C30"/>
    <w:rsid w:val="1007422F"/>
    <w:rsid w:val="1007D612"/>
    <w:rsid w:val="1007F671"/>
    <w:rsid w:val="100F7C4C"/>
    <w:rsid w:val="10134DCA"/>
    <w:rsid w:val="10180D2E"/>
    <w:rsid w:val="101C5CD1"/>
    <w:rsid w:val="102728F3"/>
    <w:rsid w:val="102ED044"/>
    <w:rsid w:val="10314D0E"/>
    <w:rsid w:val="103170E4"/>
    <w:rsid w:val="1032C2A9"/>
    <w:rsid w:val="103339EC"/>
    <w:rsid w:val="10339CEF"/>
    <w:rsid w:val="10352CF8"/>
    <w:rsid w:val="1035FA60"/>
    <w:rsid w:val="10369820"/>
    <w:rsid w:val="1038BF39"/>
    <w:rsid w:val="1039B113"/>
    <w:rsid w:val="103C8DFB"/>
    <w:rsid w:val="103FE920"/>
    <w:rsid w:val="1040109E"/>
    <w:rsid w:val="104121BA"/>
    <w:rsid w:val="1043227D"/>
    <w:rsid w:val="1044DAF7"/>
    <w:rsid w:val="1049884D"/>
    <w:rsid w:val="104B5C83"/>
    <w:rsid w:val="104BE735"/>
    <w:rsid w:val="104CFDCE"/>
    <w:rsid w:val="10527FEF"/>
    <w:rsid w:val="1053F313"/>
    <w:rsid w:val="10549B86"/>
    <w:rsid w:val="105C912A"/>
    <w:rsid w:val="105FCF85"/>
    <w:rsid w:val="10663BB9"/>
    <w:rsid w:val="10679773"/>
    <w:rsid w:val="1069E41F"/>
    <w:rsid w:val="106AE2F4"/>
    <w:rsid w:val="106C99D4"/>
    <w:rsid w:val="106FF348"/>
    <w:rsid w:val="1070C0CB"/>
    <w:rsid w:val="10717615"/>
    <w:rsid w:val="107196B8"/>
    <w:rsid w:val="1073F6A1"/>
    <w:rsid w:val="1075D53F"/>
    <w:rsid w:val="107A330F"/>
    <w:rsid w:val="107AFDFD"/>
    <w:rsid w:val="107BAC1B"/>
    <w:rsid w:val="107BED39"/>
    <w:rsid w:val="107EA26D"/>
    <w:rsid w:val="1083160C"/>
    <w:rsid w:val="1084758C"/>
    <w:rsid w:val="108C9CBC"/>
    <w:rsid w:val="108FD250"/>
    <w:rsid w:val="10950E6F"/>
    <w:rsid w:val="109EDBC8"/>
    <w:rsid w:val="10A58407"/>
    <w:rsid w:val="10A66627"/>
    <w:rsid w:val="10A6BCF6"/>
    <w:rsid w:val="10A7BD26"/>
    <w:rsid w:val="10A93B93"/>
    <w:rsid w:val="10AD5EB8"/>
    <w:rsid w:val="10AF47A0"/>
    <w:rsid w:val="10B1BDD8"/>
    <w:rsid w:val="10B1EF42"/>
    <w:rsid w:val="10B27307"/>
    <w:rsid w:val="10B3A181"/>
    <w:rsid w:val="10B7F2F3"/>
    <w:rsid w:val="10B92F9B"/>
    <w:rsid w:val="10C011B1"/>
    <w:rsid w:val="10C73168"/>
    <w:rsid w:val="10CC59E5"/>
    <w:rsid w:val="10CF764D"/>
    <w:rsid w:val="10CFE4FB"/>
    <w:rsid w:val="10CFEAD3"/>
    <w:rsid w:val="10D1DC98"/>
    <w:rsid w:val="10D38B87"/>
    <w:rsid w:val="10D45CE4"/>
    <w:rsid w:val="10D59AF3"/>
    <w:rsid w:val="10D9D0C2"/>
    <w:rsid w:val="10DA6D8A"/>
    <w:rsid w:val="10DDCD2B"/>
    <w:rsid w:val="10DE0B98"/>
    <w:rsid w:val="10EB193E"/>
    <w:rsid w:val="10F31D26"/>
    <w:rsid w:val="10F420E4"/>
    <w:rsid w:val="10FA86E8"/>
    <w:rsid w:val="10FB69E0"/>
    <w:rsid w:val="10FC2B57"/>
    <w:rsid w:val="10FC4FC6"/>
    <w:rsid w:val="11042AF0"/>
    <w:rsid w:val="11083198"/>
    <w:rsid w:val="110A8B9A"/>
    <w:rsid w:val="110B37ED"/>
    <w:rsid w:val="110C4026"/>
    <w:rsid w:val="11140DED"/>
    <w:rsid w:val="11144C97"/>
    <w:rsid w:val="11150EBC"/>
    <w:rsid w:val="1115DFAA"/>
    <w:rsid w:val="1116535F"/>
    <w:rsid w:val="1119AB06"/>
    <w:rsid w:val="111E17AB"/>
    <w:rsid w:val="111ECD8B"/>
    <w:rsid w:val="11218767"/>
    <w:rsid w:val="112479F8"/>
    <w:rsid w:val="1129512E"/>
    <w:rsid w:val="112BAFFA"/>
    <w:rsid w:val="112DFE9A"/>
    <w:rsid w:val="112E88CA"/>
    <w:rsid w:val="11311030"/>
    <w:rsid w:val="1139CD2C"/>
    <w:rsid w:val="113A4A62"/>
    <w:rsid w:val="1141D8E6"/>
    <w:rsid w:val="114349CB"/>
    <w:rsid w:val="1147B072"/>
    <w:rsid w:val="114995A2"/>
    <w:rsid w:val="114AC3F3"/>
    <w:rsid w:val="114DB259"/>
    <w:rsid w:val="114E52B6"/>
    <w:rsid w:val="1150F9A5"/>
    <w:rsid w:val="1152595A"/>
    <w:rsid w:val="1153E6DE"/>
    <w:rsid w:val="11586052"/>
    <w:rsid w:val="11597642"/>
    <w:rsid w:val="1159F190"/>
    <w:rsid w:val="115FC1D9"/>
    <w:rsid w:val="1163F74B"/>
    <w:rsid w:val="1164960F"/>
    <w:rsid w:val="116D397C"/>
    <w:rsid w:val="116D80E7"/>
    <w:rsid w:val="1177163A"/>
    <w:rsid w:val="117737C8"/>
    <w:rsid w:val="117A0233"/>
    <w:rsid w:val="117F916E"/>
    <w:rsid w:val="118774AB"/>
    <w:rsid w:val="118DE1B5"/>
    <w:rsid w:val="11905632"/>
    <w:rsid w:val="11931FDC"/>
    <w:rsid w:val="119C91F2"/>
    <w:rsid w:val="119DDA9F"/>
    <w:rsid w:val="119E7F3E"/>
    <w:rsid w:val="119E9F4A"/>
    <w:rsid w:val="11A27271"/>
    <w:rsid w:val="11A8DF65"/>
    <w:rsid w:val="11AD4765"/>
    <w:rsid w:val="11B39AB8"/>
    <w:rsid w:val="11B69E70"/>
    <w:rsid w:val="11B7E657"/>
    <w:rsid w:val="11BD1C71"/>
    <w:rsid w:val="11C20F64"/>
    <w:rsid w:val="11C3E2A0"/>
    <w:rsid w:val="11D05538"/>
    <w:rsid w:val="11D45309"/>
    <w:rsid w:val="11D5A127"/>
    <w:rsid w:val="11D7089E"/>
    <w:rsid w:val="11D8756F"/>
    <w:rsid w:val="11D8A7D8"/>
    <w:rsid w:val="11DD4BB8"/>
    <w:rsid w:val="11DD67D5"/>
    <w:rsid w:val="11DF6127"/>
    <w:rsid w:val="11E55B0F"/>
    <w:rsid w:val="11E61DE1"/>
    <w:rsid w:val="11E75938"/>
    <w:rsid w:val="11E9A155"/>
    <w:rsid w:val="11EF1297"/>
    <w:rsid w:val="11F28808"/>
    <w:rsid w:val="11F2D1CA"/>
    <w:rsid w:val="11FA4789"/>
    <w:rsid w:val="11FAE77C"/>
    <w:rsid w:val="11FAECDA"/>
    <w:rsid w:val="11FCA3AF"/>
    <w:rsid w:val="11FCC235"/>
    <w:rsid w:val="11FE1154"/>
    <w:rsid w:val="1202B92D"/>
    <w:rsid w:val="120441D4"/>
    <w:rsid w:val="1207A369"/>
    <w:rsid w:val="1207A44E"/>
    <w:rsid w:val="120DBD52"/>
    <w:rsid w:val="12133CB6"/>
    <w:rsid w:val="1213C1F2"/>
    <w:rsid w:val="1215FD90"/>
    <w:rsid w:val="12195889"/>
    <w:rsid w:val="121E0533"/>
    <w:rsid w:val="122A8C25"/>
    <w:rsid w:val="122A9A1E"/>
    <w:rsid w:val="1230BD0A"/>
    <w:rsid w:val="1230DF1D"/>
    <w:rsid w:val="12339A60"/>
    <w:rsid w:val="1234874A"/>
    <w:rsid w:val="1238BA64"/>
    <w:rsid w:val="123A4E6C"/>
    <w:rsid w:val="123D291F"/>
    <w:rsid w:val="123D30D4"/>
    <w:rsid w:val="123F2FEF"/>
    <w:rsid w:val="12412CD9"/>
    <w:rsid w:val="12430194"/>
    <w:rsid w:val="124360F4"/>
    <w:rsid w:val="124E089B"/>
    <w:rsid w:val="124E7F59"/>
    <w:rsid w:val="124EF433"/>
    <w:rsid w:val="1257BF49"/>
    <w:rsid w:val="125A7E2F"/>
    <w:rsid w:val="125AA41C"/>
    <w:rsid w:val="125E4870"/>
    <w:rsid w:val="12608DEA"/>
    <w:rsid w:val="126203AE"/>
    <w:rsid w:val="1262CD58"/>
    <w:rsid w:val="12648F8E"/>
    <w:rsid w:val="126D815F"/>
    <w:rsid w:val="127435CD"/>
    <w:rsid w:val="1276DAE3"/>
    <w:rsid w:val="1277996D"/>
    <w:rsid w:val="127962C5"/>
    <w:rsid w:val="12797C2D"/>
    <w:rsid w:val="1284843B"/>
    <w:rsid w:val="128A386A"/>
    <w:rsid w:val="128B062B"/>
    <w:rsid w:val="128BB67B"/>
    <w:rsid w:val="12961C36"/>
    <w:rsid w:val="129BE77D"/>
    <w:rsid w:val="129C993D"/>
    <w:rsid w:val="129E5395"/>
    <w:rsid w:val="12A2F85F"/>
    <w:rsid w:val="12A3CAE4"/>
    <w:rsid w:val="12A64ABE"/>
    <w:rsid w:val="12A73A3A"/>
    <w:rsid w:val="12A79E56"/>
    <w:rsid w:val="12AA4B5A"/>
    <w:rsid w:val="12AE34CA"/>
    <w:rsid w:val="12AF29D9"/>
    <w:rsid w:val="12AFC2D7"/>
    <w:rsid w:val="12B5270F"/>
    <w:rsid w:val="12B69367"/>
    <w:rsid w:val="12B6F05D"/>
    <w:rsid w:val="12BB55B6"/>
    <w:rsid w:val="12BCF1E4"/>
    <w:rsid w:val="12BCF726"/>
    <w:rsid w:val="12BD9ECE"/>
    <w:rsid w:val="12BE1FDF"/>
    <w:rsid w:val="12C5A533"/>
    <w:rsid w:val="12C9B554"/>
    <w:rsid w:val="12CB5359"/>
    <w:rsid w:val="12CBE68E"/>
    <w:rsid w:val="12D3499C"/>
    <w:rsid w:val="12D9CA39"/>
    <w:rsid w:val="12DBE9B2"/>
    <w:rsid w:val="12DC4CC5"/>
    <w:rsid w:val="12DD51EE"/>
    <w:rsid w:val="12E6D2D2"/>
    <w:rsid w:val="12E77E29"/>
    <w:rsid w:val="12E9AAE0"/>
    <w:rsid w:val="12EAC74D"/>
    <w:rsid w:val="12EB6632"/>
    <w:rsid w:val="12EC6167"/>
    <w:rsid w:val="12EC84F6"/>
    <w:rsid w:val="12F2B431"/>
    <w:rsid w:val="12F96473"/>
    <w:rsid w:val="12F9FE4E"/>
    <w:rsid w:val="12FC0311"/>
    <w:rsid w:val="12FCFF9A"/>
    <w:rsid w:val="12FD1276"/>
    <w:rsid w:val="12FEB8F7"/>
    <w:rsid w:val="1302CD22"/>
    <w:rsid w:val="1308BEBC"/>
    <w:rsid w:val="1309FB2E"/>
    <w:rsid w:val="130E7724"/>
    <w:rsid w:val="13121000"/>
    <w:rsid w:val="1319B733"/>
    <w:rsid w:val="131C814A"/>
    <w:rsid w:val="1324111D"/>
    <w:rsid w:val="1325A1F1"/>
    <w:rsid w:val="1327CD00"/>
    <w:rsid w:val="132926F8"/>
    <w:rsid w:val="132C10D3"/>
    <w:rsid w:val="132CAA90"/>
    <w:rsid w:val="13349FA0"/>
    <w:rsid w:val="13381B6E"/>
    <w:rsid w:val="133CCF2E"/>
    <w:rsid w:val="134898A3"/>
    <w:rsid w:val="13490060"/>
    <w:rsid w:val="134E2CA7"/>
    <w:rsid w:val="134FF860"/>
    <w:rsid w:val="1350A735"/>
    <w:rsid w:val="13536163"/>
    <w:rsid w:val="13540B30"/>
    <w:rsid w:val="1357C5B8"/>
    <w:rsid w:val="135856A3"/>
    <w:rsid w:val="135B6575"/>
    <w:rsid w:val="13608901"/>
    <w:rsid w:val="1368983D"/>
    <w:rsid w:val="136926FF"/>
    <w:rsid w:val="136C0BB4"/>
    <w:rsid w:val="137275D1"/>
    <w:rsid w:val="13740851"/>
    <w:rsid w:val="1376CE93"/>
    <w:rsid w:val="13786328"/>
    <w:rsid w:val="1378B516"/>
    <w:rsid w:val="13791510"/>
    <w:rsid w:val="137AAF30"/>
    <w:rsid w:val="137D89E3"/>
    <w:rsid w:val="137D8BA1"/>
    <w:rsid w:val="138639DE"/>
    <w:rsid w:val="138830C2"/>
    <w:rsid w:val="1389E4E9"/>
    <w:rsid w:val="138B8CFD"/>
    <w:rsid w:val="138D0D23"/>
    <w:rsid w:val="13914865"/>
    <w:rsid w:val="13915BCC"/>
    <w:rsid w:val="1391A7AF"/>
    <w:rsid w:val="1392352A"/>
    <w:rsid w:val="13924035"/>
    <w:rsid w:val="13927C75"/>
    <w:rsid w:val="1392FBC5"/>
    <w:rsid w:val="139A4DB9"/>
    <w:rsid w:val="139E2144"/>
    <w:rsid w:val="13A09450"/>
    <w:rsid w:val="13A09BC6"/>
    <w:rsid w:val="13A3D12C"/>
    <w:rsid w:val="13A3D597"/>
    <w:rsid w:val="13A43B13"/>
    <w:rsid w:val="13A55B88"/>
    <w:rsid w:val="13A9954A"/>
    <w:rsid w:val="13A9E8AD"/>
    <w:rsid w:val="13AB39B1"/>
    <w:rsid w:val="13ABD8E9"/>
    <w:rsid w:val="13AD720A"/>
    <w:rsid w:val="13B26B9B"/>
    <w:rsid w:val="13B595F1"/>
    <w:rsid w:val="13BD1C26"/>
    <w:rsid w:val="13BD63CA"/>
    <w:rsid w:val="13C2E17D"/>
    <w:rsid w:val="13C5BB39"/>
    <w:rsid w:val="13CA2EAA"/>
    <w:rsid w:val="13CE3B87"/>
    <w:rsid w:val="13D14E9B"/>
    <w:rsid w:val="13D283E6"/>
    <w:rsid w:val="13D33474"/>
    <w:rsid w:val="13D3F70C"/>
    <w:rsid w:val="13D84A15"/>
    <w:rsid w:val="13DCDF1B"/>
    <w:rsid w:val="13E3B60D"/>
    <w:rsid w:val="13E41DED"/>
    <w:rsid w:val="13E77263"/>
    <w:rsid w:val="13ECD91A"/>
    <w:rsid w:val="13EE92BD"/>
    <w:rsid w:val="13F43979"/>
    <w:rsid w:val="13F570C0"/>
    <w:rsid w:val="13F6660C"/>
    <w:rsid w:val="13F9451D"/>
    <w:rsid w:val="13FB567C"/>
    <w:rsid w:val="13FF8FE8"/>
    <w:rsid w:val="140157D2"/>
    <w:rsid w:val="14046BFF"/>
    <w:rsid w:val="1405D270"/>
    <w:rsid w:val="1406FCF6"/>
    <w:rsid w:val="14087EFA"/>
    <w:rsid w:val="140A6BFE"/>
    <w:rsid w:val="140AC00A"/>
    <w:rsid w:val="140F1A79"/>
    <w:rsid w:val="140FAF2A"/>
    <w:rsid w:val="1412C4C6"/>
    <w:rsid w:val="141B2E62"/>
    <w:rsid w:val="141C0B7E"/>
    <w:rsid w:val="141D2868"/>
    <w:rsid w:val="1423E855"/>
    <w:rsid w:val="14242B14"/>
    <w:rsid w:val="1427FC55"/>
    <w:rsid w:val="142F6611"/>
    <w:rsid w:val="1430FA5B"/>
    <w:rsid w:val="14315192"/>
    <w:rsid w:val="14317D3D"/>
    <w:rsid w:val="14375F34"/>
    <w:rsid w:val="1439B4A4"/>
    <w:rsid w:val="143B45D6"/>
    <w:rsid w:val="143CCD1E"/>
    <w:rsid w:val="1440954E"/>
    <w:rsid w:val="144353FD"/>
    <w:rsid w:val="144A2459"/>
    <w:rsid w:val="144DCDA1"/>
    <w:rsid w:val="144E229B"/>
    <w:rsid w:val="144E3616"/>
    <w:rsid w:val="144F62AD"/>
    <w:rsid w:val="145047F8"/>
    <w:rsid w:val="145404D3"/>
    <w:rsid w:val="14565D90"/>
    <w:rsid w:val="145966F1"/>
    <w:rsid w:val="14599E66"/>
    <w:rsid w:val="145A1363"/>
    <w:rsid w:val="145F7B9E"/>
    <w:rsid w:val="1461539D"/>
    <w:rsid w:val="14626053"/>
    <w:rsid w:val="14638FE7"/>
    <w:rsid w:val="14654CE2"/>
    <w:rsid w:val="1466228B"/>
    <w:rsid w:val="1466398E"/>
    <w:rsid w:val="14664D31"/>
    <w:rsid w:val="146FCAD8"/>
    <w:rsid w:val="146FEDD7"/>
    <w:rsid w:val="147095A8"/>
    <w:rsid w:val="1472F7D5"/>
    <w:rsid w:val="147583DF"/>
    <w:rsid w:val="14761DF6"/>
    <w:rsid w:val="147A90C7"/>
    <w:rsid w:val="147AE0E7"/>
    <w:rsid w:val="14838D9B"/>
    <w:rsid w:val="148531ED"/>
    <w:rsid w:val="1487E4F3"/>
    <w:rsid w:val="14943BD9"/>
    <w:rsid w:val="14995CB7"/>
    <w:rsid w:val="149DF249"/>
    <w:rsid w:val="14A02CAD"/>
    <w:rsid w:val="14A0D502"/>
    <w:rsid w:val="14A3FD56"/>
    <w:rsid w:val="14A92370"/>
    <w:rsid w:val="14A9B9E9"/>
    <w:rsid w:val="14AB690F"/>
    <w:rsid w:val="14AB9F4E"/>
    <w:rsid w:val="14B3F06B"/>
    <w:rsid w:val="14B8931B"/>
    <w:rsid w:val="14BA4098"/>
    <w:rsid w:val="14BA7674"/>
    <w:rsid w:val="14BAAC24"/>
    <w:rsid w:val="14BB24BD"/>
    <w:rsid w:val="14BB6F41"/>
    <w:rsid w:val="14BD01B1"/>
    <w:rsid w:val="14BF9634"/>
    <w:rsid w:val="14C0CD02"/>
    <w:rsid w:val="14C7BA3B"/>
    <w:rsid w:val="14C92281"/>
    <w:rsid w:val="14CB2107"/>
    <w:rsid w:val="14CBC11D"/>
    <w:rsid w:val="14CC03D2"/>
    <w:rsid w:val="14CC3B5D"/>
    <w:rsid w:val="14CC91EA"/>
    <w:rsid w:val="14CE7B01"/>
    <w:rsid w:val="14D0C9AB"/>
    <w:rsid w:val="14D0DFB4"/>
    <w:rsid w:val="14D24A2D"/>
    <w:rsid w:val="14D2D43C"/>
    <w:rsid w:val="14D45791"/>
    <w:rsid w:val="14D63AD4"/>
    <w:rsid w:val="14D7256E"/>
    <w:rsid w:val="14D79C3D"/>
    <w:rsid w:val="14D80BE5"/>
    <w:rsid w:val="14E2F91F"/>
    <w:rsid w:val="14E54D17"/>
    <w:rsid w:val="14E55459"/>
    <w:rsid w:val="14EBF2D8"/>
    <w:rsid w:val="14ED3CB6"/>
    <w:rsid w:val="14F01727"/>
    <w:rsid w:val="14F0BE61"/>
    <w:rsid w:val="14F2E0ED"/>
    <w:rsid w:val="14F5ECCC"/>
    <w:rsid w:val="14F7EB50"/>
    <w:rsid w:val="14FB27C0"/>
    <w:rsid w:val="14FCC980"/>
    <w:rsid w:val="14FCD2DD"/>
    <w:rsid w:val="14FFFF78"/>
    <w:rsid w:val="150214C0"/>
    <w:rsid w:val="1505C062"/>
    <w:rsid w:val="15086AFD"/>
    <w:rsid w:val="1509B411"/>
    <w:rsid w:val="1510981A"/>
    <w:rsid w:val="15116A5C"/>
    <w:rsid w:val="151247F3"/>
    <w:rsid w:val="15140ECF"/>
    <w:rsid w:val="15144A19"/>
    <w:rsid w:val="1514925F"/>
    <w:rsid w:val="151651AF"/>
    <w:rsid w:val="151C997E"/>
    <w:rsid w:val="151D487E"/>
    <w:rsid w:val="151DEBF5"/>
    <w:rsid w:val="1521D67D"/>
    <w:rsid w:val="15222A1E"/>
    <w:rsid w:val="15224CDB"/>
    <w:rsid w:val="1523FEFD"/>
    <w:rsid w:val="1525C1EF"/>
    <w:rsid w:val="1526C45E"/>
    <w:rsid w:val="152C4CB1"/>
    <w:rsid w:val="152D7416"/>
    <w:rsid w:val="152E6B94"/>
    <w:rsid w:val="152F0E96"/>
    <w:rsid w:val="1531040D"/>
    <w:rsid w:val="15329CFA"/>
    <w:rsid w:val="153509AD"/>
    <w:rsid w:val="153666B3"/>
    <w:rsid w:val="1536B32E"/>
    <w:rsid w:val="1539E1FB"/>
    <w:rsid w:val="153D4107"/>
    <w:rsid w:val="153FBFFF"/>
    <w:rsid w:val="15458EAC"/>
    <w:rsid w:val="1546AD08"/>
    <w:rsid w:val="1548B56A"/>
    <w:rsid w:val="1549C98B"/>
    <w:rsid w:val="154AC186"/>
    <w:rsid w:val="154D0C1A"/>
    <w:rsid w:val="154F2706"/>
    <w:rsid w:val="1550E3C1"/>
    <w:rsid w:val="155919AC"/>
    <w:rsid w:val="155A1AA3"/>
    <w:rsid w:val="155B1B57"/>
    <w:rsid w:val="155C7573"/>
    <w:rsid w:val="155CEEB9"/>
    <w:rsid w:val="155D6020"/>
    <w:rsid w:val="155E1462"/>
    <w:rsid w:val="155F9564"/>
    <w:rsid w:val="1561DDCC"/>
    <w:rsid w:val="1566D70A"/>
    <w:rsid w:val="1567531C"/>
    <w:rsid w:val="15683B39"/>
    <w:rsid w:val="1568DEAB"/>
    <w:rsid w:val="156E35F7"/>
    <w:rsid w:val="15715C22"/>
    <w:rsid w:val="15765C78"/>
    <w:rsid w:val="157ACC8C"/>
    <w:rsid w:val="157EA68A"/>
    <w:rsid w:val="15800579"/>
    <w:rsid w:val="1586F3A3"/>
    <w:rsid w:val="1587C8FF"/>
    <w:rsid w:val="15891707"/>
    <w:rsid w:val="158D4F1B"/>
    <w:rsid w:val="158DBE1B"/>
    <w:rsid w:val="158E43A9"/>
    <w:rsid w:val="1590BF20"/>
    <w:rsid w:val="159163A5"/>
    <w:rsid w:val="15919D05"/>
    <w:rsid w:val="159549D3"/>
    <w:rsid w:val="1595A95C"/>
    <w:rsid w:val="15961945"/>
    <w:rsid w:val="15985532"/>
    <w:rsid w:val="159CAB44"/>
    <w:rsid w:val="159ED6B0"/>
    <w:rsid w:val="15A06713"/>
    <w:rsid w:val="15A1A728"/>
    <w:rsid w:val="15A1BB6A"/>
    <w:rsid w:val="15B05912"/>
    <w:rsid w:val="15B1B04D"/>
    <w:rsid w:val="15B5ADE0"/>
    <w:rsid w:val="15B84A56"/>
    <w:rsid w:val="15B93F99"/>
    <w:rsid w:val="15BFCA95"/>
    <w:rsid w:val="15C6EA7E"/>
    <w:rsid w:val="15C8FFCC"/>
    <w:rsid w:val="15D0356D"/>
    <w:rsid w:val="15D2F80C"/>
    <w:rsid w:val="15D2FDF7"/>
    <w:rsid w:val="15D45C8B"/>
    <w:rsid w:val="15D86F5B"/>
    <w:rsid w:val="15DC83FC"/>
    <w:rsid w:val="15E6843F"/>
    <w:rsid w:val="15E8AE21"/>
    <w:rsid w:val="15EB5DFB"/>
    <w:rsid w:val="15ED5213"/>
    <w:rsid w:val="15F0B344"/>
    <w:rsid w:val="15F3B52F"/>
    <w:rsid w:val="15FA730A"/>
    <w:rsid w:val="15FBCEA3"/>
    <w:rsid w:val="15FBFF7C"/>
    <w:rsid w:val="15FC7054"/>
    <w:rsid w:val="16005B0A"/>
    <w:rsid w:val="16013627"/>
    <w:rsid w:val="16016515"/>
    <w:rsid w:val="16020275"/>
    <w:rsid w:val="16020ECE"/>
    <w:rsid w:val="1606AA01"/>
    <w:rsid w:val="160900F1"/>
    <w:rsid w:val="1609E75A"/>
    <w:rsid w:val="160B63ED"/>
    <w:rsid w:val="160C5FA2"/>
    <w:rsid w:val="160C7C87"/>
    <w:rsid w:val="16105A4F"/>
    <w:rsid w:val="1610D8A9"/>
    <w:rsid w:val="16120215"/>
    <w:rsid w:val="161421A7"/>
    <w:rsid w:val="161434EC"/>
    <w:rsid w:val="161725B3"/>
    <w:rsid w:val="1617B790"/>
    <w:rsid w:val="161CECE4"/>
    <w:rsid w:val="161D5F1D"/>
    <w:rsid w:val="1621954C"/>
    <w:rsid w:val="16219AE3"/>
    <w:rsid w:val="1626898C"/>
    <w:rsid w:val="162CF8B4"/>
    <w:rsid w:val="162F2CB1"/>
    <w:rsid w:val="163321D4"/>
    <w:rsid w:val="1634DB50"/>
    <w:rsid w:val="163E4365"/>
    <w:rsid w:val="164325FD"/>
    <w:rsid w:val="164423B8"/>
    <w:rsid w:val="1645A359"/>
    <w:rsid w:val="1645D303"/>
    <w:rsid w:val="1648BF70"/>
    <w:rsid w:val="16495C3A"/>
    <w:rsid w:val="164B4508"/>
    <w:rsid w:val="164BB159"/>
    <w:rsid w:val="164D4456"/>
    <w:rsid w:val="16512ADA"/>
    <w:rsid w:val="165692D9"/>
    <w:rsid w:val="1658B552"/>
    <w:rsid w:val="16598B08"/>
    <w:rsid w:val="165A8D7A"/>
    <w:rsid w:val="16609D30"/>
    <w:rsid w:val="16614107"/>
    <w:rsid w:val="16628220"/>
    <w:rsid w:val="1669780B"/>
    <w:rsid w:val="166A3325"/>
    <w:rsid w:val="166AE7CD"/>
    <w:rsid w:val="167135F8"/>
    <w:rsid w:val="16751E71"/>
    <w:rsid w:val="16811A22"/>
    <w:rsid w:val="1681F924"/>
    <w:rsid w:val="16839A6C"/>
    <w:rsid w:val="1683CB9B"/>
    <w:rsid w:val="168692CA"/>
    <w:rsid w:val="1686ECD4"/>
    <w:rsid w:val="1687CD14"/>
    <w:rsid w:val="168B423F"/>
    <w:rsid w:val="168BB1BF"/>
    <w:rsid w:val="168D0913"/>
    <w:rsid w:val="16913AB9"/>
    <w:rsid w:val="16935BB0"/>
    <w:rsid w:val="16977AC0"/>
    <w:rsid w:val="169832CD"/>
    <w:rsid w:val="169B9F9D"/>
    <w:rsid w:val="169C9DA2"/>
    <w:rsid w:val="169CBC0E"/>
    <w:rsid w:val="169DD883"/>
    <w:rsid w:val="169E01D5"/>
    <w:rsid w:val="169F2A8F"/>
    <w:rsid w:val="16A3DEBB"/>
    <w:rsid w:val="16A7D7D3"/>
    <w:rsid w:val="16AA98B3"/>
    <w:rsid w:val="16AE7138"/>
    <w:rsid w:val="16AFFCB4"/>
    <w:rsid w:val="16B12E37"/>
    <w:rsid w:val="16B40E90"/>
    <w:rsid w:val="16B4DEC4"/>
    <w:rsid w:val="16B51F2C"/>
    <w:rsid w:val="16BF07A8"/>
    <w:rsid w:val="16BF2B3D"/>
    <w:rsid w:val="16C33DAB"/>
    <w:rsid w:val="16C3AD4F"/>
    <w:rsid w:val="16C7EBC5"/>
    <w:rsid w:val="16D68A3C"/>
    <w:rsid w:val="16D853EB"/>
    <w:rsid w:val="16DBCEEA"/>
    <w:rsid w:val="16DD1C8A"/>
    <w:rsid w:val="16E893F4"/>
    <w:rsid w:val="16EC81DC"/>
    <w:rsid w:val="16F09C1F"/>
    <w:rsid w:val="16FAA03E"/>
    <w:rsid w:val="16FCD996"/>
    <w:rsid w:val="16FD4818"/>
    <w:rsid w:val="16FE69EA"/>
    <w:rsid w:val="16FE948D"/>
    <w:rsid w:val="16FFF330"/>
    <w:rsid w:val="1700C025"/>
    <w:rsid w:val="1701F681"/>
    <w:rsid w:val="17062C6B"/>
    <w:rsid w:val="1707EF55"/>
    <w:rsid w:val="17094528"/>
    <w:rsid w:val="1709AF79"/>
    <w:rsid w:val="170C5FF9"/>
    <w:rsid w:val="170D952D"/>
    <w:rsid w:val="170EF247"/>
    <w:rsid w:val="170F5CFD"/>
    <w:rsid w:val="170FE581"/>
    <w:rsid w:val="17138779"/>
    <w:rsid w:val="17169CED"/>
    <w:rsid w:val="171C2CBC"/>
    <w:rsid w:val="171DD3A6"/>
    <w:rsid w:val="172073F9"/>
    <w:rsid w:val="1726A871"/>
    <w:rsid w:val="172E749F"/>
    <w:rsid w:val="1732D35F"/>
    <w:rsid w:val="17331DE9"/>
    <w:rsid w:val="1734295E"/>
    <w:rsid w:val="17377941"/>
    <w:rsid w:val="173CA25F"/>
    <w:rsid w:val="173CCADF"/>
    <w:rsid w:val="173DCD38"/>
    <w:rsid w:val="173F59E3"/>
    <w:rsid w:val="174054AB"/>
    <w:rsid w:val="17443526"/>
    <w:rsid w:val="17447DAE"/>
    <w:rsid w:val="1748F84C"/>
    <w:rsid w:val="17497BE2"/>
    <w:rsid w:val="174D1078"/>
    <w:rsid w:val="174D6C09"/>
    <w:rsid w:val="1751D716"/>
    <w:rsid w:val="175372E2"/>
    <w:rsid w:val="17567034"/>
    <w:rsid w:val="17578541"/>
    <w:rsid w:val="17584E88"/>
    <w:rsid w:val="1759A620"/>
    <w:rsid w:val="175E6816"/>
    <w:rsid w:val="17610F5F"/>
    <w:rsid w:val="1763D67D"/>
    <w:rsid w:val="1765B53E"/>
    <w:rsid w:val="1767EF5A"/>
    <w:rsid w:val="176C63B6"/>
    <w:rsid w:val="176CC54D"/>
    <w:rsid w:val="1770C8BB"/>
    <w:rsid w:val="1770CCC7"/>
    <w:rsid w:val="17732B9E"/>
    <w:rsid w:val="17734BC0"/>
    <w:rsid w:val="177A364D"/>
    <w:rsid w:val="177BE66E"/>
    <w:rsid w:val="17830D87"/>
    <w:rsid w:val="178503B3"/>
    <w:rsid w:val="1788E065"/>
    <w:rsid w:val="178CE0B9"/>
    <w:rsid w:val="179017DD"/>
    <w:rsid w:val="17918C6A"/>
    <w:rsid w:val="17926FC5"/>
    <w:rsid w:val="1799BA96"/>
    <w:rsid w:val="179A1FE2"/>
    <w:rsid w:val="179C7E49"/>
    <w:rsid w:val="179EE2A0"/>
    <w:rsid w:val="17A21292"/>
    <w:rsid w:val="17AC069B"/>
    <w:rsid w:val="17B04AE8"/>
    <w:rsid w:val="17B2F691"/>
    <w:rsid w:val="17B5FDCD"/>
    <w:rsid w:val="17BAEB3F"/>
    <w:rsid w:val="17BD8B1F"/>
    <w:rsid w:val="17C1549E"/>
    <w:rsid w:val="17C5A9FD"/>
    <w:rsid w:val="17CAAF2B"/>
    <w:rsid w:val="17D2BBDD"/>
    <w:rsid w:val="17D856E4"/>
    <w:rsid w:val="17DAC96C"/>
    <w:rsid w:val="17DDFA4F"/>
    <w:rsid w:val="17DF30A3"/>
    <w:rsid w:val="17E2318E"/>
    <w:rsid w:val="17E536CB"/>
    <w:rsid w:val="17E64248"/>
    <w:rsid w:val="17E717F5"/>
    <w:rsid w:val="17E7992B"/>
    <w:rsid w:val="17F9B0D7"/>
    <w:rsid w:val="17FA8995"/>
    <w:rsid w:val="17FC4B3B"/>
    <w:rsid w:val="17FFF78F"/>
    <w:rsid w:val="18046436"/>
    <w:rsid w:val="180495B3"/>
    <w:rsid w:val="1805AD9C"/>
    <w:rsid w:val="1805C1DA"/>
    <w:rsid w:val="1806BC76"/>
    <w:rsid w:val="1806D67F"/>
    <w:rsid w:val="1809B1CD"/>
    <w:rsid w:val="180ACFA1"/>
    <w:rsid w:val="180B7FA9"/>
    <w:rsid w:val="180DF03D"/>
    <w:rsid w:val="180E34D3"/>
    <w:rsid w:val="18101B1A"/>
    <w:rsid w:val="181334B4"/>
    <w:rsid w:val="181449FF"/>
    <w:rsid w:val="18150A2F"/>
    <w:rsid w:val="181B9072"/>
    <w:rsid w:val="181E8FBE"/>
    <w:rsid w:val="181FD656"/>
    <w:rsid w:val="1821B9E3"/>
    <w:rsid w:val="1821C42E"/>
    <w:rsid w:val="18234576"/>
    <w:rsid w:val="1823B312"/>
    <w:rsid w:val="1824E08D"/>
    <w:rsid w:val="182B6DC7"/>
    <w:rsid w:val="182F8492"/>
    <w:rsid w:val="18315CC7"/>
    <w:rsid w:val="1834CE03"/>
    <w:rsid w:val="18371740"/>
    <w:rsid w:val="183BFD9E"/>
    <w:rsid w:val="183C3349"/>
    <w:rsid w:val="183DDF9C"/>
    <w:rsid w:val="183EBCDF"/>
    <w:rsid w:val="183F2328"/>
    <w:rsid w:val="18428B61"/>
    <w:rsid w:val="1844D0AC"/>
    <w:rsid w:val="18453738"/>
    <w:rsid w:val="184633AE"/>
    <w:rsid w:val="1848E740"/>
    <w:rsid w:val="1856D3E1"/>
    <w:rsid w:val="18586DA4"/>
    <w:rsid w:val="1859D8AC"/>
    <w:rsid w:val="185A1DBD"/>
    <w:rsid w:val="185C3E1C"/>
    <w:rsid w:val="186332CA"/>
    <w:rsid w:val="186A0606"/>
    <w:rsid w:val="186F6E2B"/>
    <w:rsid w:val="186F85C3"/>
    <w:rsid w:val="187102FD"/>
    <w:rsid w:val="1872A497"/>
    <w:rsid w:val="187438BB"/>
    <w:rsid w:val="187D0E37"/>
    <w:rsid w:val="187D220B"/>
    <w:rsid w:val="187D4BBE"/>
    <w:rsid w:val="1881CE07"/>
    <w:rsid w:val="1883645F"/>
    <w:rsid w:val="18885F86"/>
    <w:rsid w:val="18899683"/>
    <w:rsid w:val="188998B0"/>
    <w:rsid w:val="188A9FC5"/>
    <w:rsid w:val="188EA165"/>
    <w:rsid w:val="188EB6E6"/>
    <w:rsid w:val="1890768F"/>
    <w:rsid w:val="1893B47C"/>
    <w:rsid w:val="1898AFBA"/>
    <w:rsid w:val="189999AB"/>
    <w:rsid w:val="189FE4CF"/>
    <w:rsid w:val="18A03CD3"/>
    <w:rsid w:val="18A1036C"/>
    <w:rsid w:val="18A25272"/>
    <w:rsid w:val="18A42072"/>
    <w:rsid w:val="18A93887"/>
    <w:rsid w:val="18AC6A73"/>
    <w:rsid w:val="18B26D4E"/>
    <w:rsid w:val="18B52A24"/>
    <w:rsid w:val="18B56DD5"/>
    <w:rsid w:val="18B75E50"/>
    <w:rsid w:val="18B7F248"/>
    <w:rsid w:val="18B86896"/>
    <w:rsid w:val="18B8B75C"/>
    <w:rsid w:val="18B8C820"/>
    <w:rsid w:val="18C07E61"/>
    <w:rsid w:val="18C70838"/>
    <w:rsid w:val="18C92237"/>
    <w:rsid w:val="18CBA774"/>
    <w:rsid w:val="18CC69B2"/>
    <w:rsid w:val="18D7A347"/>
    <w:rsid w:val="18D875D0"/>
    <w:rsid w:val="18D8969A"/>
    <w:rsid w:val="18DB371B"/>
    <w:rsid w:val="18DFECC6"/>
    <w:rsid w:val="18E3C8B8"/>
    <w:rsid w:val="18E408E1"/>
    <w:rsid w:val="18E91761"/>
    <w:rsid w:val="18EA0E31"/>
    <w:rsid w:val="18F077FC"/>
    <w:rsid w:val="18F17877"/>
    <w:rsid w:val="18F21772"/>
    <w:rsid w:val="18F402F7"/>
    <w:rsid w:val="18FA3DA6"/>
    <w:rsid w:val="18FCF186"/>
    <w:rsid w:val="19024CDA"/>
    <w:rsid w:val="190ED762"/>
    <w:rsid w:val="190ED7FA"/>
    <w:rsid w:val="1912CE5A"/>
    <w:rsid w:val="19188B86"/>
    <w:rsid w:val="1919C055"/>
    <w:rsid w:val="191A9C6C"/>
    <w:rsid w:val="1921677C"/>
    <w:rsid w:val="19230588"/>
    <w:rsid w:val="1925EFC4"/>
    <w:rsid w:val="1927DEF9"/>
    <w:rsid w:val="19299374"/>
    <w:rsid w:val="192C408E"/>
    <w:rsid w:val="192C769C"/>
    <w:rsid w:val="192E7178"/>
    <w:rsid w:val="19347303"/>
    <w:rsid w:val="193E8DA0"/>
    <w:rsid w:val="193EBB39"/>
    <w:rsid w:val="193ED3A5"/>
    <w:rsid w:val="1941F284"/>
    <w:rsid w:val="19445687"/>
    <w:rsid w:val="1945FFB1"/>
    <w:rsid w:val="1947ACEF"/>
    <w:rsid w:val="1948840C"/>
    <w:rsid w:val="194D01CD"/>
    <w:rsid w:val="194DB251"/>
    <w:rsid w:val="1951C5D3"/>
    <w:rsid w:val="19541C18"/>
    <w:rsid w:val="195691F2"/>
    <w:rsid w:val="19573840"/>
    <w:rsid w:val="19582F58"/>
    <w:rsid w:val="195B8BFD"/>
    <w:rsid w:val="195BCFF0"/>
    <w:rsid w:val="195E2868"/>
    <w:rsid w:val="195E6341"/>
    <w:rsid w:val="19608123"/>
    <w:rsid w:val="1960DE36"/>
    <w:rsid w:val="196367C8"/>
    <w:rsid w:val="1964DABB"/>
    <w:rsid w:val="19670467"/>
    <w:rsid w:val="196C82BD"/>
    <w:rsid w:val="196DCC3B"/>
    <w:rsid w:val="196FA896"/>
    <w:rsid w:val="197076F7"/>
    <w:rsid w:val="1970A28F"/>
    <w:rsid w:val="197460BD"/>
    <w:rsid w:val="1974B818"/>
    <w:rsid w:val="197B0431"/>
    <w:rsid w:val="197E5BB1"/>
    <w:rsid w:val="1985607D"/>
    <w:rsid w:val="19880453"/>
    <w:rsid w:val="198A5DE2"/>
    <w:rsid w:val="198E0E38"/>
    <w:rsid w:val="198EEC9D"/>
    <w:rsid w:val="1990EC6A"/>
    <w:rsid w:val="199842CE"/>
    <w:rsid w:val="19989BAE"/>
    <w:rsid w:val="1998CA48"/>
    <w:rsid w:val="199A9EDB"/>
    <w:rsid w:val="199B4401"/>
    <w:rsid w:val="199F481D"/>
    <w:rsid w:val="199F550D"/>
    <w:rsid w:val="19A1E553"/>
    <w:rsid w:val="19A50623"/>
    <w:rsid w:val="19A5245D"/>
    <w:rsid w:val="19A52C9C"/>
    <w:rsid w:val="19A868B4"/>
    <w:rsid w:val="19A918AA"/>
    <w:rsid w:val="19AC8AC3"/>
    <w:rsid w:val="19AED2FE"/>
    <w:rsid w:val="19AF034B"/>
    <w:rsid w:val="19B23E69"/>
    <w:rsid w:val="19B49764"/>
    <w:rsid w:val="19B59E3D"/>
    <w:rsid w:val="19B802A8"/>
    <w:rsid w:val="19B96DB9"/>
    <w:rsid w:val="19BFA8B4"/>
    <w:rsid w:val="19C0CCE6"/>
    <w:rsid w:val="19C2602F"/>
    <w:rsid w:val="19C59316"/>
    <w:rsid w:val="19CB80DB"/>
    <w:rsid w:val="19CF93F6"/>
    <w:rsid w:val="19D1E8A8"/>
    <w:rsid w:val="19D3D8F2"/>
    <w:rsid w:val="19D7E945"/>
    <w:rsid w:val="19DE209E"/>
    <w:rsid w:val="19E0AAAA"/>
    <w:rsid w:val="19E0E99E"/>
    <w:rsid w:val="19E3CE14"/>
    <w:rsid w:val="19E97815"/>
    <w:rsid w:val="19E98D37"/>
    <w:rsid w:val="19EC8194"/>
    <w:rsid w:val="19ED6CED"/>
    <w:rsid w:val="19F2009D"/>
    <w:rsid w:val="19F2AF2D"/>
    <w:rsid w:val="19F2B008"/>
    <w:rsid w:val="19F520CD"/>
    <w:rsid w:val="19F6EDDA"/>
    <w:rsid w:val="19F7802E"/>
    <w:rsid w:val="19F8C2FE"/>
    <w:rsid w:val="19F8FBA0"/>
    <w:rsid w:val="1A083E88"/>
    <w:rsid w:val="1A0D0B18"/>
    <w:rsid w:val="1A0D30DA"/>
    <w:rsid w:val="1A1164FB"/>
    <w:rsid w:val="1A12A3A9"/>
    <w:rsid w:val="1A144AEA"/>
    <w:rsid w:val="1A14E1A8"/>
    <w:rsid w:val="1A150163"/>
    <w:rsid w:val="1A16FFA1"/>
    <w:rsid w:val="1A1D082E"/>
    <w:rsid w:val="1A1E9044"/>
    <w:rsid w:val="1A1F13B8"/>
    <w:rsid w:val="1A21EC68"/>
    <w:rsid w:val="1A22626E"/>
    <w:rsid w:val="1A24B97D"/>
    <w:rsid w:val="1A26B5D3"/>
    <w:rsid w:val="1A279783"/>
    <w:rsid w:val="1A2CC002"/>
    <w:rsid w:val="1A35FBD1"/>
    <w:rsid w:val="1A3AC778"/>
    <w:rsid w:val="1A3F92A7"/>
    <w:rsid w:val="1A4506B2"/>
    <w:rsid w:val="1A4D3744"/>
    <w:rsid w:val="1A4E3DAF"/>
    <w:rsid w:val="1A53AC23"/>
    <w:rsid w:val="1A53E82A"/>
    <w:rsid w:val="1A540CD0"/>
    <w:rsid w:val="1A545B20"/>
    <w:rsid w:val="1A54B8A5"/>
    <w:rsid w:val="1A558A7E"/>
    <w:rsid w:val="1A572E5F"/>
    <w:rsid w:val="1A595B02"/>
    <w:rsid w:val="1A5CDD50"/>
    <w:rsid w:val="1A6223F5"/>
    <w:rsid w:val="1A641DF8"/>
    <w:rsid w:val="1A673A85"/>
    <w:rsid w:val="1A6A060C"/>
    <w:rsid w:val="1A6D5A6A"/>
    <w:rsid w:val="1A746BA1"/>
    <w:rsid w:val="1A758FDF"/>
    <w:rsid w:val="1A797A8F"/>
    <w:rsid w:val="1A7A3807"/>
    <w:rsid w:val="1A7AF2C0"/>
    <w:rsid w:val="1A7DF799"/>
    <w:rsid w:val="1A7EC564"/>
    <w:rsid w:val="1A8102A3"/>
    <w:rsid w:val="1A8247D3"/>
    <w:rsid w:val="1A854E0B"/>
    <w:rsid w:val="1A8592D5"/>
    <w:rsid w:val="1A88C3BD"/>
    <w:rsid w:val="1A8907EA"/>
    <w:rsid w:val="1A8C045D"/>
    <w:rsid w:val="1A8C323D"/>
    <w:rsid w:val="1A8DF5E6"/>
    <w:rsid w:val="1A8E3780"/>
    <w:rsid w:val="1A9641F8"/>
    <w:rsid w:val="1A9AEC22"/>
    <w:rsid w:val="1A9D4F7D"/>
    <w:rsid w:val="1A9E7598"/>
    <w:rsid w:val="1AA18144"/>
    <w:rsid w:val="1AA2A93A"/>
    <w:rsid w:val="1AA2D4D5"/>
    <w:rsid w:val="1AA31721"/>
    <w:rsid w:val="1AA4BC7B"/>
    <w:rsid w:val="1AA4D37A"/>
    <w:rsid w:val="1AA5F0EA"/>
    <w:rsid w:val="1AA7C362"/>
    <w:rsid w:val="1AA94F3F"/>
    <w:rsid w:val="1AAAAEC1"/>
    <w:rsid w:val="1AAADD89"/>
    <w:rsid w:val="1AAE7D22"/>
    <w:rsid w:val="1AAE9289"/>
    <w:rsid w:val="1AAF4555"/>
    <w:rsid w:val="1AB1B273"/>
    <w:rsid w:val="1AB20C5C"/>
    <w:rsid w:val="1AB8353F"/>
    <w:rsid w:val="1AB9A504"/>
    <w:rsid w:val="1ABC8AFB"/>
    <w:rsid w:val="1ABE00A2"/>
    <w:rsid w:val="1ABEEBFC"/>
    <w:rsid w:val="1ABFDE1A"/>
    <w:rsid w:val="1AC0F7CE"/>
    <w:rsid w:val="1AC3D9E7"/>
    <w:rsid w:val="1AC58620"/>
    <w:rsid w:val="1ACACA1E"/>
    <w:rsid w:val="1ACCA992"/>
    <w:rsid w:val="1ACF1627"/>
    <w:rsid w:val="1AD492F5"/>
    <w:rsid w:val="1AD5BFD4"/>
    <w:rsid w:val="1ADBF5BF"/>
    <w:rsid w:val="1AE24EAD"/>
    <w:rsid w:val="1AE6B18B"/>
    <w:rsid w:val="1AEBA24A"/>
    <w:rsid w:val="1AED5069"/>
    <w:rsid w:val="1AF51F0F"/>
    <w:rsid w:val="1AF7FD4B"/>
    <w:rsid w:val="1AF97B6F"/>
    <w:rsid w:val="1AFA11CB"/>
    <w:rsid w:val="1AFB5A07"/>
    <w:rsid w:val="1AFE562A"/>
    <w:rsid w:val="1B067CC5"/>
    <w:rsid w:val="1B0D4898"/>
    <w:rsid w:val="1B0F3726"/>
    <w:rsid w:val="1B13EEC5"/>
    <w:rsid w:val="1B143F00"/>
    <w:rsid w:val="1B147EDD"/>
    <w:rsid w:val="1B15AF5B"/>
    <w:rsid w:val="1B1CDC7E"/>
    <w:rsid w:val="1B1D335F"/>
    <w:rsid w:val="1B1D9CE1"/>
    <w:rsid w:val="1B21E564"/>
    <w:rsid w:val="1B22CB08"/>
    <w:rsid w:val="1B28C74B"/>
    <w:rsid w:val="1B28DB6E"/>
    <w:rsid w:val="1B2B6A36"/>
    <w:rsid w:val="1B2DE7B6"/>
    <w:rsid w:val="1B30E100"/>
    <w:rsid w:val="1B328FBB"/>
    <w:rsid w:val="1B35B5AB"/>
    <w:rsid w:val="1B36CE8F"/>
    <w:rsid w:val="1B376AFD"/>
    <w:rsid w:val="1B396DB8"/>
    <w:rsid w:val="1B3AEDF1"/>
    <w:rsid w:val="1B3C2689"/>
    <w:rsid w:val="1B3EA1C6"/>
    <w:rsid w:val="1B3FCE91"/>
    <w:rsid w:val="1B406E24"/>
    <w:rsid w:val="1B43CBFE"/>
    <w:rsid w:val="1B49D229"/>
    <w:rsid w:val="1B4B6EF1"/>
    <w:rsid w:val="1B4F0159"/>
    <w:rsid w:val="1B4F4E80"/>
    <w:rsid w:val="1B5183E2"/>
    <w:rsid w:val="1B54AAD8"/>
    <w:rsid w:val="1B56A00A"/>
    <w:rsid w:val="1B575C60"/>
    <w:rsid w:val="1B5863BF"/>
    <w:rsid w:val="1B59A5BE"/>
    <w:rsid w:val="1B5C3CC0"/>
    <w:rsid w:val="1B5C4780"/>
    <w:rsid w:val="1B5FF3C4"/>
    <w:rsid w:val="1B66C1FD"/>
    <w:rsid w:val="1B689BE8"/>
    <w:rsid w:val="1B6B79C6"/>
    <w:rsid w:val="1B6C1A22"/>
    <w:rsid w:val="1B6CC197"/>
    <w:rsid w:val="1B6CC32B"/>
    <w:rsid w:val="1B6EE934"/>
    <w:rsid w:val="1B6F8C43"/>
    <w:rsid w:val="1B6FA75B"/>
    <w:rsid w:val="1B72269D"/>
    <w:rsid w:val="1B729885"/>
    <w:rsid w:val="1B738D0E"/>
    <w:rsid w:val="1B75134D"/>
    <w:rsid w:val="1B76FAFC"/>
    <w:rsid w:val="1B79B561"/>
    <w:rsid w:val="1B7BC2DD"/>
    <w:rsid w:val="1B824479"/>
    <w:rsid w:val="1B85DB90"/>
    <w:rsid w:val="1B86A7EF"/>
    <w:rsid w:val="1B881F24"/>
    <w:rsid w:val="1B8AB4D0"/>
    <w:rsid w:val="1B8C7542"/>
    <w:rsid w:val="1B8D39DC"/>
    <w:rsid w:val="1B8F2719"/>
    <w:rsid w:val="1B93C3C3"/>
    <w:rsid w:val="1B957AF6"/>
    <w:rsid w:val="1B9A9CE4"/>
    <w:rsid w:val="1B9DBE17"/>
    <w:rsid w:val="1B9FA8B2"/>
    <w:rsid w:val="1BA348BF"/>
    <w:rsid w:val="1BA725EE"/>
    <w:rsid w:val="1BA93459"/>
    <w:rsid w:val="1BADF527"/>
    <w:rsid w:val="1BAE1074"/>
    <w:rsid w:val="1BAF5C1A"/>
    <w:rsid w:val="1BB37CC9"/>
    <w:rsid w:val="1BB37E2C"/>
    <w:rsid w:val="1BB6C9B3"/>
    <w:rsid w:val="1BBB5E52"/>
    <w:rsid w:val="1BBC99F2"/>
    <w:rsid w:val="1BBFDC7D"/>
    <w:rsid w:val="1BC041D2"/>
    <w:rsid w:val="1BC1164E"/>
    <w:rsid w:val="1BC125D0"/>
    <w:rsid w:val="1BC23AAB"/>
    <w:rsid w:val="1BC9034F"/>
    <w:rsid w:val="1BCA4250"/>
    <w:rsid w:val="1BDAB2DB"/>
    <w:rsid w:val="1BDE4883"/>
    <w:rsid w:val="1BE2D9BC"/>
    <w:rsid w:val="1BE3913B"/>
    <w:rsid w:val="1BE48240"/>
    <w:rsid w:val="1BF1E586"/>
    <w:rsid w:val="1BF42B0F"/>
    <w:rsid w:val="1BF7F1D4"/>
    <w:rsid w:val="1BF84DB7"/>
    <w:rsid w:val="1C00ABB7"/>
    <w:rsid w:val="1C024CCC"/>
    <w:rsid w:val="1C0939C7"/>
    <w:rsid w:val="1C0C42C5"/>
    <w:rsid w:val="1C0F80EC"/>
    <w:rsid w:val="1C191ADE"/>
    <w:rsid w:val="1C193158"/>
    <w:rsid w:val="1C237AB6"/>
    <w:rsid w:val="1C241E85"/>
    <w:rsid w:val="1C24A3F9"/>
    <w:rsid w:val="1C279AB7"/>
    <w:rsid w:val="1C2B8965"/>
    <w:rsid w:val="1C2BFEAD"/>
    <w:rsid w:val="1C2DA232"/>
    <w:rsid w:val="1C2E6D4C"/>
    <w:rsid w:val="1C2FB979"/>
    <w:rsid w:val="1C2FCFC0"/>
    <w:rsid w:val="1C301FCD"/>
    <w:rsid w:val="1C30EE58"/>
    <w:rsid w:val="1C324E50"/>
    <w:rsid w:val="1C32CF2C"/>
    <w:rsid w:val="1C349551"/>
    <w:rsid w:val="1C357ABB"/>
    <w:rsid w:val="1C3E4C27"/>
    <w:rsid w:val="1C3F050A"/>
    <w:rsid w:val="1C446759"/>
    <w:rsid w:val="1C490A30"/>
    <w:rsid w:val="1C4932FB"/>
    <w:rsid w:val="1C4A71D8"/>
    <w:rsid w:val="1C504111"/>
    <w:rsid w:val="1C506BC9"/>
    <w:rsid w:val="1C50F61D"/>
    <w:rsid w:val="1C533BF8"/>
    <w:rsid w:val="1C597E12"/>
    <w:rsid w:val="1C598199"/>
    <w:rsid w:val="1C5E6C12"/>
    <w:rsid w:val="1C605AAE"/>
    <w:rsid w:val="1C6319B2"/>
    <w:rsid w:val="1C65D387"/>
    <w:rsid w:val="1C6A6384"/>
    <w:rsid w:val="1C7CEA0B"/>
    <w:rsid w:val="1C7D4E64"/>
    <w:rsid w:val="1C7D7B0D"/>
    <w:rsid w:val="1C7E6704"/>
    <w:rsid w:val="1C8321E2"/>
    <w:rsid w:val="1C834FEB"/>
    <w:rsid w:val="1C88F66E"/>
    <w:rsid w:val="1C8AD746"/>
    <w:rsid w:val="1C8B59D1"/>
    <w:rsid w:val="1C8FAEA5"/>
    <w:rsid w:val="1C913707"/>
    <w:rsid w:val="1C91FA1F"/>
    <w:rsid w:val="1C95BB90"/>
    <w:rsid w:val="1C9EA24F"/>
    <w:rsid w:val="1C9F21AB"/>
    <w:rsid w:val="1CA115A6"/>
    <w:rsid w:val="1CA38DA0"/>
    <w:rsid w:val="1CA46B9E"/>
    <w:rsid w:val="1CAA870A"/>
    <w:rsid w:val="1CADBBE3"/>
    <w:rsid w:val="1CADC608"/>
    <w:rsid w:val="1CAE4055"/>
    <w:rsid w:val="1CAF8512"/>
    <w:rsid w:val="1CB2B1E5"/>
    <w:rsid w:val="1CB83280"/>
    <w:rsid w:val="1CB98EAC"/>
    <w:rsid w:val="1CBBADDC"/>
    <w:rsid w:val="1CBC2316"/>
    <w:rsid w:val="1CC1E84B"/>
    <w:rsid w:val="1CC4651D"/>
    <w:rsid w:val="1CC5A9C6"/>
    <w:rsid w:val="1CC69A82"/>
    <w:rsid w:val="1CCAEA7A"/>
    <w:rsid w:val="1CD41435"/>
    <w:rsid w:val="1CD921A4"/>
    <w:rsid w:val="1CDB4FD0"/>
    <w:rsid w:val="1CDF7796"/>
    <w:rsid w:val="1CE1BB81"/>
    <w:rsid w:val="1CE319EF"/>
    <w:rsid w:val="1CE67B41"/>
    <w:rsid w:val="1CE9D631"/>
    <w:rsid w:val="1CEAEE02"/>
    <w:rsid w:val="1CEBC105"/>
    <w:rsid w:val="1CED3205"/>
    <w:rsid w:val="1CED7A9A"/>
    <w:rsid w:val="1CF62534"/>
    <w:rsid w:val="1CF6F943"/>
    <w:rsid w:val="1CFADDFF"/>
    <w:rsid w:val="1CFB643E"/>
    <w:rsid w:val="1D00A120"/>
    <w:rsid w:val="1D0298EF"/>
    <w:rsid w:val="1D02E629"/>
    <w:rsid w:val="1D033DA1"/>
    <w:rsid w:val="1D04270C"/>
    <w:rsid w:val="1D059B2E"/>
    <w:rsid w:val="1D0A74BA"/>
    <w:rsid w:val="1D0F40FC"/>
    <w:rsid w:val="1D109ED0"/>
    <w:rsid w:val="1D123C78"/>
    <w:rsid w:val="1D14CF43"/>
    <w:rsid w:val="1D15627C"/>
    <w:rsid w:val="1D16172A"/>
    <w:rsid w:val="1D1A3A69"/>
    <w:rsid w:val="1D1B4CEC"/>
    <w:rsid w:val="1D1F5CD9"/>
    <w:rsid w:val="1D22FE8A"/>
    <w:rsid w:val="1D25FCED"/>
    <w:rsid w:val="1D2919F1"/>
    <w:rsid w:val="1D29B7D7"/>
    <w:rsid w:val="1D2E36A2"/>
    <w:rsid w:val="1D2EDBFA"/>
    <w:rsid w:val="1D300746"/>
    <w:rsid w:val="1D312992"/>
    <w:rsid w:val="1D323863"/>
    <w:rsid w:val="1D33A201"/>
    <w:rsid w:val="1D35AE85"/>
    <w:rsid w:val="1D38FBDA"/>
    <w:rsid w:val="1D44936F"/>
    <w:rsid w:val="1D44C3BC"/>
    <w:rsid w:val="1D4EFCAD"/>
    <w:rsid w:val="1D50D26B"/>
    <w:rsid w:val="1D53D80C"/>
    <w:rsid w:val="1D559595"/>
    <w:rsid w:val="1D56DB49"/>
    <w:rsid w:val="1D593B89"/>
    <w:rsid w:val="1D5BBBBB"/>
    <w:rsid w:val="1D5E75BF"/>
    <w:rsid w:val="1D5E9171"/>
    <w:rsid w:val="1D616F95"/>
    <w:rsid w:val="1D61BE5E"/>
    <w:rsid w:val="1D63AFEE"/>
    <w:rsid w:val="1D64D605"/>
    <w:rsid w:val="1D662C28"/>
    <w:rsid w:val="1D696870"/>
    <w:rsid w:val="1D697354"/>
    <w:rsid w:val="1D698CDD"/>
    <w:rsid w:val="1D69E229"/>
    <w:rsid w:val="1D7020EE"/>
    <w:rsid w:val="1D7116CF"/>
    <w:rsid w:val="1D716A77"/>
    <w:rsid w:val="1D73CED0"/>
    <w:rsid w:val="1D7428E9"/>
    <w:rsid w:val="1D7733A7"/>
    <w:rsid w:val="1D7BEE15"/>
    <w:rsid w:val="1D7C0F3E"/>
    <w:rsid w:val="1D7E31C8"/>
    <w:rsid w:val="1D7FD63F"/>
    <w:rsid w:val="1D82D2CB"/>
    <w:rsid w:val="1D8D3D55"/>
    <w:rsid w:val="1D9134AC"/>
    <w:rsid w:val="1D93A3B2"/>
    <w:rsid w:val="1D955B4E"/>
    <w:rsid w:val="1D98397A"/>
    <w:rsid w:val="1D98B525"/>
    <w:rsid w:val="1D99D3A4"/>
    <w:rsid w:val="1D9A0F2E"/>
    <w:rsid w:val="1D9CD491"/>
    <w:rsid w:val="1D9F47D2"/>
    <w:rsid w:val="1DA37486"/>
    <w:rsid w:val="1DA6F508"/>
    <w:rsid w:val="1DA8AC34"/>
    <w:rsid w:val="1DB3D097"/>
    <w:rsid w:val="1DB76C55"/>
    <w:rsid w:val="1DBC7553"/>
    <w:rsid w:val="1DC0170E"/>
    <w:rsid w:val="1DC1A411"/>
    <w:rsid w:val="1DC5D60F"/>
    <w:rsid w:val="1DC9F1D6"/>
    <w:rsid w:val="1DCCEFFF"/>
    <w:rsid w:val="1DCF5497"/>
    <w:rsid w:val="1DD0EFEF"/>
    <w:rsid w:val="1DD2B45C"/>
    <w:rsid w:val="1DD2FF8F"/>
    <w:rsid w:val="1DD48C8A"/>
    <w:rsid w:val="1DD8A67C"/>
    <w:rsid w:val="1DDD679C"/>
    <w:rsid w:val="1DE0DB1C"/>
    <w:rsid w:val="1DE249A7"/>
    <w:rsid w:val="1DE6FE44"/>
    <w:rsid w:val="1DE819F5"/>
    <w:rsid w:val="1DEB40DD"/>
    <w:rsid w:val="1DECA400"/>
    <w:rsid w:val="1DECEFEE"/>
    <w:rsid w:val="1DF5EEF3"/>
    <w:rsid w:val="1DF68613"/>
    <w:rsid w:val="1DF99D58"/>
    <w:rsid w:val="1DFB5108"/>
    <w:rsid w:val="1DFF675D"/>
    <w:rsid w:val="1E05B4F8"/>
    <w:rsid w:val="1E095BB6"/>
    <w:rsid w:val="1E0F4449"/>
    <w:rsid w:val="1E133883"/>
    <w:rsid w:val="1E14133C"/>
    <w:rsid w:val="1E16E580"/>
    <w:rsid w:val="1E19A090"/>
    <w:rsid w:val="1E1A77C7"/>
    <w:rsid w:val="1E1CA325"/>
    <w:rsid w:val="1E259CD8"/>
    <w:rsid w:val="1E2D710A"/>
    <w:rsid w:val="1E2E758C"/>
    <w:rsid w:val="1E31DD63"/>
    <w:rsid w:val="1E36F320"/>
    <w:rsid w:val="1E372511"/>
    <w:rsid w:val="1E395495"/>
    <w:rsid w:val="1E3BD019"/>
    <w:rsid w:val="1E3C26AD"/>
    <w:rsid w:val="1E3EDF94"/>
    <w:rsid w:val="1E465FB4"/>
    <w:rsid w:val="1E46AD4B"/>
    <w:rsid w:val="1E4F57CC"/>
    <w:rsid w:val="1E50C19A"/>
    <w:rsid w:val="1E517C4B"/>
    <w:rsid w:val="1E51AEDA"/>
    <w:rsid w:val="1E56590E"/>
    <w:rsid w:val="1E577B01"/>
    <w:rsid w:val="1E59BB85"/>
    <w:rsid w:val="1E5F1CB0"/>
    <w:rsid w:val="1E5FDF4E"/>
    <w:rsid w:val="1E62D650"/>
    <w:rsid w:val="1E66D48F"/>
    <w:rsid w:val="1E686197"/>
    <w:rsid w:val="1E6BB7E2"/>
    <w:rsid w:val="1E6E4F7D"/>
    <w:rsid w:val="1E6E5FF5"/>
    <w:rsid w:val="1E6F0D8B"/>
    <w:rsid w:val="1E797C34"/>
    <w:rsid w:val="1E7A7DC7"/>
    <w:rsid w:val="1E7D4752"/>
    <w:rsid w:val="1E8109AE"/>
    <w:rsid w:val="1E81AECB"/>
    <w:rsid w:val="1E8223B6"/>
    <w:rsid w:val="1E8B142E"/>
    <w:rsid w:val="1E9009B4"/>
    <w:rsid w:val="1E904AA7"/>
    <w:rsid w:val="1E947E12"/>
    <w:rsid w:val="1E967497"/>
    <w:rsid w:val="1E96EA0A"/>
    <w:rsid w:val="1E980FB8"/>
    <w:rsid w:val="1E989510"/>
    <w:rsid w:val="1E9E4D5D"/>
    <w:rsid w:val="1E9F1B13"/>
    <w:rsid w:val="1E9F2D88"/>
    <w:rsid w:val="1EA10F44"/>
    <w:rsid w:val="1EA190BC"/>
    <w:rsid w:val="1EA5D4A0"/>
    <w:rsid w:val="1EAB82F8"/>
    <w:rsid w:val="1EABCB7F"/>
    <w:rsid w:val="1EABED6E"/>
    <w:rsid w:val="1EAF59B4"/>
    <w:rsid w:val="1EB1315C"/>
    <w:rsid w:val="1EB2C1B9"/>
    <w:rsid w:val="1EB3E6A1"/>
    <w:rsid w:val="1EB4131E"/>
    <w:rsid w:val="1EB4C4E9"/>
    <w:rsid w:val="1EB63951"/>
    <w:rsid w:val="1EB709ED"/>
    <w:rsid w:val="1EBC230F"/>
    <w:rsid w:val="1EBED7CC"/>
    <w:rsid w:val="1EC0DBB0"/>
    <w:rsid w:val="1EC0EAAA"/>
    <w:rsid w:val="1EC30340"/>
    <w:rsid w:val="1EC6E556"/>
    <w:rsid w:val="1EC784F5"/>
    <w:rsid w:val="1EC89D5E"/>
    <w:rsid w:val="1ECE8E87"/>
    <w:rsid w:val="1ECFFB0F"/>
    <w:rsid w:val="1ED0B2E2"/>
    <w:rsid w:val="1ED5DEC2"/>
    <w:rsid w:val="1EDAC38F"/>
    <w:rsid w:val="1EDE67E5"/>
    <w:rsid w:val="1EDFA2A7"/>
    <w:rsid w:val="1EEA51CE"/>
    <w:rsid w:val="1EEF52B2"/>
    <w:rsid w:val="1EF69D13"/>
    <w:rsid w:val="1EF9D6B0"/>
    <w:rsid w:val="1F005F2B"/>
    <w:rsid w:val="1F07416C"/>
    <w:rsid w:val="1F0A7937"/>
    <w:rsid w:val="1F0B500A"/>
    <w:rsid w:val="1F0DFEA1"/>
    <w:rsid w:val="1F0E5298"/>
    <w:rsid w:val="1F0F49DD"/>
    <w:rsid w:val="1F116B15"/>
    <w:rsid w:val="1F1830BE"/>
    <w:rsid w:val="1F1C289B"/>
    <w:rsid w:val="1F1DAA9D"/>
    <w:rsid w:val="1F2057DA"/>
    <w:rsid w:val="1F221D02"/>
    <w:rsid w:val="1F22943B"/>
    <w:rsid w:val="1F2321ED"/>
    <w:rsid w:val="1F256AA9"/>
    <w:rsid w:val="1F26C17E"/>
    <w:rsid w:val="1F296F34"/>
    <w:rsid w:val="1F2BF956"/>
    <w:rsid w:val="1F303A7A"/>
    <w:rsid w:val="1F389165"/>
    <w:rsid w:val="1F3DDEA3"/>
    <w:rsid w:val="1F415317"/>
    <w:rsid w:val="1F48F2C1"/>
    <w:rsid w:val="1F4CA637"/>
    <w:rsid w:val="1F4EA8EE"/>
    <w:rsid w:val="1F54FAB5"/>
    <w:rsid w:val="1F5A377A"/>
    <w:rsid w:val="1F5AD693"/>
    <w:rsid w:val="1F5BE014"/>
    <w:rsid w:val="1F5D5DFF"/>
    <w:rsid w:val="1F60E1AB"/>
    <w:rsid w:val="1F64A851"/>
    <w:rsid w:val="1F665D50"/>
    <w:rsid w:val="1F688B7F"/>
    <w:rsid w:val="1F6DE12B"/>
    <w:rsid w:val="1F735561"/>
    <w:rsid w:val="1F768FD9"/>
    <w:rsid w:val="1F7B70A3"/>
    <w:rsid w:val="1F80910A"/>
    <w:rsid w:val="1F85ABD8"/>
    <w:rsid w:val="1F86AE40"/>
    <w:rsid w:val="1F8974EC"/>
    <w:rsid w:val="1F8AAB40"/>
    <w:rsid w:val="1F932801"/>
    <w:rsid w:val="1F944B0D"/>
    <w:rsid w:val="1F978B89"/>
    <w:rsid w:val="1F9A82B5"/>
    <w:rsid w:val="1F9C286C"/>
    <w:rsid w:val="1F9C724E"/>
    <w:rsid w:val="1F9CCEEF"/>
    <w:rsid w:val="1FA230E9"/>
    <w:rsid w:val="1FA2F354"/>
    <w:rsid w:val="1FA79AC6"/>
    <w:rsid w:val="1FA9D661"/>
    <w:rsid w:val="1FAAB709"/>
    <w:rsid w:val="1FABDD8D"/>
    <w:rsid w:val="1FAC0CD0"/>
    <w:rsid w:val="1FAE054F"/>
    <w:rsid w:val="1FB1B45C"/>
    <w:rsid w:val="1FB4C69B"/>
    <w:rsid w:val="1FB6EC4A"/>
    <w:rsid w:val="1FB80CE7"/>
    <w:rsid w:val="1FBA46FD"/>
    <w:rsid w:val="1FBAC9CF"/>
    <w:rsid w:val="1FC007BB"/>
    <w:rsid w:val="1FC29B83"/>
    <w:rsid w:val="1FC45D70"/>
    <w:rsid w:val="1FCBEAFF"/>
    <w:rsid w:val="1FD187E1"/>
    <w:rsid w:val="1FD2CB24"/>
    <w:rsid w:val="1FE0595A"/>
    <w:rsid w:val="1FE196D0"/>
    <w:rsid w:val="1FE29525"/>
    <w:rsid w:val="1FE301EF"/>
    <w:rsid w:val="1FE34CE2"/>
    <w:rsid w:val="1FE87A32"/>
    <w:rsid w:val="1FEA3D53"/>
    <w:rsid w:val="1FEA6205"/>
    <w:rsid w:val="1FEBD375"/>
    <w:rsid w:val="1FEBFEEE"/>
    <w:rsid w:val="1FEDE08C"/>
    <w:rsid w:val="1FF0383C"/>
    <w:rsid w:val="1FF2191C"/>
    <w:rsid w:val="1FF2D37E"/>
    <w:rsid w:val="1FF3408A"/>
    <w:rsid w:val="1FF42FB7"/>
    <w:rsid w:val="1FF4A36E"/>
    <w:rsid w:val="1FF7B057"/>
    <w:rsid w:val="1FFCB7AD"/>
    <w:rsid w:val="1FFD968F"/>
    <w:rsid w:val="20054F43"/>
    <w:rsid w:val="2008EE31"/>
    <w:rsid w:val="200D358D"/>
    <w:rsid w:val="200E6618"/>
    <w:rsid w:val="20124AC0"/>
    <w:rsid w:val="201AE8BE"/>
    <w:rsid w:val="201BDA1A"/>
    <w:rsid w:val="201C4D62"/>
    <w:rsid w:val="201D251D"/>
    <w:rsid w:val="2020A8BA"/>
    <w:rsid w:val="202734EC"/>
    <w:rsid w:val="202812D3"/>
    <w:rsid w:val="20282597"/>
    <w:rsid w:val="2028A4F8"/>
    <w:rsid w:val="202954C8"/>
    <w:rsid w:val="202ABFA3"/>
    <w:rsid w:val="202D27AD"/>
    <w:rsid w:val="2032FADA"/>
    <w:rsid w:val="2035FD24"/>
    <w:rsid w:val="2036A94D"/>
    <w:rsid w:val="20373065"/>
    <w:rsid w:val="20388754"/>
    <w:rsid w:val="20388B99"/>
    <w:rsid w:val="2039A1D8"/>
    <w:rsid w:val="2039D90C"/>
    <w:rsid w:val="203C3F5B"/>
    <w:rsid w:val="20423FA8"/>
    <w:rsid w:val="20434198"/>
    <w:rsid w:val="20438855"/>
    <w:rsid w:val="2045F851"/>
    <w:rsid w:val="204D199D"/>
    <w:rsid w:val="20523BC6"/>
    <w:rsid w:val="2053D324"/>
    <w:rsid w:val="2062C8BB"/>
    <w:rsid w:val="20669F5D"/>
    <w:rsid w:val="206F3ECA"/>
    <w:rsid w:val="206F6F54"/>
    <w:rsid w:val="20817994"/>
    <w:rsid w:val="20870D12"/>
    <w:rsid w:val="2087E9B3"/>
    <w:rsid w:val="20884907"/>
    <w:rsid w:val="2089B615"/>
    <w:rsid w:val="208A0011"/>
    <w:rsid w:val="208A3647"/>
    <w:rsid w:val="208A9221"/>
    <w:rsid w:val="208B077E"/>
    <w:rsid w:val="208C7AD7"/>
    <w:rsid w:val="208EA5E4"/>
    <w:rsid w:val="20919F5D"/>
    <w:rsid w:val="2096AEA4"/>
    <w:rsid w:val="20993E43"/>
    <w:rsid w:val="209C36BF"/>
    <w:rsid w:val="209DA4CE"/>
    <w:rsid w:val="20A2A5DB"/>
    <w:rsid w:val="20A2CD1C"/>
    <w:rsid w:val="20A7BA23"/>
    <w:rsid w:val="20A7D5A7"/>
    <w:rsid w:val="20AB0965"/>
    <w:rsid w:val="20B85954"/>
    <w:rsid w:val="20BB54A0"/>
    <w:rsid w:val="20BC2570"/>
    <w:rsid w:val="20BC5B08"/>
    <w:rsid w:val="20C199A2"/>
    <w:rsid w:val="20C27444"/>
    <w:rsid w:val="20C5CA03"/>
    <w:rsid w:val="20D051E7"/>
    <w:rsid w:val="20D2A44A"/>
    <w:rsid w:val="20D42D54"/>
    <w:rsid w:val="20D63951"/>
    <w:rsid w:val="20D998A4"/>
    <w:rsid w:val="20DD4411"/>
    <w:rsid w:val="20DF9A1C"/>
    <w:rsid w:val="20E82416"/>
    <w:rsid w:val="20E86DB9"/>
    <w:rsid w:val="20EB03F3"/>
    <w:rsid w:val="20ECCBDD"/>
    <w:rsid w:val="20ED4F7E"/>
    <w:rsid w:val="20F5515F"/>
    <w:rsid w:val="20FBF292"/>
    <w:rsid w:val="20FD0925"/>
    <w:rsid w:val="20FD41EB"/>
    <w:rsid w:val="210338A8"/>
    <w:rsid w:val="2104B444"/>
    <w:rsid w:val="210CF72B"/>
    <w:rsid w:val="210E90CC"/>
    <w:rsid w:val="211498EB"/>
    <w:rsid w:val="2115A621"/>
    <w:rsid w:val="211B3099"/>
    <w:rsid w:val="211C0729"/>
    <w:rsid w:val="211D080C"/>
    <w:rsid w:val="211DA2A4"/>
    <w:rsid w:val="211F2D61"/>
    <w:rsid w:val="21206730"/>
    <w:rsid w:val="212460CB"/>
    <w:rsid w:val="21246E2F"/>
    <w:rsid w:val="212671F0"/>
    <w:rsid w:val="212D5E69"/>
    <w:rsid w:val="212F4769"/>
    <w:rsid w:val="213138C3"/>
    <w:rsid w:val="213E35AC"/>
    <w:rsid w:val="213F1C73"/>
    <w:rsid w:val="213FA3A4"/>
    <w:rsid w:val="21435E1D"/>
    <w:rsid w:val="21464755"/>
    <w:rsid w:val="21472CA8"/>
    <w:rsid w:val="214C19EB"/>
    <w:rsid w:val="214CBCF7"/>
    <w:rsid w:val="214D033A"/>
    <w:rsid w:val="214F901A"/>
    <w:rsid w:val="2151285E"/>
    <w:rsid w:val="2154DFE4"/>
    <w:rsid w:val="2157E5F2"/>
    <w:rsid w:val="215B273E"/>
    <w:rsid w:val="215ECC9D"/>
    <w:rsid w:val="215F3777"/>
    <w:rsid w:val="215F5ED7"/>
    <w:rsid w:val="215F758C"/>
    <w:rsid w:val="21670677"/>
    <w:rsid w:val="2167E1BE"/>
    <w:rsid w:val="216C6FF9"/>
    <w:rsid w:val="216E7955"/>
    <w:rsid w:val="21728619"/>
    <w:rsid w:val="2172B0EB"/>
    <w:rsid w:val="2173AA4B"/>
    <w:rsid w:val="21748B1F"/>
    <w:rsid w:val="21757553"/>
    <w:rsid w:val="21772B85"/>
    <w:rsid w:val="21775372"/>
    <w:rsid w:val="217779CA"/>
    <w:rsid w:val="21796625"/>
    <w:rsid w:val="217A6B88"/>
    <w:rsid w:val="217A8CCC"/>
    <w:rsid w:val="217AE7F3"/>
    <w:rsid w:val="217D3697"/>
    <w:rsid w:val="217E708B"/>
    <w:rsid w:val="217EBA04"/>
    <w:rsid w:val="21815949"/>
    <w:rsid w:val="218BB658"/>
    <w:rsid w:val="218BE5AC"/>
    <w:rsid w:val="218D6627"/>
    <w:rsid w:val="218D92A4"/>
    <w:rsid w:val="218E37CD"/>
    <w:rsid w:val="218F4813"/>
    <w:rsid w:val="219156A7"/>
    <w:rsid w:val="21925C13"/>
    <w:rsid w:val="219320AB"/>
    <w:rsid w:val="219829A7"/>
    <w:rsid w:val="219B6230"/>
    <w:rsid w:val="219EDCA3"/>
    <w:rsid w:val="21A2C4FB"/>
    <w:rsid w:val="21A4ACD3"/>
    <w:rsid w:val="21A6F9B2"/>
    <w:rsid w:val="21AB873C"/>
    <w:rsid w:val="21AD12B5"/>
    <w:rsid w:val="21AF2414"/>
    <w:rsid w:val="21AFA21D"/>
    <w:rsid w:val="21B2CD2F"/>
    <w:rsid w:val="21B3718E"/>
    <w:rsid w:val="21B48E10"/>
    <w:rsid w:val="21B803D6"/>
    <w:rsid w:val="21BA0A85"/>
    <w:rsid w:val="21BA76A4"/>
    <w:rsid w:val="21BA8AB2"/>
    <w:rsid w:val="21C8EFAE"/>
    <w:rsid w:val="21C919AB"/>
    <w:rsid w:val="21CA4C50"/>
    <w:rsid w:val="21CAC9CD"/>
    <w:rsid w:val="21CD4F6C"/>
    <w:rsid w:val="21D01F66"/>
    <w:rsid w:val="21D1A965"/>
    <w:rsid w:val="21D351B8"/>
    <w:rsid w:val="21D40447"/>
    <w:rsid w:val="21D704C9"/>
    <w:rsid w:val="21DBE58E"/>
    <w:rsid w:val="21E15B55"/>
    <w:rsid w:val="21E392AF"/>
    <w:rsid w:val="21E5C5F6"/>
    <w:rsid w:val="21E7916E"/>
    <w:rsid w:val="21F118A6"/>
    <w:rsid w:val="21F24973"/>
    <w:rsid w:val="21F63CA9"/>
    <w:rsid w:val="21F7C6A3"/>
    <w:rsid w:val="21FDBABB"/>
    <w:rsid w:val="2203F9C4"/>
    <w:rsid w:val="220B5170"/>
    <w:rsid w:val="220B839E"/>
    <w:rsid w:val="220CEC54"/>
    <w:rsid w:val="22228F44"/>
    <w:rsid w:val="22232C7E"/>
    <w:rsid w:val="2225F21D"/>
    <w:rsid w:val="22279C1D"/>
    <w:rsid w:val="2227E25E"/>
    <w:rsid w:val="2227E7A8"/>
    <w:rsid w:val="22288E1C"/>
    <w:rsid w:val="222F3A9A"/>
    <w:rsid w:val="223301F5"/>
    <w:rsid w:val="2235103C"/>
    <w:rsid w:val="22354A33"/>
    <w:rsid w:val="223A4007"/>
    <w:rsid w:val="223C3B1E"/>
    <w:rsid w:val="223DF1BD"/>
    <w:rsid w:val="2245AE59"/>
    <w:rsid w:val="22488FBF"/>
    <w:rsid w:val="2249D98E"/>
    <w:rsid w:val="224B8B54"/>
    <w:rsid w:val="224E08AD"/>
    <w:rsid w:val="225216B2"/>
    <w:rsid w:val="22568CCD"/>
    <w:rsid w:val="22579425"/>
    <w:rsid w:val="22591FEF"/>
    <w:rsid w:val="225C2CCD"/>
    <w:rsid w:val="225F8B75"/>
    <w:rsid w:val="226433EE"/>
    <w:rsid w:val="226593B4"/>
    <w:rsid w:val="2265A09B"/>
    <w:rsid w:val="2268398E"/>
    <w:rsid w:val="2269CB91"/>
    <w:rsid w:val="226BD52D"/>
    <w:rsid w:val="226C5CC4"/>
    <w:rsid w:val="226CEB26"/>
    <w:rsid w:val="227101CE"/>
    <w:rsid w:val="22748ACB"/>
    <w:rsid w:val="227D2D0F"/>
    <w:rsid w:val="227D31B4"/>
    <w:rsid w:val="22820085"/>
    <w:rsid w:val="22823FF6"/>
    <w:rsid w:val="2284FDBC"/>
    <w:rsid w:val="2288D1D8"/>
    <w:rsid w:val="228C7DCA"/>
    <w:rsid w:val="2290F307"/>
    <w:rsid w:val="2294B70A"/>
    <w:rsid w:val="22980483"/>
    <w:rsid w:val="229B8F81"/>
    <w:rsid w:val="22A00C67"/>
    <w:rsid w:val="22A00F70"/>
    <w:rsid w:val="22A1CBF6"/>
    <w:rsid w:val="22A73B61"/>
    <w:rsid w:val="22ACF7A9"/>
    <w:rsid w:val="22B5B812"/>
    <w:rsid w:val="22BA482C"/>
    <w:rsid w:val="22BBACF0"/>
    <w:rsid w:val="22BDCEDB"/>
    <w:rsid w:val="22BED9AA"/>
    <w:rsid w:val="22CBD4C9"/>
    <w:rsid w:val="22CD11DF"/>
    <w:rsid w:val="22D2C565"/>
    <w:rsid w:val="22DD5878"/>
    <w:rsid w:val="22E8346A"/>
    <w:rsid w:val="22EAB66C"/>
    <w:rsid w:val="22EB8400"/>
    <w:rsid w:val="22F381AA"/>
    <w:rsid w:val="22F7D37C"/>
    <w:rsid w:val="22F885CF"/>
    <w:rsid w:val="22F8A166"/>
    <w:rsid w:val="22F9BA44"/>
    <w:rsid w:val="22FC8435"/>
    <w:rsid w:val="22FE763E"/>
    <w:rsid w:val="23027BD7"/>
    <w:rsid w:val="2302DB5D"/>
    <w:rsid w:val="2306BA16"/>
    <w:rsid w:val="2307098C"/>
    <w:rsid w:val="230789FD"/>
    <w:rsid w:val="2309B974"/>
    <w:rsid w:val="230A301F"/>
    <w:rsid w:val="230B170D"/>
    <w:rsid w:val="230B3AB6"/>
    <w:rsid w:val="230BCF04"/>
    <w:rsid w:val="230BD2C3"/>
    <w:rsid w:val="230C13AA"/>
    <w:rsid w:val="23172556"/>
    <w:rsid w:val="231777CB"/>
    <w:rsid w:val="23199C63"/>
    <w:rsid w:val="2322BBB6"/>
    <w:rsid w:val="232870CB"/>
    <w:rsid w:val="2328AEC6"/>
    <w:rsid w:val="2328F9F1"/>
    <w:rsid w:val="2329AB8D"/>
    <w:rsid w:val="232C84FA"/>
    <w:rsid w:val="232F486D"/>
    <w:rsid w:val="233222C7"/>
    <w:rsid w:val="233543A4"/>
    <w:rsid w:val="233670EF"/>
    <w:rsid w:val="23384739"/>
    <w:rsid w:val="233B3C0A"/>
    <w:rsid w:val="233B6CBC"/>
    <w:rsid w:val="233D06FB"/>
    <w:rsid w:val="23416D56"/>
    <w:rsid w:val="23481056"/>
    <w:rsid w:val="234BB4DB"/>
    <w:rsid w:val="234C4494"/>
    <w:rsid w:val="234E99A8"/>
    <w:rsid w:val="2355C07F"/>
    <w:rsid w:val="23565A81"/>
    <w:rsid w:val="23587CBA"/>
    <w:rsid w:val="235A562A"/>
    <w:rsid w:val="235F95F7"/>
    <w:rsid w:val="235FA56E"/>
    <w:rsid w:val="236050D7"/>
    <w:rsid w:val="23630CE1"/>
    <w:rsid w:val="2363D7A6"/>
    <w:rsid w:val="236533A4"/>
    <w:rsid w:val="23690ACE"/>
    <w:rsid w:val="2374629D"/>
    <w:rsid w:val="2375611D"/>
    <w:rsid w:val="2375B6FB"/>
    <w:rsid w:val="237D876F"/>
    <w:rsid w:val="237F5A95"/>
    <w:rsid w:val="237FBA08"/>
    <w:rsid w:val="2382EA34"/>
    <w:rsid w:val="238C55D7"/>
    <w:rsid w:val="23911B39"/>
    <w:rsid w:val="239AB66F"/>
    <w:rsid w:val="23A103B3"/>
    <w:rsid w:val="23A17CD1"/>
    <w:rsid w:val="23A3649B"/>
    <w:rsid w:val="23A8D8C8"/>
    <w:rsid w:val="23A977B4"/>
    <w:rsid w:val="23AC290F"/>
    <w:rsid w:val="23B02D1C"/>
    <w:rsid w:val="23B2F834"/>
    <w:rsid w:val="23B3470D"/>
    <w:rsid w:val="23B48E09"/>
    <w:rsid w:val="23B62E72"/>
    <w:rsid w:val="23B80B91"/>
    <w:rsid w:val="23B8626E"/>
    <w:rsid w:val="23BA0D50"/>
    <w:rsid w:val="23BED54B"/>
    <w:rsid w:val="23C3F2B8"/>
    <w:rsid w:val="23C88DF5"/>
    <w:rsid w:val="23C9FC5F"/>
    <w:rsid w:val="23CDCE4F"/>
    <w:rsid w:val="23D36283"/>
    <w:rsid w:val="23D6FC79"/>
    <w:rsid w:val="23D7BDBF"/>
    <w:rsid w:val="23D878C3"/>
    <w:rsid w:val="23D892C9"/>
    <w:rsid w:val="23DDEF31"/>
    <w:rsid w:val="23E9DB6B"/>
    <w:rsid w:val="23EB4304"/>
    <w:rsid w:val="23EBDE30"/>
    <w:rsid w:val="23EC3925"/>
    <w:rsid w:val="23F29F59"/>
    <w:rsid w:val="23F3347F"/>
    <w:rsid w:val="23F3B018"/>
    <w:rsid w:val="23F444B2"/>
    <w:rsid w:val="23F6FE9E"/>
    <w:rsid w:val="23F7350A"/>
    <w:rsid w:val="23F77D1E"/>
    <w:rsid w:val="23FAAD00"/>
    <w:rsid w:val="23FBEFBE"/>
    <w:rsid w:val="23FC1D16"/>
    <w:rsid w:val="23FDE59C"/>
    <w:rsid w:val="23FE07AA"/>
    <w:rsid w:val="23FF2830"/>
    <w:rsid w:val="2403FFFD"/>
    <w:rsid w:val="2405F99D"/>
    <w:rsid w:val="24085F3C"/>
    <w:rsid w:val="24095BE3"/>
    <w:rsid w:val="240F84A5"/>
    <w:rsid w:val="24139906"/>
    <w:rsid w:val="2415B0F4"/>
    <w:rsid w:val="2417F82E"/>
    <w:rsid w:val="241C25E4"/>
    <w:rsid w:val="2422324F"/>
    <w:rsid w:val="2423BC83"/>
    <w:rsid w:val="2424A4DF"/>
    <w:rsid w:val="242716F7"/>
    <w:rsid w:val="2427C953"/>
    <w:rsid w:val="242A1264"/>
    <w:rsid w:val="2431A1F3"/>
    <w:rsid w:val="2434904C"/>
    <w:rsid w:val="243908D0"/>
    <w:rsid w:val="243D84E2"/>
    <w:rsid w:val="2440D4CC"/>
    <w:rsid w:val="244BD3CF"/>
    <w:rsid w:val="244DEC62"/>
    <w:rsid w:val="244E109D"/>
    <w:rsid w:val="24529D81"/>
    <w:rsid w:val="2455827C"/>
    <w:rsid w:val="2455A1D8"/>
    <w:rsid w:val="2455F041"/>
    <w:rsid w:val="2456D09F"/>
    <w:rsid w:val="245A75DB"/>
    <w:rsid w:val="245C320B"/>
    <w:rsid w:val="2462E0CE"/>
    <w:rsid w:val="246609EA"/>
    <w:rsid w:val="2470546F"/>
    <w:rsid w:val="24716683"/>
    <w:rsid w:val="247179FA"/>
    <w:rsid w:val="2471C97B"/>
    <w:rsid w:val="2471DC8F"/>
    <w:rsid w:val="24731445"/>
    <w:rsid w:val="2473FA31"/>
    <w:rsid w:val="247824EB"/>
    <w:rsid w:val="247DFFBF"/>
    <w:rsid w:val="247F7015"/>
    <w:rsid w:val="24810293"/>
    <w:rsid w:val="248125BC"/>
    <w:rsid w:val="2482489A"/>
    <w:rsid w:val="248AE1C4"/>
    <w:rsid w:val="248BB4C8"/>
    <w:rsid w:val="248BF652"/>
    <w:rsid w:val="248DD731"/>
    <w:rsid w:val="24918A15"/>
    <w:rsid w:val="2494D89B"/>
    <w:rsid w:val="2496E6AA"/>
    <w:rsid w:val="24A6B05B"/>
    <w:rsid w:val="24A80B23"/>
    <w:rsid w:val="24AE4E3B"/>
    <w:rsid w:val="24B20636"/>
    <w:rsid w:val="24B70F7B"/>
    <w:rsid w:val="24B9A0C9"/>
    <w:rsid w:val="24BB6137"/>
    <w:rsid w:val="24BC7346"/>
    <w:rsid w:val="24BDBB3B"/>
    <w:rsid w:val="24BE921E"/>
    <w:rsid w:val="24BF1298"/>
    <w:rsid w:val="24C13E44"/>
    <w:rsid w:val="24C1FCDD"/>
    <w:rsid w:val="24C26017"/>
    <w:rsid w:val="24C54AC3"/>
    <w:rsid w:val="24C54F50"/>
    <w:rsid w:val="24C59121"/>
    <w:rsid w:val="24C5F210"/>
    <w:rsid w:val="24C6D6E5"/>
    <w:rsid w:val="24CD2177"/>
    <w:rsid w:val="24D4C318"/>
    <w:rsid w:val="24D5B9FE"/>
    <w:rsid w:val="24DC98AF"/>
    <w:rsid w:val="24DE3B5C"/>
    <w:rsid w:val="24E006F1"/>
    <w:rsid w:val="24E496EE"/>
    <w:rsid w:val="24E6DD97"/>
    <w:rsid w:val="24EC65E9"/>
    <w:rsid w:val="24ECF28F"/>
    <w:rsid w:val="24F0FBE2"/>
    <w:rsid w:val="24F4DD4B"/>
    <w:rsid w:val="24FBEACE"/>
    <w:rsid w:val="24FBF8E5"/>
    <w:rsid w:val="24FE2A9E"/>
    <w:rsid w:val="2500AC85"/>
    <w:rsid w:val="2502DB04"/>
    <w:rsid w:val="2502DD0B"/>
    <w:rsid w:val="25065E80"/>
    <w:rsid w:val="25066571"/>
    <w:rsid w:val="25080153"/>
    <w:rsid w:val="250B0B57"/>
    <w:rsid w:val="250F4330"/>
    <w:rsid w:val="2513BD3C"/>
    <w:rsid w:val="25170C28"/>
    <w:rsid w:val="251FB07D"/>
    <w:rsid w:val="25222EE6"/>
    <w:rsid w:val="25247992"/>
    <w:rsid w:val="25249169"/>
    <w:rsid w:val="25250596"/>
    <w:rsid w:val="2525B721"/>
    <w:rsid w:val="252AC721"/>
    <w:rsid w:val="252C91B5"/>
    <w:rsid w:val="2533BAE9"/>
    <w:rsid w:val="253AD14C"/>
    <w:rsid w:val="2546A6D2"/>
    <w:rsid w:val="254B0D5E"/>
    <w:rsid w:val="254E336E"/>
    <w:rsid w:val="254E6955"/>
    <w:rsid w:val="25543FB8"/>
    <w:rsid w:val="2556321D"/>
    <w:rsid w:val="25564C9B"/>
    <w:rsid w:val="255A2E13"/>
    <w:rsid w:val="255CAFB7"/>
    <w:rsid w:val="255D9772"/>
    <w:rsid w:val="25648392"/>
    <w:rsid w:val="256AF382"/>
    <w:rsid w:val="256B9F78"/>
    <w:rsid w:val="256C673F"/>
    <w:rsid w:val="256CDF97"/>
    <w:rsid w:val="256E1A16"/>
    <w:rsid w:val="2574F657"/>
    <w:rsid w:val="2575E074"/>
    <w:rsid w:val="2576C12B"/>
    <w:rsid w:val="25778CC0"/>
    <w:rsid w:val="2577A46B"/>
    <w:rsid w:val="2582DA45"/>
    <w:rsid w:val="2585B973"/>
    <w:rsid w:val="25867EA3"/>
    <w:rsid w:val="2588E784"/>
    <w:rsid w:val="258E7488"/>
    <w:rsid w:val="258E97BB"/>
    <w:rsid w:val="259190B6"/>
    <w:rsid w:val="2591E439"/>
    <w:rsid w:val="2591FB9C"/>
    <w:rsid w:val="2592BD11"/>
    <w:rsid w:val="25940DA4"/>
    <w:rsid w:val="2596DA36"/>
    <w:rsid w:val="25975CF2"/>
    <w:rsid w:val="25990FB9"/>
    <w:rsid w:val="259966C2"/>
    <w:rsid w:val="259FE53C"/>
    <w:rsid w:val="25A00BEC"/>
    <w:rsid w:val="25A2F4CE"/>
    <w:rsid w:val="25A3778A"/>
    <w:rsid w:val="25A38AF7"/>
    <w:rsid w:val="25A8B0B8"/>
    <w:rsid w:val="25A98CAF"/>
    <w:rsid w:val="25A9A7C2"/>
    <w:rsid w:val="25AA95E6"/>
    <w:rsid w:val="25ACAA26"/>
    <w:rsid w:val="25ACCEE0"/>
    <w:rsid w:val="25AD6880"/>
    <w:rsid w:val="25AF3BBD"/>
    <w:rsid w:val="25B05F57"/>
    <w:rsid w:val="25B09BB3"/>
    <w:rsid w:val="25B58AB1"/>
    <w:rsid w:val="25B5DCB4"/>
    <w:rsid w:val="25B81A67"/>
    <w:rsid w:val="25B993C3"/>
    <w:rsid w:val="25BAEA6E"/>
    <w:rsid w:val="25C3C3FA"/>
    <w:rsid w:val="25C91240"/>
    <w:rsid w:val="25CA85A7"/>
    <w:rsid w:val="25CF2B8C"/>
    <w:rsid w:val="25D3A78C"/>
    <w:rsid w:val="25D41750"/>
    <w:rsid w:val="25D4F882"/>
    <w:rsid w:val="25DA370D"/>
    <w:rsid w:val="25DF5DCC"/>
    <w:rsid w:val="25DF8261"/>
    <w:rsid w:val="25E002FF"/>
    <w:rsid w:val="25E6D760"/>
    <w:rsid w:val="25E8E027"/>
    <w:rsid w:val="25E8FF4A"/>
    <w:rsid w:val="25EC0432"/>
    <w:rsid w:val="25EC1D5A"/>
    <w:rsid w:val="25EC788F"/>
    <w:rsid w:val="25EF455D"/>
    <w:rsid w:val="25F37037"/>
    <w:rsid w:val="25F3C344"/>
    <w:rsid w:val="25F3FB52"/>
    <w:rsid w:val="25F5EC5E"/>
    <w:rsid w:val="25F7DF41"/>
    <w:rsid w:val="25F80D89"/>
    <w:rsid w:val="25FAB376"/>
    <w:rsid w:val="25FABC64"/>
    <w:rsid w:val="25FB86FE"/>
    <w:rsid w:val="25FBC6DC"/>
    <w:rsid w:val="25FC7326"/>
    <w:rsid w:val="25FF7524"/>
    <w:rsid w:val="2601338C"/>
    <w:rsid w:val="260AF03F"/>
    <w:rsid w:val="260D22A6"/>
    <w:rsid w:val="260DED74"/>
    <w:rsid w:val="2612C37D"/>
    <w:rsid w:val="26148527"/>
    <w:rsid w:val="261585CB"/>
    <w:rsid w:val="261718C0"/>
    <w:rsid w:val="26192EBB"/>
    <w:rsid w:val="261FCC25"/>
    <w:rsid w:val="261FF9AE"/>
    <w:rsid w:val="262207E4"/>
    <w:rsid w:val="26223961"/>
    <w:rsid w:val="26232904"/>
    <w:rsid w:val="262BDC83"/>
    <w:rsid w:val="2630E2F1"/>
    <w:rsid w:val="263424C0"/>
    <w:rsid w:val="263730E2"/>
    <w:rsid w:val="263A54CF"/>
    <w:rsid w:val="263D6889"/>
    <w:rsid w:val="263FAA65"/>
    <w:rsid w:val="26410815"/>
    <w:rsid w:val="26415FC8"/>
    <w:rsid w:val="2642261A"/>
    <w:rsid w:val="26460D27"/>
    <w:rsid w:val="2649BB66"/>
    <w:rsid w:val="264A891F"/>
    <w:rsid w:val="264DF24E"/>
    <w:rsid w:val="264F2072"/>
    <w:rsid w:val="26598289"/>
    <w:rsid w:val="265D5C91"/>
    <w:rsid w:val="2660C3CA"/>
    <w:rsid w:val="2661B3FA"/>
    <w:rsid w:val="26655D6E"/>
    <w:rsid w:val="26658F4F"/>
    <w:rsid w:val="26667ED4"/>
    <w:rsid w:val="266A2CE7"/>
    <w:rsid w:val="267C6AAC"/>
    <w:rsid w:val="2682F73C"/>
    <w:rsid w:val="2683A9AF"/>
    <w:rsid w:val="26858EF1"/>
    <w:rsid w:val="26889326"/>
    <w:rsid w:val="268CE119"/>
    <w:rsid w:val="2692DE26"/>
    <w:rsid w:val="26949843"/>
    <w:rsid w:val="2696243A"/>
    <w:rsid w:val="269758F3"/>
    <w:rsid w:val="269927A8"/>
    <w:rsid w:val="269961AF"/>
    <w:rsid w:val="269DCBE0"/>
    <w:rsid w:val="269FADCE"/>
    <w:rsid w:val="26A033FF"/>
    <w:rsid w:val="26A2F71E"/>
    <w:rsid w:val="26A92230"/>
    <w:rsid w:val="26AAEAB7"/>
    <w:rsid w:val="26AF07C6"/>
    <w:rsid w:val="26B24E06"/>
    <w:rsid w:val="26B49563"/>
    <w:rsid w:val="26B514D7"/>
    <w:rsid w:val="26B88A8A"/>
    <w:rsid w:val="26BC2266"/>
    <w:rsid w:val="26BEB9CC"/>
    <w:rsid w:val="26C11C55"/>
    <w:rsid w:val="26C77EAC"/>
    <w:rsid w:val="26C9E107"/>
    <w:rsid w:val="26CD9D56"/>
    <w:rsid w:val="26CEA8FA"/>
    <w:rsid w:val="26CF9A66"/>
    <w:rsid w:val="26D0AC74"/>
    <w:rsid w:val="26D142F7"/>
    <w:rsid w:val="26D1D4DF"/>
    <w:rsid w:val="26D4A96B"/>
    <w:rsid w:val="26D4CC4F"/>
    <w:rsid w:val="26D60900"/>
    <w:rsid w:val="26D748EC"/>
    <w:rsid w:val="26D85D68"/>
    <w:rsid w:val="26DA40D5"/>
    <w:rsid w:val="26DD24CF"/>
    <w:rsid w:val="26DFC070"/>
    <w:rsid w:val="26E0F69E"/>
    <w:rsid w:val="26E84B4A"/>
    <w:rsid w:val="26E90580"/>
    <w:rsid w:val="26EBFF3C"/>
    <w:rsid w:val="26ECC5BC"/>
    <w:rsid w:val="26ECD842"/>
    <w:rsid w:val="26ED51BF"/>
    <w:rsid w:val="26EF51C5"/>
    <w:rsid w:val="26EFE7B4"/>
    <w:rsid w:val="26F668C3"/>
    <w:rsid w:val="26F67ADA"/>
    <w:rsid w:val="26F9AE13"/>
    <w:rsid w:val="26FB1406"/>
    <w:rsid w:val="26FE0673"/>
    <w:rsid w:val="26FF292F"/>
    <w:rsid w:val="2702228E"/>
    <w:rsid w:val="270316F7"/>
    <w:rsid w:val="2704DD2D"/>
    <w:rsid w:val="2709657F"/>
    <w:rsid w:val="270F97F7"/>
    <w:rsid w:val="2712E476"/>
    <w:rsid w:val="2712EFE8"/>
    <w:rsid w:val="271499E1"/>
    <w:rsid w:val="2716F981"/>
    <w:rsid w:val="271CE044"/>
    <w:rsid w:val="2722018C"/>
    <w:rsid w:val="2723504C"/>
    <w:rsid w:val="27247F4E"/>
    <w:rsid w:val="27288051"/>
    <w:rsid w:val="272ED9F7"/>
    <w:rsid w:val="272EEB26"/>
    <w:rsid w:val="272FB44A"/>
    <w:rsid w:val="2732A702"/>
    <w:rsid w:val="2733A7F7"/>
    <w:rsid w:val="27346249"/>
    <w:rsid w:val="2734A875"/>
    <w:rsid w:val="27369DA1"/>
    <w:rsid w:val="2738B11A"/>
    <w:rsid w:val="27394E87"/>
    <w:rsid w:val="2739A1E4"/>
    <w:rsid w:val="273F1262"/>
    <w:rsid w:val="2742408D"/>
    <w:rsid w:val="274B0632"/>
    <w:rsid w:val="274EB41D"/>
    <w:rsid w:val="27566E0C"/>
    <w:rsid w:val="2756B0AE"/>
    <w:rsid w:val="2757A9DA"/>
    <w:rsid w:val="275E09DA"/>
    <w:rsid w:val="275E70AF"/>
    <w:rsid w:val="276291E2"/>
    <w:rsid w:val="2762BDA1"/>
    <w:rsid w:val="2762FE6C"/>
    <w:rsid w:val="27681311"/>
    <w:rsid w:val="27696290"/>
    <w:rsid w:val="276BAC22"/>
    <w:rsid w:val="277243A4"/>
    <w:rsid w:val="2777A40A"/>
    <w:rsid w:val="2779F0BB"/>
    <w:rsid w:val="277C1C96"/>
    <w:rsid w:val="277F24FF"/>
    <w:rsid w:val="277FCEFF"/>
    <w:rsid w:val="27825CB5"/>
    <w:rsid w:val="2784B488"/>
    <w:rsid w:val="27873A15"/>
    <w:rsid w:val="2787B00C"/>
    <w:rsid w:val="2789AD1E"/>
    <w:rsid w:val="278F0384"/>
    <w:rsid w:val="27916D0F"/>
    <w:rsid w:val="2791E9EA"/>
    <w:rsid w:val="2791F14B"/>
    <w:rsid w:val="27925446"/>
    <w:rsid w:val="2794B82A"/>
    <w:rsid w:val="2794E465"/>
    <w:rsid w:val="2797C741"/>
    <w:rsid w:val="27994422"/>
    <w:rsid w:val="279CA744"/>
    <w:rsid w:val="279CC6FD"/>
    <w:rsid w:val="27A125B5"/>
    <w:rsid w:val="27A2BF82"/>
    <w:rsid w:val="27A2EF94"/>
    <w:rsid w:val="27A4B720"/>
    <w:rsid w:val="27A7A52C"/>
    <w:rsid w:val="27A89DD8"/>
    <w:rsid w:val="27AA0E19"/>
    <w:rsid w:val="27B239A5"/>
    <w:rsid w:val="27B4A5F4"/>
    <w:rsid w:val="27B5449A"/>
    <w:rsid w:val="27B7E644"/>
    <w:rsid w:val="27BA2EFA"/>
    <w:rsid w:val="27BCE6BE"/>
    <w:rsid w:val="27BEB11C"/>
    <w:rsid w:val="27C2D19E"/>
    <w:rsid w:val="27C34ADD"/>
    <w:rsid w:val="27C6E2BF"/>
    <w:rsid w:val="27C75156"/>
    <w:rsid w:val="27C831A2"/>
    <w:rsid w:val="27CC6625"/>
    <w:rsid w:val="27CCB32D"/>
    <w:rsid w:val="27CE1569"/>
    <w:rsid w:val="27CFD698"/>
    <w:rsid w:val="27D38FFA"/>
    <w:rsid w:val="27D97FA2"/>
    <w:rsid w:val="27DAB883"/>
    <w:rsid w:val="27DC3DED"/>
    <w:rsid w:val="27DE3604"/>
    <w:rsid w:val="27DE9DFB"/>
    <w:rsid w:val="27E01CD2"/>
    <w:rsid w:val="27E07A5F"/>
    <w:rsid w:val="27E18A16"/>
    <w:rsid w:val="27E4EAE3"/>
    <w:rsid w:val="27E5FBBC"/>
    <w:rsid w:val="27E715E2"/>
    <w:rsid w:val="27E8F220"/>
    <w:rsid w:val="27EDDC00"/>
    <w:rsid w:val="27F2999E"/>
    <w:rsid w:val="27F6267C"/>
    <w:rsid w:val="27F8EE3D"/>
    <w:rsid w:val="27FA0A90"/>
    <w:rsid w:val="27FCBD7E"/>
    <w:rsid w:val="27FD3EFC"/>
    <w:rsid w:val="2800B25A"/>
    <w:rsid w:val="2803FD06"/>
    <w:rsid w:val="2804DC84"/>
    <w:rsid w:val="28055715"/>
    <w:rsid w:val="280C2470"/>
    <w:rsid w:val="280E1EB5"/>
    <w:rsid w:val="280E6FEA"/>
    <w:rsid w:val="280F7BE5"/>
    <w:rsid w:val="281557D2"/>
    <w:rsid w:val="2818A179"/>
    <w:rsid w:val="2819B6DE"/>
    <w:rsid w:val="281C225E"/>
    <w:rsid w:val="2829BF55"/>
    <w:rsid w:val="282C779F"/>
    <w:rsid w:val="28331899"/>
    <w:rsid w:val="28334CB1"/>
    <w:rsid w:val="2833AB41"/>
    <w:rsid w:val="28352138"/>
    <w:rsid w:val="283583E7"/>
    <w:rsid w:val="283AAC31"/>
    <w:rsid w:val="283BC996"/>
    <w:rsid w:val="283E9EE7"/>
    <w:rsid w:val="283F6721"/>
    <w:rsid w:val="284605D6"/>
    <w:rsid w:val="28467ECB"/>
    <w:rsid w:val="2848C8CE"/>
    <w:rsid w:val="284C59ED"/>
    <w:rsid w:val="284DD884"/>
    <w:rsid w:val="284EE2ED"/>
    <w:rsid w:val="284F2CD7"/>
    <w:rsid w:val="2854E102"/>
    <w:rsid w:val="2859FA35"/>
    <w:rsid w:val="285BA687"/>
    <w:rsid w:val="2864A8ED"/>
    <w:rsid w:val="28686FFE"/>
    <w:rsid w:val="286ABE5A"/>
    <w:rsid w:val="286D03D4"/>
    <w:rsid w:val="286D9CEB"/>
    <w:rsid w:val="2871C908"/>
    <w:rsid w:val="28781668"/>
    <w:rsid w:val="287B09B6"/>
    <w:rsid w:val="287F032C"/>
    <w:rsid w:val="28821167"/>
    <w:rsid w:val="2884A5F7"/>
    <w:rsid w:val="288B29A2"/>
    <w:rsid w:val="288F1650"/>
    <w:rsid w:val="2890C8F9"/>
    <w:rsid w:val="2893E663"/>
    <w:rsid w:val="28960EE1"/>
    <w:rsid w:val="28AEDE37"/>
    <w:rsid w:val="28B0F779"/>
    <w:rsid w:val="28B2C9E2"/>
    <w:rsid w:val="28B50A6E"/>
    <w:rsid w:val="28B5B7A0"/>
    <w:rsid w:val="28BA7351"/>
    <w:rsid w:val="28BE9605"/>
    <w:rsid w:val="28BF4B36"/>
    <w:rsid w:val="28C2787D"/>
    <w:rsid w:val="28C46957"/>
    <w:rsid w:val="28C4C8BF"/>
    <w:rsid w:val="28C669CF"/>
    <w:rsid w:val="28C692C9"/>
    <w:rsid w:val="28C6B510"/>
    <w:rsid w:val="28CBB572"/>
    <w:rsid w:val="28CE3F0B"/>
    <w:rsid w:val="28CFF2D0"/>
    <w:rsid w:val="28D18566"/>
    <w:rsid w:val="28D6C1E2"/>
    <w:rsid w:val="28DB8654"/>
    <w:rsid w:val="28DBAEFD"/>
    <w:rsid w:val="28DC4682"/>
    <w:rsid w:val="28E165FA"/>
    <w:rsid w:val="28E78AB5"/>
    <w:rsid w:val="28E9BA72"/>
    <w:rsid w:val="28EB7C78"/>
    <w:rsid w:val="28ED3818"/>
    <w:rsid w:val="28EE8385"/>
    <w:rsid w:val="28F14842"/>
    <w:rsid w:val="28F14DA6"/>
    <w:rsid w:val="28F26AE9"/>
    <w:rsid w:val="28F438BF"/>
    <w:rsid w:val="28F696AC"/>
    <w:rsid w:val="28F82CCB"/>
    <w:rsid w:val="28F9E7A2"/>
    <w:rsid w:val="28FB4592"/>
    <w:rsid w:val="28FB65AE"/>
    <w:rsid w:val="28FCCE10"/>
    <w:rsid w:val="28FD22E2"/>
    <w:rsid w:val="28FD6969"/>
    <w:rsid w:val="29010490"/>
    <w:rsid w:val="2901357F"/>
    <w:rsid w:val="2901FA63"/>
    <w:rsid w:val="2903331A"/>
    <w:rsid w:val="2904516B"/>
    <w:rsid w:val="290531E2"/>
    <w:rsid w:val="2905FAB3"/>
    <w:rsid w:val="2905FDF1"/>
    <w:rsid w:val="2907FE89"/>
    <w:rsid w:val="290A6254"/>
    <w:rsid w:val="290B60BE"/>
    <w:rsid w:val="290CB352"/>
    <w:rsid w:val="290CEE9E"/>
    <w:rsid w:val="291384B2"/>
    <w:rsid w:val="29156E30"/>
    <w:rsid w:val="291D9F49"/>
    <w:rsid w:val="2921ABB9"/>
    <w:rsid w:val="29276D50"/>
    <w:rsid w:val="2929719D"/>
    <w:rsid w:val="292A8BC4"/>
    <w:rsid w:val="292CD35C"/>
    <w:rsid w:val="29366C47"/>
    <w:rsid w:val="29372574"/>
    <w:rsid w:val="293988B9"/>
    <w:rsid w:val="293E7501"/>
    <w:rsid w:val="29405B46"/>
    <w:rsid w:val="2942E724"/>
    <w:rsid w:val="2947D137"/>
    <w:rsid w:val="2949B463"/>
    <w:rsid w:val="294A187E"/>
    <w:rsid w:val="294ACE99"/>
    <w:rsid w:val="294B704E"/>
    <w:rsid w:val="294B8412"/>
    <w:rsid w:val="294BE8F5"/>
    <w:rsid w:val="294EC386"/>
    <w:rsid w:val="295017CB"/>
    <w:rsid w:val="295CCC68"/>
    <w:rsid w:val="2961082D"/>
    <w:rsid w:val="296159AD"/>
    <w:rsid w:val="2964DE4A"/>
    <w:rsid w:val="2968241C"/>
    <w:rsid w:val="296A46A0"/>
    <w:rsid w:val="296A610E"/>
    <w:rsid w:val="296F1BB8"/>
    <w:rsid w:val="2972A5B0"/>
    <w:rsid w:val="29793495"/>
    <w:rsid w:val="297BED33"/>
    <w:rsid w:val="297E47F2"/>
    <w:rsid w:val="2980F6D5"/>
    <w:rsid w:val="2983C28B"/>
    <w:rsid w:val="298598D5"/>
    <w:rsid w:val="2985F39B"/>
    <w:rsid w:val="2987BA19"/>
    <w:rsid w:val="298A47CA"/>
    <w:rsid w:val="298B60AA"/>
    <w:rsid w:val="298BCCE4"/>
    <w:rsid w:val="29986A30"/>
    <w:rsid w:val="2999E128"/>
    <w:rsid w:val="299DF418"/>
    <w:rsid w:val="299F9C71"/>
    <w:rsid w:val="29A128F1"/>
    <w:rsid w:val="29A5FF61"/>
    <w:rsid w:val="29A62D6F"/>
    <w:rsid w:val="29A7B7D6"/>
    <w:rsid w:val="29A96CB9"/>
    <w:rsid w:val="29AA4762"/>
    <w:rsid w:val="29AA7A58"/>
    <w:rsid w:val="29ACB454"/>
    <w:rsid w:val="29B04B87"/>
    <w:rsid w:val="29B1E0DB"/>
    <w:rsid w:val="29BCFE9E"/>
    <w:rsid w:val="29C02A92"/>
    <w:rsid w:val="29C68DFE"/>
    <w:rsid w:val="29C6B2D1"/>
    <w:rsid w:val="29C89226"/>
    <w:rsid w:val="29CD1AE2"/>
    <w:rsid w:val="29CDEF9D"/>
    <w:rsid w:val="29D1B665"/>
    <w:rsid w:val="29D2592D"/>
    <w:rsid w:val="29D3B277"/>
    <w:rsid w:val="29D3E174"/>
    <w:rsid w:val="29D4F259"/>
    <w:rsid w:val="29D54388"/>
    <w:rsid w:val="29D951A1"/>
    <w:rsid w:val="29E1E831"/>
    <w:rsid w:val="29EDB80A"/>
    <w:rsid w:val="29EEAE58"/>
    <w:rsid w:val="29F1DCE9"/>
    <w:rsid w:val="29F23FB7"/>
    <w:rsid w:val="29F3EADE"/>
    <w:rsid w:val="29F46F73"/>
    <w:rsid w:val="29F6D184"/>
    <w:rsid w:val="29F9A35C"/>
    <w:rsid w:val="29FC661F"/>
    <w:rsid w:val="29FE7F0A"/>
    <w:rsid w:val="2A00EBE5"/>
    <w:rsid w:val="2A016C86"/>
    <w:rsid w:val="2A022419"/>
    <w:rsid w:val="2A02346A"/>
    <w:rsid w:val="2A027AEF"/>
    <w:rsid w:val="2A02887F"/>
    <w:rsid w:val="2A033C8D"/>
    <w:rsid w:val="2A041FFB"/>
    <w:rsid w:val="2A060601"/>
    <w:rsid w:val="2A1C6B5C"/>
    <w:rsid w:val="2A1CD1FE"/>
    <w:rsid w:val="2A1E0C46"/>
    <w:rsid w:val="2A1E52C2"/>
    <w:rsid w:val="2A1ED893"/>
    <w:rsid w:val="2A210B1D"/>
    <w:rsid w:val="2A21C91A"/>
    <w:rsid w:val="2A22AA18"/>
    <w:rsid w:val="2A245D69"/>
    <w:rsid w:val="2A267039"/>
    <w:rsid w:val="2A26D27A"/>
    <w:rsid w:val="2A2B74CC"/>
    <w:rsid w:val="2A2EB135"/>
    <w:rsid w:val="2A30AFE3"/>
    <w:rsid w:val="2A312957"/>
    <w:rsid w:val="2A3140CC"/>
    <w:rsid w:val="2A334567"/>
    <w:rsid w:val="2A34130D"/>
    <w:rsid w:val="2A37DF66"/>
    <w:rsid w:val="2A3A38F4"/>
    <w:rsid w:val="2A3ADE1D"/>
    <w:rsid w:val="2A3B708E"/>
    <w:rsid w:val="2A3B9B82"/>
    <w:rsid w:val="2A3E0227"/>
    <w:rsid w:val="2A3F4ECD"/>
    <w:rsid w:val="2A4269BE"/>
    <w:rsid w:val="2A4368C7"/>
    <w:rsid w:val="2A4A67CC"/>
    <w:rsid w:val="2A4F6522"/>
    <w:rsid w:val="2A5075ED"/>
    <w:rsid w:val="2A5196D4"/>
    <w:rsid w:val="2A55083D"/>
    <w:rsid w:val="2A594C7A"/>
    <w:rsid w:val="2A5C3B85"/>
    <w:rsid w:val="2A61ACAF"/>
    <w:rsid w:val="2A665913"/>
    <w:rsid w:val="2A667179"/>
    <w:rsid w:val="2A6D1015"/>
    <w:rsid w:val="2A70DEF4"/>
    <w:rsid w:val="2A7193AA"/>
    <w:rsid w:val="2A74CBA5"/>
    <w:rsid w:val="2A787433"/>
    <w:rsid w:val="2A790A03"/>
    <w:rsid w:val="2A794622"/>
    <w:rsid w:val="2A796D9D"/>
    <w:rsid w:val="2A7D3DCF"/>
    <w:rsid w:val="2A835B05"/>
    <w:rsid w:val="2A8767A0"/>
    <w:rsid w:val="2A8BF748"/>
    <w:rsid w:val="2A8CBEB4"/>
    <w:rsid w:val="2A8D31F5"/>
    <w:rsid w:val="2A932367"/>
    <w:rsid w:val="2A9A6AFC"/>
    <w:rsid w:val="2A9BCB06"/>
    <w:rsid w:val="2A9C9C9F"/>
    <w:rsid w:val="2AA38FE1"/>
    <w:rsid w:val="2AA6AFFA"/>
    <w:rsid w:val="2AAA3311"/>
    <w:rsid w:val="2AAACF4B"/>
    <w:rsid w:val="2AAB4655"/>
    <w:rsid w:val="2AB1413E"/>
    <w:rsid w:val="2AB1F1AD"/>
    <w:rsid w:val="2AB5D412"/>
    <w:rsid w:val="2AB621F6"/>
    <w:rsid w:val="2AB9E15C"/>
    <w:rsid w:val="2ABC067A"/>
    <w:rsid w:val="2ABCEA72"/>
    <w:rsid w:val="2AC813E9"/>
    <w:rsid w:val="2AC887A7"/>
    <w:rsid w:val="2ACA6F04"/>
    <w:rsid w:val="2ACF9EB0"/>
    <w:rsid w:val="2AD055E6"/>
    <w:rsid w:val="2AD48E40"/>
    <w:rsid w:val="2AD4B623"/>
    <w:rsid w:val="2AD4DE89"/>
    <w:rsid w:val="2AD50D19"/>
    <w:rsid w:val="2AD521E4"/>
    <w:rsid w:val="2AD718D6"/>
    <w:rsid w:val="2AD74C99"/>
    <w:rsid w:val="2ADD050A"/>
    <w:rsid w:val="2ADD33FF"/>
    <w:rsid w:val="2AE72326"/>
    <w:rsid w:val="2AE83F7B"/>
    <w:rsid w:val="2AE9DA67"/>
    <w:rsid w:val="2AF512AD"/>
    <w:rsid w:val="2AF92EBC"/>
    <w:rsid w:val="2AFA6D9D"/>
    <w:rsid w:val="2AFC8DC0"/>
    <w:rsid w:val="2B00EF2A"/>
    <w:rsid w:val="2B011E4C"/>
    <w:rsid w:val="2B024D6C"/>
    <w:rsid w:val="2B02AAFA"/>
    <w:rsid w:val="2B02FEF3"/>
    <w:rsid w:val="2B09C8BB"/>
    <w:rsid w:val="2B0AF34F"/>
    <w:rsid w:val="2B0D5F72"/>
    <w:rsid w:val="2B0DE84D"/>
    <w:rsid w:val="2B16A4D3"/>
    <w:rsid w:val="2B209C9D"/>
    <w:rsid w:val="2B22AAC6"/>
    <w:rsid w:val="2B2454B5"/>
    <w:rsid w:val="2B2A9B26"/>
    <w:rsid w:val="2B339D9D"/>
    <w:rsid w:val="2B344FD4"/>
    <w:rsid w:val="2B3512BF"/>
    <w:rsid w:val="2B355722"/>
    <w:rsid w:val="2B35FB14"/>
    <w:rsid w:val="2B3778E4"/>
    <w:rsid w:val="2B3CD1E5"/>
    <w:rsid w:val="2B3EFF28"/>
    <w:rsid w:val="2B4025DD"/>
    <w:rsid w:val="2B41DEAC"/>
    <w:rsid w:val="2B4546C0"/>
    <w:rsid w:val="2B46634C"/>
    <w:rsid w:val="2B4D5063"/>
    <w:rsid w:val="2B510E44"/>
    <w:rsid w:val="2B5283A8"/>
    <w:rsid w:val="2B55135B"/>
    <w:rsid w:val="2B59D2C7"/>
    <w:rsid w:val="2B59EE2D"/>
    <w:rsid w:val="2B5E413D"/>
    <w:rsid w:val="2B62FEF2"/>
    <w:rsid w:val="2B64C84E"/>
    <w:rsid w:val="2B660947"/>
    <w:rsid w:val="2B686C58"/>
    <w:rsid w:val="2B6A07C2"/>
    <w:rsid w:val="2B6B4006"/>
    <w:rsid w:val="2B6C25A4"/>
    <w:rsid w:val="2B6CDD3D"/>
    <w:rsid w:val="2B6F8BAB"/>
    <w:rsid w:val="2B703357"/>
    <w:rsid w:val="2B7125D5"/>
    <w:rsid w:val="2B712D7E"/>
    <w:rsid w:val="2B81A275"/>
    <w:rsid w:val="2B8CD374"/>
    <w:rsid w:val="2B8F1913"/>
    <w:rsid w:val="2B909237"/>
    <w:rsid w:val="2B921892"/>
    <w:rsid w:val="2B955704"/>
    <w:rsid w:val="2B95E275"/>
    <w:rsid w:val="2B9E0535"/>
    <w:rsid w:val="2B9E76F3"/>
    <w:rsid w:val="2BA036D3"/>
    <w:rsid w:val="2BA0EDA8"/>
    <w:rsid w:val="2BA0FEC2"/>
    <w:rsid w:val="2BA1C138"/>
    <w:rsid w:val="2BA36254"/>
    <w:rsid w:val="2BA7BCB4"/>
    <w:rsid w:val="2BAA50F1"/>
    <w:rsid w:val="2BAC8C73"/>
    <w:rsid w:val="2BAD8312"/>
    <w:rsid w:val="2BB126A7"/>
    <w:rsid w:val="2BB454D6"/>
    <w:rsid w:val="2BB87C2A"/>
    <w:rsid w:val="2BB8E684"/>
    <w:rsid w:val="2BC0034D"/>
    <w:rsid w:val="2BC3A666"/>
    <w:rsid w:val="2BC6246C"/>
    <w:rsid w:val="2BC7E6F1"/>
    <w:rsid w:val="2BC9588F"/>
    <w:rsid w:val="2BCA7A56"/>
    <w:rsid w:val="2BCB48CD"/>
    <w:rsid w:val="2BCC9395"/>
    <w:rsid w:val="2BD43CDE"/>
    <w:rsid w:val="2BD731F7"/>
    <w:rsid w:val="2BD9082D"/>
    <w:rsid w:val="2BDCEBF0"/>
    <w:rsid w:val="2BE07254"/>
    <w:rsid w:val="2BE23326"/>
    <w:rsid w:val="2BE3A1FC"/>
    <w:rsid w:val="2BE3F6F2"/>
    <w:rsid w:val="2BE5CFE3"/>
    <w:rsid w:val="2BE88D77"/>
    <w:rsid w:val="2BE97395"/>
    <w:rsid w:val="2BE9D7DE"/>
    <w:rsid w:val="2BEB0222"/>
    <w:rsid w:val="2BEB31BA"/>
    <w:rsid w:val="2BEF22EF"/>
    <w:rsid w:val="2BF860E7"/>
    <w:rsid w:val="2C064C05"/>
    <w:rsid w:val="2C08B0E0"/>
    <w:rsid w:val="2C0A243F"/>
    <w:rsid w:val="2C0AE694"/>
    <w:rsid w:val="2C0D32C9"/>
    <w:rsid w:val="2C0F0555"/>
    <w:rsid w:val="2C0FDD9D"/>
    <w:rsid w:val="2C12DB65"/>
    <w:rsid w:val="2C131258"/>
    <w:rsid w:val="2C1320B7"/>
    <w:rsid w:val="2C149953"/>
    <w:rsid w:val="2C15DA49"/>
    <w:rsid w:val="2C1654A1"/>
    <w:rsid w:val="2C1A66DF"/>
    <w:rsid w:val="2C1ACC93"/>
    <w:rsid w:val="2C1C5B17"/>
    <w:rsid w:val="2C1E1C46"/>
    <w:rsid w:val="2C1F3221"/>
    <w:rsid w:val="2C240589"/>
    <w:rsid w:val="2C242424"/>
    <w:rsid w:val="2C256801"/>
    <w:rsid w:val="2C294E85"/>
    <w:rsid w:val="2C302B17"/>
    <w:rsid w:val="2C31D010"/>
    <w:rsid w:val="2C3C3388"/>
    <w:rsid w:val="2C452945"/>
    <w:rsid w:val="2C490445"/>
    <w:rsid w:val="2C618CEE"/>
    <w:rsid w:val="2C61CA3F"/>
    <w:rsid w:val="2C679ED7"/>
    <w:rsid w:val="2C6C7B46"/>
    <w:rsid w:val="2C6DD8D2"/>
    <w:rsid w:val="2C70EA15"/>
    <w:rsid w:val="2C74C187"/>
    <w:rsid w:val="2C76C958"/>
    <w:rsid w:val="2C7C382D"/>
    <w:rsid w:val="2C7CBF6F"/>
    <w:rsid w:val="2C7CFBF9"/>
    <w:rsid w:val="2C7D6CC2"/>
    <w:rsid w:val="2C7DD7CA"/>
    <w:rsid w:val="2C81E850"/>
    <w:rsid w:val="2C8442C4"/>
    <w:rsid w:val="2C85BE36"/>
    <w:rsid w:val="2C8A3A8C"/>
    <w:rsid w:val="2C8B14A8"/>
    <w:rsid w:val="2C8C41F5"/>
    <w:rsid w:val="2C8DB7A9"/>
    <w:rsid w:val="2C8F341C"/>
    <w:rsid w:val="2C8F6572"/>
    <w:rsid w:val="2C934E43"/>
    <w:rsid w:val="2C944CDC"/>
    <w:rsid w:val="2C96920A"/>
    <w:rsid w:val="2C974D8C"/>
    <w:rsid w:val="2C9A8F50"/>
    <w:rsid w:val="2C9FC916"/>
    <w:rsid w:val="2CA28F97"/>
    <w:rsid w:val="2CA34A7E"/>
    <w:rsid w:val="2CA40C44"/>
    <w:rsid w:val="2CAFEB20"/>
    <w:rsid w:val="2CAFF08A"/>
    <w:rsid w:val="2CB0C69D"/>
    <w:rsid w:val="2CB36CB0"/>
    <w:rsid w:val="2CB6B8C0"/>
    <w:rsid w:val="2CB7A129"/>
    <w:rsid w:val="2CB9B922"/>
    <w:rsid w:val="2CB9C988"/>
    <w:rsid w:val="2CBCB4BD"/>
    <w:rsid w:val="2CBF9A75"/>
    <w:rsid w:val="2CC1983E"/>
    <w:rsid w:val="2CC8677B"/>
    <w:rsid w:val="2CC8E927"/>
    <w:rsid w:val="2CCA5485"/>
    <w:rsid w:val="2CCA779B"/>
    <w:rsid w:val="2CCAF89C"/>
    <w:rsid w:val="2CCC41E4"/>
    <w:rsid w:val="2CD2499B"/>
    <w:rsid w:val="2CD56EAD"/>
    <w:rsid w:val="2CD64E3A"/>
    <w:rsid w:val="2CD7BB5B"/>
    <w:rsid w:val="2CD86E5E"/>
    <w:rsid w:val="2CD9D836"/>
    <w:rsid w:val="2CDB5012"/>
    <w:rsid w:val="2CDD2FAB"/>
    <w:rsid w:val="2CDFA271"/>
    <w:rsid w:val="2CEA80D6"/>
    <w:rsid w:val="2CEBE916"/>
    <w:rsid w:val="2CEE9365"/>
    <w:rsid w:val="2CF2B198"/>
    <w:rsid w:val="2CF5DE84"/>
    <w:rsid w:val="2D03533B"/>
    <w:rsid w:val="2D05207A"/>
    <w:rsid w:val="2D0536B0"/>
    <w:rsid w:val="2D0DE016"/>
    <w:rsid w:val="2D0FBE9E"/>
    <w:rsid w:val="2D133329"/>
    <w:rsid w:val="2D175030"/>
    <w:rsid w:val="2D1B9B25"/>
    <w:rsid w:val="2D1CBAE4"/>
    <w:rsid w:val="2D2089A0"/>
    <w:rsid w:val="2D20A9DE"/>
    <w:rsid w:val="2D232976"/>
    <w:rsid w:val="2D26CA3F"/>
    <w:rsid w:val="2D2D1B08"/>
    <w:rsid w:val="2D2E7AEE"/>
    <w:rsid w:val="2D312AA5"/>
    <w:rsid w:val="2D39465B"/>
    <w:rsid w:val="2D41A492"/>
    <w:rsid w:val="2D42F30D"/>
    <w:rsid w:val="2D460D3E"/>
    <w:rsid w:val="2D471532"/>
    <w:rsid w:val="2D481D99"/>
    <w:rsid w:val="2D4BF501"/>
    <w:rsid w:val="2D4C5251"/>
    <w:rsid w:val="2D4F4097"/>
    <w:rsid w:val="2D506E62"/>
    <w:rsid w:val="2D50909C"/>
    <w:rsid w:val="2D50CF2E"/>
    <w:rsid w:val="2D53A542"/>
    <w:rsid w:val="2D55F979"/>
    <w:rsid w:val="2D58C6AF"/>
    <w:rsid w:val="2D59498B"/>
    <w:rsid w:val="2D5B4987"/>
    <w:rsid w:val="2D62375C"/>
    <w:rsid w:val="2D631986"/>
    <w:rsid w:val="2D64E8E8"/>
    <w:rsid w:val="2D69D358"/>
    <w:rsid w:val="2D6FE2FD"/>
    <w:rsid w:val="2D704FAF"/>
    <w:rsid w:val="2D706029"/>
    <w:rsid w:val="2D7695C9"/>
    <w:rsid w:val="2D819C79"/>
    <w:rsid w:val="2D825DA8"/>
    <w:rsid w:val="2D8280CD"/>
    <w:rsid w:val="2D838F6F"/>
    <w:rsid w:val="2D899D46"/>
    <w:rsid w:val="2D8B1ABC"/>
    <w:rsid w:val="2D8C9039"/>
    <w:rsid w:val="2D949E43"/>
    <w:rsid w:val="2D96E520"/>
    <w:rsid w:val="2D98C1CE"/>
    <w:rsid w:val="2D98CEAE"/>
    <w:rsid w:val="2D9EBC92"/>
    <w:rsid w:val="2DA43F47"/>
    <w:rsid w:val="2DA7534E"/>
    <w:rsid w:val="2DADF502"/>
    <w:rsid w:val="2DB0442F"/>
    <w:rsid w:val="2DB1EBCF"/>
    <w:rsid w:val="2DB8DA8B"/>
    <w:rsid w:val="2DB90E1C"/>
    <w:rsid w:val="2DBE169F"/>
    <w:rsid w:val="2DC4D0BC"/>
    <w:rsid w:val="2DC56C88"/>
    <w:rsid w:val="2DC63C6C"/>
    <w:rsid w:val="2DC6F0E4"/>
    <w:rsid w:val="2DC8E047"/>
    <w:rsid w:val="2DCB50BD"/>
    <w:rsid w:val="2DCB97CD"/>
    <w:rsid w:val="2DCCE349"/>
    <w:rsid w:val="2DD19FD1"/>
    <w:rsid w:val="2DE052FA"/>
    <w:rsid w:val="2DE448FA"/>
    <w:rsid w:val="2DE920B0"/>
    <w:rsid w:val="2DE9F524"/>
    <w:rsid w:val="2DEF7B41"/>
    <w:rsid w:val="2DEFE124"/>
    <w:rsid w:val="2DF5A999"/>
    <w:rsid w:val="2DF857DD"/>
    <w:rsid w:val="2DF93B66"/>
    <w:rsid w:val="2DFCB506"/>
    <w:rsid w:val="2DFCC3FD"/>
    <w:rsid w:val="2DFDA5FF"/>
    <w:rsid w:val="2DFF1B7B"/>
    <w:rsid w:val="2DFFB562"/>
    <w:rsid w:val="2E00F146"/>
    <w:rsid w:val="2E016589"/>
    <w:rsid w:val="2E02F605"/>
    <w:rsid w:val="2E0370DA"/>
    <w:rsid w:val="2E03FF90"/>
    <w:rsid w:val="2E059473"/>
    <w:rsid w:val="2E06C3D1"/>
    <w:rsid w:val="2E0EFCD6"/>
    <w:rsid w:val="2E104D2F"/>
    <w:rsid w:val="2E127B7A"/>
    <w:rsid w:val="2E14B82A"/>
    <w:rsid w:val="2E16F38C"/>
    <w:rsid w:val="2E170C97"/>
    <w:rsid w:val="2E1FE341"/>
    <w:rsid w:val="2E20EC8F"/>
    <w:rsid w:val="2E2413F2"/>
    <w:rsid w:val="2E2D9C1D"/>
    <w:rsid w:val="2E347D47"/>
    <w:rsid w:val="2E35C6D8"/>
    <w:rsid w:val="2E366004"/>
    <w:rsid w:val="2E390368"/>
    <w:rsid w:val="2E3D41CE"/>
    <w:rsid w:val="2E3DFDD6"/>
    <w:rsid w:val="2E3E239A"/>
    <w:rsid w:val="2E40FD90"/>
    <w:rsid w:val="2E479C02"/>
    <w:rsid w:val="2E4A6564"/>
    <w:rsid w:val="2E53A8B0"/>
    <w:rsid w:val="2E55224C"/>
    <w:rsid w:val="2E55441E"/>
    <w:rsid w:val="2E5ACEDD"/>
    <w:rsid w:val="2E5C7BB1"/>
    <w:rsid w:val="2E62A692"/>
    <w:rsid w:val="2E63FCEC"/>
    <w:rsid w:val="2E6566A8"/>
    <w:rsid w:val="2E6873DD"/>
    <w:rsid w:val="2E691AC2"/>
    <w:rsid w:val="2E6A832E"/>
    <w:rsid w:val="2E6C9B25"/>
    <w:rsid w:val="2E6CAFF9"/>
    <w:rsid w:val="2E6E8B20"/>
    <w:rsid w:val="2E6F5EE9"/>
    <w:rsid w:val="2E6F95C9"/>
    <w:rsid w:val="2E70F0C5"/>
    <w:rsid w:val="2E73812A"/>
    <w:rsid w:val="2E753D29"/>
    <w:rsid w:val="2E754F0F"/>
    <w:rsid w:val="2E77E9FF"/>
    <w:rsid w:val="2E787CFB"/>
    <w:rsid w:val="2E7DB52E"/>
    <w:rsid w:val="2E7FFF92"/>
    <w:rsid w:val="2E83455C"/>
    <w:rsid w:val="2E85EEF3"/>
    <w:rsid w:val="2E8CEC0C"/>
    <w:rsid w:val="2E96010F"/>
    <w:rsid w:val="2E969086"/>
    <w:rsid w:val="2E96E7BB"/>
    <w:rsid w:val="2E996C1D"/>
    <w:rsid w:val="2E9CCA53"/>
    <w:rsid w:val="2EA8DC25"/>
    <w:rsid w:val="2EAB48BC"/>
    <w:rsid w:val="2EADB7EA"/>
    <w:rsid w:val="2EADDE5C"/>
    <w:rsid w:val="2EB541AF"/>
    <w:rsid w:val="2EB77AC0"/>
    <w:rsid w:val="2EB9D00E"/>
    <w:rsid w:val="2EB9D7AA"/>
    <w:rsid w:val="2EC06DB1"/>
    <w:rsid w:val="2EC0778A"/>
    <w:rsid w:val="2EC228CC"/>
    <w:rsid w:val="2ECE6DA0"/>
    <w:rsid w:val="2ED14006"/>
    <w:rsid w:val="2ED2DD1A"/>
    <w:rsid w:val="2EDCF345"/>
    <w:rsid w:val="2EE2AFC6"/>
    <w:rsid w:val="2EE3AC17"/>
    <w:rsid w:val="2EE94807"/>
    <w:rsid w:val="2EEB6145"/>
    <w:rsid w:val="2EEDDC97"/>
    <w:rsid w:val="2EF12E52"/>
    <w:rsid w:val="2EF1B0CF"/>
    <w:rsid w:val="2EF468BB"/>
    <w:rsid w:val="2EF4E7C7"/>
    <w:rsid w:val="2EF65E8D"/>
    <w:rsid w:val="2EF7E62E"/>
    <w:rsid w:val="2EF93748"/>
    <w:rsid w:val="2EFB05DE"/>
    <w:rsid w:val="2EFB06E9"/>
    <w:rsid w:val="2EFE681F"/>
    <w:rsid w:val="2F025647"/>
    <w:rsid w:val="2F04182E"/>
    <w:rsid w:val="2F04192D"/>
    <w:rsid w:val="2F0741D7"/>
    <w:rsid w:val="2F076F1A"/>
    <w:rsid w:val="2F0848BB"/>
    <w:rsid w:val="2F09E716"/>
    <w:rsid w:val="2F0EFF23"/>
    <w:rsid w:val="2F116EF7"/>
    <w:rsid w:val="2F1BDB6E"/>
    <w:rsid w:val="2F1DA975"/>
    <w:rsid w:val="2F1E13C2"/>
    <w:rsid w:val="2F2290B6"/>
    <w:rsid w:val="2F22C012"/>
    <w:rsid w:val="2F22EF63"/>
    <w:rsid w:val="2F23394B"/>
    <w:rsid w:val="2F258F3E"/>
    <w:rsid w:val="2F2B5C52"/>
    <w:rsid w:val="2F2BE3A0"/>
    <w:rsid w:val="2F2F2B03"/>
    <w:rsid w:val="2F311615"/>
    <w:rsid w:val="2F355EC8"/>
    <w:rsid w:val="2F364A4A"/>
    <w:rsid w:val="2F38245C"/>
    <w:rsid w:val="2F398340"/>
    <w:rsid w:val="2F39DE31"/>
    <w:rsid w:val="2F40812F"/>
    <w:rsid w:val="2F40FE12"/>
    <w:rsid w:val="2F4126AB"/>
    <w:rsid w:val="2F43B33B"/>
    <w:rsid w:val="2F43F81E"/>
    <w:rsid w:val="2F467A3B"/>
    <w:rsid w:val="2F478F12"/>
    <w:rsid w:val="2F499605"/>
    <w:rsid w:val="2F4C138C"/>
    <w:rsid w:val="2F4CAB6F"/>
    <w:rsid w:val="2F52770D"/>
    <w:rsid w:val="2F53CE5C"/>
    <w:rsid w:val="2F5B02C4"/>
    <w:rsid w:val="2F5DB1DF"/>
    <w:rsid w:val="2F5E2213"/>
    <w:rsid w:val="2F66446A"/>
    <w:rsid w:val="2F6735E3"/>
    <w:rsid w:val="2F6959DF"/>
    <w:rsid w:val="2F697EDC"/>
    <w:rsid w:val="2F6B753B"/>
    <w:rsid w:val="2F715D3D"/>
    <w:rsid w:val="2F72C53A"/>
    <w:rsid w:val="2F7A6A15"/>
    <w:rsid w:val="2F80EB7D"/>
    <w:rsid w:val="2F85A519"/>
    <w:rsid w:val="2F85EF04"/>
    <w:rsid w:val="2F86BBE0"/>
    <w:rsid w:val="2F89172A"/>
    <w:rsid w:val="2F8B08A8"/>
    <w:rsid w:val="2F8C1C9F"/>
    <w:rsid w:val="2F8CA844"/>
    <w:rsid w:val="2F964A8C"/>
    <w:rsid w:val="2F9B3857"/>
    <w:rsid w:val="2F9ED8F8"/>
    <w:rsid w:val="2FA0EEBA"/>
    <w:rsid w:val="2FA10448"/>
    <w:rsid w:val="2FA47011"/>
    <w:rsid w:val="2FA6AB22"/>
    <w:rsid w:val="2FA83F4C"/>
    <w:rsid w:val="2FAC9B70"/>
    <w:rsid w:val="2FAFF538"/>
    <w:rsid w:val="2FB35E7C"/>
    <w:rsid w:val="2FB85F18"/>
    <w:rsid w:val="2FBB0C62"/>
    <w:rsid w:val="2FBE0411"/>
    <w:rsid w:val="2FC45983"/>
    <w:rsid w:val="2FC4ED5A"/>
    <w:rsid w:val="2FCD52CF"/>
    <w:rsid w:val="2FCD9BAF"/>
    <w:rsid w:val="2FD0D492"/>
    <w:rsid w:val="2FD28617"/>
    <w:rsid w:val="2FD3BA39"/>
    <w:rsid w:val="2FD3EC82"/>
    <w:rsid w:val="2FD61770"/>
    <w:rsid w:val="2FD7C67F"/>
    <w:rsid w:val="2FE16B0F"/>
    <w:rsid w:val="2FEA14B7"/>
    <w:rsid w:val="2FEEB5E3"/>
    <w:rsid w:val="2FEF8A25"/>
    <w:rsid w:val="2FF34E8D"/>
    <w:rsid w:val="2FF45CCD"/>
    <w:rsid w:val="2FF6F94E"/>
    <w:rsid w:val="2FF7F607"/>
    <w:rsid w:val="2FF7FF5E"/>
    <w:rsid w:val="2FFA15B2"/>
    <w:rsid w:val="2FFAA73A"/>
    <w:rsid w:val="2FFAB698"/>
    <w:rsid w:val="2FFAC553"/>
    <w:rsid w:val="2FFB56DD"/>
    <w:rsid w:val="2FFD1F3E"/>
    <w:rsid w:val="2FFE7463"/>
    <w:rsid w:val="30018E63"/>
    <w:rsid w:val="30036C0E"/>
    <w:rsid w:val="30069B6D"/>
    <w:rsid w:val="3009BDA3"/>
    <w:rsid w:val="300F0295"/>
    <w:rsid w:val="30109362"/>
    <w:rsid w:val="30121710"/>
    <w:rsid w:val="3014B277"/>
    <w:rsid w:val="3016EEC4"/>
    <w:rsid w:val="301D1495"/>
    <w:rsid w:val="30221188"/>
    <w:rsid w:val="30246B51"/>
    <w:rsid w:val="3025217D"/>
    <w:rsid w:val="302A8CFB"/>
    <w:rsid w:val="302E3C34"/>
    <w:rsid w:val="30312BD3"/>
    <w:rsid w:val="3031EEF7"/>
    <w:rsid w:val="30329727"/>
    <w:rsid w:val="30330E14"/>
    <w:rsid w:val="30344F36"/>
    <w:rsid w:val="3036C2D6"/>
    <w:rsid w:val="30391312"/>
    <w:rsid w:val="3039C139"/>
    <w:rsid w:val="303A4294"/>
    <w:rsid w:val="303A9D65"/>
    <w:rsid w:val="303ADBB3"/>
    <w:rsid w:val="303F110D"/>
    <w:rsid w:val="303F5604"/>
    <w:rsid w:val="30478943"/>
    <w:rsid w:val="30488AD7"/>
    <w:rsid w:val="304C1BB9"/>
    <w:rsid w:val="304CF28B"/>
    <w:rsid w:val="3050C762"/>
    <w:rsid w:val="30535718"/>
    <w:rsid w:val="30547017"/>
    <w:rsid w:val="30580548"/>
    <w:rsid w:val="3059A0CC"/>
    <w:rsid w:val="30692FBF"/>
    <w:rsid w:val="306BE6D4"/>
    <w:rsid w:val="307373DB"/>
    <w:rsid w:val="3075C260"/>
    <w:rsid w:val="307E3B93"/>
    <w:rsid w:val="307E4C93"/>
    <w:rsid w:val="3083CC0F"/>
    <w:rsid w:val="3083D1A1"/>
    <w:rsid w:val="3088E095"/>
    <w:rsid w:val="308F9101"/>
    <w:rsid w:val="309109A7"/>
    <w:rsid w:val="309337C5"/>
    <w:rsid w:val="3097926C"/>
    <w:rsid w:val="309CA9EB"/>
    <w:rsid w:val="309D283D"/>
    <w:rsid w:val="30A44C4D"/>
    <w:rsid w:val="30A4740A"/>
    <w:rsid w:val="30A646AA"/>
    <w:rsid w:val="30AB1118"/>
    <w:rsid w:val="30AF5752"/>
    <w:rsid w:val="30B2D79E"/>
    <w:rsid w:val="30B6B023"/>
    <w:rsid w:val="30B8C729"/>
    <w:rsid w:val="30B9931D"/>
    <w:rsid w:val="30BB7F76"/>
    <w:rsid w:val="30C026D7"/>
    <w:rsid w:val="30C1257E"/>
    <w:rsid w:val="30C28902"/>
    <w:rsid w:val="30C33A98"/>
    <w:rsid w:val="30C6895D"/>
    <w:rsid w:val="30C76FAC"/>
    <w:rsid w:val="30C8F40F"/>
    <w:rsid w:val="30C9A66F"/>
    <w:rsid w:val="30C9ECFB"/>
    <w:rsid w:val="30CA4C06"/>
    <w:rsid w:val="30CC45DB"/>
    <w:rsid w:val="30D156DC"/>
    <w:rsid w:val="30D50736"/>
    <w:rsid w:val="30D7F591"/>
    <w:rsid w:val="30DA4476"/>
    <w:rsid w:val="30DAB770"/>
    <w:rsid w:val="30DCAA9F"/>
    <w:rsid w:val="30E7BE9D"/>
    <w:rsid w:val="30EB1D0F"/>
    <w:rsid w:val="30EC4103"/>
    <w:rsid w:val="30EFAD28"/>
    <w:rsid w:val="30F56D41"/>
    <w:rsid w:val="30F9969A"/>
    <w:rsid w:val="30F99F30"/>
    <w:rsid w:val="30F9E999"/>
    <w:rsid w:val="30FD5EFA"/>
    <w:rsid w:val="31004B0E"/>
    <w:rsid w:val="3102A3B0"/>
    <w:rsid w:val="31059EFA"/>
    <w:rsid w:val="31068C94"/>
    <w:rsid w:val="310DFA5F"/>
    <w:rsid w:val="310F188F"/>
    <w:rsid w:val="310FA2C3"/>
    <w:rsid w:val="31158DE6"/>
    <w:rsid w:val="3115B082"/>
    <w:rsid w:val="31161D3A"/>
    <w:rsid w:val="31167C17"/>
    <w:rsid w:val="3116C1F7"/>
    <w:rsid w:val="3117420F"/>
    <w:rsid w:val="31179398"/>
    <w:rsid w:val="3118A909"/>
    <w:rsid w:val="311A21FB"/>
    <w:rsid w:val="311E2612"/>
    <w:rsid w:val="311E71E2"/>
    <w:rsid w:val="31244051"/>
    <w:rsid w:val="31269BA0"/>
    <w:rsid w:val="3128E84C"/>
    <w:rsid w:val="312BB3C4"/>
    <w:rsid w:val="312D8BBD"/>
    <w:rsid w:val="312E0FE8"/>
    <w:rsid w:val="31310B63"/>
    <w:rsid w:val="3133EA59"/>
    <w:rsid w:val="313A9CFC"/>
    <w:rsid w:val="313DA88A"/>
    <w:rsid w:val="31403F13"/>
    <w:rsid w:val="3141FEE0"/>
    <w:rsid w:val="314B4540"/>
    <w:rsid w:val="314CB62D"/>
    <w:rsid w:val="3152547C"/>
    <w:rsid w:val="3153F808"/>
    <w:rsid w:val="31547C52"/>
    <w:rsid w:val="3157DCC2"/>
    <w:rsid w:val="31642CAD"/>
    <w:rsid w:val="3164B5D5"/>
    <w:rsid w:val="3165CEE9"/>
    <w:rsid w:val="316662E1"/>
    <w:rsid w:val="3170F2DE"/>
    <w:rsid w:val="317A944F"/>
    <w:rsid w:val="31803CDE"/>
    <w:rsid w:val="318D951F"/>
    <w:rsid w:val="318FBCF0"/>
    <w:rsid w:val="31906C5F"/>
    <w:rsid w:val="319AA2E2"/>
    <w:rsid w:val="31A0B2EF"/>
    <w:rsid w:val="31A0F05C"/>
    <w:rsid w:val="31A5D499"/>
    <w:rsid w:val="31AC97F8"/>
    <w:rsid w:val="31ACFD51"/>
    <w:rsid w:val="31B27714"/>
    <w:rsid w:val="31B3778D"/>
    <w:rsid w:val="31B48B59"/>
    <w:rsid w:val="31B5F50E"/>
    <w:rsid w:val="31B9DA7D"/>
    <w:rsid w:val="31BC7806"/>
    <w:rsid w:val="31BEE49D"/>
    <w:rsid w:val="31D268AC"/>
    <w:rsid w:val="31D45703"/>
    <w:rsid w:val="31D4AAD5"/>
    <w:rsid w:val="31E07B51"/>
    <w:rsid w:val="31E2BC97"/>
    <w:rsid w:val="31E31F21"/>
    <w:rsid w:val="31E497D5"/>
    <w:rsid w:val="31E9008A"/>
    <w:rsid w:val="31E96B1D"/>
    <w:rsid w:val="31EA2DE9"/>
    <w:rsid w:val="31EE8614"/>
    <w:rsid w:val="32028BA3"/>
    <w:rsid w:val="32033528"/>
    <w:rsid w:val="3207FB5D"/>
    <w:rsid w:val="3210B85C"/>
    <w:rsid w:val="32165679"/>
    <w:rsid w:val="3218E2F1"/>
    <w:rsid w:val="321DCE7E"/>
    <w:rsid w:val="321E599E"/>
    <w:rsid w:val="321F2752"/>
    <w:rsid w:val="321F40E4"/>
    <w:rsid w:val="3221A59B"/>
    <w:rsid w:val="322352D0"/>
    <w:rsid w:val="322BF59A"/>
    <w:rsid w:val="32300878"/>
    <w:rsid w:val="32306068"/>
    <w:rsid w:val="32307669"/>
    <w:rsid w:val="32396EF9"/>
    <w:rsid w:val="323B4575"/>
    <w:rsid w:val="323E1B9B"/>
    <w:rsid w:val="3247678D"/>
    <w:rsid w:val="32481D1A"/>
    <w:rsid w:val="324BEBD1"/>
    <w:rsid w:val="324D6C0B"/>
    <w:rsid w:val="325016D8"/>
    <w:rsid w:val="3250363E"/>
    <w:rsid w:val="32568F5A"/>
    <w:rsid w:val="3258EBEA"/>
    <w:rsid w:val="325B0766"/>
    <w:rsid w:val="3263C59C"/>
    <w:rsid w:val="326439B3"/>
    <w:rsid w:val="32649817"/>
    <w:rsid w:val="3266DDE6"/>
    <w:rsid w:val="326A3211"/>
    <w:rsid w:val="32714E42"/>
    <w:rsid w:val="3276B504"/>
    <w:rsid w:val="32779041"/>
    <w:rsid w:val="327931F2"/>
    <w:rsid w:val="327BF9AC"/>
    <w:rsid w:val="328063F1"/>
    <w:rsid w:val="3283CE9A"/>
    <w:rsid w:val="32840260"/>
    <w:rsid w:val="328A4536"/>
    <w:rsid w:val="328C1266"/>
    <w:rsid w:val="328C3DC2"/>
    <w:rsid w:val="328D7AA5"/>
    <w:rsid w:val="328EA13D"/>
    <w:rsid w:val="328F5F66"/>
    <w:rsid w:val="32916CA6"/>
    <w:rsid w:val="32932BE3"/>
    <w:rsid w:val="32972B6B"/>
    <w:rsid w:val="329CD61E"/>
    <w:rsid w:val="329D821D"/>
    <w:rsid w:val="32A7CF59"/>
    <w:rsid w:val="32AB43BE"/>
    <w:rsid w:val="32B3E13C"/>
    <w:rsid w:val="32B84133"/>
    <w:rsid w:val="32BDC371"/>
    <w:rsid w:val="32BF4B83"/>
    <w:rsid w:val="32BFD7A5"/>
    <w:rsid w:val="32C12481"/>
    <w:rsid w:val="32CECD0A"/>
    <w:rsid w:val="32D00A1E"/>
    <w:rsid w:val="32D36C2C"/>
    <w:rsid w:val="32D964AC"/>
    <w:rsid w:val="32DD2FEE"/>
    <w:rsid w:val="32E12DA9"/>
    <w:rsid w:val="32E247EB"/>
    <w:rsid w:val="32E598C7"/>
    <w:rsid w:val="32E6944D"/>
    <w:rsid w:val="32E9D477"/>
    <w:rsid w:val="32EE5E22"/>
    <w:rsid w:val="32F02AA0"/>
    <w:rsid w:val="32F0A6C8"/>
    <w:rsid w:val="32F5866D"/>
    <w:rsid w:val="32F9FFAF"/>
    <w:rsid w:val="32FB5673"/>
    <w:rsid w:val="32FCB0FA"/>
    <w:rsid w:val="32FE9C26"/>
    <w:rsid w:val="33000B22"/>
    <w:rsid w:val="33019B32"/>
    <w:rsid w:val="33029D85"/>
    <w:rsid w:val="33037F29"/>
    <w:rsid w:val="33088049"/>
    <w:rsid w:val="3308F832"/>
    <w:rsid w:val="33093EE1"/>
    <w:rsid w:val="330A6D15"/>
    <w:rsid w:val="330AD6A7"/>
    <w:rsid w:val="330BA4E1"/>
    <w:rsid w:val="330E96CA"/>
    <w:rsid w:val="330F4D36"/>
    <w:rsid w:val="3315CC51"/>
    <w:rsid w:val="331E3EC3"/>
    <w:rsid w:val="331ECE42"/>
    <w:rsid w:val="33235140"/>
    <w:rsid w:val="3324B6E1"/>
    <w:rsid w:val="33274401"/>
    <w:rsid w:val="3329108D"/>
    <w:rsid w:val="3329C9F9"/>
    <w:rsid w:val="332A302E"/>
    <w:rsid w:val="332AE06E"/>
    <w:rsid w:val="3334412C"/>
    <w:rsid w:val="3338B44B"/>
    <w:rsid w:val="33390457"/>
    <w:rsid w:val="3340095E"/>
    <w:rsid w:val="3344043D"/>
    <w:rsid w:val="3344A52D"/>
    <w:rsid w:val="3344C2CA"/>
    <w:rsid w:val="3346969F"/>
    <w:rsid w:val="3349C2A7"/>
    <w:rsid w:val="3349D93C"/>
    <w:rsid w:val="334D3DD9"/>
    <w:rsid w:val="334D6F1B"/>
    <w:rsid w:val="334DD163"/>
    <w:rsid w:val="334EAA2A"/>
    <w:rsid w:val="334EF9CF"/>
    <w:rsid w:val="3358048C"/>
    <w:rsid w:val="3358A81B"/>
    <w:rsid w:val="335D4F9F"/>
    <w:rsid w:val="3361A680"/>
    <w:rsid w:val="3361CAB3"/>
    <w:rsid w:val="3362F42B"/>
    <w:rsid w:val="3365B725"/>
    <w:rsid w:val="33662EF5"/>
    <w:rsid w:val="336757D1"/>
    <w:rsid w:val="336946D4"/>
    <w:rsid w:val="336FCBAC"/>
    <w:rsid w:val="3370F583"/>
    <w:rsid w:val="337201E9"/>
    <w:rsid w:val="33775328"/>
    <w:rsid w:val="33791494"/>
    <w:rsid w:val="337E9B9C"/>
    <w:rsid w:val="337EE29A"/>
    <w:rsid w:val="337F90DB"/>
    <w:rsid w:val="3389150D"/>
    <w:rsid w:val="338B60E2"/>
    <w:rsid w:val="338C0BD3"/>
    <w:rsid w:val="338EA402"/>
    <w:rsid w:val="339542E6"/>
    <w:rsid w:val="339721EB"/>
    <w:rsid w:val="33A073F4"/>
    <w:rsid w:val="33A344B0"/>
    <w:rsid w:val="33A4E516"/>
    <w:rsid w:val="33A50ABC"/>
    <w:rsid w:val="33A760D5"/>
    <w:rsid w:val="33AC6278"/>
    <w:rsid w:val="33AD9901"/>
    <w:rsid w:val="33B1BF1A"/>
    <w:rsid w:val="33B4AC13"/>
    <w:rsid w:val="33B54402"/>
    <w:rsid w:val="33BB722B"/>
    <w:rsid w:val="33BBA701"/>
    <w:rsid w:val="33BC7CCA"/>
    <w:rsid w:val="33BF3956"/>
    <w:rsid w:val="33CB00E2"/>
    <w:rsid w:val="33CC24D3"/>
    <w:rsid w:val="33CC7E4B"/>
    <w:rsid w:val="33D2C18E"/>
    <w:rsid w:val="33D5D974"/>
    <w:rsid w:val="33DA7448"/>
    <w:rsid w:val="33DBB043"/>
    <w:rsid w:val="33DD0222"/>
    <w:rsid w:val="33DD30D1"/>
    <w:rsid w:val="33DE0498"/>
    <w:rsid w:val="33E2407C"/>
    <w:rsid w:val="33E34783"/>
    <w:rsid w:val="33E55C45"/>
    <w:rsid w:val="33E7CFD4"/>
    <w:rsid w:val="33E8FAC6"/>
    <w:rsid w:val="33EC6930"/>
    <w:rsid w:val="33ED09F5"/>
    <w:rsid w:val="33ED8560"/>
    <w:rsid w:val="33EDE71B"/>
    <w:rsid w:val="33F062AC"/>
    <w:rsid w:val="33F297ED"/>
    <w:rsid w:val="33F88318"/>
    <w:rsid w:val="33FD9C1A"/>
    <w:rsid w:val="33FDF693"/>
    <w:rsid w:val="33FF202C"/>
    <w:rsid w:val="3400104B"/>
    <w:rsid w:val="34005C81"/>
    <w:rsid w:val="340101EA"/>
    <w:rsid w:val="3401D9FC"/>
    <w:rsid w:val="3402DE2B"/>
    <w:rsid w:val="34049F2E"/>
    <w:rsid w:val="34081F9F"/>
    <w:rsid w:val="340838C7"/>
    <w:rsid w:val="34088DD4"/>
    <w:rsid w:val="34090A89"/>
    <w:rsid w:val="340DD581"/>
    <w:rsid w:val="340FE477"/>
    <w:rsid w:val="341713FF"/>
    <w:rsid w:val="341A02E4"/>
    <w:rsid w:val="341D24A4"/>
    <w:rsid w:val="341E3D96"/>
    <w:rsid w:val="3424DAF1"/>
    <w:rsid w:val="3427A0A9"/>
    <w:rsid w:val="3428D889"/>
    <w:rsid w:val="342C8525"/>
    <w:rsid w:val="342EF787"/>
    <w:rsid w:val="342FDFD9"/>
    <w:rsid w:val="3431EE2C"/>
    <w:rsid w:val="34342A7B"/>
    <w:rsid w:val="343AB310"/>
    <w:rsid w:val="343CF015"/>
    <w:rsid w:val="343D2CE1"/>
    <w:rsid w:val="343F1CF6"/>
    <w:rsid w:val="3446ECFA"/>
    <w:rsid w:val="344A18FD"/>
    <w:rsid w:val="344A21EE"/>
    <w:rsid w:val="344A4E92"/>
    <w:rsid w:val="344A51F6"/>
    <w:rsid w:val="344A7C42"/>
    <w:rsid w:val="344C9DA3"/>
    <w:rsid w:val="344D6021"/>
    <w:rsid w:val="3453CFF2"/>
    <w:rsid w:val="345A76C3"/>
    <w:rsid w:val="345A866C"/>
    <w:rsid w:val="345B53B2"/>
    <w:rsid w:val="345D990D"/>
    <w:rsid w:val="3460AD02"/>
    <w:rsid w:val="3460D6BA"/>
    <w:rsid w:val="3463148D"/>
    <w:rsid w:val="346880E1"/>
    <w:rsid w:val="3469B5F3"/>
    <w:rsid w:val="3469BB8D"/>
    <w:rsid w:val="346B4C07"/>
    <w:rsid w:val="346C9B65"/>
    <w:rsid w:val="34796527"/>
    <w:rsid w:val="347A8C64"/>
    <w:rsid w:val="347D7C17"/>
    <w:rsid w:val="34835150"/>
    <w:rsid w:val="3483F452"/>
    <w:rsid w:val="3484F8F8"/>
    <w:rsid w:val="34857686"/>
    <w:rsid w:val="34877388"/>
    <w:rsid w:val="348A5EE5"/>
    <w:rsid w:val="348B19ED"/>
    <w:rsid w:val="348B3551"/>
    <w:rsid w:val="348B438A"/>
    <w:rsid w:val="348BEAC8"/>
    <w:rsid w:val="348D78ED"/>
    <w:rsid w:val="34924F98"/>
    <w:rsid w:val="3492F11E"/>
    <w:rsid w:val="3493D8C3"/>
    <w:rsid w:val="34940F34"/>
    <w:rsid w:val="3497895E"/>
    <w:rsid w:val="3497922E"/>
    <w:rsid w:val="34983372"/>
    <w:rsid w:val="3498EAF0"/>
    <w:rsid w:val="34A03EF4"/>
    <w:rsid w:val="34A74FB2"/>
    <w:rsid w:val="34A90799"/>
    <w:rsid w:val="34AB3C25"/>
    <w:rsid w:val="34ACD811"/>
    <w:rsid w:val="34ADAC93"/>
    <w:rsid w:val="34B1A7F6"/>
    <w:rsid w:val="34B326B8"/>
    <w:rsid w:val="34B61A53"/>
    <w:rsid w:val="34B780A5"/>
    <w:rsid w:val="34C2556B"/>
    <w:rsid w:val="34C445F4"/>
    <w:rsid w:val="34C6BB49"/>
    <w:rsid w:val="34C8F66B"/>
    <w:rsid w:val="34CB41D6"/>
    <w:rsid w:val="34CC1EAB"/>
    <w:rsid w:val="34CE225A"/>
    <w:rsid w:val="34CEC89B"/>
    <w:rsid w:val="34D0059A"/>
    <w:rsid w:val="34D2C656"/>
    <w:rsid w:val="34D3BC5C"/>
    <w:rsid w:val="34D6C3EC"/>
    <w:rsid w:val="34DA4FFB"/>
    <w:rsid w:val="34DAEDCD"/>
    <w:rsid w:val="34DC872E"/>
    <w:rsid w:val="34E21DEE"/>
    <w:rsid w:val="34E2D803"/>
    <w:rsid w:val="34E63444"/>
    <w:rsid w:val="34EA2429"/>
    <w:rsid w:val="34EB15DB"/>
    <w:rsid w:val="34ED7980"/>
    <w:rsid w:val="34EF3A6F"/>
    <w:rsid w:val="34F98801"/>
    <w:rsid w:val="34F9B003"/>
    <w:rsid w:val="34FB7E95"/>
    <w:rsid w:val="34FBC9D3"/>
    <w:rsid w:val="34FE9896"/>
    <w:rsid w:val="34FF9167"/>
    <w:rsid w:val="350655BC"/>
    <w:rsid w:val="3508A23E"/>
    <w:rsid w:val="350BA77E"/>
    <w:rsid w:val="350E5934"/>
    <w:rsid w:val="3511ABE3"/>
    <w:rsid w:val="35133667"/>
    <w:rsid w:val="3515104A"/>
    <w:rsid w:val="35196C84"/>
    <w:rsid w:val="35196D1F"/>
    <w:rsid w:val="351D5E07"/>
    <w:rsid w:val="351E5751"/>
    <w:rsid w:val="351EAAD6"/>
    <w:rsid w:val="35254995"/>
    <w:rsid w:val="352AA46D"/>
    <w:rsid w:val="352ADB1B"/>
    <w:rsid w:val="352EA3A2"/>
    <w:rsid w:val="352FF4A0"/>
    <w:rsid w:val="35317B90"/>
    <w:rsid w:val="3533C68D"/>
    <w:rsid w:val="353548E8"/>
    <w:rsid w:val="35394525"/>
    <w:rsid w:val="3539A18E"/>
    <w:rsid w:val="353F8B27"/>
    <w:rsid w:val="3541B262"/>
    <w:rsid w:val="3542EDA9"/>
    <w:rsid w:val="3547A0E6"/>
    <w:rsid w:val="354E1955"/>
    <w:rsid w:val="354E69F4"/>
    <w:rsid w:val="354FC5E3"/>
    <w:rsid w:val="3552E2CE"/>
    <w:rsid w:val="35533CC9"/>
    <w:rsid w:val="35585747"/>
    <w:rsid w:val="355903C6"/>
    <w:rsid w:val="355A0DF8"/>
    <w:rsid w:val="355B22A9"/>
    <w:rsid w:val="355C350B"/>
    <w:rsid w:val="355DF07B"/>
    <w:rsid w:val="355E1AA5"/>
    <w:rsid w:val="356552BD"/>
    <w:rsid w:val="3569DCB5"/>
    <w:rsid w:val="356A6916"/>
    <w:rsid w:val="356DBAC7"/>
    <w:rsid w:val="356DF143"/>
    <w:rsid w:val="35701B3A"/>
    <w:rsid w:val="3573B449"/>
    <w:rsid w:val="35753F9C"/>
    <w:rsid w:val="3578449A"/>
    <w:rsid w:val="35794AEF"/>
    <w:rsid w:val="357A530A"/>
    <w:rsid w:val="357A8D3B"/>
    <w:rsid w:val="357A90EE"/>
    <w:rsid w:val="35809051"/>
    <w:rsid w:val="35855479"/>
    <w:rsid w:val="35855F09"/>
    <w:rsid w:val="3586E09D"/>
    <w:rsid w:val="35885EA7"/>
    <w:rsid w:val="3589E289"/>
    <w:rsid w:val="3590BD5A"/>
    <w:rsid w:val="35911A92"/>
    <w:rsid w:val="3591A227"/>
    <w:rsid w:val="3592475F"/>
    <w:rsid w:val="3593AFE7"/>
    <w:rsid w:val="359B3988"/>
    <w:rsid w:val="359D37D1"/>
    <w:rsid w:val="359E9491"/>
    <w:rsid w:val="359EAE46"/>
    <w:rsid w:val="35A162EE"/>
    <w:rsid w:val="35A1F5CE"/>
    <w:rsid w:val="35A776BD"/>
    <w:rsid w:val="35A9C881"/>
    <w:rsid w:val="35AA7C7D"/>
    <w:rsid w:val="35AAF703"/>
    <w:rsid w:val="35AECEA9"/>
    <w:rsid w:val="35B087B9"/>
    <w:rsid w:val="35B52C3F"/>
    <w:rsid w:val="35B566F3"/>
    <w:rsid w:val="35BE3395"/>
    <w:rsid w:val="35C19B9C"/>
    <w:rsid w:val="35C45BA8"/>
    <w:rsid w:val="35C811D9"/>
    <w:rsid w:val="35C82B78"/>
    <w:rsid w:val="35CA3408"/>
    <w:rsid w:val="35CC3CE8"/>
    <w:rsid w:val="35CE3838"/>
    <w:rsid w:val="35CF7EF3"/>
    <w:rsid w:val="35D3893E"/>
    <w:rsid w:val="35D80E4D"/>
    <w:rsid w:val="35DCFB60"/>
    <w:rsid w:val="35E6D406"/>
    <w:rsid w:val="35E6F6EB"/>
    <w:rsid w:val="35EF0660"/>
    <w:rsid w:val="35F314DF"/>
    <w:rsid w:val="35F6C3D6"/>
    <w:rsid w:val="35F7226C"/>
    <w:rsid w:val="35F9AE97"/>
    <w:rsid w:val="35FB9924"/>
    <w:rsid w:val="35FF63E1"/>
    <w:rsid w:val="360015D7"/>
    <w:rsid w:val="3602B12F"/>
    <w:rsid w:val="3602D2C1"/>
    <w:rsid w:val="36039D62"/>
    <w:rsid w:val="3604716B"/>
    <w:rsid w:val="360649AB"/>
    <w:rsid w:val="36072BA2"/>
    <w:rsid w:val="3608DCD6"/>
    <w:rsid w:val="3609B18C"/>
    <w:rsid w:val="360B478D"/>
    <w:rsid w:val="360C025C"/>
    <w:rsid w:val="360F0D2D"/>
    <w:rsid w:val="360F1348"/>
    <w:rsid w:val="360FCEA5"/>
    <w:rsid w:val="3610D739"/>
    <w:rsid w:val="36125507"/>
    <w:rsid w:val="3613B9E7"/>
    <w:rsid w:val="36150EF3"/>
    <w:rsid w:val="3616281F"/>
    <w:rsid w:val="3616E46C"/>
    <w:rsid w:val="361A98D1"/>
    <w:rsid w:val="361D1F49"/>
    <w:rsid w:val="361D890E"/>
    <w:rsid w:val="361DF699"/>
    <w:rsid w:val="3621322E"/>
    <w:rsid w:val="362259EE"/>
    <w:rsid w:val="3622DB8A"/>
    <w:rsid w:val="3624AAFB"/>
    <w:rsid w:val="3625A574"/>
    <w:rsid w:val="362788B9"/>
    <w:rsid w:val="362AD958"/>
    <w:rsid w:val="362E8CBC"/>
    <w:rsid w:val="3630A6D8"/>
    <w:rsid w:val="3633E472"/>
    <w:rsid w:val="3638ED28"/>
    <w:rsid w:val="363E2DF7"/>
    <w:rsid w:val="363E41F9"/>
    <w:rsid w:val="3640F7E4"/>
    <w:rsid w:val="3643AE43"/>
    <w:rsid w:val="3643F8F9"/>
    <w:rsid w:val="364A62E3"/>
    <w:rsid w:val="364BC82B"/>
    <w:rsid w:val="364D941A"/>
    <w:rsid w:val="364E730D"/>
    <w:rsid w:val="36568707"/>
    <w:rsid w:val="3663BD09"/>
    <w:rsid w:val="3665A369"/>
    <w:rsid w:val="3667EE95"/>
    <w:rsid w:val="3669CBC0"/>
    <w:rsid w:val="366B2CFB"/>
    <w:rsid w:val="3676A482"/>
    <w:rsid w:val="3679950D"/>
    <w:rsid w:val="367A15D8"/>
    <w:rsid w:val="367A70C3"/>
    <w:rsid w:val="367C6965"/>
    <w:rsid w:val="367DDFD1"/>
    <w:rsid w:val="36846533"/>
    <w:rsid w:val="3686986B"/>
    <w:rsid w:val="368F1B19"/>
    <w:rsid w:val="3690CAE5"/>
    <w:rsid w:val="3691BF67"/>
    <w:rsid w:val="36971709"/>
    <w:rsid w:val="369916C3"/>
    <w:rsid w:val="36A05869"/>
    <w:rsid w:val="36A1E252"/>
    <w:rsid w:val="36A24518"/>
    <w:rsid w:val="36A26E7C"/>
    <w:rsid w:val="36A3366A"/>
    <w:rsid w:val="36A345C4"/>
    <w:rsid w:val="36A4811B"/>
    <w:rsid w:val="36A7135A"/>
    <w:rsid w:val="36ADAB28"/>
    <w:rsid w:val="36ADF89D"/>
    <w:rsid w:val="36AF9D1D"/>
    <w:rsid w:val="36B16D5A"/>
    <w:rsid w:val="36B41DE9"/>
    <w:rsid w:val="36B55433"/>
    <w:rsid w:val="36B9ABB9"/>
    <w:rsid w:val="36BD48C6"/>
    <w:rsid w:val="36C23F61"/>
    <w:rsid w:val="36C7BFBA"/>
    <w:rsid w:val="36C9C17A"/>
    <w:rsid w:val="36CB80C5"/>
    <w:rsid w:val="36CE54A3"/>
    <w:rsid w:val="36CE9B43"/>
    <w:rsid w:val="36CF8EF9"/>
    <w:rsid w:val="36D1B2FC"/>
    <w:rsid w:val="36D21A6A"/>
    <w:rsid w:val="36D271FA"/>
    <w:rsid w:val="36D3CA77"/>
    <w:rsid w:val="36D3FD77"/>
    <w:rsid w:val="36D9109E"/>
    <w:rsid w:val="36DDBCC9"/>
    <w:rsid w:val="36DDDD2F"/>
    <w:rsid w:val="36DFC901"/>
    <w:rsid w:val="36E1F74A"/>
    <w:rsid w:val="36E49904"/>
    <w:rsid w:val="36E91357"/>
    <w:rsid w:val="36EE3E8A"/>
    <w:rsid w:val="36F51D36"/>
    <w:rsid w:val="36F5A633"/>
    <w:rsid w:val="36FAA520"/>
    <w:rsid w:val="36FEF6B5"/>
    <w:rsid w:val="37029EA6"/>
    <w:rsid w:val="3703C3FB"/>
    <w:rsid w:val="37045B29"/>
    <w:rsid w:val="370698BE"/>
    <w:rsid w:val="370E42EF"/>
    <w:rsid w:val="370F6964"/>
    <w:rsid w:val="37107951"/>
    <w:rsid w:val="371C06C0"/>
    <w:rsid w:val="371FF35B"/>
    <w:rsid w:val="37209A47"/>
    <w:rsid w:val="372329ED"/>
    <w:rsid w:val="3727758D"/>
    <w:rsid w:val="3730F6B2"/>
    <w:rsid w:val="3731D524"/>
    <w:rsid w:val="3735FD41"/>
    <w:rsid w:val="3738950B"/>
    <w:rsid w:val="3738BAF2"/>
    <w:rsid w:val="373BE436"/>
    <w:rsid w:val="373E6D0A"/>
    <w:rsid w:val="373EF69C"/>
    <w:rsid w:val="37405C5F"/>
    <w:rsid w:val="3740DBC6"/>
    <w:rsid w:val="3741313E"/>
    <w:rsid w:val="3744D4A7"/>
    <w:rsid w:val="37486E41"/>
    <w:rsid w:val="3748D71A"/>
    <w:rsid w:val="37492062"/>
    <w:rsid w:val="374A73AC"/>
    <w:rsid w:val="374C59BC"/>
    <w:rsid w:val="374F1857"/>
    <w:rsid w:val="3750F737"/>
    <w:rsid w:val="37518578"/>
    <w:rsid w:val="375637B7"/>
    <w:rsid w:val="3758B58B"/>
    <w:rsid w:val="375A06C7"/>
    <w:rsid w:val="375ABA22"/>
    <w:rsid w:val="375B103B"/>
    <w:rsid w:val="375B5A39"/>
    <w:rsid w:val="375DD015"/>
    <w:rsid w:val="3761B178"/>
    <w:rsid w:val="37649B9B"/>
    <w:rsid w:val="3766190C"/>
    <w:rsid w:val="37691FFC"/>
    <w:rsid w:val="376B5618"/>
    <w:rsid w:val="376F9451"/>
    <w:rsid w:val="37725836"/>
    <w:rsid w:val="3772A377"/>
    <w:rsid w:val="3775B668"/>
    <w:rsid w:val="377867C1"/>
    <w:rsid w:val="37790FC2"/>
    <w:rsid w:val="377B2AB4"/>
    <w:rsid w:val="377D43B3"/>
    <w:rsid w:val="377FCDF9"/>
    <w:rsid w:val="37807CC8"/>
    <w:rsid w:val="3781C4B9"/>
    <w:rsid w:val="3782A01C"/>
    <w:rsid w:val="378409C7"/>
    <w:rsid w:val="37854B88"/>
    <w:rsid w:val="3786D4F9"/>
    <w:rsid w:val="3788ECC1"/>
    <w:rsid w:val="378DDE0E"/>
    <w:rsid w:val="378F9DCA"/>
    <w:rsid w:val="379008D2"/>
    <w:rsid w:val="37931B98"/>
    <w:rsid w:val="3795B194"/>
    <w:rsid w:val="3799D56B"/>
    <w:rsid w:val="379B65D6"/>
    <w:rsid w:val="379C2412"/>
    <w:rsid w:val="379C6BF3"/>
    <w:rsid w:val="379CF50C"/>
    <w:rsid w:val="37A5B5E4"/>
    <w:rsid w:val="37A7CB4E"/>
    <w:rsid w:val="37AD1E27"/>
    <w:rsid w:val="37B43632"/>
    <w:rsid w:val="37B7FD11"/>
    <w:rsid w:val="37BCC5F4"/>
    <w:rsid w:val="37BD9A43"/>
    <w:rsid w:val="37C0191A"/>
    <w:rsid w:val="37C0896C"/>
    <w:rsid w:val="37C7F3BE"/>
    <w:rsid w:val="37CBA86D"/>
    <w:rsid w:val="37D29537"/>
    <w:rsid w:val="37D518F4"/>
    <w:rsid w:val="37D59503"/>
    <w:rsid w:val="37D59D0E"/>
    <w:rsid w:val="37D701D2"/>
    <w:rsid w:val="37D9209B"/>
    <w:rsid w:val="37DA7487"/>
    <w:rsid w:val="37DC1511"/>
    <w:rsid w:val="37DC8896"/>
    <w:rsid w:val="37DD183F"/>
    <w:rsid w:val="37E1F750"/>
    <w:rsid w:val="37E764C3"/>
    <w:rsid w:val="37EF220C"/>
    <w:rsid w:val="37EF37C3"/>
    <w:rsid w:val="37EFEEE9"/>
    <w:rsid w:val="37F1FE5E"/>
    <w:rsid w:val="37F3B0EE"/>
    <w:rsid w:val="37F831B2"/>
    <w:rsid w:val="37F8A19C"/>
    <w:rsid w:val="37F9C680"/>
    <w:rsid w:val="37FC1F4A"/>
    <w:rsid w:val="37FEB0F2"/>
    <w:rsid w:val="3803B035"/>
    <w:rsid w:val="3807F33D"/>
    <w:rsid w:val="380ADF94"/>
    <w:rsid w:val="380E270B"/>
    <w:rsid w:val="38113E3D"/>
    <w:rsid w:val="381391DA"/>
    <w:rsid w:val="3815B70C"/>
    <w:rsid w:val="3818BDA1"/>
    <w:rsid w:val="3818E92E"/>
    <w:rsid w:val="381E03D1"/>
    <w:rsid w:val="382156AA"/>
    <w:rsid w:val="3821C4EB"/>
    <w:rsid w:val="3823A15A"/>
    <w:rsid w:val="3828729C"/>
    <w:rsid w:val="382C28CE"/>
    <w:rsid w:val="382FD8C3"/>
    <w:rsid w:val="38320681"/>
    <w:rsid w:val="3832EC96"/>
    <w:rsid w:val="3833DA70"/>
    <w:rsid w:val="38352FF3"/>
    <w:rsid w:val="383824E0"/>
    <w:rsid w:val="383E905E"/>
    <w:rsid w:val="383FB86C"/>
    <w:rsid w:val="384009AF"/>
    <w:rsid w:val="3840CF4D"/>
    <w:rsid w:val="3843A366"/>
    <w:rsid w:val="3845B0DA"/>
    <w:rsid w:val="38497DBE"/>
    <w:rsid w:val="384A2C7F"/>
    <w:rsid w:val="384AC375"/>
    <w:rsid w:val="384CE727"/>
    <w:rsid w:val="384D7E42"/>
    <w:rsid w:val="384DEC45"/>
    <w:rsid w:val="384E846D"/>
    <w:rsid w:val="38500280"/>
    <w:rsid w:val="3854FB1B"/>
    <w:rsid w:val="385B8CAB"/>
    <w:rsid w:val="385D224E"/>
    <w:rsid w:val="3860D829"/>
    <w:rsid w:val="386376E0"/>
    <w:rsid w:val="3863D9A3"/>
    <w:rsid w:val="3865090C"/>
    <w:rsid w:val="386A2FF4"/>
    <w:rsid w:val="386F5E85"/>
    <w:rsid w:val="386F67A0"/>
    <w:rsid w:val="3874A6DA"/>
    <w:rsid w:val="387A5105"/>
    <w:rsid w:val="387B42D3"/>
    <w:rsid w:val="387E1CA0"/>
    <w:rsid w:val="387E937E"/>
    <w:rsid w:val="38842491"/>
    <w:rsid w:val="38868E09"/>
    <w:rsid w:val="38893BD2"/>
    <w:rsid w:val="388D4319"/>
    <w:rsid w:val="388EF61D"/>
    <w:rsid w:val="3890EFF9"/>
    <w:rsid w:val="3894A3FB"/>
    <w:rsid w:val="389705C1"/>
    <w:rsid w:val="389E9C7F"/>
    <w:rsid w:val="38A0DEF8"/>
    <w:rsid w:val="38A2E5FE"/>
    <w:rsid w:val="38A309E6"/>
    <w:rsid w:val="38A32B11"/>
    <w:rsid w:val="38A83F67"/>
    <w:rsid w:val="38AC9236"/>
    <w:rsid w:val="38AE8453"/>
    <w:rsid w:val="38B345D4"/>
    <w:rsid w:val="38B78F4C"/>
    <w:rsid w:val="38BD4D7E"/>
    <w:rsid w:val="38BEA96F"/>
    <w:rsid w:val="38C1D766"/>
    <w:rsid w:val="38C67E57"/>
    <w:rsid w:val="38C8BCD7"/>
    <w:rsid w:val="38C9AE59"/>
    <w:rsid w:val="38CC785A"/>
    <w:rsid w:val="38CDCBC3"/>
    <w:rsid w:val="38D32BAE"/>
    <w:rsid w:val="38D3E26E"/>
    <w:rsid w:val="38D59561"/>
    <w:rsid w:val="38DACD75"/>
    <w:rsid w:val="38DCAA7F"/>
    <w:rsid w:val="38DCC583"/>
    <w:rsid w:val="38DE9BBF"/>
    <w:rsid w:val="38E02A0C"/>
    <w:rsid w:val="38E21F4C"/>
    <w:rsid w:val="38E23F66"/>
    <w:rsid w:val="38E34399"/>
    <w:rsid w:val="38E5153B"/>
    <w:rsid w:val="38E6459A"/>
    <w:rsid w:val="38ECDC30"/>
    <w:rsid w:val="38ED8324"/>
    <w:rsid w:val="38F11745"/>
    <w:rsid w:val="38F15D8F"/>
    <w:rsid w:val="38F4E4ED"/>
    <w:rsid w:val="38FBC717"/>
    <w:rsid w:val="38FC15BC"/>
    <w:rsid w:val="38FC611E"/>
    <w:rsid w:val="38FFCE8A"/>
    <w:rsid w:val="38FFDC0F"/>
    <w:rsid w:val="39003D0C"/>
    <w:rsid w:val="3908622B"/>
    <w:rsid w:val="390A512C"/>
    <w:rsid w:val="390DE0F3"/>
    <w:rsid w:val="390EF73C"/>
    <w:rsid w:val="3910E778"/>
    <w:rsid w:val="39115597"/>
    <w:rsid w:val="39118A0C"/>
    <w:rsid w:val="39160B2D"/>
    <w:rsid w:val="39161FD7"/>
    <w:rsid w:val="391AF10A"/>
    <w:rsid w:val="391C8CC6"/>
    <w:rsid w:val="391F65ED"/>
    <w:rsid w:val="3928645B"/>
    <w:rsid w:val="3928B291"/>
    <w:rsid w:val="39295B7A"/>
    <w:rsid w:val="392979E6"/>
    <w:rsid w:val="392A45D5"/>
    <w:rsid w:val="392D2A0D"/>
    <w:rsid w:val="392DEC32"/>
    <w:rsid w:val="39317843"/>
    <w:rsid w:val="393970DC"/>
    <w:rsid w:val="393E1C33"/>
    <w:rsid w:val="393F8535"/>
    <w:rsid w:val="3943C1F8"/>
    <w:rsid w:val="39448445"/>
    <w:rsid w:val="394634F6"/>
    <w:rsid w:val="39468956"/>
    <w:rsid w:val="3946F9B3"/>
    <w:rsid w:val="39493E4B"/>
    <w:rsid w:val="394BB865"/>
    <w:rsid w:val="394D7E4B"/>
    <w:rsid w:val="394F243A"/>
    <w:rsid w:val="39503F27"/>
    <w:rsid w:val="3951B78F"/>
    <w:rsid w:val="3951D56E"/>
    <w:rsid w:val="39526E82"/>
    <w:rsid w:val="39555770"/>
    <w:rsid w:val="39556069"/>
    <w:rsid w:val="395D27F8"/>
    <w:rsid w:val="395EBF3E"/>
    <w:rsid w:val="395FA90B"/>
    <w:rsid w:val="3963B837"/>
    <w:rsid w:val="3966ED21"/>
    <w:rsid w:val="3968F9DA"/>
    <w:rsid w:val="396D1EE2"/>
    <w:rsid w:val="396D2A7A"/>
    <w:rsid w:val="396E1367"/>
    <w:rsid w:val="396FF9C1"/>
    <w:rsid w:val="39702B41"/>
    <w:rsid w:val="39706A6E"/>
    <w:rsid w:val="3970D2F0"/>
    <w:rsid w:val="39745E33"/>
    <w:rsid w:val="39762E53"/>
    <w:rsid w:val="397880C9"/>
    <w:rsid w:val="397E74D8"/>
    <w:rsid w:val="397EA29C"/>
    <w:rsid w:val="3980F29C"/>
    <w:rsid w:val="398D1B27"/>
    <w:rsid w:val="3990A50C"/>
    <w:rsid w:val="3992215B"/>
    <w:rsid w:val="39963782"/>
    <w:rsid w:val="39975D3A"/>
    <w:rsid w:val="39976A54"/>
    <w:rsid w:val="399BECA1"/>
    <w:rsid w:val="399BF7D5"/>
    <w:rsid w:val="399FF64A"/>
    <w:rsid w:val="39A31E82"/>
    <w:rsid w:val="39A326FE"/>
    <w:rsid w:val="39AABBEE"/>
    <w:rsid w:val="39AB27AB"/>
    <w:rsid w:val="39B5008A"/>
    <w:rsid w:val="39B64920"/>
    <w:rsid w:val="39B83049"/>
    <w:rsid w:val="39BA197B"/>
    <w:rsid w:val="39BB56D4"/>
    <w:rsid w:val="39BBE993"/>
    <w:rsid w:val="39C0187E"/>
    <w:rsid w:val="39C24397"/>
    <w:rsid w:val="39C4B049"/>
    <w:rsid w:val="39CA431D"/>
    <w:rsid w:val="39CE2B80"/>
    <w:rsid w:val="39CE33A1"/>
    <w:rsid w:val="39D3FB1C"/>
    <w:rsid w:val="39D4384A"/>
    <w:rsid w:val="39D6B7E2"/>
    <w:rsid w:val="39D831E0"/>
    <w:rsid w:val="39D83B5C"/>
    <w:rsid w:val="39D95011"/>
    <w:rsid w:val="39DC4E78"/>
    <w:rsid w:val="39DFE820"/>
    <w:rsid w:val="39E0D6B1"/>
    <w:rsid w:val="39E14E6A"/>
    <w:rsid w:val="39E191C7"/>
    <w:rsid w:val="39E5CFF0"/>
    <w:rsid w:val="39EC20D9"/>
    <w:rsid w:val="39EE1481"/>
    <w:rsid w:val="39EEF004"/>
    <w:rsid w:val="39EF1B0D"/>
    <w:rsid w:val="39EFCE27"/>
    <w:rsid w:val="39F3EB02"/>
    <w:rsid w:val="39FAF95D"/>
    <w:rsid w:val="39FBC30F"/>
    <w:rsid w:val="3A002DB7"/>
    <w:rsid w:val="3A0250E8"/>
    <w:rsid w:val="3A049961"/>
    <w:rsid w:val="3A05B734"/>
    <w:rsid w:val="3A07E3F9"/>
    <w:rsid w:val="3A09AEC8"/>
    <w:rsid w:val="3A0A453E"/>
    <w:rsid w:val="3A0BF437"/>
    <w:rsid w:val="3A0EE912"/>
    <w:rsid w:val="3A175307"/>
    <w:rsid w:val="3A183269"/>
    <w:rsid w:val="3A1B6906"/>
    <w:rsid w:val="3A1C5F95"/>
    <w:rsid w:val="3A1FA789"/>
    <w:rsid w:val="3A2008EC"/>
    <w:rsid w:val="3A22E5F9"/>
    <w:rsid w:val="3A2378D5"/>
    <w:rsid w:val="3A2A68A6"/>
    <w:rsid w:val="3A2BB95E"/>
    <w:rsid w:val="3A31B8E0"/>
    <w:rsid w:val="3A331443"/>
    <w:rsid w:val="3A34C9AC"/>
    <w:rsid w:val="3A3627CA"/>
    <w:rsid w:val="3A3BB2B1"/>
    <w:rsid w:val="3A3CCD54"/>
    <w:rsid w:val="3A3D27C0"/>
    <w:rsid w:val="3A497D48"/>
    <w:rsid w:val="3A4C9A50"/>
    <w:rsid w:val="3A4EF7F1"/>
    <w:rsid w:val="3A50D5BD"/>
    <w:rsid w:val="3A57E1DD"/>
    <w:rsid w:val="3A596586"/>
    <w:rsid w:val="3A5B25AE"/>
    <w:rsid w:val="3A5B4A87"/>
    <w:rsid w:val="3A5CCD2C"/>
    <w:rsid w:val="3A5DF6C6"/>
    <w:rsid w:val="3A5FD386"/>
    <w:rsid w:val="3A607347"/>
    <w:rsid w:val="3A60F218"/>
    <w:rsid w:val="3A60F66A"/>
    <w:rsid w:val="3A64209B"/>
    <w:rsid w:val="3A64BAEA"/>
    <w:rsid w:val="3A6CC8DF"/>
    <w:rsid w:val="3A729261"/>
    <w:rsid w:val="3A72DB30"/>
    <w:rsid w:val="3A77508D"/>
    <w:rsid w:val="3A7CE7B0"/>
    <w:rsid w:val="3A7FAA1A"/>
    <w:rsid w:val="3A803D22"/>
    <w:rsid w:val="3A815958"/>
    <w:rsid w:val="3A81DA3C"/>
    <w:rsid w:val="3A86B6EE"/>
    <w:rsid w:val="3A8A4C10"/>
    <w:rsid w:val="3A8FEF77"/>
    <w:rsid w:val="3A966078"/>
    <w:rsid w:val="3A996BBE"/>
    <w:rsid w:val="3A9A06E6"/>
    <w:rsid w:val="3A9FC55D"/>
    <w:rsid w:val="3AA0ED92"/>
    <w:rsid w:val="3AAA69CC"/>
    <w:rsid w:val="3AAD5C4E"/>
    <w:rsid w:val="3AAE7069"/>
    <w:rsid w:val="3AAEEECC"/>
    <w:rsid w:val="3AB26778"/>
    <w:rsid w:val="3AB5D665"/>
    <w:rsid w:val="3AB73658"/>
    <w:rsid w:val="3AB81367"/>
    <w:rsid w:val="3AB9DECB"/>
    <w:rsid w:val="3ABBED9B"/>
    <w:rsid w:val="3ABCFBBB"/>
    <w:rsid w:val="3ABF7B7F"/>
    <w:rsid w:val="3AC04A45"/>
    <w:rsid w:val="3AC7BD69"/>
    <w:rsid w:val="3AC7F5B6"/>
    <w:rsid w:val="3AC83FBE"/>
    <w:rsid w:val="3AC8E1E7"/>
    <w:rsid w:val="3AC93266"/>
    <w:rsid w:val="3ACA17C0"/>
    <w:rsid w:val="3ACB5A0A"/>
    <w:rsid w:val="3ACCBB77"/>
    <w:rsid w:val="3ACF7D0F"/>
    <w:rsid w:val="3AD1B345"/>
    <w:rsid w:val="3AD32ED8"/>
    <w:rsid w:val="3AD6579E"/>
    <w:rsid w:val="3ADAAB2B"/>
    <w:rsid w:val="3ADAF66C"/>
    <w:rsid w:val="3ADBFF13"/>
    <w:rsid w:val="3ADCC80F"/>
    <w:rsid w:val="3ADD0463"/>
    <w:rsid w:val="3AE29B55"/>
    <w:rsid w:val="3AE329D0"/>
    <w:rsid w:val="3AEC9BAB"/>
    <w:rsid w:val="3AF2CDA3"/>
    <w:rsid w:val="3AF72D02"/>
    <w:rsid w:val="3AFA5D2B"/>
    <w:rsid w:val="3B000603"/>
    <w:rsid w:val="3B013E59"/>
    <w:rsid w:val="3B022DDA"/>
    <w:rsid w:val="3B02D0E3"/>
    <w:rsid w:val="3B03984B"/>
    <w:rsid w:val="3B0865C1"/>
    <w:rsid w:val="3B08E479"/>
    <w:rsid w:val="3B092AE8"/>
    <w:rsid w:val="3B09DFBE"/>
    <w:rsid w:val="3B0A7C87"/>
    <w:rsid w:val="3B142DC4"/>
    <w:rsid w:val="3B17853B"/>
    <w:rsid w:val="3B198AB1"/>
    <w:rsid w:val="3B1B6616"/>
    <w:rsid w:val="3B1BAA5D"/>
    <w:rsid w:val="3B1CC532"/>
    <w:rsid w:val="3B1D9514"/>
    <w:rsid w:val="3B220F28"/>
    <w:rsid w:val="3B29CC8A"/>
    <w:rsid w:val="3B2F33CD"/>
    <w:rsid w:val="3B34F170"/>
    <w:rsid w:val="3B3539FA"/>
    <w:rsid w:val="3B3587B9"/>
    <w:rsid w:val="3B3619F1"/>
    <w:rsid w:val="3B390EC7"/>
    <w:rsid w:val="3B392578"/>
    <w:rsid w:val="3B3A6E2D"/>
    <w:rsid w:val="3B3B3EE8"/>
    <w:rsid w:val="3B3FC650"/>
    <w:rsid w:val="3B42BB03"/>
    <w:rsid w:val="3B4335E4"/>
    <w:rsid w:val="3B433AE5"/>
    <w:rsid w:val="3B480C2C"/>
    <w:rsid w:val="3B4BD139"/>
    <w:rsid w:val="3B4BF02C"/>
    <w:rsid w:val="3B4C6C7D"/>
    <w:rsid w:val="3B4C9F9C"/>
    <w:rsid w:val="3B4E3927"/>
    <w:rsid w:val="3B4EB53D"/>
    <w:rsid w:val="3B4FFED0"/>
    <w:rsid w:val="3B504A8E"/>
    <w:rsid w:val="3B52B99D"/>
    <w:rsid w:val="3B537550"/>
    <w:rsid w:val="3B5761F7"/>
    <w:rsid w:val="3B59C631"/>
    <w:rsid w:val="3B5B31FE"/>
    <w:rsid w:val="3B5E45CF"/>
    <w:rsid w:val="3B5FC560"/>
    <w:rsid w:val="3B64DF7C"/>
    <w:rsid w:val="3B694344"/>
    <w:rsid w:val="3B6E2850"/>
    <w:rsid w:val="3B6FF085"/>
    <w:rsid w:val="3B72DF31"/>
    <w:rsid w:val="3B760084"/>
    <w:rsid w:val="3B7C7C8E"/>
    <w:rsid w:val="3B7DC161"/>
    <w:rsid w:val="3B8443E4"/>
    <w:rsid w:val="3B84E6A7"/>
    <w:rsid w:val="3B87BC85"/>
    <w:rsid w:val="3B88F9E2"/>
    <w:rsid w:val="3B8997D8"/>
    <w:rsid w:val="3B911191"/>
    <w:rsid w:val="3B926C44"/>
    <w:rsid w:val="3B9273C7"/>
    <w:rsid w:val="3B98CF7C"/>
    <w:rsid w:val="3B9AA51F"/>
    <w:rsid w:val="3B9C35EF"/>
    <w:rsid w:val="3B9F9422"/>
    <w:rsid w:val="3BA174CF"/>
    <w:rsid w:val="3BA24DD1"/>
    <w:rsid w:val="3BA3A3B6"/>
    <w:rsid w:val="3BA6A563"/>
    <w:rsid w:val="3BAB6ED1"/>
    <w:rsid w:val="3BABC9B2"/>
    <w:rsid w:val="3BB72009"/>
    <w:rsid w:val="3BBA12FF"/>
    <w:rsid w:val="3BBAD0D1"/>
    <w:rsid w:val="3BBC3E5A"/>
    <w:rsid w:val="3BBD8E4C"/>
    <w:rsid w:val="3BBE5758"/>
    <w:rsid w:val="3BC8077B"/>
    <w:rsid w:val="3BCA062D"/>
    <w:rsid w:val="3BCB267A"/>
    <w:rsid w:val="3BD1312D"/>
    <w:rsid w:val="3BD1C2AF"/>
    <w:rsid w:val="3BD4B2B4"/>
    <w:rsid w:val="3BD5B00D"/>
    <w:rsid w:val="3BDC023A"/>
    <w:rsid w:val="3BDD1CA0"/>
    <w:rsid w:val="3BE1BDF1"/>
    <w:rsid w:val="3BE5B379"/>
    <w:rsid w:val="3BE5FD65"/>
    <w:rsid w:val="3BE8FB14"/>
    <w:rsid w:val="3BEB4254"/>
    <w:rsid w:val="3BEC89BC"/>
    <w:rsid w:val="3BF07D9A"/>
    <w:rsid w:val="3BF86404"/>
    <w:rsid w:val="3C017FB0"/>
    <w:rsid w:val="3C0254FD"/>
    <w:rsid w:val="3C025EBE"/>
    <w:rsid w:val="3C02E34D"/>
    <w:rsid w:val="3C06CF40"/>
    <w:rsid w:val="3C0D658D"/>
    <w:rsid w:val="3C0E220E"/>
    <w:rsid w:val="3C12061A"/>
    <w:rsid w:val="3C129AB5"/>
    <w:rsid w:val="3C12DBFA"/>
    <w:rsid w:val="3C12F449"/>
    <w:rsid w:val="3C178967"/>
    <w:rsid w:val="3C179A92"/>
    <w:rsid w:val="3C1BB634"/>
    <w:rsid w:val="3C225BD6"/>
    <w:rsid w:val="3C2420DA"/>
    <w:rsid w:val="3C2E8A64"/>
    <w:rsid w:val="3C2FA4C2"/>
    <w:rsid w:val="3C2FB383"/>
    <w:rsid w:val="3C394FEC"/>
    <w:rsid w:val="3C3993E2"/>
    <w:rsid w:val="3C3B0D10"/>
    <w:rsid w:val="3C3BFA33"/>
    <w:rsid w:val="3C3D9BF2"/>
    <w:rsid w:val="3C3EBC04"/>
    <w:rsid w:val="3C437EF6"/>
    <w:rsid w:val="3C441843"/>
    <w:rsid w:val="3C45CCE0"/>
    <w:rsid w:val="3C4D3077"/>
    <w:rsid w:val="3C4E06B1"/>
    <w:rsid w:val="3C4F6188"/>
    <w:rsid w:val="3C5BB573"/>
    <w:rsid w:val="3C5D72A6"/>
    <w:rsid w:val="3C5ECD5A"/>
    <w:rsid w:val="3C65626A"/>
    <w:rsid w:val="3C69BEDD"/>
    <w:rsid w:val="3C701DBA"/>
    <w:rsid w:val="3C70534F"/>
    <w:rsid w:val="3C7CF9A3"/>
    <w:rsid w:val="3C877721"/>
    <w:rsid w:val="3C885D0C"/>
    <w:rsid w:val="3C8B8091"/>
    <w:rsid w:val="3C8D5416"/>
    <w:rsid w:val="3C8E06F3"/>
    <w:rsid w:val="3C8E0714"/>
    <w:rsid w:val="3C8E173B"/>
    <w:rsid w:val="3C915DF1"/>
    <w:rsid w:val="3C92CC23"/>
    <w:rsid w:val="3C94A925"/>
    <w:rsid w:val="3C94F887"/>
    <w:rsid w:val="3C97171B"/>
    <w:rsid w:val="3C97FBBF"/>
    <w:rsid w:val="3C9ACF9F"/>
    <w:rsid w:val="3C9BA275"/>
    <w:rsid w:val="3CA37841"/>
    <w:rsid w:val="3CA5CEEC"/>
    <w:rsid w:val="3CA6C9FA"/>
    <w:rsid w:val="3CA7CF1C"/>
    <w:rsid w:val="3CACA463"/>
    <w:rsid w:val="3CACC873"/>
    <w:rsid w:val="3CACDF5A"/>
    <w:rsid w:val="3CAD050E"/>
    <w:rsid w:val="3CAE9380"/>
    <w:rsid w:val="3CB34EFF"/>
    <w:rsid w:val="3CB632C4"/>
    <w:rsid w:val="3CB6C61E"/>
    <w:rsid w:val="3CBA925B"/>
    <w:rsid w:val="3CBB5651"/>
    <w:rsid w:val="3CBD6ED4"/>
    <w:rsid w:val="3CBDD193"/>
    <w:rsid w:val="3CBE5CB0"/>
    <w:rsid w:val="3CBE9D09"/>
    <w:rsid w:val="3CC641EB"/>
    <w:rsid w:val="3CC71803"/>
    <w:rsid w:val="3CC9B548"/>
    <w:rsid w:val="3CCE262E"/>
    <w:rsid w:val="3CCFF8BB"/>
    <w:rsid w:val="3CD2611E"/>
    <w:rsid w:val="3CD31A9E"/>
    <w:rsid w:val="3CDD572A"/>
    <w:rsid w:val="3CDEA2A9"/>
    <w:rsid w:val="3CDF6326"/>
    <w:rsid w:val="3CE139D9"/>
    <w:rsid w:val="3CE2C78B"/>
    <w:rsid w:val="3CE6A543"/>
    <w:rsid w:val="3CEB327E"/>
    <w:rsid w:val="3CEB9DB2"/>
    <w:rsid w:val="3CF04325"/>
    <w:rsid w:val="3CF0873E"/>
    <w:rsid w:val="3CF1531B"/>
    <w:rsid w:val="3CFDEB89"/>
    <w:rsid w:val="3D011952"/>
    <w:rsid w:val="3D03F5BE"/>
    <w:rsid w:val="3D03F9F7"/>
    <w:rsid w:val="3D08ABAE"/>
    <w:rsid w:val="3D09FF88"/>
    <w:rsid w:val="3D0CF1B7"/>
    <w:rsid w:val="3D18A929"/>
    <w:rsid w:val="3D1B45BA"/>
    <w:rsid w:val="3D1CADD2"/>
    <w:rsid w:val="3D1D53B5"/>
    <w:rsid w:val="3D1F6CF1"/>
    <w:rsid w:val="3D2E16D4"/>
    <w:rsid w:val="3D2E4EFB"/>
    <w:rsid w:val="3D31DB21"/>
    <w:rsid w:val="3D3306A9"/>
    <w:rsid w:val="3D36255D"/>
    <w:rsid w:val="3D380388"/>
    <w:rsid w:val="3D3C05C2"/>
    <w:rsid w:val="3D3E4BC5"/>
    <w:rsid w:val="3D3ECE69"/>
    <w:rsid w:val="3D400CD1"/>
    <w:rsid w:val="3D412F86"/>
    <w:rsid w:val="3D41F09F"/>
    <w:rsid w:val="3D491BFA"/>
    <w:rsid w:val="3D4AE6A4"/>
    <w:rsid w:val="3D4E1823"/>
    <w:rsid w:val="3D4F1F8C"/>
    <w:rsid w:val="3D506B28"/>
    <w:rsid w:val="3D52B72E"/>
    <w:rsid w:val="3D54BC9A"/>
    <w:rsid w:val="3D56FC49"/>
    <w:rsid w:val="3D5704F6"/>
    <w:rsid w:val="3D59D418"/>
    <w:rsid w:val="3D5CD57C"/>
    <w:rsid w:val="3D5DA08C"/>
    <w:rsid w:val="3D5F46E1"/>
    <w:rsid w:val="3D6016E3"/>
    <w:rsid w:val="3D637D8C"/>
    <w:rsid w:val="3D640E5C"/>
    <w:rsid w:val="3D6749D0"/>
    <w:rsid w:val="3D68457F"/>
    <w:rsid w:val="3D68FBAD"/>
    <w:rsid w:val="3D6C37EC"/>
    <w:rsid w:val="3D6C52FE"/>
    <w:rsid w:val="3D6FE01F"/>
    <w:rsid w:val="3D705E60"/>
    <w:rsid w:val="3D72DA14"/>
    <w:rsid w:val="3D7D156D"/>
    <w:rsid w:val="3D7F4EDE"/>
    <w:rsid w:val="3D801404"/>
    <w:rsid w:val="3D8079A9"/>
    <w:rsid w:val="3D80CB00"/>
    <w:rsid w:val="3D81EC1A"/>
    <w:rsid w:val="3D82E2EF"/>
    <w:rsid w:val="3D846D24"/>
    <w:rsid w:val="3D846FB3"/>
    <w:rsid w:val="3D89B3CE"/>
    <w:rsid w:val="3D8C0D03"/>
    <w:rsid w:val="3D9259FD"/>
    <w:rsid w:val="3D92B97A"/>
    <w:rsid w:val="3D965CC2"/>
    <w:rsid w:val="3D9AA219"/>
    <w:rsid w:val="3DA229D1"/>
    <w:rsid w:val="3DA99D46"/>
    <w:rsid w:val="3DAB37C8"/>
    <w:rsid w:val="3DAB41AD"/>
    <w:rsid w:val="3DB242EC"/>
    <w:rsid w:val="3DB6B79D"/>
    <w:rsid w:val="3DBE98A5"/>
    <w:rsid w:val="3DC7FC8B"/>
    <w:rsid w:val="3DD00D5D"/>
    <w:rsid w:val="3DDB2116"/>
    <w:rsid w:val="3DDE8FB9"/>
    <w:rsid w:val="3DE2ECD5"/>
    <w:rsid w:val="3DE8E18F"/>
    <w:rsid w:val="3DF07044"/>
    <w:rsid w:val="3DF4F70A"/>
    <w:rsid w:val="3DFBEB16"/>
    <w:rsid w:val="3DFD43A8"/>
    <w:rsid w:val="3DFF3597"/>
    <w:rsid w:val="3DFF35EE"/>
    <w:rsid w:val="3E08A14C"/>
    <w:rsid w:val="3E0B2C7B"/>
    <w:rsid w:val="3E0BB450"/>
    <w:rsid w:val="3E0FD56A"/>
    <w:rsid w:val="3E110E2C"/>
    <w:rsid w:val="3E115FC6"/>
    <w:rsid w:val="3E151EEF"/>
    <w:rsid w:val="3E19879A"/>
    <w:rsid w:val="3E1CCA41"/>
    <w:rsid w:val="3E1E230F"/>
    <w:rsid w:val="3E1EF1DC"/>
    <w:rsid w:val="3E2509C0"/>
    <w:rsid w:val="3E2679AB"/>
    <w:rsid w:val="3E284A1D"/>
    <w:rsid w:val="3E28CADF"/>
    <w:rsid w:val="3E2AAADE"/>
    <w:rsid w:val="3E2B3B27"/>
    <w:rsid w:val="3E3080CF"/>
    <w:rsid w:val="3E312529"/>
    <w:rsid w:val="3E35F77E"/>
    <w:rsid w:val="3E385191"/>
    <w:rsid w:val="3E394E5F"/>
    <w:rsid w:val="3E3A8CC7"/>
    <w:rsid w:val="3E3F8C8D"/>
    <w:rsid w:val="3E408AE1"/>
    <w:rsid w:val="3E42C847"/>
    <w:rsid w:val="3E44E9EE"/>
    <w:rsid w:val="3E48432B"/>
    <w:rsid w:val="3E4BA382"/>
    <w:rsid w:val="3E4C2E24"/>
    <w:rsid w:val="3E51FB69"/>
    <w:rsid w:val="3E5E3D36"/>
    <w:rsid w:val="3E5EBC7B"/>
    <w:rsid w:val="3E6137E3"/>
    <w:rsid w:val="3E63A279"/>
    <w:rsid w:val="3E63E1BB"/>
    <w:rsid w:val="3E64B422"/>
    <w:rsid w:val="3E670FB0"/>
    <w:rsid w:val="3E676838"/>
    <w:rsid w:val="3E6875C3"/>
    <w:rsid w:val="3E690E35"/>
    <w:rsid w:val="3E693FC9"/>
    <w:rsid w:val="3E6AD381"/>
    <w:rsid w:val="3E6B0B5D"/>
    <w:rsid w:val="3E6B7762"/>
    <w:rsid w:val="3E6E5385"/>
    <w:rsid w:val="3E6F55F7"/>
    <w:rsid w:val="3E6FBE06"/>
    <w:rsid w:val="3E7849BF"/>
    <w:rsid w:val="3E78C596"/>
    <w:rsid w:val="3E81291A"/>
    <w:rsid w:val="3E82492C"/>
    <w:rsid w:val="3E82F00E"/>
    <w:rsid w:val="3E85D0D6"/>
    <w:rsid w:val="3E866918"/>
    <w:rsid w:val="3E8751D9"/>
    <w:rsid w:val="3E90BA9D"/>
    <w:rsid w:val="3E9167A7"/>
    <w:rsid w:val="3E938403"/>
    <w:rsid w:val="3E9489BD"/>
    <w:rsid w:val="3E977A5A"/>
    <w:rsid w:val="3E9795D1"/>
    <w:rsid w:val="3E98B5DC"/>
    <w:rsid w:val="3EA20F29"/>
    <w:rsid w:val="3EA4C560"/>
    <w:rsid w:val="3EA590D4"/>
    <w:rsid w:val="3EA6493F"/>
    <w:rsid w:val="3EA79592"/>
    <w:rsid w:val="3EA8CD86"/>
    <w:rsid w:val="3EAB2F5F"/>
    <w:rsid w:val="3EACBD1F"/>
    <w:rsid w:val="3EAECA94"/>
    <w:rsid w:val="3EB3174C"/>
    <w:rsid w:val="3EB359FE"/>
    <w:rsid w:val="3EB5011F"/>
    <w:rsid w:val="3EB56AEC"/>
    <w:rsid w:val="3EBCD3E7"/>
    <w:rsid w:val="3EBE3B17"/>
    <w:rsid w:val="3EC1377E"/>
    <w:rsid w:val="3EC1685A"/>
    <w:rsid w:val="3ECB3444"/>
    <w:rsid w:val="3ECEB101"/>
    <w:rsid w:val="3ED018DD"/>
    <w:rsid w:val="3ED775AE"/>
    <w:rsid w:val="3ED990A6"/>
    <w:rsid w:val="3EDA7546"/>
    <w:rsid w:val="3EE0FFAE"/>
    <w:rsid w:val="3EE3C205"/>
    <w:rsid w:val="3EE80AA6"/>
    <w:rsid w:val="3EEA0787"/>
    <w:rsid w:val="3EF15B28"/>
    <w:rsid w:val="3EF186E3"/>
    <w:rsid w:val="3EF204C5"/>
    <w:rsid w:val="3EF233AF"/>
    <w:rsid w:val="3EF3211D"/>
    <w:rsid w:val="3EFB8657"/>
    <w:rsid w:val="3F022CCB"/>
    <w:rsid w:val="3F02765C"/>
    <w:rsid w:val="3F028B85"/>
    <w:rsid w:val="3F054D9F"/>
    <w:rsid w:val="3F068DAE"/>
    <w:rsid w:val="3F06FFC5"/>
    <w:rsid w:val="3F071014"/>
    <w:rsid w:val="3F080F56"/>
    <w:rsid w:val="3F08BE38"/>
    <w:rsid w:val="3F096969"/>
    <w:rsid w:val="3F0BBF03"/>
    <w:rsid w:val="3F0D5AC7"/>
    <w:rsid w:val="3F188EF2"/>
    <w:rsid w:val="3F1CEB04"/>
    <w:rsid w:val="3F1D6D43"/>
    <w:rsid w:val="3F227562"/>
    <w:rsid w:val="3F238238"/>
    <w:rsid w:val="3F23B4DF"/>
    <w:rsid w:val="3F25FE11"/>
    <w:rsid w:val="3F27F18F"/>
    <w:rsid w:val="3F2C2F4B"/>
    <w:rsid w:val="3F2D9530"/>
    <w:rsid w:val="3F2FDA5A"/>
    <w:rsid w:val="3F33E2CE"/>
    <w:rsid w:val="3F349357"/>
    <w:rsid w:val="3F34A492"/>
    <w:rsid w:val="3F34B22D"/>
    <w:rsid w:val="3F3BC7A2"/>
    <w:rsid w:val="3F57F88F"/>
    <w:rsid w:val="3F59B587"/>
    <w:rsid w:val="3F5B1CC4"/>
    <w:rsid w:val="3F5DE98F"/>
    <w:rsid w:val="3F5EEB2D"/>
    <w:rsid w:val="3F637209"/>
    <w:rsid w:val="3F656E6D"/>
    <w:rsid w:val="3F65B44C"/>
    <w:rsid w:val="3F695564"/>
    <w:rsid w:val="3F6A68A8"/>
    <w:rsid w:val="3F712103"/>
    <w:rsid w:val="3F75A7A9"/>
    <w:rsid w:val="3F75F6C7"/>
    <w:rsid w:val="3F7CFCE8"/>
    <w:rsid w:val="3F7F196F"/>
    <w:rsid w:val="3F885D91"/>
    <w:rsid w:val="3F8A586E"/>
    <w:rsid w:val="3F8BF4E7"/>
    <w:rsid w:val="3F8E5615"/>
    <w:rsid w:val="3F909E48"/>
    <w:rsid w:val="3F925BD5"/>
    <w:rsid w:val="3F9440A3"/>
    <w:rsid w:val="3F94B4BF"/>
    <w:rsid w:val="3F977162"/>
    <w:rsid w:val="3F983667"/>
    <w:rsid w:val="3F9964D3"/>
    <w:rsid w:val="3F9AC8E6"/>
    <w:rsid w:val="3F9B3EB8"/>
    <w:rsid w:val="3F9C4369"/>
    <w:rsid w:val="3F9E8100"/>
    <w:rsid w:val="3F9EFE87"/>
    <w:rsid w:val="3FA0441E"/>
    <w:rsid w:val="3FA2B32C"/>
    <w:rsid w:val="3FA9FBDB"/>
    <w:rsid w:val="3FAF714A"/>
    <w:rsid w:val="3FB2CAE8"/>
    <w:rsid w:val="3FB2FAD7"/>
    <w:rsid w:val="3FB73F0F"/>
    <w:rsid w:val="3FC167DC"/>
    <w:rsid w:val="3FC1C8B8"/>
    <w:rsid w:val="3FC897F1"/>
    <w:rsid w:val="3FCC92DA"/>
    <w:rsid w:val="3FCCEF4D"/>
    <w:rsid w:val="3FD37BD8"/>
    <w:rsid w:val="3FD4C52F"/>
    <w:rsid w:val="3FD503BE"/>
    <w:rsid w:val="3FD7782A"/>
    <w:rsid w:val="3FDAFCC1"/>
    <w:rsid w:val="3FDB1CFC"/>
    <w:rsid w:val="3FDBE414"/>
    <w:rsid w:val="3FDFEECF"/>
    <w:rsid w:val="3FE01CE1"/>
    <w:rsid w:val="3FE41C34"/>
    <w:rsid w:val="3FE83496"/>
    <w:rsid w:val="3FEC065F"/>
    <w:rsid w:val="3FEC20C2"/>
    <w:rsid w:val="3FF32BAD"/>
    <w:rsid w:val="3FFA9350"/>
    <w:rsid w:val="3FFED907"/>
    <w:rsid w:val="400009B0"/>
    <w:rsid w:val="40004437"/>
    <w:rsid w:val="4003F6E1"/>
    <w:rsid w:val="40077C77"/>
    <w:rsid w:val="4009CDE2"/>
    <w:rsid w:val="400F8A76"/>
    <w:rsid w:val="40136980"/>
    <w:rsid w:val="4019927B"/>
    <w:rsid w:val="401EC171"/>
    <w:rsid w:val="401F1F80"/>
    <w:rsid w:val="402287B6"/>
    <w:rsid w:val="40248E8B"/>
    <w:rsid w:val="40252645"/>
    <w:rsid w:val="4029AFD5"/>
    <w:rsid w:val="402DFBCC"/>
    <w:rsid w:val="402F274A"/>
    <w:rsid w:val="402FE912"/>
    <w:rsid w:val="403F15D2"/>
    <w:rsid w:val="404168A7"/>
    <w:rsid w:val="404618EE"/>
    <w:rsid w:val="404986A3"/>
    <w:rsid w:val="404B6BC9"/>
    <w:rsid w:val="404FFA63"/>
    <w:rsid w:val="4056F872"/>
    <w:rsid w:val="40571796"/>
    <w:rsid w:val="40584322"/>
    <w:rsid w:val="40584A4A"/>
    <w:rsid w:val="4059CEF3"/>
    <w:rsid w:val="405D9F12"/>
    <w:rsid w:val="405DA778"/>
    <w:rsid w:val="40670C76"/>
    <w:rsid w:val="4067DC87"/>
    <w:rsid w:val="406A0DFB"/>
    <w:rsid w:val="406F23EE"/>
    <w:rsid w:val="4070DACA"/>
    <w:rsid w:val="40747A2A"/>
    <w:rsid w:val="4076C8E7"/>
    <w:rsid w:val="4079A224"/>
    <w:rsid w:val="4079CF7F"/>
    <w:rsid w:val="40829198"/>
    <w:rsid w:val="4082FFEB"/>
    <w:rsid w:val="4083A9DE"/>
    <w:rsid w:val="408639B8"/>
    <w:rsid w:val="4088B091"/>
    <w:rsid w:val="408B17A7"/>
    <w:rsid w:val="408C488E"/>
    <w:rsid w:val="408CF183"/>
    <w:rsid w:val="408FCEF1"/>
    <w:rsid w:val="40916486"/>
    <w:rsid w:val="4093A23D"/>
    <w:rsid w:val="40992DC0"/>
    <w:rsid w:val="409DE73A"/>
    <w:rsid w:val="40A3E78B"/>
    <w:rsid w:val="40A70B31"/>
    <w:rsid w:val="40A73473"/>
    <w:rsid w:val="40B040FC"/>
    <w:rsid w:val="40B13426"/>
    <w:rsid w:val="40B6414C"/>
    <w:rsid w:val="40BD55A4"/>
    <w:rsid w:val="40BE840B"/>
    <w:rsid w:val="40C163CC"/>
    <w:rsid w:val="40C1CAF1"/>
    <w:rsid w:val="40C73B31"/>
    <w:rsid w:val="40C9A6B3"/>
    <w:rsid w:val="40CB4D93"/>
    <w:rsid w:val="40CBB0C5"/>
    <w:rsid w:val="40CF6BAD"/>
    <w:rsid w:val="40D00F81"/>
    <w:rsid w:val="40D4879C"/>
    <w:rsid w:val="40D5ADD2"/>
    <w:rsid w:val="40D8712D"/>
    <w:rsid w:val="40D990A0"/>
    <w:rsid w:val="40DBD507"/>
    <w:rsid w:val="40DE4686"/>
    <w:rsid w:val="40DED3EA"/>
    <w:rsid w:val="40E124ED"/>
    <w:rsid w:val="40EBC46F"/>
    <w:rsid w:val="40EE08E5"/>
    <w:rsid w:val="40EEC4E1"/>
    <w:rsid w:val="40EF4669"/>
    <w:rsid w:val="40F2582C"/>
    <w:rsid w:val="40F421FF"/>
    <w:rsid w:val="40F53341"/>
    <w:rsid w:val="40F59607"/>
    <w:rsid w:val="40F66B96"/>
    <w:rsid w:val="40F9496A"/>
    <w:rsid w:val="40F97DBF"/>
    <w:rsid w:val="40F9E21F"/>
    <w:rsid w:val="40FF51B5"/>
    <w:rsid w:val="4100CF9A"/>
    <w:rsid w:val="4101F058"/>
    <w:rsid w:val="4102940E"/>
    <w:rsid w:val="410C0E0C"/>
    <w:rsid w:val="410D1508"/>
    <w:rsid w:val="410DFEEC"/>
    <w:rsid w:val="410F97CD"/>
    <w:rsid w:val="411BAA5B"/>
    <w:rsid w:val="411BF30D"/>
    <w:rsid w:val="411D86C7"/>
    <w:rsid w:val="411E8E08"/>
    <w:rsid w:val="4120EADF"/>
    <w:rsid w:val="41213388"/>
    <w:rsid w:val="4123503E"/>
    <w:rsid w:val="4126BEAA"/>
    <w:rsid w:val="412956EF"/>
    <w:rsid w:val="412F408A"/>
    <w:rsid w:val="412FD9F2"/>
    <w:rsid w:val="4135F4D5"/>
    <w:rsid w:val="41385DD5"/>
    <w:rsid w:val="4139601B"/>
    <w:rsid w:val="413C8DC2"/>
    <w:rsid w:val="413EAA46"/>
    <w:rsid w:val="41432865"/>
    <w:rsid w:val="4145FB4B"/>
    <w:rsid w:val="4147C8C6"/>
    <w:rsid w:val="415090E4"/>
    <w:rsid w:val="415216B8"/>
    <w:rsid w:val="41536BFE"/>
    <w:rsid w:val="4154B04B"/>
    <w:rsid w:val="41562414"/>
    <w:rsid w:val="415E7B41"/>
    <w:rsid w:val="41661DE3"/>
    <w:rsid w:val="4169A857"/>
    <w:rsid w:val="416BE5DE"/>
    <w:rsid w:val="416CEFAD"/>
    <w:rsid w:val="4171FB7A"/>
    <w:rsid w:val="4172D404"/>
    <w:rsid w:val="41797D23"/>
    <w:rsid w:val="417B14DC"/>
    <w:rsid w:val="417D8E66"/>
    <w:rsid w:val="41816A8C"/>
    <w:rsid w:val="418A78C0"/>
    <w:rsid w:val="418AD98E"/>
    <w:rsid w:val="4192C1E6"/>
    <w:rsid w:val="41941C37"/>
    <w:rsid w:val="4195589A"/>
    <w:rsid w:val="419A6DE5"/>
    <w:rsid w:val="419CDCE6"/>
    <w:rsid w:val="419E31E7"/>
    <w:rsid w:val="419EB69D"/>
    <w:rsid w:val="419F7790"/>
    <w:rsid w:val="41A074F3"/>
    <w:rsid w:val="41A509C2"/>
    <w:rsid w:val="41A97D27"/>
    <w:rsid w:val="41AF049F"/>
    <w:rsid w:val="41B356AA"/>
    <w:rsid w:val="41B5471F"/>
    <w:rsid w:val="41B54E89"/>
    <w:rsid w:val="41BA1116"/>
    <w:rsid w:val="41BA7580"/>
    <w:rsid w:val="41BAEA33"/>
    <w:rsid w:val="41BC87AD"/>
    <w:rsid w:val="41BD19B6"/>
    <w:rsid w:val="41C15A39"/>
    <w:rsid w:val="41C750B3"/>
    <w:rsid w:val="41CA7277"/>
    <w:rsid w:val="41CB2520"/>
    <w:rsid w:val="41D3708A"/>
    <w:rsid w:val="41D3C4D2"/>
    <w:rsid w:val="41D428E4"/>
    <w:rsid w:val="41D47C22"/>
    <w:rsid w:val="41DCA993"/>
    <w:rsid w:val="41DCED73"/>
    <w:rsid w:val="41E39CEF"/>
    <w:rsid w:val="41E577DD"/>
    <w:rsid w:val="41E60F09"/>
    <w:rsid w:val="41E6B1E0"/>
    <w:rsid w:val="41E8E309"/>
    <w:rsid w:val="41E905FF"/>
    <w:rsid w:val="41EACE0D"/>
    <w:rsid w:val="41EDEA8A"/>
    <w:rsid w:val="41EF3796"/>
    <w:rsid w:val="41EFA57B"/>
    <w:rsid w:val="41F5CB2A"/>
    <w:rsid w:val="41F80F79"/>
    <w:rsid w:val="41FB2578"/>
    <w:rsid w:val="41FB2DC2"/>
    <w:rsid w:val="41FEE34C"/>
    <w:rsid w:val="42027A9A"/>
    <w:rsid w:val="4204829B"/>
    <w:rsid w:val="4207E981"/>
    <w:rsid w:val="420AC154"/>
    <w:rsid w:val="420C84A9"/>
    <w:rsid w:val="420EB8E7"/>
    <w:rsid w:val="42114E97"/>
    <w:rsid w:val="4213B330"/>
    <w:rsid w:val="42141564"/>
    <w:rsid w:val="421B4639"/>
    <w:rsid w:val="421F853A"/>
    <w:rsid w:val="4220A9C0"/>
    <w:rsid w:val="4220AAC5"/>
    <w:rsid w:val="4227154F"/>
    <w:rsid w:val="4228C45D"/>
    <w:rsid w:val="4229C0C8"/>
    <w:rsid w:val="422CF772"/>
    <w:rsid w:val="422D2082"/>
    <w:rsid w:val="422DD27E"/>
    <w:rsid w:val="422E79FB"/>
    <w:rsid w:val="423051E1"/>
    <w:rsid w:val="4232680E"/>
    <w:rsid w:val="4232EA54"/>
    <w:rsid w:val="4233DB3E"/>
    <w:rsid w:val="4233DF3F"/>
    <w:rsid w:val="42367F3F"/>
    <w:rsid w:val="423CA17F"/>
    <w:rsid w:val="423E18B2"/>
    <w:rsid w:val="423E7DB4"/>
    <w:rsid w:val="4246C626"/>
    <w:rsid w:val="424916A3"/>
    <w:rsid w:val="424964BD"/>
    <w:rsid w:val="424A7745"/>
    <w:rsid w:val="424E6F76"/>
    <w:rsid w:val="4250311A"/>
    <w:rsid w:val="425481EC"/>
    <w:rsid w:val="4254EAC9"/>
    <w:rsid w:val="425A875E"/>
    <w:rsid w:val="425CFD5A"/>
    <w:rsid w:val="425DA089"/>
    <w:rsid w:val="4269BC63"/>
    <w:rsid w:val="426FD98C"/>
    <w:rsid w:val="42724966"/>
    <w:rsid w:val="42737C68"/>
    <w:rsid w:val="42745A6C"/>
    <w:rsid w:val="427D5A66"/>
    <w:rsid w:val="427D8633"/>
    <w:rsid w:val="427D8B6E"/>
    <w:rsid w:val="42805217"/>
    <w:rsid w:val="4286ABD9"/>
    <w:rsid w:val="4288443D"/>
    <w:rsid w:val="428AA084"/>
    <w:rsid w:val="428B99D5"/>
    <w:rsid w:val="428BDFDC"/>
    <w:rsid w:val="4294ACC1"/>
    <w:rsid w:val="429DB8B8"/>
    <w:rsid w:val="429E9E1D"/>
    <w:rsid w:val="42A3AC6A"/>
    <w:rsid w:val="42A5C64C"/>
    <w:rsid w:val="42A6F17B"/>
    <w:rsid w:val="42A9DF59"/>
    <w:rsid w:val="42AAC4CA"/>
    <w:rsid w:val="42ABB78A"/>
    <w:rsid w:val="42AC49BD"/>
    <w:rsid w:val="42AC4D81"/>
    <w:rsid w:val="42ADF61B"/>
    <w:rsid w:val="42AEB393"/>
    <w:rsid w:val="42AF32E7"/>
    <w:rsid w:val="42AF7BA4"/>
    <w:rsid w:val="42B06D4B"/>
    <w:rsid w:val="42B0C846"/>
    <w:rsid w:val="42B1C9E7"/>
    <w:rsid w:val="42B32899"/>
    <w:rsid w:val="42B45622"/>
    <w:rsid w:val="42B8A07B"/>
    <w:rsid w:val="42B96596"/>
    <w:rsid w:val="42BA973D"/>
    <w:rsid w:val="42BBFEF9"/>
    <w:rsid w:val="42C0A9C1"/>
    <w:rsid w:val="42C173D8"/>
    <w:rsid w:val="42C41E2A"/>
    <w:rsid w:val="42C86A29"/>
    <w:rsid w:val="42C911D3"/>
    <w:rsid w:val="42CB7D32"/>
    <w:rsid w:val="42CDF2A9"/>
    <w:rsid w:val="42D0D4F0"/>
    <w:rsid w:val="42D16C9B"/>
    <w:rsid w:val="42D604DB"/>
    <w:rsid w:val="42D6A657"/>
    <w:rsid w:val="42D761D6"/>
    <w:rsid w:val="42D870C3"/>
    <w:rsid w:val="42DA28B8"/>
    <w:rsid w:val="42DF10E6"/>
    <w:rsid w:val="42E29B7F"/>
    <w:rsid w:val="42E4E049"/>
    <w:rsid w:val="42E570D9"/>
    <w:rsid w:val="42E6F724"/>
    <w:rsid w:val="42E7AB26"/>
    <w:rsid w:val="42E7B7B9"/>
    <w:rsid w:val="42EA7841"/>
    <w:rsid w:val="42ED6754"/>
    <w:rsid w:val="42EFB900"/>
    <w:rsid w:val="42F16D59"/>
    <w:rsid w:val="42F4A68B"/>
    <w:rsid w:val="42F54BC5"/>
    <w:rsid w:val="42F65A00"/>
    <w:rsid w:val="42F75255"/>
    <w:rsid w:val="42F8B3B3"/>
    <w:rsid w:val="42FB0DF9"/>
    <w:rsid w:val="42FE8FEE"/>
    <w:rsid w:val="42FE9ABD"/>
    <w:rsid w:val="42FEDA4A"/>
    <w:rsid w:val="43000E5D"/>
    <w:rsid w:val="43021501"/>
    <w:rsid w:val="4305C664"/>
    <w:rsid w:val="4305F470"/>
    <w:rsid w:val="43061584"/>
    <w:rsid w:val="430BD0D2"/>
    <w:rsid w:val="430C531E"/>
    <w:rsid w:val="430CD3AB"/>
    <w:rsid w:val="43113666"/>
    <w:rsid w:val="43119360"/>
    <w:rsid w:val="43145D65"/>
    <w:rsid w:val="43155C6C"/>
    <w:rsid w:val="4315C764"/>
    <w:rsid w:val="4316E835"/>
    <w:rsid w:val="43190D0B"/>
    <w:rsid w:val="431A6CA2"/>
    <w:rsid w:val="431A9DEE"/>
    <w:rsid w:val="431F334D"/>
    <w:rsid w:val="43218956"/>
    <w:rsid w:val="4322C2CC"/>
    <w:rsid w:val="43268E64"/>
    <w:rsid w:val="43284FA9"/>
    <w:rsid w:val="4328E567"/>
    <w:rsid w:val="43292413"/>
    <w:rsid w:val="432B46A8"/>
    <w:rsid w:val="432C5129"/>
    <w:rsid w:val="432E1B64"/>
    <w:rsid w:val="432E9062"/>
    <w:rsid w:val="43320E88"/>
    <w:rsid w:val="4334D764"/>
    <w:rsid w:val="43391053"/>
    <w:rsid w:val="433A20DD"/>
    <w:rsid w:val="433A2DCD"/>
    <w:rsid w:val="433A2DF6"/>
    <w:rsid w:val="433BCDFD"/>
    <w:rsid w:val="433EE48D"/>
    <w:rsid w:val="43441082"/>
    <w:rsid w:val="43477047"/>
    <w:rsid w:val="4347E08E"/>
    <w:rsid w:val="434883DF"/>
    <w:rsid w:val="4349D2C5"/>
    <w:rsid w:val="434A15BA"/>
    <w:rsid w:val="434BCEDE"/>
    <w:rsid w:val="434EB6EC"/>
    <w:rsid w:val="435145A9"/>
    <w:rsid w:val="4352D0C6"/>
    <w:rsid w:val="43546E52"/>
    <w:rsid w:val="4357E267"/>
    <w:rsid w:val="435FE4CA"/>
    <w:rsid w:val="43612962"/>
    <w:rsid w:val="4368A745"/>
    <w:rsid w:val="436BCCD3"/>
    <w:rsid w:val="436C368E"/>
    <w:rsid w:val="436D538C"/>
    <w:rsid w:val="43725B25"/>
    <w:rsid w:val="43738678"/>
    <w:rsid w:val="4374A7D1"/>
    <w:rsid w:val="43787815"/>
    <w:rsid w:val="43792E2D"/>
    <w:rsid w:val="437A340A"/>
    <w:rsid w:val="437B878A"/>
    <w:rsid w:val="437F530B"/>
    <w:rsid w:val="43800367"/>
    <w:rsid w:val="4383E6EA"/>
    <w:rsid w:val="438531F9"/>
    <w:rsid w:val="43873123"/>
    <w:rsid w:val="438AC2AB"/>
    <w:rsid w:val="438AFBB3"/>
    <w:rsid w:val="438D9790"/>
    <w:rsid w:val="43984C2B"/>
    <w:rsid w:val="4398777D"/>
    <w:rsid w:val="439F8238"/>
    <w:rsid w:val="43A3549E"/>
    <w:rsid w:val="43A640B1"/>
    <w:rsid w:val="43A6D7EB"/>
    <w:rsid w:val="43A7B8C1"/>
    <w:rsid w:val="43A9AAD4"/>
    <w:rsid w:val="43AC6C6A"/>
    <w:rsid w:val="43B309FF"/>
    <w:rsid w:val="43BB52CF"/>
    <w:rsid w:val="43BCB69B"/>
    <w:rsid w:val="43C02DCF"/>
    <w:rsid w:val="43C34B48"/>
    <w:rsid w:val="43C4CB59"/>
    <w:rsid w:val="43CA15E6"/>
    <w:rsid w:val="43CF9974"/>
    <w:rsid w:val="43D3CF2C"/>
    <w:rsid w:val="43D53D64"/>
    <w:rsid w:val="43DB446C"/>
    <w:rsid w:val="43DC35DA"/>
    <w:rsid w:val="43E11F12"/>
    <w:rsid w:val="43E38D75"/>
    <w:rsid w:val="43E53717"/>
    <w:rsid w:val="43ED2202"/>
    <w:rsid w:val="43EE96C4"/>
    <w:rsid w:val="43F06D08"/>
    <w:rsid w:val="43F4CAF2"/>
    <w:rsid w:val="43F7E213"/>
    <w:rsid w:val="43F88479"/>
    <w:rsid w:val="43F93065"/>
    <w:rsid w:val="43FBF805"/>
    <w:rsid w:val="43FC1D76"/>
    <w:rsid w:val="4403F4C1"/>
    <w:rsid w:val="44061E62"/>
    <w:rsid w:val="440A24F3"/>
    <w:rsid w:val="440AFCA9"/>
    <w:rsid w:val="440E2D17"/>
    <w:rsid w:val="440E9882"/>
    <w:rsid w:val="44120631"/>
    <w:rsid w:val="44145CD7"/>
    <w:rsid w:val="4415A1EF"/>
    <w:rsid w:val="441AE296"/>
    <w:rsid w:val="4425822F"/>
    <w:rsid w:val="4425A057"/>
    <w:rsid w:val="442802EE"/>
    <w:rsid w:val="442CF275"/>
    <w:rsid w:val="442FAE1C"/>
    <w:rsid w:val="44312D38"/>
    <w:rsid w:val="443283D7"/>
    <w:rsid w:val="4432E603"/>
    <w:rsid w:val="443312D1"/>
    <w:rsid w:val="44361F7B"/>
    <w:rsid w:val="443802FE"/>
    <w:rsid w:val="44385FE5"/>
    <w:rsid w:val="44397764"/>
    <w:rsid w:val="4440CC97"/>
    <w:rsid w:val="4443B839"/>
    <w:rsid w:val="4444280B"/>
    <w:rsid w:val="444C76D2"/>
    <w:rsid w:val="444F1777"/>
    <w:rsid w:val="444FCF14"/>
    <w:rsid w:val="44549C08"/>
    <w:rsid w:val="4456409C"/>
    <w:rsid w:val="4456D88D"/>
    <w:rsid w:val="445FD128"/>
    <w:rsid w:val="4461299B"/>
    <w:rsid w:val="4461FD3E"/>
    <w:rsid w:val="44638205"/>
    <w:rsid w:val="446B94DA"/>
    <w:rsid w:val="446FC915"/>
    <w:rsid w:val="447D6EFE"/>
    <w:rsid w:val="447E6663"/>
    <w:rsid w:val="4480FF4A"/>
    <w:rsid w:val="448157DF"/>
    <w:rsid w:val="4483014D"/>
    <w:rsid w:val="4484450C"/>
    <w:rsid w:val="4485273E"/>
    <w:rsid w:val="4486759D"/>
    <w:rsid w:val="4490086F"/>
    <w:rsid w:val="449834E5"/>
    <w:rsid w:val="449CD4EA"/>
    <w:rsid w:val="449CDE14"/>
    <w:rsid w:val="449D5089"/>
    <w:rsid w:val="44A37A55"/>
    <w:rsid w:val="44A41CDD"/>
    <w:rsid w:val="44A6157B"/>
    <w:rsid w:val="44A83C9C"/>
    <w:rsid w:val="44A94C9A"/>
    <w:rsid w:val="44A955CC"/>
    <w:rsid w:val="44ADDF6E"/>
    <w:rsid w:val="44B142BC"/>
    <w:rsid w:val="44B1D391"/>
    <w:rsid w:val="44B64FDB"/>
    <w:rsid w:val="44B793F0"/>
    <w:rsid w:val="44C27B3F"/>
    <w:rsid w:val="44C3683A"/>
    <w:rsid w:val="44C6C5E4"/>
    <w:rsid w:val="44CADDE6"/>
    <w:rsid w:val="44CC8360"/>
    <w:rsid w:val="44CCA2DD"/>
    <w:rsid w:val="44CD07D9"/>
    <w:rsid w:val="44D0B6E9"/>
    <w:rsid w:val="44D33051"/>
    <w:rsid w:val="44D332B7"/>
    <w:rsid w:val="44D4EBB0"/>
    <w:rsid w:val="44D7A3E7"/>
    <w:rsid w:val="44E100C0"/>
    <w:rsid w:val="44E56626"/>
    <w:rsid w:val="44E675C7"/>
    <w:rsid w:val="44EEEDF6"/>
    <w:rsid w:val="44F0D7F6"/>
    <w:rsid w:val="44F41452"/>
    <w:rsid w:val="44FE925E"/>
    <w:rsid w:val="4502EA47"/>
    <w:rsid w:val="45042185"/>
    <w:rsid w:val="4506C927"/>
    <w:rsid w:val="450700A7"/>
    <w:rsid w:val="45071680"/>
    <w:rsid w:val="450786F7"/>
    <w:rsid w:val="450A34B5"/>
    <w:rsid w:val="450DE7DE"/>
    <w:rsid w:val="45110E35"/>
    <w:rsid w:val="451656E4"/>
    <w:rsid w:val="451788CE"/>
    <w:rsid w:val="451A85F0"/>
    <w:rsid w:val="451B35E5"/>
    <w:rsid w:val="451C213B"/>
    <w:rsid w:val="45215B1C"/>
    <w:rsid w:val="4522C8CE"/>
    <w:rsid w:val="4525BF23"/>
    <w:rsid w:val="452973E5"/>
    <w:rsid w:val="452AC920"/>
    <w:rsid w:val="452C7371"/>
    <w:rsid w:val="452E0D05"/>
    <w:rsid w:val="45341098"/>
    <w:rsid w:val="45341AF2"/>
    <w:rsid w:val="45355B4D"/>
    <w:rsid w:val="45368C45"/>
    <w:rsid w:val="45377AD8"/>
    <w:rsid w:val="453B5ECB"/>
    <w:rsid w:val="453ED16B"/>
    <w:rsid w:val="4544A236"/>
    <w:rsid w:val="45452663"/>
    <w:rsid w:val="454B22EA"/>
    <w:rsid w:val="454B7991"/>
    <w:rsid w:val="454BCAD1"/>
    <w:rsid w:val="454D6826"/>
    <w:rsid w:val="454ED0B7"/>
    <w:rsid w:val="454F8B4C"/>
    <w:rsid w:val="45578566"/>
    <w:rsid w:val="45592CC3"/>
    <w:rsid w:val="455E9B02"/>
    <w:rsid w:val="4560E90E"/>
    <w:rsid w:val="4567C5B4"/>
    <w:rsid w:val="456B46E2"/>
    <w:rsid w:val="45730751"/>
    <w:rsid w:val="4574FFC3"/>
    <w:rsid w:val="4578AD47"/>
    <w:rsid w:val="457B8919"/>
    <w:rsid w:val="457CBFDC"/>
    <w:rsid w:val="45835124"/>
    <w:rsid w:val="4586ACC8"/>
    <w:rsid w:val="458AEBF1"/>
    <w:rsid w:val="45912756"/>
    <w:rsid w:val="459246FE"/>
    <w:rsid w:val="459C95B2"/>
    <w:rsid w:val="45A208FD"/>
    <w:rsid w:val="45A4210B"/>
    <w:rsid w:val="45AA85B2"/>
    <w:rsid w:val="45AF0865"/>
    <w:rsid w:val="45B3DD1B"/>
    <w:rsid w:val="45BBE082"/>
    <w:rsid w:val="45BC870E"/>
    <w:rsid w:val="45C04C22"/>
    <w:rsid w:val="45C0A236"/>
    <w:rsid w:val="45C3D44E"/>
    <w:rsid w:val="45C744C9"/>
    <w:rsid w:val="45C804E2"/>
    <w:rsid w:val="45CFB06C"/>
    <w:rsid w:val="45D2571A"/>
    <w:rsid w:val="45D4CF36"/>
    <w:rsid w:val="45D6676F"/>
    <w:rsid w:val="45DE66EF"/>
    <w:rsid w:val="45DF2C26"/>
    <w:rsid w:val="45E76937"/>
    <w:rsid w:val="45E7CB1F"/>
    <w:rsid w:val="45E92E10"/>
    <w:rsid w:val="45EB4B68"/>
    <w:rsid w:val="45ECD50F"/>
    <w:rsid w:val="45EE22FF"/>
    <w:rsid w:val="45F49109"/>
    <w:rsid w:val="45F66D44"/>
    <w:rsid w:val="45F905EC"/>
    <w:rsid w:val="45FD621F"/>
    <w:rsid w:val="45FE5319"/>
    <w:rsid w:val="4604CDF1"/>
    <w:rsid w:val="4609D83B"/>
    <w:rsid w:val="460E73A2"/>
    <w:rsid w:val="460F4721"/>
    <w:rsid w:val="460FF48B"/>
    <w:rsid w:val="46106434"/>
    <w:rsid w:val="46115828"/>
    <w:rsid w:val="461262D0"/>
    <w:rsid w:val="46190004"/>
    <w:rsid w:val="461F5B66"/>
    <w:rsid w:val="4620ACAE"/>
    <w:rsid w:val="46238A05"/>
    <w:rsid w:val="46270D3E"/>
    <w:rsid w:val="46291B9D"/>
    <w:rsid w:val="462DD13E"/>
    <w:rsid w:val="462E2B2B"/>
    <w:rsid w:val="4631CCE2"/>
    <w:rsid w:val="46328E06"/>
    <w:rsid w:val="4639E6DD"/>
    <w:rsid w:val="4639EFEF"/>
    <w:rsid w:val="463ECF20"/>
    <w:rsid w:val="463FEB1B"/>
    <w:rsid w:val="46494BBC"/>
    <w:rsid w:val="464977A5"/>
    <w:rsid w:val="464C1F8F"/>
    <w:rsid w:val="464D7B1D"/>
    <w:rsid w:val="4651C8DA"/>
    <w:rsid w:val="46528B8E"/>
    <w:rsid w:val="46544C9E"/>
    <w:rsid w:val="4659A2CC"/>
    <w:rsid w:val="465A2DBE"/>
    <w:rsid w:val="465D1502"/>
    <w:rsid w:val="465EDD29"/>
    <w:rsid w:val="4663EFE3"/>
    <w:rsid w:val="4666EBB2"/>
    <w:rsid w:val="466A3634"/>
    <w:rsid w:val="466E316E"/>
    <w:rsid w:val="466E7509"/>
    <w:rsid w:val="466F4225"/>
    <w:rsid w:val="467065B8"/>
    <w:rsid w:val="46755710"/>
    <w:rsid w:val="4678D5D3"/>
    <w:rsid w:val="467F1B6A"/>
    <w:rsid w:val="4680050E"/>
    <w:rsid w:val="46805888"/>
    <w:rsid w:val="4681C718"/>
    <w:rsid w:val="4685B8BE"/>
    <w:rsid w:val="4687C037"/>
    <w:rsid w:val="4688AC57"/>
    <w:rsid w:val="4689892A"/>
    <w:rsid w:val="468A9C7D"/>
    <w:rsid w:val="46909912"/>
    <w:rsid w:val="4691E0DA"/>
    <w:rsid w:val="4693C60D"/>
    <w:rsid w:val="46963F52"/>
    <w:rsid w:val="469BA82F"/>
    <w:rsid w:val="469C86E3"/>
    <w:rsid w:val="469CEAF2"/>
    <w:rsid w:val="46A2CB1A"/>
    <w:rsid w:val="46A32025"/>
    <w:rsid w:val="46A64361"/>
    <w:rsid w:val="46AE375D"/>
    <w:rsid w:val="46B2A3E5"/>
    <w:rsid w:val="46B2DF84"/>
    <w:rsid w:val="46BB6C16"/>
    <w:rsid w:val="46BBD563"/>
    <w:rsid w:val="46C0F70A"/>
    <w:rsid w:val="46C21DC1"/>
    <w:rsid w:val="46C4D1AB"/>
    <w:rsid w:val="46C52A21"/>
    <w:rsid w:val="46C67260"/>
    <w:rsid w:val="46C75FEA"/>
    <w:rsid w:val="46C7CC8D"/>
    <w:rsid w:val="46CA43AA"/>
    <w:rsid w:val="46CB44AC"/>
    <w:rsid w:val="46CD2C12"/>
    <w:rsid w:val="46D0144E"/>
    <w:rsid w:val="46D4D18A"/>
    <w:rsid w:val="46D57D05"/>
    <w:rsid w:val="46D5CA00"/>
    <w:rsid w:val="46DA218C"/>
    <w:rsid w:val="46DFF749"/>
    <w:rsid w:val="46E0357B"/>
    <w:rsid w:val="46E2DB88"/>
    <w:rsid w:val="46EBB09A"/>
    <w:rsid w:val="46EC538C"/>
    <w:rsid w:val="46ED078E"/>
    <w:rsid w:val="46F11D9C"/>
    <w:rsid w:val="46F4536A"/>
    <w:rsid w:val="46F4BDA2"/>
    <w:rsid w:val="46F9BCD3"/>
    <w:rsid w:val="46FC1626"/>
    <w:rsid w:val="4700D194"/>
    <w:rsid w:val="4701BB1C"/>
    <w:rsid w:val="4702049B"/>
    <w:rsid w:val="4704E3A8"/>
    <w:rsid w:val="470938C5"/>
    <w:rsid w:val="4709AF75"/>
    <w:rsid w:val="4713471C"/>
    <w:rsid w:val="4716A90E"/>
    <w:rsid w:val="472032D3"/>
    <w:rsid w:val="472A3BFC"/>
    <w:rsid w:val="4734334E"/>
    <w:rsid w:val="47349DA8"/>
    <w:rsid w:val="4736A1C2"/>
    <w:rsid w:val="4736A46E"/>
    <w:rsid w:val="47385A69"/>
    <w:rsid w:val="473A78F8"/>
    <w:rsid w:val="4744C3D3"/>
    <w:rsid w:val="4745D031"/>
    <w:rsid w:val="4749EAFA"/>
    <w:rsid w:val="474ADE78"/>
    <w:rsid w:val="474ADE86"/>
    <w:rsid w:val="474C5D96"/>
    <w:rsid w:val="474C5E10"/>
    <w:rsid w:val="474FC8BB"/>
    <w:rsid w:val="4750EA37"/>
    <w:rsid w:val="47520674"/>
    <w:rsid w:val="47567C61"/>
    <w:rsid w:val="4758F040"/>
    <w:rsid w:val="47596559"/>
    <w:rsid w:val="47598483"/>
    <w:rsid w:val="4759E597"/>
    <w:rsid w:val="475C94AF"/>
    <w:rsid w:val="475D0F05"/>
    <w:rsid w:val="47604DB3"/>
    <w:rsid w:val="4763E0EC"/>
    <w:rsid w:val="47654F2A"/>
    <w:rsid w:val="4766F62C"/>
    <w:rsid w:val="4767EC78"/>
    <w:rsid w:val="476A7E76"/>
    <w:rsid w:val="476AE492"/>
    <w:rsid w:val="47730506"/>
    <w:rsid w:val="47758F01"/>
    <w:rsid w:val="47763C41"/>
    <w:rsid w:val="4779DF5A"/>
    <w:rsid w:val="477B3FEF"/>
    <w:rsid w:val="477BD2EC"/>
    <w:rsid w:val="477DC051"/>
    <w:rsid w:val="47833A24"/>
    <w:rsid w:val="47841429"/>
    <w:rsid w:val="478462AE"/>
    <w:rsid w:val="47869F66"/>
    <w:rsid w:val="47875700"/>
    <w:rsid w:val="478A6874"/>
    <w:rsid w:val="478AE7DE"/>
    <w:rsid w:val="478B1ED7"/>
    <w:rsid w:val="47947A2C"/>
    <w:rsid w:val="479CA61F"/>
    <w:rsid w:val="479FC9A1"/>
    <w:rsid w:val="479FFBAE"/>
    <w:rsid w:val="47A0A507"/>
    <w:rsid w:val="47A54010"/>
    <w:rsid w:val="47A62946"/>
    <w:rsid w:val="47A6FF8D"/>
    <w:rsid w:val="47A73AA6"/>
    <w:rsid w:val="47A7E56D"/>
    <w:rsid w:val="47AA125E"/>
    <w:rsid w:val="47B0F530"/>
    <w:rsid w:val="47B2E4F5"/>
    <w:rsid w:val="47B98B52"/>
    <w:rsid w:val="47C09095"/>
    <w:rsid w:val="47C6DD2E"/>
    <w:rsid w:val="47C6F9CD"/>
    <w:rsid w:val="47C8046C"/>
    <w:rsid w:val="47C886F0"/>
    <w:rsid w:val="47CB16DF"/>
    <w:rsid w:val="47D1D823"/>
    <w:rsid w:val="47D57B28"/>
    <w:rsid w:val="47D88B6E"/>
    <w:rsid w:val="47D9C8B9"/>
    <w:rsid w:val="47DCECA3"/>
    <w:rsid w:val="47E128F5"/>
    <w:rsid w:val="47E625B8"/>
    <w:rsid w:val="47E8325D"/>
    <w:rsid w:val="47E8910E"/>
    <w:rsid w:val="47F1E7B6"/>
    <w:rsid w:val="47F709A2"/>
    <w:rsid w:val="47F8E2C3"/>
    <w:rsid w:val="47FAA01F"/>
    <w:rsid w:val="47FE7C13"/>
    <w:rsid w:val="47FFB89F"/>
    <w:rsid w:val="480118C7"/>
    <w:rsid w:val="4804B397"/>
    <w:rsid w:val="480931C9"/>
    <w:rsid w:val="480D07BD"/>
    <w:rsid w:val="481575A8"/>
    <w:rsid w:val="4816B88B"/>
    <w:rsid w:val="481B6E2E"/>
    <w:rsid w:val="481CF093"/>
    <w:rsid w:val="481D3B83"/>
    <w:rsid w:val="481FD1DB"/>
    <w:rsid w:val="482255E4"/>
    <w:rsid w:val="48230348"/>
    <w:rsid w:val="4825E624"/>
    <w:rsid w:val="4827C359"/>
    <w:rsid w:val="48293E5E"/>
    <w:rsid w:val="4829FC54"/>
    <w:rsid w:val="482A87DA"/>
    <w:rsid w:val="482B7AE5"/>
    <w:rsid w:val="482CD504"/>
    <w:rsid w:val="4831EFA8"/>
    <w:rsid w:val="4831F2F6"/>
    <w:rsid w:val="48336203"/>
    <w:rsid w:val="483AEE4C"/>
    <w:rsid w:val="483B34BF"/>
    <w:rsid w:val="483EAFAA"/>
    <w:rsid w:val="483F92F6"/>
    <w:rsid w:val="484551FF"/>
    <w:rsid w:val="4845AB16"/>
    <w:rsid w:val="48496045"/>
    <w:rsid w:val="484A0772"/>
    <w:rsid w:val="484FA7A6"/>
    <w:rsid w:val="48506D6B"/>
    <w:rsid w:val="4855C717"/>
    <w:rsid w:val="48565F40"/>
    <w:rsid w:val="48573356"/>
    <w:rsid w:val="485A8CD4"/>
    <w:rsid w:val="485FC571"/>
    <w:rsid w:val="48637F0A"/>
    <w:rsid w:val="486396AB"/>
    <w:rsid w:val="48639711"/>
    <w:rsid w:val="486DD9A5"/>
    <w:rsid w:val="486DF83D"/>
    <w:rsid w:val="48747683"/>
    <w:rsid w:val="4877A7B9"/>
    <w:rsid w:val="4878BCEE"/>
    <w:rsid w:val="487B19BC"/>
    <w:rsid w:val="4880F898"/>
    <w:rsid w:val="4883B1B1"/>
    <w:rsid w:val="488837F4"/>
    <w:rsid w:val="4888B5E7"/>
    <w:rsid w:val="48894282"/>
    <w:rsid w:val="48894B8D"/>
    <w:rsid w:val="488A859F"/>
    <w:rsid w:val="488F5134"/>
    <w:rsid w:val="48942A6C"/>
    <w:rsid w:val="4896895F"/>
    <w:rsid w:val="48993975"/>
    <w:rsid w:val="489F0B89"/>
    <w:rsid w:val="48A03EB6"/>
    <w:rsid w:val="48A3B01B"/>
    <w:rsid w:val="48A5A1B9"/>
    <w:rsid w:val="48A6CE51"/>
    <w:rsid w:val="48A7CE38"/>
    <w:rsid w:val="48A7D468"/>
    <w:rsid w:val="48AE3FBF"/>
    <w:rsid w:val="48B03FDE"/>
    <w:rsid w:val="48B2A22A"/>
    <w:rsid w:val="48B77579"/>
    <w:rsid w:val="48B7C5A0"/>
    <w:rsid w:val="48BA64A7"/>
    <w:rsid w:val="48BAEA07"/>
    <w:rsid w:val="48BE1063"/>
    <w:rsid w:val="48C064C4"/>
    <w:rsid w:val="48C3DFF2"/>
    <w:rsid w:val="48C44F6A"/>
    <w:rsid w:val="48C7F0D4"/>
    <w:rsid w:val="48C9958F"/>
    <w:rsid w:val="48CC672D"/>
    <w:rsid w:val="48CDCC5A"/>
    <w:rsid w:val="48CE4042"/>
    <w:rsid w:val="48CF2715"/>
    <w:rsid w:val="48D65411"/>
    <w:rsid w:val="48D93F8F"/>
    <w:rsid w:val="48E11011"/>
    <w:rsid w:val="48E8406A"/>
    <w:rsid w:val="48EE1471"/>
    <w:rsid w:val="48F30DFB"/>
    <w:rsid w:val="48F7ADC9"/>
    <w:rsid w:val="48F9A4C8"/>
    <w:rsid w:val="48FBD882"/>
    <w:rsid w:val="48FEE138"/>
    <w:rsid w:val="48FEFF16"/>
    <w:rsid w:val="48FF0B07"/>
    <w:rsid w:val="490764D4"/>
    <w:rsid w:val="4908B66F"/>
    <w:rsid w:val="490A306E"/>
    <w:rsid w:val="4910EE62"/>
    <w:rsid w:val="4912E231"/>
    <w:rsid w:val="49159904"/>
    <w:rsid w:val="491680AD"/>
    <w:rsid w:val="4922D165"/>
    <w:rsid w:val="49352F11"/>
    <w:rsid w:val="493C39FE"/>
    <w:rsid w:val="493F14F3"/>
    <w:rsid w:val="49448EC7"/>
    <w:rsid w:val="494A61A5"/>
    <w:rsid w:val="494AFA5E"/>
    <w:rsid w:val="494D83F3"/>
    <w:rsid w:val="494EF766"/>
    <w:rsid w:val="494FD4D3"/>
    <w:rsid w:val="4950073B"/>
    <w:rsid w:val="4954EFBA"/>
    <w:rsid w:val="49563B7C"/>
    <w:rsid w:val="49573D0B"/>
    <w:rsid w:val="4959ADA7"/>
    <w:rsid w:val="495D964C"/>
    <w:rsid w:val="495FECE2"/>
    <w:rsid w:val="4961295D"/>
    <w:rsid w:val="49658FBC"/>
    <w:rsid w:val="4969216D"/>
    <w:rsid w:val="49693125"/>
    <w:rsid w:val="496C061E"/>
    <w:rsid w:val="496CA48E"/>
    <w:rsid w:val="4974D184"/>
    <w:rsid w:val="4976CBB1"/>
    <w:rsid w:val="4977C75A"/>
    <w:rsid w:val="497A75EB"/>
    <w:rsid w:val="497AB8A7"/>
    <w:rsid w:val="497E2E98"/>
    <w:rsid w:val="497EBEC3"/>
    <w:rsid w:val="4989494B"/>
    <w:rsid w:val="498A22F3"/>
    <w:rsid w:val="498D7A8E"/>
    <w:rsid w:val="498F6387"/>
    <w:rsid w:val="49958504"/>
    <w:rsid w:val="499AB7EF"/>
    <w:rsid w:val="49A12A31"/>
    <w:rsid w:val="49A40EA8"/>
    <w:rsid w:val="49A4A995"/>
    <w:rsid w:val="49A6CD95"/>
    <w:rsid w:val="49A9E4DE"/>
    <w:rsid w:val="49ABDFA4"/>
    <w:rsid w:val="49AEE200"/>
    <w:rsid w:val="49AFA261"/>
    <w:rsid w:val="49B1F098"/>
    <w:rsid w:val="49B29466"/>
    <w:rsid w:val="49B30CBF"/>
    <w:rsid w:val="49B4D6B5"/>
    <w:rsid w:val="49B7E33D"/>
    <w:rsid w:val="49B82DA5"/>
    <w:rsid w:val="49C27CE2"/>
    <w:rsid w:val="49C2E897"/>
    <w:rsid w:val="49C417FA"/>
    <w:rsid w:val="49C81F81"/>
    <w:rsid w:val="49C928D9"/>
    <w:rsid w:val="49CC194D"/>
    <w:rsid w:val="49CD3840"/>
    <w:rsid w:val="49D1DF2F"/>
    <w:rsid w:val="49D27CEF"/>
    <w:rsid w:val="49D46396"/>
    <w:rsid w:val="49D684DC"/>
    <w:rsid w:val="49D760C8"/>
    <w:rsid w:val="49DA8250"/>
    <w:rsid w:val="49DC106C"/>
    <w:rsid w:val="49DCDDDB"/>
    <w:rsid w:val="49DEC538"/>
    <w:rsid w:val="49DF245F"/>
    <w:rsid w:val="49DFE51B"/>
    <w:rsid w:val="49E27F61"/>
    <w:rsid w:val="49E4355D"/>
    <w:rsid w:val="49E43B35"/>
    <w:rsid w:val="49E48679"/>
    <w:rsid w:val="49E5154F"/>
    <w:rsid w:val="49EE2052"/>
    <w:rsid w:val="49EEB440"/>
    <w:rsid w:val="49F1502B"/>
    <w:rsid w:val="49F3F8FB"/>
    <w:rsid w:val="49F59555"/>
    <w:rsid w:val="49F67FD6"/>
    <w:rsid w:val="49F8BB8F"/>
    <w:rsid w:val="4A04238F"/>
    <w:rsid w:val="4A04484A"/>
    <w:rsid w:val="4A05AB90"/>
    <w:rsid w:val="4A067BBC"/>
    <w:rsid w:val="4A06DEBF"/>
    <w:rsid w:val="4A102B13"/>
    <w:rsid w:val="4A1503A3"/>
    <w:rsid w:val="4A157AB0"/>
    <w:rsid w:val="4A169323"/>
    <w:rsid w:val="4A1736A0"/>
    <w:rsid w:val="4A196AAE"/>
    <w:rsid w:val="4A1ABEE5"/>
    <w:rsid w:val="4A1AFFF3"/>
    <w:rsid w:val="4A25215A"/>
    <w:rsid w:val="4A2690F2"/>
    <w:rsid w:val="4A26E256"/>
    <w:rsid w:val="4A290E0E"/>
    <w:rsid w:val="4A2C36D4"/>
    <w:rsid w:val="4A34A9AA"/>
    <w:rsid w:val="4A367D8A"/>
    <w:rsid w:val="4A3A236C"/>
    <w:rsid w:val="4A3BDD7E"/>
    <w:rsid w:val="4A3CA45C"/>
    <w:rsid w:val="4A3CFC19"/>
    <w:rsid w:val="4A44AD78"/>
    <w:rsid w:val="4A4649C8"/>
    <w:rsid w:val="4A4771C4"/>
    <w:rsid w:val="4A47C8B5"/>
    <w:rsid w:val="4A493433"/>
    <w:rsid w:val="4A4A9982"/>
    <w:rsid w:val="4A4C0C46"/>
    <w:rsid w:val="4A4CB4CE"/>
    <w:rsid w:val="4A529190"/>
    <w:rsid w:val="4A5A54D9"/>
    <w:rsid w:val="4A5D35BD"/>
    <w:rsid w:val="4A5E3D50"/>
    <w:rsid w:val="4A5EBA90"/>
    <w:rsid w:val="4A68FDD1"/>
    <w:rsid w:val="4A6D0941"/>
    <w:rsid w:val="4A6E1820"/>
    <w:rsid w:val="4A709702"/>
    <w:rsid w:val="4A719539"/>
    <w:rsid w:val="4A73EB80"/>
    <w:rsid w:val="4A74FE1C"/>
    <w:rsid w:val="4A76EC5B"/>
    <w:rsid w:val="4A78A0B6"/>
    <w:rsid w:val="4A7C5FD4"/>
    <w:rsid w:val="4A7CD813"/>
    <w:rsid w:val="4A83E4BE"/>
    <w:rsid w:val="4A8716DE"/>
    <w:rsid w:val="4A8864F5"/>
    <w:rsid w:val="4A8897A1"/>
    <w:rsid w:val="4A8AF65C"/>
    <w:rsid w:val="4A8B4035"/>
    <w:rsid w:val="4A9C4646"/>
    <w:rsid w:val="4A9C5999"/>
    <w:rsid w:val="4A9FB300"/>
    <w:rsid w:val="4AA0E66F"/>
    <w:rsid w:val="4AA3A3DE"/>
    <w:rsid w:val="4AA3C3C6"/>
    <w:rsid w:val="4AA55227"/>
    <w:rsid w:val="4AA58C31"/>
    <w:rsid w:val="4AA8C016"/>
    <w:rsid w:val="4AAD3583"/>
    <w:rsid w:val="4AAD51B3"/>
    <w:rsid w:val="4AB0B0C7"/>
    <w:rsid w:val="4AB91D16"/>
    <w:rsid w:val="4AB95343"/>
    <w:rsid w:val="4AB9F30F"/>
    <w:rsid w:val="4AC2CE28"/>
    <w:rsid w:val="4AC4BD67"/>
    <w:rsid w:val="4AC55DA6"/>
    <w:rsid w:val="4AC9FC6C"/>
    <w:rsid w:val="4ACA94C8"/>
    <w:rsid w:val="4ACBDC6B"/>
    <w:rsid w:val="4ACD626A"/>
    <w:rsid w:val="4AD146B1"/>
    <w:rsid w:val="4AD188FF"/>
    <w:rsid w:val="4AD1DC51"/>
    <w:rsid w:val="4AD21426"/>
    <w:rsid w:val="4ADC3A72"/>
    <w:rsid w:val="4ADC7FEE"/>
    <w:rsid w:val="4AE0E622"/>
    <w:rsid w:val="4AE1A25E"/>
    <w:rsid w:val="4AE71855"/>
    <w:rsid w:val="4AEA3D91"/>
    <w:rsid w:val="4AED5941"/>
    <w:rsid w:val="4AEE1C4E"/>
    <w:rsid w:val="4AF3EBFC"/>
    <w:rsid w:val="4AF537DB"/>
    <w:rsid w:val="4AF8FFF9"/>
    <w:rsid w:val="4B019BF0"/>
    <w:rsid w:val="4B07753D"/>
    <w:rsid w:val="4B0E7BE9"/>
    <w:rsid w:val="4B14A3C9"/>
    <w:rsid w:val="4B15E58F"/>
    <w:rsid w:val="4B16D72E"/>
    <w:rsid w:val="4B182A8B"/>
    <w:rsid w:val="4B1BD00E"/>
    <w:rsid w:val="4B2721CE"/>
    <w:rsid w:val="4B2A12EF"/>
    <w:rsid w:val="4B2B5603"/>
    <w:rsid w:val="4B2CC085"/>
    <w:rsid w:val="4B2EE7EF"/>
    <w:rsid w:val="4B2F8322"/>
    <w:rsid w:val="4B33222B"/>
    <w:rsid w:val="4B33481D"/>
    <w:rsid w:val="4B337FD9"/>
    <w:rsid w:val="4B361360"/>
    <w:rsid w:val="4B361FFB"/>
    <w:rsid w:val="4B371C82"/>
    <w:rsid w:val="4B3A5BE6"/>
    <w:rsid w:val="4B43BC55"/>
    <w:rsid w:val="4B47A3D7"/>
    <w:rsid w:val="4B49E4E8"/>
    <w:rsid w:val="4B4C0A69"/>
    <w:rsid w:val="4B4F0758"/>
    <w:rsid w:val="4B4FA067"/>
    <w:rsid w:val="4B509AE5"/>
    <w:rsid w:val="4B585220"/>
    <w:rsid w:val="4B5BA92C"/>
    <w:rsid w:val="4B5BC4C3"/>
    <w:rsid w:val="4B60CC34"/>
    <w:rsid w:val="4B63C241"/>
    <w:rsid w:val="4B656E7A"/>
    <w:rsid w:val="4B679A1B"/>
    <w:rsid w:val="4B684BC2"/>
    <w:rsid w:val="4B6A7BB2"/>
    <w:rsid w:val="4B6AEFBB"/>
    <w:rsid w:val="4B6DC3A9"/>
    <w:rsid w:val="4B713CD8"/>
    <w:rsid w:val="4B71DE2D"/>
    <w:rsid w:val="4B74D2E3"/>
    <w:rsid w:val="4B7C70B7"/>
    <w:rsid w:val="4B7D2D95"/>
    <w:rsid w:val="4B87079B"/>
    <w:rsid w:val="4B8977A1"/>
    <w:rsid w:val="4B903A77"/>
    <w:rsid w:val="4B95305F"/>
    <w:rsid w:val="4B979170"/>
    <w:rsid w:val="4B981233"/>
    <w:rsid w:val="4B99290E"/>
    <w:rsid w:val="4B9B5F50"/>
    <w:rsid w:val="4B9CF715"/>
    <w:rsid w:val="4B9D5F35"/>
    <w:rsid w:val="4BA042CE"/>
    <w:rsid w:val="4BA13347"/>
    <w:rsid w:val="4BA47A3D"/>
    <w:rsid w:val="4BA78698"/>
    <w:rsid w:val="4BA7A3E0"/>
    <w:rsid w:val="4BACEEE6"/>
    <w:rsid w:val="4BAEE08B"/>
    <w:rsid w:val="4BB34CD8"/>
    <w:rsid w:val="4BB40796"/>
    <w:rsid w:val="4BB4896E"/>
    <w:rsid w:val="4BB5B84F"/>
    <w:rsid w:val="4BC12335"/>
    <w:rsid w:val="4BC134A0"/>
    <w:rsid w:val="4BC865F4"/>
    <w:rsid w:val="4BC9CF45"/>
    <w:rsid w:val="4BD21674"/>
    <w:rsid w:val="4BD4EB8C"/>
    <w:rsid w:val="4BD51B8C"/>
    <w:rsid w:val="4BD81233"/>
    <w:rsid w:val="4BD97459"/>
    <w:rsid w:val="4BDA3AE3"/>
    <w:rsid w:val="4BE544A0"/>
    <w:rsid w:val="4BE7307B"/>
    <w:rsid w:val="4BE7C7F5"/>
    <w:rsid w:val="4BEFB275"/>
    <w:rsid w:val="4BF2B42D"/>
    <w:rsid w:val="4BF45528"/>
    <w:rsid w:val="4BFA3BDF"/>
    <w:rsid w:val="4BFBCC15"/>
    <w:rsid w:val="4BFC6363"/>
    <w:rsid w:val="4C00B93A"/>
    <w:rsid w:val="4C03FCCA"/>
    <w:rsid w:val="4C045578"/>
    <w:rsid w:val="4C0921F4"/>
    <w:rsid w:val="4C0C2964"/>
    <w:rsid w:val="4C0D5A05"/>
    <w:rsid w:val="4C12E32D"/>
    <w:rsid w:val="4C16797D"/>
    <w:rsid w:val="4C17973D"/>
    <w:rsid w:val="4C18B2A7"/>
    <w:rsid w:val="4C18CB17"/>
    <w:rsid w:val="4C24533E"/>
    <w:rsid w:val="4C271C86"/>
    <w:rsid w:val="4C29EAF2"/>
    <w:rsid w:val="4C2A8E74"/>
    <w:rsid w:val="4C2B2241"/>
    <w:rsid w:val="4C2FE5F1"/>
    <w:rsid w:val="4C327344"/>
    <w:rsid w:val="4C32E544"/>
    <w:rsid w:val="4C355B73"/>
    <w:rsid w:val="4C366CED"/>
    <w:rsid w:val="4C38C7E8"/>
    <w:rsid w:val="4C3A86B5"/>
    <w:rsid w:val="4C408D0D"/>
    <w:rsid w:val="4C45004B"/>
    <w:rsid w:val="4C460D7F"/>
    <w:rsid w:val="4C47A93D"/>
    <w:rsid w:val="4C487514"/>
    <w:rsid w:val="4C4C0DD0"/>
    <w:rsid w:val="4C504277"/>
    <w:rsid w:val="4C504751"/>
    <w:rsid w:val="4C50C253"/>
    <w:rsid w:val="4C54C5AC"/>
    <w:rsid w:val="4C55E1AC"/>
    <w:rsid w:val="4C57E86D"/>
    <w:rsid w:val="4C594CE8"/>
    <w:rsid w:val="4C5C0C3F"/>
    <w:rsid w:val="4C5CB356"/>
    <w:rsid w:val="4C5CDEB4"/>
    <w:rsid w:val="4C64C58D"/>
    <w:rsid w:val="4C6A3C67"/>
    <w:rsid w:val="4C6BC40C"/>
    <w:rsid w:val="4C6C98BC"/>
    <w:rsid w:val="4C6FEC04"/>
    <w:rsid w:val="4C72BDA3"/>
    <w:rsid w:val="4C739AFE"/>
    <w:rsid w:val="4C74943F"/>
    <w:rsid w:val="4C751C8C"/>
    <w:rsid w:val="4C7702D5"/>
    <w:rsid w:val="4C77E53C"/>
    <w:rsid w:val="4C8175E2"/>
    <w:rsid w:val="4C8506C3"/>
    <w:rsid w:val="4C898F02"/>
    <w:rsid w:val="4C90E92E"/>
    <w:rsid w:val="4C92E5A4"/>
    <w:rsid w:val="4C96D5E9"/>
    <w:rsid w:val="4C9A0A88"/>
    <w:rsid w:val="4C9B67DD"/>
    <w:rsid w:val="4C9BFF05"/>
    <w:rsid w:val="4C9CB0CC"/>
    <w:rsid w:val="4CA6FBD1"/>
    <w:rsid w:val="4CA71B78"/>
    <w:rsid w:val="4CAB4334"/>
    <w:rsid w:val="4CAE6741"/>
    <w:rsid w:val="4CAE90F3"/>
    <w:rsid w:val="4CB40A95"/>
    <w:rsid w:val="4CB439D9"/>
    <w:rsid w:val="4CB4EACE"/>
    <w:rsid w:val="4CBA0A12"/>
    <w:rsid w:val="4CBB550A"/>
    <w:rsid w:val="4CBC80D3"/>
    <w:rsid w:val="4CBD5E93"/>
    <w:rsid w:val="4CC3DF45"/>
    <w:rsid w:val="4CCBBCD3"/>
    <w:rsid w:val="4CCF037E"/>
    <w:rsid w:val="4CCFFB8E"/>
    <w:rsid w:val="4CD4B1BA"/>
    <w:rsid w:val="4CD4C412"/>
    <w:rsid w:val="4CD6459C"/>
    <w:rsid w:val="4CD725EB"/>
    <w:rsid w:val="4CDB70E6"/>
    <w:rsid w:val="4CE195D2"/>
    <w:rsid w:val="4CE79C7F"/>
    <w:rsid w:val="4CEBD340"/>
    <w:rsid w:val="4CF1ED44"/>
    <w:rsid w:val="4CFB3051"/>
    <w:rsid w:val="4CFB6D57"/>
    <w:rsid w:val="4CFCFF25"/>
    <w:rsid w:val="4CFDE775"/>
    <w:rsid w:val="4CFFCFA0"/>
    <w:rsid w:val="4D01ABD7"/>
    <w:rsid w:val="4D06F24D"/>
    <w:rsid w:val="4D0C2437"/>
    <w:rsid w:val="4D0D5666"/>
    <w:rsid w:val="4D0DE248"/>
    <w:rsid w:val="4D1161F8"/>
    <w:rsid w:val="4D160D5F"/>
    <w:rsid w:val="4D1ABA65"/>
    <w:rsid w:val="4D1B3820"/>
    <w:rsid w:val="4D23077A"/>
    <w:rsid w:val="4D2414DC"/>
    <w:rsid w:val="4D2EF922"/>
    <w:rsid w:val="4D3381B9"/>
    <w:rsid w:val="4D340503"/>
    <w:rsid w:val="4D35DCE1"/>
    <w:rsid w:val="4D3DC27E"/>
    <w:rsid w:val="4D40679C"/>
    <w:rsid w:val="4D407F0F"/>
    <w:rsid w:val="4D4094EB"/>
    <w:rsid w:val="4D40DD84"/>
    <w:rsid w:val="4D40DFB5"/>
    <w:rsid w:val="4D456D3C"/>
    <w:rsid w:val="4D469B2D"/>
    <w:rsid w:val="4D48C4F3"/>
    <w:rsid w:val="4D48E78B"/>
    <w:rsid w:val="4D4BF7D3"/>
    <w:rsid w:val="4D527926"/>
    <w:rsid w:val="4D538813"/>
    <w:rsid w:val="4D53A818"/>
    <w:rsid w:val="4D547381"/>
    <w:rsid w:val="4D57E293"/>
    <w:rsid w:val="4D5840F2"/>
    <w:rsid w:val="4D59CF4C"/>
    <w:rsid w:val="4D5A503E"/>
    <w:rsid w:val="4D5C3AC2"/>
    <w:rsid w:val="4D5D410B"/>
    <w:rsid w:val="4D5F1821"/>
    <w:rsid w:val="4D62974C"/>
    <w:rsid w:val="4D68814C"/>
    <w:rsid w:val="4D69A219"/>
    <w:rsid w:val="4D6A9363"/>
    <w:rsid w:val="4D6B1B8C"/>
    <w:rsid w:val="4D6CBC56"/>
    <w:rsid w:val="4D6D681E"/>
    <w:rsid w:val="4D6EF55D"/>
    <w:rsid w:val="4D7012AD"/>
    <w:rsid w:val="4D704771"/>
    <w:rsid w:val="4D74D781"/>
    <w:rsid w:val="4D767005"/>
    <w:rsid w:val="4D7B3C39"/>
    <w:rsid w:val="4D833864"/>
    <w:rsid w:val="4D884E13"/>
    <w:rsid w:val="4D8A4D59"/>
    <w:rsid w:val="4D90C4FC"/>
    <w:rsid w:val="4D90CF78"/>
    <w:rsid w:val="4D914431"/>
    <w:rsid w:val="4D932278"/>
    <w:rsid w:val="4D957ECE"/>
    <w:rsid w:val="4D966911"/>
    <w:rsid w:val="4D9A99C3"/>
    <w:rsid w:val="4D9C085A"/>
    <w:rsid w:val="4D9E9836"/>
    <w:rsid w:val="4DA0A7FA"/>
    <w:rsid w:val="4DA1A4B8"/>
    <w:rsid w:val="4DA4C179"/>
    <w:rsid w:val="4DA54DF7"/>
    <w:rsid w:val="4DA5EB10"/>
    <w:rsid w:val="4DA69F26"/>
    <w:rsid w:val="4DA7A3AC"/>
    <w:rsid w:val="4DAC82A1"/>
    <w:rsid w:val="4DAE2B37"/>
    <w:rsid w:val="4DB17D03"/>
    <w:rsid w:val="4DB1DD97"/>
    <w:rsid w:val="4DB2A7BE"/>
    <w:rsid w:val="4DB7F131"/>
    <w:rsid w:val="4DB89EE1"/>
    <w:rsid w:val="4DB8C06F"/>
    <w:rsid w:val="4DB9F62A"/>
    <w:rsid w:val="4DBAE8A5"/>
    <w:rsid w:val="4DBDCA1F"/>
    <w:rsid w:val="4DBEFB08"/>
    <w:rsid w:val="4DC07AC7"/>
    <w:rsid w:val="4DD21EAC"/>
    <w:rsid w:val="4DD2A3D0"/>
    <w:rsid w:val="4DD72282"/>
    <w:rsid w:val="4DD7E949"/>
    <w:rsid w:val="4DD7FB81"/>
    <w:rsid w:val="4DD8A07B"/>
    <w:rsid w:val="4DDB5580"/>
    <w:rsid w:val="4DDC048A"/>
    <w:rsid w:val="4DDD9137"/>
    <w:rsid w:val="4DDD9A47"/>
    <w:rsid w:val="4DDE7C2D"/>
    <w:rsid w:val="4DDF0A92"/>
    <w:rsid w:val="4DE0C4DB"/>
    <w:rsid w:val="4DE35827"/>
    <w:rsid w:val="4DE40A54"/>
    <w:rsid w:val="4DE85501"/>
    <w:rsid w:val="4DEE8743"/>
    <w:rsid w:val="4DF0A4D0"/>
    <w:rsid w:val="4DF445C6"/>
    <w:rsid w:val="4DFDC863"/>
    <w:rsid w:val="4E00FD6E"/>
    <w:rsid w:val="4E03E819"/>
    <w:rsid w:val="4E042164"/>
    <w:rsid w:val="4E049ADD"/>
    <w:rsid w:val="4E0793A2"/>
    <w:rsid w:val="4E083BBA"/>
    <w:rsid w:val="4E0A874D"/>
    <w:rsid w:val="4E0BD89B"/>
    <w:rsid w:val="4E0F4E89"/>
    <w:rsid w:val="4E119482"/>
    <w:rsid w:val="4E1C7754"/>
    <w:rsid w:val="4E20F822"/>
    <w:rsid w:val="4E223620"/>
    <w:rsid w:val="4E23B14C"/>
    <w:rsid w:val="4E246EC2"/>
    <w:rsid w:val="4E249F85"/>
    <w:rsid w:val="4E26F92F"/>
    <w:rsid w:val="4E2961AE"/>
    <w:rsid w:val="4E2B234E"/>
    <w:rsid w:val="4E2EBEAB"/>
    <w:rsid w:val="4E31993F"/>
    <w:rsid w:val="4E32EDA6"/>
    <w:rsid w:val="4E34DFF7"/>
    <w:rsid w:val="4E3509BA"/>
    <w:rsid w:val="4E36D61A"/>
    <w:rsid w:val="4E37987F"/>
    <w:rsid w:val="4E3825DE"/>
    <w:rsid w:val="4E384574"/>
    <w:rsid w:val="4E404381"/>
    <w:rsid w:val="4E40F44E"/>
    <w:rsid w:val="4E41284A"/>
    <w:rsid w:val="4E424F98"/>
    <w:rsid w:val="4E470776"/>
    <w:rsid w:val="4E59B397"/>
    <w:rsid w:val="4E5A1733"/>
    <w:rsid w:val="4E635B27"/>
    <w:rsid w:val="4E6A2176"/>
    <w:rsid w:val="4E6DE258"/>
    <w:rsid w:val="4E6EB579"/>
    <w:rsid w:val="4E701037"/>
    <w:rsid w:val="4E701E0A"/>
    <w:rsid w:val="4E76CCB3"/>
    <w:rsid w:val="4E806C99"/>
    <w:rsid w:val="4E80EF94"/>
    <w:rsid w:val="4E86AB37"/>
    <w:rsid w:val="4E86C9AF"/>
    <w:rsid w:val="4E881AB3"/>
    <w:rsid w:val="4E8ACD74"/>
    <w:rsid w:val="4E8E0003"/>
    <w:rsid w:val="4E8EA59D"/>
    <w:rsid w:val="4E8F7FAC"/>
    <w:rsid w:val="4E95F05F"/>
    <w:rsid w:val="4E962001"/>
    <w:rsid w:val="4E9884FE"/>
    <w:rsid w:val="4E9AB6C5"/>
    <w:rsid w:val="4E9B4974"/>
    <w:rsid w:val="4E9F16A3"/>
    <w:rsid w:val="4E9F4344"/>
    <w:rsid w:val="4EA0E18F"/>
    <w:rsid w:val="4EA22529"/>
    <w:rsid w:val="4EA969C8"/>
    <w:rsid w:val="4EAC97AD"/>
    <w:rsid w:val="4EAE2A1D"/>
    <w:rsid w:val="4EAF7AFF"/>
    <w:rsid w:val="4EB79C29"/>
    <w:rsid w:val="4EBCFB71"/>
    <w:rsid w:val="4EBDD954"/>
    <w:rsid w:val="4EBE9D13"/>
    <w:rsid w:val="4EBF88D5"/>
    <w:rsid w:val="4EC04596"/>
    <w:rsid w:val="4EC0C685"/>
    <w:rsid w:val="4EC27B22"/>
    <w:rsid w:val="4EC4BA3F"/>
    <w:rsid w:val="4EC56F3C"/>
    <w:rsid w:val="4EC5CEA7"/>
    <w:rsid w:val="4ECFE355"/>
    <w:rsid w:val="4ED1E68E"/>
    <w:rsid w:val="4ED6D81E"/>
    <w:rsid w:val="4EDC6D94"/>
    <w:rsid w:val="4EE66102"/>
    <w:rsid w:val="4EEAF45C"/>
    <w:rsid w:val="4EF735B2"/>
    <w:rsid w:val="4EFCAD8E"/>
    <w:rsid w:val="4F012F87"/>
    <w:rsid w:val="4F0419E4"/>
    <w:rsid w:val="4F060F5B"/>
    <w:rsid w:val="4F082175"/>
    <w:rsid w:val="4F0A8E30"/>
    <w:rsid w:val="4F0BB2DC"/>
    <w:rsid w:val="4F0F1B42"/>
    <w:rsid w:val="4F104C5F"/>
    <w:rsid w:val="4F127F1E"/>
    <w:rsid w:val="4F175DCE"/>
    <w:rsid w:val="4F17EC00"/>
    <w:rsid w:val="4F1A63DB"/>
    <w:rsid w:val="4F1B098D"/>
    <w:rsid w:val="4F1EADD9"/>
    <w:rsid w:val="4F1EE7A0"/>
    <w:rsid w:val="4F22BE6F"/>
    <w:rsid w:val="4F26A07F"/>
    <w:rsid w:val="4F26B516"/>
    <w:rsid w:val="4F2BB03A"/>
    <w:rsid w:val="4F2DA799"/>
    <w:rsid w:val="4F2F79B2"/>
    <w:rsid w:val="4F323808"/>
    <w:rsid w:val="4F33B254"/>
    <w:rsid w:val="4F39F099"/>
    <w:rsid w:val="4F3ADAFC"/>
    <w:rsid w:val="4F3D1823"/>
    <w:rsid w:val="4F3D75D8"/>
    <w:rsid w:val="4F40B554"/>
    <w:rsid w:val="4F41F771"/>
    <w:rsid w:val="4F4409E3"/>
    <w:rsid w:val="4F465B89"/>
    <w:rsid w:val="4F4C56EA"/>
    <w:rsid w:val="4F4E2288"/>
    <w:rsid w:val="4F4F9CDA"/>
    <w:rsid w:val="4F4FE9F6"/>
    <w:rsid w:val="4F50E5E5"/>
    <w:rsid w:val="4F543EB1"/>
    <w:rsid w:val="4F549577"/>
    <w:rsid w:val="4F54C16E"/>
    <w:rsid w:val="4F55AE09"/>
    <w:rsid w:val="4F583196"/>
    <w:rsid w:val="4F58931C"/>
    <w:rsid w:val="4F58A146"/>
    <w:rsid w:val="4F5E56C3"/>
    <w:rsid w:val="4F5E97E5"/>
    <w:rsid w:val="4F60B122"/>
    <w:rsid w:val="4F656FAA"/>
    <w:rsid w:val="4F684D05"/>
    <w:rsid w:val="4F6B73E1"/>
    <w:rsid w:val="4F6C6876"/>
    <w:rsid w:val="4F6DBF9E"/>
    <w:rsid w:val="4F6FE38A"/>
    <w:rsid w:val="4F766B39"/>
    <w:rsid w:val="4F76D08E"/>
    <w:rsid w:val="4F7CD8E4"/>
    <w:rsid w:val="4F81CF4A"/>
    <w:rsid w:val="4F84A432"/>
    <w:rsid w:val="4F8B5361"/>
    <w:rsid w:val="4F8BD72E"/>
    <w:rsid w:val="4F8FBB89"/>
    <w:rsid w:val="4F92D319"/>
    <w:rsid w:val="4F93194A"/>
    <w:rsid w:val="4F940DBB"/>
    <w:rsid w:val="4F988542"/>
    <w:rsid w:val="4F9E0FC8"/>
    <w:rsid w:val="4FA07B85"/>
    <w:rsid w:val="4FA0FD1C"/>
    <w:rsid w:val="4FA1038C"/>
    <w:rsid w:val="4FA61FAE"/>
    <w:rsid w:val="4FA82E34"/>
    <w:rsid w:val="4FABDE3E"/>
    <w:rsid w:val="4FB69AEE"/>
    <w:rsid w:val="4FBC9105"/>
    <w:rsid w:val="4FBCC8C4"/>
    <w:rsid w:val="4FC27AAE"/>
    <w:rsid w:val="4FCF4BF3"/>
    <w:rsid w:val="4FD79C9B"/>
    <w:rsid w:val="4FD9563C"/>
    <w:rsid w:val="4FD992FA"/>
    <w:rsid w:val="4FDC12E4"/>
    <w:rsid w:val="4FE23AEF"/>
    <w:rsid w:val="4FEDBBC2"/>
    <w:rsid w:val="4FF16A44"/>
    <w:rsid w:val="4FF4A59E"/>
    <w:rsid w:val="4FF525F3"/>
    <w:rsid w:val="4FF5C083"/>
    <w:rsid w:val="4FF602F7"/>
    <w:rsid w:val="4FF78849"/>
    <w:rsid w:val="4FFAA520"/>
    <w:rsid w:val="5000D01A"/>
    <w:rsid w:val="500487DC"/>
    <w:rsid w:val="5007D4FF"/>
    <w:rsid w:val="50097E1D"/>
    <w:rsid w:val="500AF662"/>
    <w:rsid w:val="500DE3F8"/>
    <w:rsid w:val="500E9742"/>
    <w:rsid w:val="50105C9C"/>
    <w:rsid w:val="5010959C"/>
    <w:rsid w:val="501194AD"/>
    <w:rsid w:val="5012F9D4"/>
    <w:rsid w:val="501404C0"/>
    <w:rsid w:val="501A46E0"/>
    <w:rsid w:val="501F8722"/>
    <w:rsid w:val="5020D11B"/>
    <w:rsid w:val="5023518C"/>
    <w:rsid w:val="502F48BE"/>
    <w:rsid w:val="5032D8CC"/>
    <w:rsid w:val="5035D163"/>
    <w:rsid w:val="503E4F9C"/>
    <w:rsid w:val="50415FCC"/>
    <w:rsid w:val="50419AE8"/>
    <w:rsid w:val="5044A35C"/>
    <w:rsid w:val="5045548A"/>
    <w:rsid w:val="50469050"/>
    <w:rsid w:val="504919DD"/>
    <w:rsid w:val="50530D39"/>
    <w:rsid w:val="50559414"/>
    <w:rsid w:val="5057D887"/>
    <w:rsid w:val="5059310F"/>
    <w:rsid w:val="505E777A"/>
    <w:rsid w:val="50645035"/>
    <w:rsid w:val="506545B3"/>
    <w:rsid w:val="5068A635"/>
    <w:rsid w:val="506ED667"/>
    <w:rsid w:val="5075FF29"/>
    <w:rsid w:val="507C777E"/>
    <w:rsid w:val="507F18E2"/>
    <w:rsid w:val="507F4CA8"/>
    <w:rsid w:val="5080577C"/>
    <w:rsid w:val="5085291A"/>
    <w:rsid w:val="50872900"/>
    <w:rsid w:val="50950C80"/>
    <w:rsid w:val="50956037"/>
    <w:rsid w:val="5098812E"/>
    <w:rsid w:val="50989ED0"/>
    <w:rsid w:val="509AF5BA"/>
    <w:rsid w:val="50A05E4A"/>
    <w:rsid w:val="50A15669"/>
    <w:rsid w:val="50A23A87"/>
    <w:rsid w:val="50A2602A"/>
    <w:rsid w:val="50A8063C"/>
    <w:rsid w:val="50ACDE05"/>
    <w:rsid w:val="50AD6709"/>
    <w:rsid w:val="50AE1443"/>
    <w:rsid w:val="50B44147"/>
    <w:rsid w:val="50B6E5FA"/>
    <w:rsid w:val="50C0B04E"/>
    <w:rsid w:val="50C11FE0"/>
    <w:rsid w:val="50C17ADA"/>
    <w:rsid w:val="50C48105"/>
    <w:rsid w:val="50C560D4"/>
    <w:rsid w:val="50C8B9E1"/>
    <w:rsid w:val="50CCA279"/>
    <w:rsid w:val="50D3283C"/>
    <w:rsid w:val="50D6D921"/>
    <w:rsid w:val="50DA8429"/>
    <w:rsid w:val="50DAC7D8"/>
    <w:rsid w:val="50DB5FB7"/>
    <w:rsid w:val="50DD8A8D"/>
    <w:rsid w:val="50E92725"/>
    <w:rsid w:val="50EA2BF1"/>
    <w:rsid w:val="50EB9B48"/>
    <w:rsid w:val="50EE066C"/>
    <w:rsid w:val="50EF44D5"/>
    <w:rsid w:val="50F48D6A"/>
    <w:rsid w:val="50F78A2C"/>
    <w:rsid w:val="50F90E0F"/>
    <w:rsid w:val="50F96D2A"/>
    <w:rsid w:val="50FC9E70"/>
    <w:rsid w:val="50FE803C"/>
    <w:rsid w:val="5102BB01"/>
    <w:rsid w:val="5103587C"/>
    <w:rsid w:val="51037458"/>
    <w:rsid w:val="5104F9B4"/>
    <w:rsid w:val="510B0F3A"/>
    <w:rsid w:val="510BDC66"/>
    <w:rsid w:val="510C6058"/>
    <w:rsid w:val="51131ECB"/>
    <w:rsid w:val="5113F49A"/>
    <w:rsid w:val="511992E7"/>
    <w:rsid w:val="511C4B1E"/>
    <w:rsid w:val="5122A46B"/>
    <w:rsid w:val="51249DD8"/>
    <w:rsid w:val="5126831C"/>
    <w:rsid w:val="512DA0CA"/>
    <w:rsid w:val="5133616F"/>
    <w:rsid w:val="5139EC35"/>
    <w:rsid w:val="513DCB40"/>
    <w:rsid w:val="513F97C7"/>
    <w:rsid w:val="51407D19"/>
    <w:rsid w:val="51448087"/>
    <w:rsid w:val="51469462"/>
    <w:rsid w:val="514A2A2D"/>
    <w:rsid w:val="5153C3EB"/>
    <w:rsid w:val="5156A8C7"/>
    <w:rsid w:val="515905DE"/>
    <w:rsid w:val="515BED83"/>
    <w:rsid w:val="515C31E6"/>
    <w:rsid w:val="515D98EC"/>
    <w:rsid w:val="515ED240"/>
    <w:rsid w:val="51654947"/>
    <w:rsid w:val="51663E3A"/>
    <w:rsid w:val="516BEE59"/>
    <w:rsid w:val="516CE01D"/>
    <w:rsid w:val="516DA980"/>
    <w:rsid w:val="5170CD55"/>
    <w:rsid w:val="51745E83"/>
    <w:rsid w:val="5174A919"/>
    <w:rsid w:val="5174E067"/>
    <w:rsid w:val="5174FD13"/>
    <w:rsid w:val="517A4F7C"/>
    <w:rsid w:val="51854F97"/>
    <w:rsid w:val="5189D772"/>
    <w:rsid w:val="518AFB5C"/>
    <w:rsid w:val="518CB7DC"/>
    <w:rsid w:val="518E97ED"/>
    <w:rsid w:val="519420C6"/>
    <w:rsid w:val="519BFBE2"/>
    <w:rsid w:val="519DD3BC"/>
    <w:rsid w:val="51A46F0D"/>
    <w:rsid w:val="51A70B02"/>
    <w:rsid w:val="51A8AEC8"/>
    <w:rsid w:val="51A96705"/>
    <w:rsid w:val="51AF84F7"/>
    <w:rsid w:val="51B4E245"/>
    <w:rsid w:val="51B5E3DE"/>
    <w:rsid w:val="51B62166"/>
    <w:rsid w:val="51B69BF7"/>
    <w:rsid w:val="51B799A3"/>
    <w:rsid w:val="51B7F8DE"/>
    <w:rsid w:val="51BC1907"/>
    <w:rsid w:val="51BC3B6B"/>
    <w:rsid w:val="51C0796A"/>
    <w:rsid w:val="51CB52A3"/>
    <w:rsid w:val="51CD2616"/>
    <w:rsid w:val="51CD863B"/>
    <w:rsid w:val="51D0AFF8"/>
    <w:rsid w:val="51D2AC3D"/>
    <w:rsid w:val="51DA2E91"/>
    <w:rsid w:val="51DC6FE1"/>
    <w:rsid w:val="51DCFE46"/>
    <w:rsid w:val="51DDE96C"/>
    <w:rsid w:val="51E09EFC"/>
    <w:rsid w:val="51E124EB"/>
    <w:rsid w:val="51E1D13F"/>
    <w:rsid w:val="51E54D82"/>
    <w:rsid w:val="51E65A68"/>
    <w:rsid w:val="51E7DE9F"/>
    <w:rsid w:val="51EB9D5E"/>
    <w:rsid w:val="51ED6F35"/>
    <w:rsid w:val="51F48DD6"/>
    <w:rsid w:val="51F9B4EF"/>
    <w:rsid w:val="51F9F3EC"/>
    <w:rsid w:val="51FC2630"/>
    <w:rsid w:val="51FC4B8E"/>
    <w:rsid w:val="51FE4241"/>
    <w:rsid w:val="52011426"/>
    <w:rsid w:val="52050EF0"/>
    <w:rsid w:val="5206C765"/>
    <w:rsid w:val="52085B1B"/>
    <w:rsid w:val="5209E05B"/>
    <w:rsid w:val="520D8194"/>
    <w:rsid w:val="52109028"/>
    <w:rsid w:val="52126C7A"/>
    <w:rsid w:val="52149995"/>
    <w:rsid w:val="522171F9"/>
    <w:rsid w:val="5229ED4F"/>
    <w:rsid w:val="522B4034"/>
    <w:rsid w:val="522B7A14"/>
    <w:rsid w:val="522E58AA"/>
    <w:rsid w:val="5233ED00"/>
    <w:rsid w:val="52346A8B"/>
    <w:rsid w:val="523B489C"/>
    <w:rsid w:val="5242C043"/>
    <w:rsid w:val="52431A05"/>
    <w:rsid w:val="524497F0"/>
    <w:rsid w:val="524515CD"/>
    <w:rsid w:val="52463285"/>
    <w:rsid w:val="5246FBE0"/>
    <w:rsid w:val="5249B007"/>
    <w:rsid w:val="524BBEFD"/>
    <w:rsid w:val="524E90A2"/>
    <w:rsid w:val="524F2A15"/>
    <w:rsid w:val="524F8DA4"/>
    <w:rsid w:val="52509B55"/>
    <w:rsid w:val="525362E8"/>
    <w:rsid w:val="525B6B2C"/>
    <w:rsid w:val="525D07A7"/>
    <w:rsid w:val="525E6288"/>
    <w:rsid w:val="525F1ADB"/>
    <w:rsid w:val="52637392"/>
    <w:rsid w:val="5265D6D3"/>
    <w:rsid w:val="5267CB37"/>
    <w:rsid w:val="526AD4B0"/>
    <w:rsid w:val="526B6CF9"/>
    <w:rsid w:val="527E718B"/>
    <w:rsid w:val="527ECDA2"/>
    <w:rsid w:val="52808381"/>
    <w:rsid w:val="5280C789"/>
    <w:rsid w:val="5284618B"/>
    <w:rsid w:val="52854AA6"/>
    <w:rsid w:val="52884DF3"/>
    <w:rsid w:val="5288CF73"/>
    <w:rsid w:val="528A66B9"/>
    <w:rsid w:val="528B4713"/>
    <w:rsid w:val="528D7CD7"/>
    <w:rsid w:val="528DAD87"/>
    <w:rsid w:val="5291C306"/>
    <w:rsid w:val="52930C5F"/>
    <w:rsid w:val="529E8625"/>
    <w:rsid w:val="529F23CB"/>
    <w:rsid w:val="52A298CB"/>
    <w:rsid w:val="52A2EC8B"/>
    <w:rsid w:val="52A3AE73"/>
    <w:rsid w:val="52A3FFAF"/>
    <w:rsid w:val="52A52F89"/>
    <w:rsid w:val="52A54398"/>
    <w:rsid w:val="52A75524"/>
    <w:rsid w:val="52A9C250"/>
    <w:rsid w:val="52AB9ED4"/>
    <w:rsid w:val="52B01DEA"/>
    <w:rsid w:val="52B0BE68"/>
    <w:rsid w:val="52B12F8D"/>
    <w:rsid w:val="52B365FF"/>
    <w:rsid w:val="52B3EA2E"/>
    <w:rsid w:val="52B4774B"/>
    <w:rsid w:val="52B5EFD0"/>
    <w:rsid w:val="52B6CC97"/>
    <w:rsid w:val="52B73637"/>
    <w:rsid w:val="52B7A19B"/>
    <w:rsid w:val="52BA0D84"/>
    <w:rsid w:val="52BC37FE"/>
    <w:rsid w:val="52BE430E"/>
    <w:rsid w:val="52BFBEB4"/>
    <w:rsid w:val="52C0FF05"/>
    <w:rsid w:val="52C45764"/>
    <w:rsid w:val="52C6CE16"/>
    <w:rsid w:val="52C740A5"/>
    <w:rsid w:val="52C873AA"/>
    <w:rsid w:val="52CA8F11"/>
    <w:rsid w:val="52CAE3E4"/>
    <w:rsid w:val="52CCA28E"/>
    <w:rsid w:val="52D30524"/>
    <w:rsid w:val="52D3ED9A"/>
    <w:rsid w:val="52D4DE5C"/>
    <w:rsid w:val="52DA5163"/>
    <w:rsid w:val="52DA59CF"/>
    <w:rsid w:val="52DD1417"/>
    <w:rsid w:val="52E65923"/>
    <w:rsid w:val="52E86093"/>
    <w:rsid w:val="52EA01E7"/>
    <w:rsid w:val="52EA8BFB"/>
    <w:rsid w:val="52EBC7B3"/>
    <w:rsid w:val="52EDB7F9"/>
    <w:rsid w:val="5304411D"/>
    <w:rsid w:val="53059D88"/>
    <w:rsid w:val="5305F69C"/>
    <w:rsid w:val="5308333C"/>
    <w:rsid w:val="5308A91D"/>
    <w:rsid w:val="5308E86C"/>
    <w:rsid w:val="530CB5B7"/>
    <w:rsid w:val="530CE1B8"/>
    <w:rsid w:val="530FDE45"/>
    <w:rsid w:val="5310135F"/>
    <w:rsid w:val="53107FB9"/>
    <w:rsid w:val="53140114"/>
    <w:rsid w:val="53141CB8"/>
    <w:rsid w:val="53164064"/>
    <w:rsid w:val="531C6746"/>
    <w:rsid w:val="531DF4DE"/>
    <w:rsid w:val="53202303"/>
    <w:rsid w:val="5320E1BF"/>
    <w:rsid w:val="532B1FF7"/>
    <w:rsid w:val="532C2FF4"/>
    <w:rsid w:val="532C6E5D"/>
    <w:rsid w:val="532D570F"/>
    <w:rsid w:val="5339967E"/>
    <w:rsid w:val="533B3A4B"/>
    <w:rsid w:val="533BD793"/>
    <w:rsid w:val="5342B790"/>
    <w:rsid w:val="53486F60"/>
    <w:rsid w:val="534D671D"/>
    <w:rsid w:val="535BDE5E"/>
    <w:rsid w:val="535FE8A0"/>
    <w:rsid w:val="53602EE5"/>
    <w:rsid w:val="53643606"/>
    <w:rsid w:val="5364E87C"/>
    <w:rsid w:val="5365B435"/>
    <w:rsid w:val="536F4C51"/>
    <w:rsid w:val="537105EB"/>
    <w:rsid w:val="53766066"/>
    <w:rsid w:val="5377F76D"/>
    <w:rsid w:val="537CF54C"/>
    <w:rsid w:val="538126C4"/>
    <w:rsid w:val="5383AA8F"/>
    <w:rsid w:val="53848103"/>
    <w:rsid w:val="5384EAFA"/>
    <w:rsid w:val="5386F776"/>
    <w:rsid w:val="5389C009"/>
    <w:rsid w:val="538C0CC6"/>
    <w:rsid w:val="538D4C74"/>
    <w:rsid w:val="538EEDBA"/>
    <w:rsid w:val="538F4E13"/>
    <w:rsid w:val="5392162D"/>
    <w:rsid w:val="5394CDE2"/>
    <w:rsid w:val="53954EC6"/>
    <w:rsid w:val="539B181C"/>
    <w:rsid w:val="539BDED4"/>
    <w:rsid w:val="539C9D6A"/>
    <w:rsid w:val="539D1E07"/>
    <w:rsid w:val="539F448D"/>
    <w:rsid w:val="53A8DB60"/>
    <w:rsid w:val="53ADB806"/>
    <w:rsid w:val="53AE7A40"/>
    <w:rsid w:val="53AE8D6F"/>
    <w:rsid w:val="53B81157"/>
    <w:rsid w:val="53BAD599"/>
    <w:rsid w:val="53BB390F"/>
    <w:rsid w:val="53BB6DE4"/>
    <w:rsid w:val="53C6497C"/>
    <w:rsid w:val="53CBDF4E"/>
    <w:rsid w:val="53CD9E54"/>
    <w:rsid w:val="53D6AE41"/>
    <w:rsid w:val="53D6DD38"/>
    <w:rsid w:val="53D7554A"/>
    <w:rsid w:val="53E1F22C"/>
    <w:rsid w:val="53E57CD1"/>
    <w:rsid w:val="53E6ACAD"/>
    <w:rsid w:val="53F4434A"/>
    <w:rsid w:val="53FD85DE"/>
    <w:rsid w:val="53FE934F"/>
    <w:rsid w:val="5401C6D4"/>
    <w:rsid w:val="5402913C"/>
    <w:rsid w:val="5403DA22"/>
    <w:rsid w:val="54052714"/>
    <w:rsid w:val="540B1946"/>
    <w:rsid w:val="540E9151"/>
    <w:rsid w:val="54104BE3"/>
    <w:rsid w:val="5411A7A2"/>
    <w:rsid w:val="54161CF3"/>
    <w:rsid w:val="541EB4BA"/>
    <w:rsid w:val="54200809"/>
    <w:rsid w:val="54223DE5"/>
    <w:rsid w:val="54236A0B"/>
    <w:rsid w:val="5425797C"/>
    <w:rsid w:val="542A9225"/>
    <w:rsid w:val="542CC098"/>
    <w:rsid w:val="542DEDD0"/>
    <w:rsid w:val="542F2F1F"/>
    <w:rsid w:val="542F539E"/>
    <w:rsid w:val="5432B60B"/>
    <w:rsid w:val="5432DDEB"/>
    <w:rsid w:val="5433F6FF"/>
    <w:rsid w:val="543B76DE"/>
    <w:rsid w:val="543FC11A"/>
    <w:rsid w:val="544255D4"/>
    <w:rsid w:val="54466106"/>
    <w:rsid w:val="5449948E"/>
    <w:rsid w:val="544AE421"/>
    <w:rsid w:val="544C4BA5"/>
    <w:rsid w:val="544DBF2F"/>
    <w:rsid w:val="545317CD"/>
    <w:rsid w:val="545366DB"/>
    <w:rsid w:val="5454D1B4"/>
    <w:rsid w:val="5459A481"/>
    <w:rsid w:val="5459DE31"/>
    <w:rsid w:val="545ECD37"/>
    <w:rsid w:val="54628083"/>
    <w:rsid w:val="5463535D"/>
    <w:rsid w:val="546475D2"/>
    <w:rsid w:val="5465D556"/>
    <w:rsid w:val="546797E5"/>
    <w:rsid w:val="5467E29F"/>
    <w:rsid w:val="546F93F8"/>
    <w:rsid w:val="5470320B"/>
    <w:rsid w:val="54730E7D"/>
    <w:rsid w:val="5479208D"/>
    <w:rsid w:val="54799F41"/>
    <w:rsid w:val="5480D5E3"/>
    <w:rsid w:val="548E2083"/>
    <w:rsid w:val="549232ED"/>
    <w:rsid w:val="549484E1"/>
    <w:rsid w:val="549500F8"/>
    <w:rsid w:val="5497E3D5"/>
    <w:rsid w:val="5498A02F"/>
    <w:rsid w:val="54999CFD"/>
    <w:rsid w:val="549A52F5"/>
    <w:rsid w:val="549DD3E8"/>
    <w:rsid w:val="54A113D3"/>
    <w:rsid w:val="54A2F531"/>
    <w:rsid w:val="54A6A455"/>
    <w:rsid w:val="54A7E117"/>
    <w:rsid w:val="54AD4B93"/>
    <w:rsid w:val="54B121C6"/>
    <w:rsid w:val="54C36F95"/>
    <w:rsid w:val="54C5100A"/>
    <w:rsid w:val="54CCD9BD"/>
    <w:rsid w:val="54D78067"/>
    <w:rsid w:val="54D9892A"/>
    <w:rsid w:val="54DD65D1"/>
    <w:rsid w:val="54E4D0F8"/>
    <w:rsid w:val="54E52DE1"/>
    <w:rsid w:val="54E73A52"/>
    <w:rsid w:val="54E896F8"/>
    <w:rsid w:val="54EE785E"/>
    <w:rsid w:val="54F0B0B4"/>
    <w:rsid w:val="54F0DC8A"/>
    <w:rsid w:val="54F1E460"/>
    <w:rsid w:val="54F206BE"/>
    <w:rsid w:val="54F8A7AD"/>
    <w:rsid w:val="54FC967A"/>
    <w:rsid w:val="550257F1"/>
    <w:rsid w:val="550468FC"/>
    <w:rsid w:val="5505DC7C"/>
    <w:rsid w:val="5506E062"/>
    <w:rsid w:val="5507D1C4"/>
    <w:rsid w:val="550A50A6"/>
    <w:rsid w:val="550A5ADD"/>
    <w:rsid w:val="550BE162"/>
    <w:rsid w:val="550CBCE6"/>
    <w:rsid w:val="550F8E19"/>
    <w:rsid w:val="55117E17"/>
    <w:rsid w:val="5512A399"/>
    <w:rsid w:val="55154C78"/>
    <w:rsid w:val="5518A0B4"/>
    <w:rsid w:val="55196C33"/>
    <w:rsid w:val="551BAB59"/>
    <w:rsid w:val="5520CDFF"/>
    <w:rsid w:val="5524CD32"/>
    <w:rsid w:val="55275B03"/>
    <w:rsid w:val="5528B618"/>
    <w:rsid w:val="5529D1FF"/>
    <w:rsid w:val="552CF3F1"/>
    <w:rsid w:val="552D57A7"/>
    <w:rsid w:val="553AC7C8"/>
    <w:rsid w:val="5541025B"/>
    <w:rsid w:val="554C24EA"/>
    <w:rsid w:val="55517F13"/>
    <w:rsid w:val="55520767"/>
    <w:rsid w:val="555602FC"/>
    <w:rsid w:val="5557A10F"/>
    <w:rsid w:val="555847EE"/>
    <w:rsid w:val="555A0AD3"/>
    <w:rsid w:val="555AF14C"/>
    <w:rsid w:val="555D97A3"/>
    <w:rsid w:val="555E7103"/>
    <w:rsid w:val="5562D7B8"/>
    <w:rsid w:val="5564390B"/>
    <w:rsid w:val="5565E4CE"/>
    <w:rsid w:val="55683184"/>
    <w:rsid w:val="556843B5"/>
    <w:rsid w:val="556CED2C"/>
    <w:rsid w:val="556D1BC7"/>
    <w:rsid w:val="556EC0A5"/>
    <w:rsid w:val="55738E24"/>
    <w:rsid w:val="55750312"/>
    <w:rsid w:val="55750906"/>
    <w:rsid w:val="5577A299"/>
    <w:rsid w:val="557B49CD"/>
    <w:rsid w:val="55843DD4"/>
    <w:rsid w:val="558BEACD"/>
    <w:rsid w:val="55901931"/>
    <w:rsid w:val="55916E36"/>
    <w:rsid w:val="5595D084"/>
    <w:rsid w:val="55961806"/>
    <w:rsid w:val="55976B6C"/>
    <w:rsid w:val="559A1E6A"/>
    <w:rsid w:val="559A6516"/>
    <w:rsid w:val="559CC2B9"/>
    <w:rsid w:val="559E199D"/>
    <w:rsid w:val="55A256A3"/>
    <w:rsid w:val="55A8D327"/>
    <w:rsid w:val="55AB2F75"/>
    <w:rsid w:val="55ABF935"/>
    <w:rsid w:val="55AC308F"/>
    <w:rsid w:val="55AD5CFC"/>
    <w:rsid w:val="55AE2CDB"/>
    <w:rsid w:val="55B30B28"/>
    <w:rsid w:val="55B40BE5"/>
    <w:rsid w:val="55B9EFF7"/>
    <w:rsid w:val="55BDF935"/>
    <w:rsid w:val="55C4768D"/>
    <w:rsid w:val="55C6450F"/>
    <w:rsid w:val="55C64E91"/>
    <w:rsid w:val="55C8A3E5"/>
    <w:rsid w:val="55C93A4C"/>
    <w:rsid w:val="55CBA118"/>
    <w:rsid w:val="55D3354D"/>
    <w:rsid w:val="55D9B12C"/>
    <w:rsid w:val="55DAC7DF"/>
    <w:rsid w:val="55DAD39B"/>
    <w:rsid w:val="55E0A95A"/>
    <w:rsid w:val="55E25AF2"/>
    <w:rsid w:val="55E31F01"/>
    <w:rsid w:val="55E753E9"/>
    <w:rsid w:val="55E80769"/>
    <w:rsid w:val="55ED3026"/>
    <w:rsid w:val="55F27174"/>
    <w:rsid w:val="55F44EE5"/>
    <w:rsid w:val="55F7F3E3"/>
    <w:rsid w:val="55FE1E8E"/>
    <w:rsid w:val="56016D61"/>
    <w:rsid w:val="5607EA4A"/>
    <w:rsid w:val="560AD7C8"/>
    <w:rsid w:val="560C4807"/>
    <w:rsid w:val="5610C1C7"/>
    <w:rsid w:val="5611EDAC"/>
    <w:rsid w:val="5615EDCE"/>
    <w:rsid w:val="56182A99"/>
    <w:rsid w:val="561858AF"/>
    <w:rsid w:val="561B96C4"/>
    <w:rsid w:val="562F9025"/>
    <w:rsid w:val="5631D033"/>
    <w:rsid w:val="563667E0"/>
    <w:rsid w:val="56391DD2"/>
    <w:rsid w:val="563A9CD6"/>
    <w:rsid w:val="563E87F5"/>
    <w:rsid w:val="5642BC9D"/>
    <w:rsid w:val="5642D46A"/>
    <w:rsid w:val="56437882"/>
    <w:rsid w:val="564A3AE7"/>
    <w:rsid w:val="564A80CA"/>
    <w:rsid w:val="564B2474"/>
    <w:rsid w:val="564DB615"/>
    <w:rsid w:val="564DFD94"/>
    <w:rsid w:val="564F6FE2"/>
    <w:rsid w:val="5659E931"/>
    <w:rsid w:val="5660FBDB"/>
    <w:rsid w:val="566325EB"/>
    <w:rsid w:val="56647004"/>
    <w:rsid w:val="56660735"/>
    <w:rsid w:val="5666BD95"/>
    <w:rsid w:val="566DFCA2"/>
    <w:rsid w:val="5670D989"/>
    <w:rsid w:val="567191BF"/>
    <w:rsid w:val="56787311"/>
    <w:rsid w:val="56799FC8"/>
    <w:rsid w:val="567C8A35"/>
    <w:rsid w:val="567FF38A"/>
    <w:rsid w:val="5681470B"/>
    <w:rsid w:val="568207A2"/>
    <w:rsid w:val="56852D9E"/>
    <w:rsid w:val="5687107C"/>
    <w:rsid w:val="5687A9D9"/>
    <w:rsid w:val="5689779E"/>
    <w:rsid w:val="569242DA"/>
    <w:rsid w:val="569706AF"/>
    <w:rsid w:val="569E0353"/>
    <w:rsid w:val="56A6150F"/>
    <w:rsid w:val="56A842AF"/>
    <w:rsid w:val="56A9D5F3"/>
    <w:rsid w:val="56AABE22"/>
    <w:rsid w:val="56ACD1EA"/>
    <w:rsid w:val="56AF9A3E"/>
    <w:rsid w:val="56B1FED2"/>
    <w:rsid w:val="56B38572"/>
    <w:rsid w:val="56B6CB40"/>
    <w:rsid w:val="56BCDEE5"/>
    <w:rsid w:val="56BD045A"/>
    <w:rsid w:val="56BDE41B"/>
    <w:rsid w:val="56BFA5B1"/>
    <w:rsid w:val="56C0594A"/>
    <w:rsid w:val="56C2A42E"/>
    <w:rsid w:val="56C85A86"/>
    <w:rsid w:val="56CB6BF3"/>
    <w:rsid w:val="56CBE7CC"/>
    <w:rsid w:val="56D444C0"/>
    <w:rsid w:val="56D5A5FA"/>
    <w:rsid w:val="56D7BBA4"/>
    <w:rsid w:val="56D8F34D"/>
    <w:rsid w:val="56DA4B5A"/>
    <w:rsid w:val="56DDD111"/>
    <w:rsid w:val="56E0D5C0"/>
    <w:rsid w:val="56E23286"/>
    <w:rsid w:val="56E4236D"/>
    <w:rsid w:val="56E42FB1"/>
    <w:rsid w:val="56E94314"/>
    <w:rsid w:val="56E97A19"/>
    <w:rsid w:val="56ECA16C"/>
    <w:rsid w:val="56EFC4DD"/>
    <w:rsid w:val="56F0311A"/>
    <w:rsid w:val="56F244C7"/>
    <w:rsid w:val="56F8CD42"/>
    <w:rsid w:val="56FB49AC"/>
    <w:rsid w:val="56FB69F6"/>
    <w:rsid w:val="5701D8FB"/>
    <w:rsid w:val="570236E0"/>
    <w:rsid w:val="57060A76"/>
    <w:rsid w:val="570762CC"/>
    <w:rsid w:val="570B6B14"/>
    <w:rsid w:val="570C74DF"/>
    <w:rsid w:val="570DA900"/>
    <w:rsid w:val="571898BE"/>
    <w:rsid w:val="571BABAB"/>
    <w:rsid w:val="571DC478"/>
    <w:rsid w:val="572F4741"/>
    <w:rsid w:val="5731B6A8"/>
    <w:rsid w:val="573676AE"/>
    <w:rsid w:val="5737B775"/>
    <w:rsid w:val="573CE715"/>
    <w:rsid w:val="573E313D"/>
    <w:rsid w:val="574143EE"/>
    <w:rsid w:val="5742D41D"/>
    <w:rsid w:val="5748C3D1"/>
    <w:rsid w:val="574B0BBF"/>
    <w:rsid w:val="574E0596"/>
    <w:rsid w:val="57518260"/>
    <w:rsid w:val="575A1C75"/>
    <w:rsid w:val="575A4ECE"/>
    <w:rsid w:val="575A9786"/>
    <w:rsid w:val="575CB313"/>
    <w:rsid w:val="57629059"/>
    <w:rsid w:val="5764433F"/>
    <w:rsid w:val="5766C74F"/>
    <w:rsid w:val="576B4DD5"/>
    <w:rsid w:val="576B9035"/>
    <w:rsid w:val="576C28BD"/>
    <w:rsid w:val="576D1878"/>
    <w:rsid w:val="576D41A6"/>
    <w:rsid w:val="5775E974"/>
    <w:rsid w:val="5776AD97"/>
    <w:rsid w:val="57795342"/>
    <w:rsid w:val="577A122E"/>
    <w:rsid w:val="577BF992"/>
    <w:rsid w:val="577D76F3"/>
    <w:rsid w:val="57848E44"/>
    <w:rsid w:val="578712F6"/>
    <w:rsid w:val="57887D7E"/>
    <w:rsid w:val="578CA3B7"/>
    <w:rsid w:val="578CADEC"/>
    <w:rsid w:val="578F9549"/>
    <w:rsid w:val="5793046A"/>
    <w:rsid w:val="5799893F"/>
    <w:rsid w:val="579DC952"/>
    <w:rsid w:val="579F50DE"/>
    <w:rsid w:val="57A513FD"/>
    <w:rsid w:val="57B73307"/>
    <w:rsid w:val="57B91360"/>
    <w:rsid w:val="57BE1C2E"/>
    <w:rsid w:val="57C43556"/>
    <w:rsid w:val="57C5653C"/>
    <w:rsid w:val="57C88153"/>
    <w:rsid w:val="57CBDB14"/>
    <w:rsid w:val="57CC7775"/>
    <w:rsid w:val="57CDDA84"/>
    <w:rsid w:val="57CE4F5A"/>
    <w:rsid w:val="57CF4017"/>
    <w:rsid w:val="57D7326A"/>
    <w:rsid w:val="57DA0C3A"/>
    <w:rsid w:val="57DCE7E6"/>
    <w:rsid w:val="57DF4425"/>
    <w:rsid w:val="57DFDAE0"/>
    <w:rsid w:val="57E13BC9"/>
    <w:rsid w:val="57E348FF"/>
    <w:rsid w:val="57E389AE"/>
    <w:rsid w:val="57E43D6F"/>
    <w:rsid w:val="57EC069F"/>
    <w:rsid w:val="57EDDBAD"/>
    <w:rsid w:val="57EFF71B"/>
    <w:rsid w:val="57F1FB99"/>
    <w:rsid w:val="57F62D31"/>
    <w:rsid w:val="57FF421D"/>
    <w:rsid w:val="5806AEB6"/>
    <w:rsid w:val="5808387B"/>
    <w:rsid w:val="580CCDAF"/>
    <w:rsid w:val="581175A3"/>
    <w:rsid w:val="58117796"/>
    <w:rsid w:val="5818CEF9"/>
    <w:rsid w:val="58243BA7"/>
    <w:rsid w:val="5828963A"/>
    <w:rsid w:val="582AFA49"/>
    <w:rsid w:val="582FC276"/>
    <w:rsid w:val="5834C9EE"/>
    <w:rsid w:val="5834EE0A"/>
    <w:rsid w:val="583CC112"/>
    <w:rsid w:val="583D3164"/>
    <w:rsid w:val="583FA869"/>
    <w:rsid w:val="58410629"/>
    <w:rsid w:val="5843A7CD"/>
    <w:rsid w:val="5843F860"/>
    <w:rsid w:val="5844AF86"/>
    <w:rsid w:val="58475957"/>
    <w:rsid w:val="584ACE28"/>
    <w:rsid w:val="58526654"/>
    <w:rsid w:val="5853C88C"/>
    <w:rsid w:val="5855BE4E"/>
    <w:rsid w:val="585985E2"/>
    <w:rsid w:val="5859AC63"/>
    <w:rsid w:val="585AE85A"/>
    <w:rsid w:val="585C88A7"/>
    <w:rsid w:val="585D0631"/>
    <w:rsid w:val="58604FD7"/>
    <w:rsid w:val="5863301E"/>
    <w:rsid w:val="5869832B"/>
    <w:rsid w:val="586ACD37"/>
    <w:rsid w:val="586B45FA"/>
    <w:rsid w:val="586C13D4"/>
    <w:rsid w:val="586EAE83"/>
    <w:rsid w:val="587147E6"/>
    <w:rsid w:val="58743B4C"/>
    <w:rsid w:val="5874D9CE"/>
    <w:rsid w:val="58774C51"/>
    <w:rsid w:val="587AC452"/>
    <w:rsid w:val="587B04B9"/>
    <w:rsid w:val="587BD3F8"/>
    <w:rsid w:val="587D3E52"/>
    <w:rsid w:val="587D97D6"/>
    <w:rsid w:val="58807AD1"/>
    <w:rsid w:val="588691AA"/>
    <w:rsid w:val="588B88AB"/>
    <w:rsid w:val="588CFF71"/>
    <w:rsid w:val="588ED3AB"/>
    <w:rsid w:val="588FE3A9"/>
    <w:rsid w:val="5893842A"/>
    <w:rsid w:val="58947A71"/>
    <w:rsid w:val="58953F6C"/>
    <w:rsid w:val="5899D1B6"/>
    <w:rsid w:val="589C2D9B"/>
    <w:rsid w:val="589C311E"/>
    <w:rsid w:val="589D69DE"/>
    <w:rsid w:val="589DDF67"/>
    <w:rsid w:val="58A145A1"/>
    <w:rsid w:val="58A29780"/>
    <w:rsid w:val="58A5B486"/>
    <w:rsid w:val="58AA28A4"/>
    <w:rsid w:val="58AAC7D6"/>
    <w:rsid w:val="58ABDC24"/>
    <w:rsid w:val="58B009CD"/>
    <w:rsid w:val="58B045DD"/>
    <w:rsid w:val="58B0DF92"/>
    <w:rsid w:val="58B3836C"/>
    <w:rsid w:val="58B4AD67"/>
    <w:rsid w:val="58B5303E"/>
    <w:rsid w:val="58B7B405"/>
    <w:rsid w:val="58B80055"/>
    <w:rsid w:val="58BD029C"/>
    <w:rsid w:val="58C56EB6"/>
    <w:rsid w:val="58C5AFEC"/>
    <w:rsid w:val="58C663CC"/>
    <w:rsid w:val="58C6745B"/>
    <w:rsid w:val="58C7C277"/>
    <w:rsid w:val="58CBB0E0"/>
    <w:rsid w:val="58D1A5C9"/>
    <w:rsid w:val="58D27FE1"/>
    <w:rsid w:val="58D36C9E"/>
    <w:rsid w:val="58D547B7"/>
    <w:rsid w:val="58D603A0"/>
    <w:rsid w:val="58D673E6"/>
    <w:rsid w:val="58D70DC0"/>
    <w:rsid w:val="58D7C928"/>
    <w:rsid w:val="58D88F1B"/>
    <w:rsid w:val="58DC64FB"/>
    <w:rsid w:val="58DD4F57"/>
    <w:rsid w:val="58DE021E"/>
    <w:rsid w:val="58E260C3"/>
    <w:rsid w:val="58E5B608"/>
    <w:rsid w:val="58E64525"/>
    <w:rsid w:val="58E6C162"/>
    <w:rsid w:val="58E6FA08"/>
    <w:rsid w:val="58E7D425"/>
    <w:rsid w:val="58EC5A16"/>
    <w:rsid w:val="58EC773F"/>
    <w:rsid w:val="58F04AD7"/>
    <w:rsid w:val="58F0656E"/>
    <w:rsid w:val="58F4C814"/>
    <w:rsid w:val="58F5E364"/>
    <w:rsid w:val="58F69AC2"/>
    <w:rsid w:val="58F93D0A"/>
    <w:rsid w:val="58FC7D15"/>
    <w:rsid w:val="58FE82BA"/>
    <w:rsid w:val="58FF5B6D"/>
    <w:rsid w:val="590B8D8C"/>
    <w:rsid w:val="590B9C78"/>
    <w:rsid w:val="590C8F13"/>
    <w:rsid w:val="590CD108"/>
    <w:rsid w:val="590D2F0D"/>
    <w:rsid w:val="591738CB"/>
    <w:rsid w:val="591AD71B"/>
    <w:rsid w:val="591BD03D"/>
    <w:rsid w:val="592272BA"/>
    <w:rsid w:val="5926BF3A"/>
    <w:rsid w:val="59274FFC"/>
    <w:rsid w:val="592CCF5B"/>
    <w:rsid w:val="592F376D"/>
    <w:rsid w:val="59301F00"/>
    <w:rsid w:val="59303BDC"/>
    <w:rsid w:val="5931A224"/>
    <w:rsid w:val="5932D937"/>
    <w:rsid w:val="5933CF25"/>
    <w:rsid w:val="593510F5"/>
    <w:rsid w:val="5935D665"/>
    <w:rsid w:val="593814C2"/>
    <w:rsid w:val="59399835"/>
    <w:rsid w:val="5939AEA0"/>
    <w:rsid w:val="593E2A0A"/>
    <w:rsid w:val="594323F5"/>
    <w:rsid w:val="59451A24"/>
    <w:rsid w:val="594D9B83"/>
    <w:rsid w:val="595253CC"/>
    <w:rsid w:val="59538997"/>
    <w:rsid w:val="595864FF"/>
    <w:rsid w:val="595B55CD"/>
    <w:rsid w:val="59612334"/>
    <w:rsid w:val="59626A45"/>
    <w:rsid w:val="59650FA7"/>
    <w:rsid w:val="596CDDAB"/>
    <w:rsid w:val="59700CB4"/>
    <w:rsid w:val="597262B1"/>
    <w:rsid w:val="59738018"/>
    <w:rsid w:val="5973FDB9"/>
    <w:rsid w:val="59783B60"/>
    <w:rsid w:val="59797D82"/>
    <w:rsid w:val="597B80DB"/>
    <w:rsid w:val="597F0BC7"/>
    <w:rsid w:val="59825027"/>
    <w:rsid w:val="59834584"/>
    <w:rsid w:val="5987947C"/>
    <w:rsid w:val="59879DDD"/>
    <w:rsid w:val="5988A687"/>
    <w:rsid w:val="5989D793"/>
    <w:rsid w:val="598B451C"/>
    <w:rsid w:val="598EFAA1"/>
    <w:rsid w:val="5990AE53"/>
    <w:rsid w:val="5995E666"/>
    <w:rsid w:val="59985EC5"/>
    <w:rsid w:val="59998D93"/>
    <w:rsid w:val="5999E00D"/>
    <w:rsid w:val="599AE474"/>
    <w:rsid w:val="599F52E2"/>
    <w:rsid w:val="59A3034D"/>
    <w:rsid w:val="59A331AD"/>
    <w:rsid w:val="59A53814"/>
    <w:rsid w:val="59A7873E"/>
    <w:rsid w:val="59AE6458"/>
    <w:rsid w:val="59AFA983"/>
    <w:rsid w:val="59B28493"/>
    <w:rsid w:val="59B74457"/>
    <w:rsid w:val="59BB6292"/>
    <w:rsid w:val="59BF4F5D"/>
    <w:rsid w:val="59CB92ED"/>
    <w:rsid w:val="59CC2BDF"/>
    <w:rsid w:val="59CE46E2"/>
    <w:rsid w:val="59CE88E8"/>
    <w:rsid w:val="59CF9384"/>
    <w:rsid w:val="59D7838D"/>
    <w:rsid w:val="59D7A1FC"/>
    <w:rsid w:val="59DCCA6C"/>
    <w:rsid w:val="59E324AA"/>
    <w:rsid w:val="59E3CB82"/>
    <w:rsid w:val="59E489F3"/>
    <w:rsid w:val="59E4D0B5"/>
    <w:rsid w:val="59E52A2C"/>
    <w:rsid w:val="59EA87AA"/>
    <w:rsid w:val="59ECDBB3"/>
    <w:rsid w:val="59F0B5EB"/>
    <w:rsid w:val="59F399E7"/>
    <w:rsid w:val="59F3D18F"/>
    <w:rsid w:val="59F5F514"/>
    <w:rsid w:val="59F703E1"/>
    <w:rsid w:val="59F78B16"/>
    <w:rsid w:val="59FAF6A2"/>
    <w:rsid w:val="59FC94C1"/>
    <w:rsid w:val="59FE2791"/>
    <w:rsid w:val="59FF5B17"/>
    <w:rsid w:val="5A00BF27"/>
    <w:rsid w:val="5A068EA5"/>
    <w:rsid w:val="5A09D411"/>
    <w:rsid w:val="5A0A36BE"/>
    <w:rsid w:val="5A0DB9CE"/>
    <w:rsid w:val="5A0E4AE0"/>
    <w:rsid w:val="5A122937"/>
    <w:rsid w:val="5A148C8C"/>
    <w:rsid w:val="5A1557EE"/>
    <w:rsid w:val="5A165F6D"/>
    <w:rsid w:val="5A16D672"/>
    <w:rsid w:val="5A178270"/>
    <w:rsid w:val="5A1C60CF"/>
    <w:rsid w:val="5A1E4B24"/>
    <w:rsid w:val="5A1F2E22"/>
    <w:rsid w:val="5A21583E"/>
    <w:rsid w:val="5A21D0C5"/>
    <w:rsid w:val="5A259D91"/>
    <w:rsid w:val="5A294FF5"/>
    <w:rsid w:val="5A2BD42B"/>
    <w:rsid w:val="5A347D77"/>
    <w:rsid w:val="5A356327"/>
    <w:rsid w:val="5A3B44C8"/>
    <w:rsid w:val="5A42CC92"/>
    <w:rsid w:val="5A434F87"/>
    <w:rsid w:val="5A443298"/>
    <w:rsid w:val="5A4C26B4"/>
    <w:rsid w:val="5A4C65E5"/>
    <w:rsid w:val="5A52AA99"/>
    <w:rsid w:val="5A5CBD43"/>
    <w:rsid w:val="5A5DC1B4"/>
    <w:rsid w:val="5A5F1112"/>
    <w:rsid w:val="5A6148EA"/>
    <w:rsid w:val="5A61D643"/>
    <w:rsid w:val="5A65F8BE"/>
    <w:rsid w:val="5A686148"/>
    <w:rsid w:val="5A6C1959"/>
    <w:rsid w:val="5A6C2489"/>
    <w:rsid w:val="5A74D02B"/>
    <w:rsid w:val="5A7563A6"/>
    <w:rsid w:val="5A767482"/>
    <w:rsid w:val="5A7AAF60"/>
    <w:rsid w:val="5A7D07CC"/>
    <w:rsid w:val="5A806DEE"/>
    <w:rsid w:val="5A827E60"/>
    <w:rsid w:val="5A87511F"/>
    <w:rsid w:val="5A8F065B"/>
    <w:rsid w:val="5A917279"/>
    <w:rsid w:val="5A91BD95"/>
    <w:rsid w:val="5A924C39"/>
    <w:rsid w:val="5A9301B8"/>
    <w:rsid w:val="5A959023"/>
    <w:rsid w:val="5A9B3D74"/>
    <w:rsid w:val="5A9F1BD9"/>
    <w:rsid w:val="5AA7823C"/>
    <w:rsid w:val="5AA8066D"/>
    <w:rsid w:val="5AA83525"/>
    <w:rsid w:val="5AAE46C3"/>
    <w:rsid w:val="5AB11B78"/>
    <w:rsid w:val="5AB28E79"/>
    <w:rsid w:val="5AB29848"/>
    <w:rsid w:val="5AB35B03"/>
    <w:rsid w:val="5AB4166B"/>
    <w:rsid w:val="5AB4246E"/>
    <w:rsid w:val="5AB42B92"/>
    <w:rsid w:val="5ABAC3D3"/>
    <w:rsid w:val="5AC62ECA"/>
    <w:rsid w:val="5AC6B1BD"/>
    <w:rsid w:val="5AC75B28"/>
    <w:rsid w:val="5AD07944"/>
    <w:rsid w:val="5AD7252B"/>
    <w:rsid w:val="5AE2C1A6"/>
    <w:rsid w:val="5AE5B45C"/>
    <w:rsid w:val="5AE8B599"/>
    <w:rsid w:val="5AEEB0A8"/>
    <w:rsid w:val="5AEF8D67"/>
    <w:rsid w:val="5AF42338"/>
    <w:rsid w:val="5AF61A8A"/>
    <w:rsid w:val="5AF628F9"/>
    <w:rsid w:val="5AF7F87A"/>
    <w:rsid w:val="5AF87E06"/>
    <w:rsid w:val="5AFDD121"/>
    <w:rsid w:val="5AFF7931"/>
    <w:rsid w:val="5B032480"/>
    <w:rsid w:val="5B05931A"/>
    <w:rsid w:val="5B060F13"/>
    <w:rsid w:val="5B06AAA7"/>
    <w:rsid w:val="5B0A4F1C"/>
    <w:rsid w:val="5B0B58FB"/>
    <w:rsid w:val="5B0BC543"/>
    <w:rsid w:val="5B113F02"/>
    <w:rsid w:val="5B159243"/>
    <w:rsid w:val="5B1DAC4A"/>
    <w:rsid w:val="5B2234C4"/>
    <w:rsid w:val="5B258EE4"/>
    <w:rsid w:val="5B30FDDB"/>
    <w:rsid w:val="5B32E8FD"/>
    <w:rsid w:val="5B33DB81"/>
    <w:rsid w:val="5B35FFE4"/>
    <w:rsid w:val="5B3B5461"/>
    <w:rsid w:val="5B3D7449"/>
    <w:rsid w:val="5B3EA3D4"/>
    <w:rsid w:val="5B44BC49"/>
    <w:rsid w:val="5B45EDAC"/>
    <w:rsid w:val="5B486F60"/>
    <w:rsid w:val="5B49E191"/>
    <w:rsid w:val="5B4D18C4"/>
    <w:rsid w:val="5B4FCB5C"/>
    <w:rsid w:val="5B502AA0"/>
    <w:rsid w:val="5B533D21"/>
    <w:rsid w:val="5B5CAF37"/>
    <w:rsid w:val="5B61819E"/>
    <w:rsid w:val="5B64B701"/>
    <w:rsid w:val="5B65C19E"/>
    <w:rsid w:val="5B6D5B78"/>
    <w:rsid w:val="5B6EC7E6"/>
    <w:rsid w:val="5B6EFBF9"/>
    <w:rsid w:val="5B70EAA2"/>
    <w:rsid w:val="5B72963D"/>
    <w:rsid w:val="5B75B711"/>
    <w:rsid w:val="5B7999F5"/>
    <w:rsid w:val="5B7D6F3A"/>
    <w:rsid w:val="5B7F2844"/>
    <w:rsid w:val="5B83BA68"/>
    <w:rsid w:val="5B86EBA0"/>
    <w:rsid w:val="5B898067"/>
    <w:rsid w:val="5B89A21D"/>
    <w:rsid w:val="5B89AFFC"/>
    <w:rsid w:val="5B8E30F8"/>
    <w:rsid w:val="5B90BD54"/>
    <w:rsid w:val="5B92EE8F"/>
    <w:rsid w:val="5B93669C"/>
    <w:rsid w:val="5B94A9DB"/>
    <w:rsid w:val="5B96C56B"/>
    <w:rsid w:val="5B96CC07"/>
    <w:rsid w:val="5B9EEC20"/>
    <w:rsid w:val="5BAC0E48"/>
    <w:rsid w:val="5BACA348"/>
    <w:rsid w:val="5BAEC8F2"/>
    <w:rsid w:val="5BB02B5A"/>
    <w:rsid w:val="5BB24853"/>
    <w:rsid w:val="5BB265F3"/>
    <w:rsid w:val="5BB2A6D3"/>
    <w:rsid w:val="5BBA2085"/>
    <w:rsid w:val="5BBBD078"/>
    <w:rsid w:val="5BBDBD35"/>
    <w:rsid w:val="5BBF75D9"/>
    <w:rsid w:val="5BC1748C"/>
    <w:rsid w:val="5BCB6EE5"/>
    <w:rsid w:val="5BCBCB5E"/>
    <w:rsid w:val="5BD3054C"/>
    <w:rsid w:val="5BD5F028"/>
    <w:rsid w:val="5BDB4C58"/>
    <w:rsid w:val="5BDD2274"/>
    <w:rsid w:val="5BE0DB6A"/>
    <w:rsid w:val="5BE0EB54"/>
    <w:rsid w:val="5BE616CF"/>
    <w:rsid w:val="5BF0B4C0"/>
    <w:rsid w:val="5BF14E48"/>
    <w:rsid w:val="5BF1C1E5"/>
    <w:rsid w:val="5BF383E7"/>
    <w:rsid w:val="5BF475E2"/>
    <w:rsid w:val="5BF7EB17"/>
    <w:rsid w:val="5BF87D5A"/>
    <w:rsid w:val="5BFC8D11"/>
    <w:rsid w:val="5BFCB89C"/>
    <w:rsid w:val="5C080823"/>
    <w:rsid w:val="5C095260"/>
    <w:rsid w:val="5C09CE96"/>
    <w:rsid w:val="5C0C961D"/>
    <w:rsid w:val="5C0DF819"/>
    <w:rsid w:val="5C13CBD7"/>
    <w:rsid w:val="5C187C39"/>
    <w:rsid w:val="5C1AD382"/>
    <w:rsid w:val="5C1BFD66"/>
    <w:rsid w:val="5C230AF5"/>
    <w:rsid w:val="5C27A427"/>
    <w:rsid w:val="5C2A6A98"/>
    <w:rsid w:val="5C2A7ADA"/>
    <w:rsid w:val="5C3F41FD"/>
    <w:rsid w:val="5C3FCDCB"/>
    <w:rsid w:val="5C4076A2"/>
    <w:rsid w:val="5C42F909"/>
    <w:rsid w:val="5C44EECC"/>
    <w:rsid w:val="5C468E55"/>
    <w:rsid w:val="5C470676"/>
    <w:rsid w:val="5C52515E"/>
    <w:rsid w:val="5C5591B5"/>
    <w:rsid w:val="5C5957EF"/>
    <w:rsid w:val="5C59EAF3"/>
    <w:rsid w:val="5C5A9F58"/>
    <w:rsid w:val="5C5B58A8"/>
    <w:rsid w:val="5C5BC93E"/>
    <w:rsid w:val="5C5F90AA"/>
    <w:rsid w:val="5C6008DF"/>
    <w:rsid w:val="5C612615"/>
    <w:rsid w:val="5C61A8A1"/>
    <w:rsid w:val="5C640148"/>
    <w:rsid w:val="5C6426CD"/>
    <w:rsid w:val="5C6433CE"/>
    <w:rsid w:val="5C666A80"/>
    <w:rsid w:val="5C667176"/>
    <w:rsid w:val="5C6796C1"/>
    <w:rsid w:val="5C6A286E"/>
    <w:rsid w:val="5C71BCC5"/>
    <w:rsid w:val="5C72EB97"/>
    <w:rsid w:val="5C7351B0"/>
    <w:rsid w:val="5C73F814"/>
    <w:rsid w:val="5C7C772A"/>
    <w:rsid w:val="5C7FA54F"/>
    <w:rsid w:val="5C8128C6"/>
    <w:rsid w:val="5C81310C"/>
    <w:rsid w:val="5C880E19"/>
    <w:rsid w:val="5C8A8A2C"/>
    <w:rsid w:val="5C8BB342"/>
    <w:rsid w:val="5C93F639"/>
    <w:rsid w:val="5C95ADA2"/>
    <w:rsid w:val="5C95FF61"/>
    <w:rsid w:val="5C9984C8"/>
    <w:rsid w:val="5C9B08F4"/>
    <w:rsid w:val="5C9B588E"/>
    <w:rsid w:val="5C9DA2C8"/>
    <w:rsid w:val="5C9EB37E"/>
    <w:rsid w:val="5CA0536E"/>
    <w:rsid w:val="5CA96BFB"/>
    <w:rsid w:val="5CA9F82D"/>
    <w:rsid w:val="5CAA146A"/>
    <w:rsid w:val="5CAB9860"/>
    <w:rsid w:val="5CACADC3"/>
    <w:rsid w:val="5CAD162F"/>
    <w:rsid w:val="5CAD1823"/>
    <w:rsid w:val="5CAE2F63"/>
    <w:rsid w:val="5CAEE725"/>
    <w:rsid w:val="5CB4516F"/>
    <w:rsid w:val="5CB50C07"/>
    <w:rsid w:val="5CB9EEE6"/>
    <w:rsid w:val="5CBBB9A4"/>
    <w:rsid w:val="5CBCA560"/>
    <w:rsid w:val="5CBD2FA6"/>
    <w:rsid w:val="5CBDA935"/>
    <w:rsid w:val="5CC0F95D"/>
    <w:rsid w:val="5CC24951"/>
    <w:rsid w:val="5CC3ADBD"/>
    <w:rsid w:val="5CC67901"/>
    <w:rsid w:val="5CCA252B"/>
    <w:rsid w:val="5CCA35E9"/>
    <w:rsid w:val="5CCD38B6"/>
    <w:rsid w:val="5CCD92C8"/>
    <w:rsid w:val="5CDD1720"/>
    <w:rsid w:val="5CE1F5F8"/>
    <w:rsid w:val="5CE557C4"/>
    <w:rsid w:val="5CFF54F3"/>
    <w:rsid w:val="5D024FEA"/>
    <w:rsid w:val="5D071ABE"/>
    <w:rsid w:val="5D0D5003"/>
    <w:rsid w:val="5D0D5B51"/>
    <w:rsid w:val="5D10DA45"/>
    <w:rsid w:val="5D186530"/>
    <w:rsid w:val="5D1988D9"/>
    <w:rsid w:val="5D19ED45"/>
    <w:rsid w:val="5D1ECFAE"/>
    <w:rsid w:val="5D24CF5E"/>
    <w:rsid w:val="5D275C5F"/>
    <w:rsid w:val="5D29660B"/>
    <w:rsid w:val="5D29A240"/>
    <w:rsid w:val="5D29B919"/>
    <w:rsid w:val="5D2A4EAD"/>
    <w:rsid w:val="5D2C1184"/>
    <w:rsid w:val="5D2D019C"/>
    <w:rsid w:val="5D2FACB8"/>
    <w:rsid w:val="5D3165FE"/>
    <w:rsid w:val="5D33776F"/>
    <w:rsid w:val="5D37BEE5"/>
    <w:rsid w:val="5D391058"/>
    <w:rsid w:val="5D3A2307"/>
    <w:rsid w:val="5D3DF358"/>
    <w:rsid w:val="5D4314B4"/>
    <w:rsid w:val="5D43A153"/>
    <w:rsid w:val="5D43C025"/>
    <w:rsid w:val="5D511814"/>
    <w:rsid w:val="5D56A08D"/>
    <w:rsid w:val="5D56F41B"/>
    <w:rsid w:val="5D5755D4"/>
    <w:rsid w:val="5D5FF490"/>
    <w:rsid w:val="5D631696"/>
    <w:rsid w:val="5D6B36CD"/>
    <w:rsid w:val="5D6B5896"/>
    <w:rsid w:val="5D6B9C4F"/>
    <w:rsid w:val="5D6CDD7C"/>
    <w:rsid w:val="5D6DB9BC"/>
    <w:rsid w:val="5D6E759C"/>
    <w:rsid w:val="5D72958A"/>
    <w:rsid w:val="5D77D8C9"/>
    <w:rsid w:val="5D7D545B"/>
    <w:rsid w:val="5D7F78BC"/>
    <w:rsid w:val="5D87346D"/>
    <w:rsid w:val="5D898396"/>
    <w:rsid w:val="5D8C6BC0"/>
    <w:rsid w:val="5D8E301C"/>
    <w:rsid w:val="5D923F33"/>
    <w:rsid w:val="5D9346CB"/>
    <w:rsid w:val="5D93911F"/>
    <w:rsid w:val="5D9C5755"/>
    <w:rsid w:val="5D9CF54E"/>
    <w:rsid w:val="5DA35476"/>
    <w:rsid w:val="5DA40282"/>
    <w:rsid w:val="5DA604E5"/>
    <w:rsid w:val="5DAFFCBE"/>
    <w:rsid w:val="5DB04B6E"/>
    <w:rsid w:val="5DB0A5E7"/>
    <w:rsid w:val="5DB4F3E2"/>
    <w:rsid w:val="5DB7F21B"/>
    <w:rsid w:val="5DB8F28C"/>
    <w:rsid w:val="5DBA1188"/>
    <w:rsid w:val="5DBDA7FB"/>
    <w:rsid w:val="5DBE6A03"/>
    <w:rsid w:val="5DC0B897"/>
    <w:rsid w:val="5DC3DA65"/>
    <w:rsid w:val="5DC4F74C"/>
    <w:rsid w:val="5DC55FE4"/>
    <w:rsid w:val="5DC59AF2"/>
    <w:rsid w:val="5DC69562"/>
    <w:rsid w:val="5DC9B707"/>
    <w:rsid w:val="5DCCEA3E"/>
    <w:rsid w:val="5DD242D1"/>
    <w:rsid w:val="5DD5D7B5"/>
    <w:rsid w:val="5DDCFFB2"/>
    <w:rsid w:val="5DEC7AE0"/>
    <w:rsid w:val="5DECD6C5"/>
    <w:rsid w:val="5DED5A43"/>
    <w:rsid w:val="5DEED2F9"/>
    <w:rsid w:val="5DEFB822"/>
    <w:rsid w:val="5DF14CA3"/>
    <w:rsid w:val="5DF466E2"/>
    <w:rsid w:val="5DF7AF0E"/>
    <w:rsid w:val="5DFC3E0D"/>
    <w:rsid w:val="5DFC9B0E"/>
    <w:rsid w:val="5DFD8117"/>
    <w:rsid w:val="5E0491D2"/>
    <w:rsid w:val="5E0A4366"/>
    <w:rsid w:val="5E0AF858"/>
    <w:rsid w:val="5E0D0BD2"/>
    <w:rsid w:val="5E1049AA"/>
    <w:rsid w:val="5E14A808"/>
    <w:rsid w:val="5E16B206"/>
    <w:rsid w:val="5E175CE4"/>
    <w:rsid w:val="5E19B788"/>
    <w:rsid w:val="5E1AA335"/>
    <w:rsid w:val="5E1B361B"/>
    <w:rsid w:val="5E1CB647"/>
    <w:rsid w:val="5E1CF424"/>
    <w:rsid w:val="5E1D2725"/>
    <w:rsid w:val="5E1F529D"/>
    <w:rsid w:val="5E2726C5"/>
    <w:rsid w:val="5E28C48A"/>
    <w:rsid w:val="5E2CC132"/>
    <w:rsid w:val="5E2D0C73"/>
    <w:rsid w:val="5E2E8BDF"/>
    <w:rsid w:val="5E2E9097"/>
    <w:rsid w:val="5E30A05A"/>
    <w:rsid w:val="5E36CEA4"/>
    <w:rsid w:val="5E373D21"/>
    <w:rsid w:val="5E398A6E"/>
    <w:rsid w:val="5E3B79CE"/>
    <w:rsid w:val="5E3E4BF0"/>
    <w:rsid w:val="5E4C64D4"/>
    <w:rsid w:val="5E4DFD5E"/>
    <w:rsid w:val="5E506190"/>
    <w:rsid w:val="5E553EEE"/>
    <w:rsid w:val="5E569C3F"/>
    <w:rsid w:val="5E59ABCC"/>
    <w:rsid w:val="5E5AC2EA"/>
    <w:rsid w:val="5E61A1B8"/>
    <w:rsid w:val="5E62B84F"/>
    <w:rsid w:val="5E644C95"/>
    <w:rsid w:val="5E646605"/>
    <w:rsid w:val="5E65A8B1"/>
    <w:rsid w:val="5E65AFAA"/>
    <w:rsid w:val="5E6A5E66"/>
    <w:rsid w:val="5E6B87C2"/>
    <w:rsid w:val="5E6D243E"/>
    <w:rsid w:val="5E6EDB39"/>
    <w:rsid w:val="5E7221F6"/>
    <w:rsid w:val="5E744FBC"/>
    <w:rsid w:val="5E74AF83"/>
    <w:rsid w:val="5E77B44C"/>
    <w:rsid w:val="5E7D0491"/>
    <w:rsid w:val="5E804123"/>
    <w:rsid w:val="5E88F176"/>
    <w:rsid w:val="5E8A8A7D"/>
    <w:rsid w:val="5E8C408F"/>
    <w:rsid w:val="5E8E5375"/>
    <w:rsid w:val="5E8E777C"/>
    <w:rsid w:val="5E8FC353"/>
    <w:rsid w:val="5E91EE00"/>
    <w:rsid w:val="5E9617EA"/>
    <w:rsid w:val="5E9A0272"/>
    <w:rsid w:val="5E9C0725"/>
    <w:rsid w:val="5E9E8BD4"/>
    <w:rsid w:val="5EA07C03"/>
    <w:rsid w:val="5EA166E6"/>
    <w:rsid w:val="5EA167FD"/>
    <w:rsid w:val="5EA1FACE"/>
    <w:rsid w:val="5EA27B3C"/>
    <w:rsid w:val="5EA76E7E"/>
    <w:rsid w:val="5EA83C77"/>
    <w:rsid w:val="5EAA5B5E"/>
    <w:rsid w:val="5EAC116D"/>
    <w:rsid w:val="5EACF472"/>
    <w:rsid w:val="5EAF6440"/>
    <w:rsid w:val="5EB06E5F"/>
    <w:rsid w:val="5EB881BD"/>
    <w:rsid w:val="5EBB5ACB"/>
    <w:rsid w:val="5EBE54FA"/>
    <w:rsid w:val="5EC01854"/>
    <w:rsid w:val="5EC11180"/>
    <w:rsid w:val="5EC28266"/>
    <w:rsid w:val="5EC6E390"/>
    <w:rsid w:val="5ECE9F60"/>
    <w:rsid w:val="5ED0DEF5"/>
    <w:rsid w:val="5EDA7867"/>
    <w:rsid w:val="5EDC0F54"/>
    <w:rsid w:val="5EE038ED"/>
    <w:rsid w:val="5EE60E43"/>
    <w:rsid w:val="5EE69E7F"/>
    <w:rsid w:val="5EE70150"/>
    <w:rsid w:val="5EE9CB8E"/>
    <w:rsid w:val="5EEAC70F"/>
    <w:rsid w:val="5EEC5ACC"/>
    <w:rsid w:val="5EED42E6"/>
    <w:rsid w:val="5EF06229"/>
    <w:rsid w:val="5EF2784E"/>
    <w:rsid w:val="5EF413B9"/>
    <w:rsid w:val="5EFF7509"/>
    <w:rsid w:val="5F00D897"/>
    <w:rsid w:val="5F0235E2"/>
    <w:rsid w:val="5F02EA4B"/>
    <w:rsid w:val="5F073BA2"/>
    <w:rsid w:val="5F084340"/>
    <w:rsid w:val="5F0BC48E"/>
    <w:rsid w:val="5F0DD7CB"/>
    <w:rsid w:val="5F0E0493"/>
    <w:rsid w:val="5F12771B"/>
    <w:rsid w:val="5F13B29A"/>
    <w:rsid w:val="5F1CFC68"/>
    <w:rsid w:val="5F1D5F41"/>
    <w:rsid w:val="5F1E8F62"/>
    <w:rsid w:val="5F1ECA32"/>
    <w:rsid w:val="5F1F23E0"/>
    <w:rsid w:val="5F205C32"/>
    <w:rsid w:val="5F209733"/>
    <w:rsid w:val="5F23451A"/>
    <w:rsid w:val="5F27C6D3"/>
    <w:rsid w:val="5F29012F"/>
    <w:rsid w:val="5F292741"/>
    <w:rsid w:val="5F29CB98"/>
    <w:rsid w:val="5F2A8AA2"/>
    <w:rsid w:val="5F2BDC55"/>
    <w:rsid w:val="5F2C5BD1"/>
    <w:rsid w:val="5F2F14AC"/>
    <w:rsid w:val="5F37A1A4"/>
    <w:rsid w:val="5F3913C1"/>
    <w:rsid w:val="5F3C0910"/>
    <w:rsid w:val="5F3CF0C4"/>
    <w:rsid w:val="5F4103C1"/>
    <w:rsid w:val="5F41EC10"/>
    <w:rsid w:val="5F43598F"/>
    <w:rsid w:val="5F443447"/>
    <w:rsid w:val="5F44AEF0"/>
    <w:rsid w:val="5F45D10C"/>
    <w:rsid w:val="5F4C8854"/>
    <w:rsid w:val="5F4D1473"/>
    <w:rsid w:val="5F4E319A"/>
    <w:rsid w:val="5F506200"/>
    <w:rsid w:val="5F50BB0D"/>
    <w:rsid w:val="5F51FEB5"/>
    <w:rsid w:val="5F5627D0"/>
    <w:rsid w:val="5F562C70"/>
    <w:rsid w:val="5F5E25B7"/>
    <w:rsid w:val="5F61C622"/>
    <w:rsid w:val="5F622FA5"/>
    <w:rsid w:val="5F650B4A"/>
    <w:rsid w:val="5F674E6B"/>
    <w:rsid w:val="5F677FB6"/>
    <w:rsid w:val="5F68C1E3"/>
    <w:rsid w:val="5F6D0846"/>
    <w:rsid w:val="5F6FA944"/>
    <w:rsid w:val="5F73ADB6"/>
    <w:rsid w:val="5F78A79E"/>
    <w:rsid w:val="5F7BE896"/>
    <w:rsid w:val="5F7DCCEB"/>
    <w:rsid w:val="5F7E4A9B"/>
    <w:rsid w:val="5F83B443"/>
    <w:rsid w:val="5F873000"/>
    <w:rsid w:val="5F87FF97"/>
    <w:rsid w:val="5F88489C"/>
    <w:rsid w:val="5F89B798"/>
    <w:rsid w:val="5F89F7B3"/>
    <w:rsid w:val="5F8F0027"/>
    <w:rsid w:val="5F8F0AEE"/>
    <w:rsid w:val="5F8F1010"/>
    <w:rsid w:val="5F90C55C"/>
    <w:rsid w:val="5F96683A"/>
    <w:rsid w:val="5F97D839"/>
    <w:rsid w:val="5FA0F270"/>
    <w:rsid w:val="5FA65F0C"/>
    <w:rsid w:val="5FA858D9"/>
    <w:rsid w:val="5FA9BAD2"/>
    <w:rsid w:val="5FAA14EE"/>
    <w:rsid w:val="5FAC3A0B"/>
    <w:rsid w:val="5FAD94EA"/>
    <w:rsid w:val="5FB36584"/>
    <w:rsid w:val="5FBB58CA"/>
    <w:rsid w:val="5FBC38ED"/>
    <w:rsid w:val="5FBD5D87"/>
    <w:rsid w:val="5FBF96AA"/>
    <w:rsid w:val="5FC163F0"/>
    <w:rsid w:val="5FC89151"/>
    <w:rsid w:val="5FCC327F"/>
    <w:rsid w:val="5FCCA30A"/>
    <w:rsid w:val="5FD43D77"/>
    <w:rsid w:val="5FD62C2B"/>
    <w:rsid w:val="5FD6FABE"/>
    <w:rsid w:val="5FDB10F4"/>
    <w:rsid w:val="5FDB500D"/>
    <w:rsid w:val="5FDDE97D"/>
    <w:rsid w:val="5FE00B54"/>
    <w:rsid w:val="5FE2924A"/>
    <w:rsid w:val="5FE70C00"/>
    <w:rsid w:val="5FE84DD5"/>
    <w:rsid w:val="5FEA1152"/>
    <w:rsid w:val="5FEC9F42"/>
    <w:rsid w:val="5FECDF6B"/>
    <w:rsid w:val="5FF1CCCE"/>
    <w:rsid w:val="5FF3D1D6"/>
    <w:rsid w:val="5FF40C2F"/>
    <w:rsid w:val="5FF843A6"/>
    <w:rsid w:val="5FF9BF91"/>
    <w:rsid w:val="5FFE3F55"/>
    <w:rsid w:val="5FFF8F5F"/>
    <w:rsid w:val="5FFFA7D3"/>
    <w:rsid w:val="6001D77A"/>
    <w:rsid w:val="6003AADF"/>
    <w:rsid w:val="6005369D"/>
    <w:rsid w:val="600606D9"/>
    <w:rsid w:val="600D913F"/>
    <w:rsid w:val="600E55EE"/>
    <w:rsid w:val="600FBB7B"/>
    <w:rsid w:val="60140BCD"/>
    <w:rsid w:val="6016437A"/>
    <w:rsid w:val="60166704"/>
    <w:rsid w:val="60195BAF"/>
    <w:rsid w:val="601AF0EC"/>
    <w:rsid w:val="602008BE"/>
    <w:rsid w:val="602316C6"/>
    <w:rsid w:val="6025A2A2"/>
    <w:rsid w:val="60279C87"/>
    <w:rsid w:val="6028982F"/>
    <w:rsid w:val="602E774A"/>
    <w:rsid w:val="602F67C6"/>
    <w:rsid w:val="60333FDD"/>
    <w:rsid w:val="6038AE4B"/>
    <w:rsid w:val="60394F78"/>
    <w:rsid w:val="603D937D"/>
    <w:rsid w:val="60420492"/>
    <w:rsid w:val="6046D99D"/>
    <w:rsid w:val="6046F854"/>
    <w:rsid w:val="604C3CEF"/>
    <w:rsid w:val="6053937C"/>
    <w:rsid w:val="6056B29B"/>
    <w:rsid w:val="605A5DB7"/>
    <w:rsid w:val="605CEF63"/>
    <w:rsid w:val="606457B9"/>
    <w:rsid w:val="6064AA17"/>
    <w:rsid w:val="6069C667"/>
    <w:rsid w:val="606E0815"/>
    <w:rsid w:val="606E8795"/>
    <w:rsid w:val="606EC3D9"/>
    <w:rsid w:val="6071E838"/>
    <w:rsid w:val="60729B0F"/>
    <w:rsid w:val="6075645E"/>
    <w:rsid w:val="6078EE0B"/>
    <w:rsid w:val="607944A6"/>
    <w:rsid w:val="607E82EF"/>
    <w:rsid w:val="607EF322"/>
    <w:rsid w:val="607F1A05"/>
    <w:rsid w:val="607F69E4"/>
    <w:rsid w:val="60802CDB"/>
    <w:rsid w:val="60805C96"/>
    <w:rsid w:val="60839BFF"/>
    <w:rsid w:val="60853ABE"/>
    <w:rsid w:val="608A3193"/>
    <w:rsid w:val="608A7F84"/>
    <w:rsid w:val="608D5DCB"/>
    <w:rsid w:val="6090FDDA"/>
    <w:rsid w:val="6094FE1F"/>
    <w:rsid w:val="6095996C"/>
    <w:rsid w:val="609A7ABD"/>
    <w:rsid w:val="609D21B5"/>
    <w:rsid w:val="609FC8C6"/>
    <w:rsid w:val="60A5E913"/>
    <w:rsid w:val="60AD12B3"/>
    <w:rsid w:val="60AD9158"/>
    <w:rsid w:val="60B2516F"/>
    <w:rsid w:val="60B3A14D"/>
    <w:rsid w:val="60BBE68D"/>
    <w:rsid w:val="60BCD342"/>
    <w:rsid w:val="60BD4A64"/>
    <w:rsid w:val="60BF9D79"/>
    <w:rsid w:val="60C0C7BA"/>
    <w:rsid w:val="60C697B1"/>
    <w:rsid w:val="60C790E8"/>
    <w:rsid w:val="60C7CA33"/>
    <w:rsid w:val="60C90FAF"/>
    <w:rsid w:val="60CAEF7D"/>
    <w:rsid w:val="60CB28D1"/>
    <w:rsid w:val="60CE0CEC"/>
    <w:rsid w:val="60CEE287"/>
    <w:rsid w:val="60D19D69"/>
    <w:rsid w:val="60D1AD27"/>
    <w:rsid w:val="60DAE3EF"/>
    <w:rsid w:val="60DD470B"/>
    <w:rsid w:val="60DE8D3B"/>
    <w:rsid w:val="60DFF73C"/>
    <w:rsid w:val="60E1D216"/>
    <w:rsid w:val="60E24147"/>
    <w:rsid w:val="60E31E39"/>
    <w:rsid w:val="60EB3586"/>
    <w:rsid w:val="60EE6933"/>
    <w:rsid w:val="60F22F8E"/>
    <w:rsid w:val="60F4A743"/>
    <w:rsid w:val="60F4A7AF"/>
    <w:rsid w:val="60FCA841"/>
    <w:rsid w:val="61000E17"/>
    <w:rsid w:val="6101F493"/>
    <w:rsid w:val="6103A2AE"/>
    <w:rsid w:val="610532F3"/>
    <w:rsid w:val="6108565A"/>
    <w:rsid w:val="610B3724"/>
    <w:rsid w:val="610B85E0"/>
    <w:rsid w:val="610CFE12"/>
    <w:rsid w:val="610F16A7"/>
    <w:rsid w:val="61105232"/>
    <w:rsid w:val="611074D8"/>
    <w:rsid w:val="6110F146"/>
    <w:rsid w:val="6110FA82"/>
    <w:rsid w:val="611AACEA"/>
    <w:rsid w:val="611BB4F7"/>
    <w:rsid w:val="611F4175"/>
    <w:rsid w:val="612099C8"/>
    <w:rsid w:val="6120D4BC"/>
    <w:rsid w:val="6120DD7F"/>
    <w:rsid w:val="61235543"/>
    <w:rsid w:val="6124895B"/>
    <w:rsid w:val="6126636E"/>
    <w:rsid w:val="61285BE4"/>
    <w:rsid w:val="612984C7"/>
    <w:rsid w:val="612BBF89"/>
    <w:rsid w:val="612C62AD"/>
    <w:rsid w:val="612D0AE9"/>
    <w:rsid w:val="612D371D"/>
    <w:rsid w:val="612D6443"/>
    <w:rsid w:val="612FA9FA"/>
    <w:rsid w:val="61340A73"/>
    <w:rsid w:val="61351050"/>
    <w:rsid w:val="61375002"/>
    <w:rsid w:val="613A8DBD"/>
    <w:rsid w:val="6141E09F"/>
    <w:rsid w:val="6142206C"/>
    <w:rsid w:val="61425D31"/>
    <w:rsid w:val="61498F32"/>
    <w:rsid w:val="614AC230"/>
    <w:rsid w:val="61534348"/>
    <w:rsid w:val="6155A908"/>
    <w:rsid w:val="6163FD4D"/>
    <w:rsid w:val="616426B0"/>
    <w:rsid w:val="6166B060"/>
    <w:rsid w:val="616D6834"/>
    <w:rsid w:val="61703307"/>
    <w:rsid w:val="6172A891"/>
    <w:rsid w:val="6172BAAA"/>
    <w:rsid w:val="61740E94"/>
    <w:rsid w:val="6175880B"/>
    <w:rsid w:val="6175A7C5"/>
    <w:rsid w:val="6180417D"/>
    <w:rsid w:val="61817757"/>
    <w:rsid w:val="6181D7E5"/>
    <w:rsid w:val="6183BF36"/>
    <w:rsid w:val="61863829"/>
    <w:rsid w:val="618AB31E"/>
    <w:rsid w:val="618C9342"/>
    <w:rsid w:val="618D0532"/>
    <w:rsid w:val="6190975B"/>
    <w:rsid w:val="6191A867"/>
    <w:rsid w:val="6194FC41"/>
    <w:rsid w:val="61966F10"/>
    <w:rsid w:val="6198760C"/>
    <w:rsid w:val="6198B15B"/>
    <w:rsid w:val="619AF195"/>
    <w:rsid w:val="619F1A0E"/>
    <w:rsid w:val="619F663E"/>
    <w:rsid w:val="61A4AD5C"/>
    <w:rsid w:val="61A4B232"/>
    <w:rsid w:val="61A8E919"/>
    <w:rsid w:val="61B50DE5"/>
    <w:rsid w:val="61B68C12"/>
    <w:rsid w:val="61BAE4D8"/>
    <w:rsid w:val="61BBFC87"/>
    <w:rsid w:val="61BC84A4"/>
    <w:rsid w:val="61C19E8C"/>
    <w:rsid w:val="61C401EF"/>
    <w:rsid w:val="61C4AD6F"/>
    <w:rsid w:val="61CB3A6A"/>
    <w:rsid w:val="61D6714C"/>
    <w:rsid w:val="61D9407C"/>
    <w:rsid w:val="61DAA03B"/>
    <w:rsid w:val="61DBA0D8"/>
    <w:rsid w:val="61DC26B9"/>
    <w:rsid w:val="61DC9185"/>
    <w:rsid w:val="61E1A803"/>
    <w:rsid w:val="61E21BC2"/>
    <w:rsid w:val="61E360BB"/>
    <w:rsid w:val="61E389D6"/>
    <w:rsid w:val="61E40F4E"/>
    <w:rsid w:val="61E93298"/>
    <w:rsid w:val="61EA557B"/>
    <w:rsid w:val="61EBF510"/>
    <w:rsid w:val="61ED0475"/>
    <w:rsid w:val="61EDF7F5"/>
    <w:rsid w:val="61F0334D"/>
    <w:rsid w:val="61F2BD8F"/>
    <w:rsid w:val="61F68486"/>
    <w:rsid w:val="61FDB17B"/>
    <w:rsid w:val="62037136"/>
    <w:rsid w:val="6204E0AA"/>
    <w:rsid w:val="62056867"/>
    <w:rsid w:val="6206CAFC"/>
    <w:rsid w:val="620797F3"/>
    <w:rsid w:val="6207FEAC"/>
    <w:rsid w:val="6208E784"/>
    <w:rsid w:val="620C6CE0"/>
    <w:rsid w:val="62145155"/>
    <w:rsid w:val="6214EE6E"/>
    <w:rsid w:val="62154EDF"/>
    <w:rsid w:val="621565A6"/>
    <w:rsid w:val="6215E116"/>
    <w:rsid w:val="62193F5B"/>
    <w:rsid w:val="621BDD19"/>
    <w:rsid w:val="621C46C2"/>
    <w:rsid w:val="62208BC1"/>
    <w:rsid w:val="622459EC"/>
    <w:rsid w:val="622880F0"/>
    <w:rsid w:val="6228C394"/>
    <w:rsid w:val="6229971C"/>
    <w:rsid w:val="623351EC"/>
    <w:rsid w:val="6233C87E"/>
    <w:rsid w:val="623617E1"/>
    <w:rsid w:val="623741D5"/>
    <w:rsid w:val="623A5EDB"/>
    <w:rsid w:val="623B1FDD"/>
    <w:rsid w:val="62422388"/>
    <w:rsid w:val="62427446"/>
    <w:rsid w:val="62441F50"/>
    <w:rsid w:val="624481F7"/>
    <w:rsid w:val="6244F0C3"/>
    <w:rsid w:val="62463CDD"/>
    <w:rsid w:val="624B4AD8"/>
    <w:rsid w:val="624C012B"/>
    <w:rsid w:val="624F3AC1"/>
    <w:rsid w:val="624FBA98"/>
    <w:rsid w:val="6250381B"/>
    <w:rsid w:val="62510046"/>
    <w:rsid w:val="62525F90"/>
    <w:rsid w:val="6253C24A"/>
    <w:rsid w:val="6254C89B"/>
    <w:rsid w:val="6256B469"/>
    <w:rsid w:val="62597E09"/>
    <w:rsid w:val="625D63F1"/>
    <w:rsid w:val="62616ACF"/>
    <w:rsid w:val="62667FCB"/>
    <w:rsid w:val="626734AF"/>
    <w:rsid w:val="62701226"/>
    <w:rsid w:val="62704483"/>
    <w:rsid w:val="62767E4C"/>
    <w:rsid w:val="627A5D3B"/>
    <w:rsid w:val="627AB61A"/>
    <w:rsid w:val="627B8FAC"/>
    <w:rsid w:val="627E239D"/>
    <w:rsid w:val="627FC4CF"/>
    <w:rsid w:val="6285EF5B"/>
    <w:rsid w:val="62893359"/>
    <w:rsid w:val="6289F4FB"/>
    <w:rsid w:val="628C1A05"/>
    <w:rsid w:val="628C26DF"/>
    <w:rsid w:val="628CC056"/>
    <w:rsid w:val="6298704F"/>
    <w:rsid w:val="629C8219"/>
    <w:rsid w:val="629FC0EA"/>
    <w:rsid w:val="62A6DFC6"/>
    <w:rsid w:val="62A83FCC"/>
    <w:rsid w:val="62A8D5BC"/>
    <w:rsid w:val="62AB7BBA"/>
    <w:rsid w:val="62AD853F"/>
    <w:rsid w:val="62AE1C19"/>
    <w:rsid w:val="62B608DA"/>
    <w:rsid w:val="62B672A1"/>
    <w:rsid w:val="62BD273C"/>
    <w:rsid w:val="62BF565E"/>
    <w:rsid w:val="62C1A126"/>
    <w:rsid w:val="62C24ABC"/>
    <w:rsid w:val="62C74B16"/>
    <w:rsid w:val="62CB58EE"/>
    <w:rsid w:val="62CC6AB6"/>
    <w:rsid w:val="62CDD677"/>
    <w:rsid w:val="62D0B6CE"/>
    <w:rsid w:val="62D111CF"/>
    <w:rsid w:val="62D77642"/>
    <w:rsid w:val="62DABD6E"/>
    <w:rsid w:val="62DB0925"/>
    <w:rsid w:val="62DB927F"/>
    <w:rsid w:val="62DC22E0"/>
    <w:rsid w:val="62DCF051"/>
    <w:rsid w:val="62DCF499"/>
    <w:rsid w:val="62DE7A52"/>
    <w:rsid w:val="62DEE3B1"/>
    <w:rsid w:val="62DF2C2D"/>
    <w:rsid w:val="62DF3AB1"/>
    <w:rsid w:val="62E80A1E"/>
    <w:rsid w:val="62F93875"/>
    <w:rsid w:val="62FA42AA"/>
    <w:rsid w:val="62FE1548"/>
    <w:rsid w:val="63019050"/>
    <w:rsid w:val="6308EFCD"/>
    <w:rsid w:val="63095B4D"/>
    <w:rsid w:val="63098CED"/>
    <w:rsid w:val="630BAF15"/>
    <w:rsid w:val="630CA891"/>
    <w:rsid w:val="630D10D5"/>
    <w:rsid w:val="630D331A"/>
    <w:rsid w:val="6314AE5A"/>
    <w:rsid w:val="63161E63"/>
    <w:rsid w:val="6318A13C"/>
    <w:rsid w:val="631B05B2"/>
    <w:rsid w:val="631EE4F9"/>
    <w:rsid w:val="632451F9"/>
    <w:rsid w:val="63255707"/>
    <w:rsid w:val="632ADEA9"/>
    <w:rsid w:val="632CAB60"/>
    <w:rsid w:val="6330614B"/>
    <w:rsid w:val="6330B9D9"/>
    <w:rsid w:val="6334E85B"/>
    <w:rsid w:val="63351FEA"/>
    <w:rsid w:val="63377AED"/>
    <w:rsid w:val="633D8C10"/>
    <w:rsid w:val="634158CC"/>
    <w:rsid w:val="6341F831"/>
    <w:rsid w:val="63459276"/>
    <w:rsid w:val="634976C5"/>
    <w:rsid w:val="634A8642"/>
    <w:rsid w:val="634EE011"/>
    <w:rsid w:val="6352BCEF"/>
    <w:rsid w:val="63546373"/>
    <w:rsid w:val="6357A125"/>
    <w:rsid w:val="6359D11A"/>
    <w:rsid w:val="635C6435"/>
    <w:rsid w:val="635E542F"/>
    <w:rsid w:val="63686A25"/>
    <w:rsid w:val="636B5019"/>
    <w:rsid w:val="636DF517"/>
    <w:rsid w:val="636ECD7B"/>
    <w:rsid w:val="636F69F2"/>
    <w:rsid w:val="637152EF"/>
    <w:rsid w:val="6372F23A"/>
    <w:rsid w:val="6377A928"/>
    <w:rsid w:val="6379D64B"/>
    <w:rsid w:val="637F9AA4"/>
    <w:rsid w:val="637FFE32"/>
    <w:rsid w:val="6382B25F"/>
    <w:rsid w:val="63867A67"/>
    <w:rsid w:val="63886079"/>
    <w:rsid w:val="638CB8BC"/>
    <w:rsid w:val="638F2657"/>
    <w:rsid w:val="63936C73"/>
    <w:rsid w:val="63970133"/>
    <w:rsid w:val="639930C3"/>
    <w:rsid w:val="639A707C"/>
    <w:rsid w:val="63A239D0"/>
    <w:rsid w:val="63A75F78"/>
    <w:rsid w:val="63AF88F4"/>
    <w:rsid w:val="63B04A5F"/>
    <w:rsid w:val="63B26380"/>
    <w:rsid w:val="63B8D6A7"/>
    <w:rsid w:val="63BB3A07"/>
    <w:rsid w:val="63BCB4E9"/>
    <w:rsid w:val="63C0E6B9"/>
    <w:rsid w:val="63C55F1B"/>
    <w:rsid w:val="63C9AC4F"/>
    <w:rsid w:val="63D1739F"/>
    <w:rsid w:val="63D22470"/>
    <w:rsid w:val="63D2712B"/>
    <w:rsid w:val="63D38B5D"/>
    <w:rsid w:val="63D8B27B"/>
    <w:rsid w:val="63D98D53"/>
    <w:rsid w:val="63DC48FB"/>
    <w:rsid w:val="63DECF5E"/>
    <w:rsid w:val="63DF16F1"/>
    <w:rsid w:val="63E38005"/>
    <w:rsid w:val="63E8607D"/>
    <w:rsid w:val="63EE7C80"/>
    <w:rsid w:val="63F37EF3"/>
    <w:rsid w:val="63F79B24"/>
    <w:rsid w:val="63F95B6C"/>
    <w:rsid w:val="6400FCD7"/>
    <w:rsid w:val="640129E9"/>
    <w:rsid w:val="6401B90D"/>
    <w:rsid w:val="6403A6AC"/>
    <w:rsid w:val="640657CF"/>
    <w:rsid w:val="64077BA1"/>
    <w:rsid w:val="6407B7D1"/>
    <w:rsid w:val="64092E7D"/>
    <w:rsid w:val="640B0EAE"/>
    <w:rsid w:val="640BCDB6"/>
    <w:rsid w:val="640D9D95"/>
    <w:rsid w:val="640E0686"/>
    <w:rsid w:val="640EEA23"/>
    <w:rsid w:val="641445A6"/>
    <w:rsid w:val="641AE89E"/>
    <w:rsid w:val="641C3225"/>
    <w:rsid w:val="641DE476"/>
    <w:rsid w:val="641F1100"/>
    <w:rsid w:val="642330E2"/>
    <w:rsid w:val="642FD82F"/>
    <w:rsid w:val="6433D9AB"/>
    <w:rsid w:val="64340467"/>
    <w:rsid w:val="64361826"/>
    <w:rsid w:val="64362E2B"/>
    <w:rsid w:val="6437C17E"/>
    <w:rsid w:val="6440CEBA"/>
    <w:rsid w:val="644191A2"/>
    <w:rsid w:val="6443594A"/>
    <w:rsid w:val="6446E16E"/>
    <w:rsid w:val="644B5FC3"/>
    <w:rsid w:val="644C603F"/>
    <w:rsid w:val="644F8FAB"/>
    <w:rsid w:val="64524B62"/>
    <w:rsid w:val="64528CCC"/>
    <w:rsid w:val="6454251C"/>
    <w:rsid w:val="6457BC97"/>
    <w:rsid w:val="645AA80D"/>
    <w:rsid w:val="645CC2F1"/>
    <w:rsid w:val="64607F4F"/>
    <w:rsid w:val="64614D52"/>
    <w:rsid w:val="646299D3"/>
    <w:rsid w:val="6465F339"/>
    <w:rsid w:val="6466312F"/>
    <w:rsid w:val="64667C37"/>
    <w:rsid w:val="6469C2E1"/>
    <w:rsid w:val="646DB3AC"/>
    <w:rsid w:val="6471DB5B"/>
    <w:rsid w:val="64767F76"/>
    <w:rsid w:val="647A0EC5"/>
    <w:rsid w:val="647EA318"/>
    <w:rsid w:val="6481433B"/>
    <w:rsid w:val="64832543"/>
    <w:rsid w:val="6487E1DE"/>
    <w:rsid w:val="6488E525"/>
    <w:rsid w:val="6489A565"/>
    <w:rsid w:val="648BD74C"/>
    <w:rsid w:val="648E2694"/>
    <w:rsid w:val="648F3051"/>
    <w:rsid w:val="648F9F67"/>
    <w:rsid w:val="648FDD30"/>
    <w:rsid w:val="64909E2D"/>
    <w:rsid w:val="64915B6A"/>
    <w:rsid w:val="64926C56"/>
    <w:rsid w:val="649497E8"/>
    <w:rsid w:val="6499C7C0"/>
    <w:rsid w:val="64A0D444"/>
    <w:rsid w:val="64A26CFF"/>
    <w:rsid w:val="64A54119"/>
    <w:rsid w:val="64A88833"/>
    <w:rsid w:val="64AD8B21"/>
    <w:rsid w:val="64ADFB2B"/>
    <w:rsid w:val="64AE5B30"/>
    <w:rsid w:val="64B34FCD"/>
    <w:rsid w:val="64C0E674"/>
    <w:rsid w:val="64C1DC2C"/>
    <w:rsid w:val="64C55035"/>
    <w:rsid w:val="64C6E99E"/>
    <w:rsid w:val="64C7AA42"/>
    <w:rsid w:val="64C9033E"/>
    <w:rsid w:val="64CBD709"/>
    <w:rsid w:val="64CEF5D3"/>
    <w:rsid w:val="64CF0FEA"/>
    <w:rsid w:val="64D143AD"/>
    <w:rsid w:val="64DD77C0"/>
    <w:rsid w:val="64E016C3"/>
    <w:rsid w:val="64E0B214"/>
    <w:rsid w:val="64E54BAA"/>
    <w:rsid w:val="64E5CD4A"/>
    <w:rsid w:val="64EB9C43"/>
    <w:rsid w:val="64EF8E0B"/>
    <w:rsid w:val="64FBE614"/>
    <w:rsid w:val="64FDDAC7"/>
    <w:rsid w:val="64FE99C7"/>
    <w:rsid w:val="64FFB030"/>
    <w:rsid w:val="6501E598"/>
    <w:rsid w:val="650598EC"/>
    <w:rsid w:val="6505FA96"/>
    <w:rsid w:val="6508830F"/>
    <w:rsid w:val="650B7392"/>
    <w:rsid w:val="650D0A27"/>
    <w:rsid w:val="650FF8F3"/>
    <w:rsid w:val="651E0A1B"/>
    <w:rsid w:val="65218572"/>
    <w:rsid w:val="65227114"/>
    <w:rsid w:val="6527781E"/>
    <w:rsid w:val="65299549"/>
    <w:rsid w:val="652B4A97"/>
    <w:rsid w:val="652EAAB2"/>
    <w:rsid w:val="65313F06"/>
    <w:rsid w:val="65359AAE"/>
    <w:rsid w:val="6539F107"/>
    <w:rsid w:val="653C70FE"/>
    <w:rsid w:val="653D24EC"/>
    <w:rsid w:val="6540E582"/>
    <w:rsid w:val="65419CF0"/>
    <w:rsid w:val="65450EF6"/>
    <w:rsid w:val="65479A29"/>
    <w:rsid w:val="654BC40D"/>
    <w:rsid w:val="654DB98B"/>
    <w:rsid w:val="65512C4D"/>
    <w:rsid w:val="6551FC3C"/>
    <w:rsid w:val="655A7799"/>
    <w:rsid w:val="655BF547"/>
    <w:rsid w:val="6565B0CE"/>
    <w:rsid w:val="6568A6C9"/>
    <w:rsid w:val="656A97CA"/>
    <w:rsid w:val="656A983E"/>
    <w:rsid w:val="656AFD27"/>
    <w:rsid w:val="656B638A"/>
    <w:rsid w:val="656CB54F"/>
    <w:rsid w:val="657588AA"/>
    <w:rsid w:val="6576DD17"/>
    <w:rsid w:val="6579139C"/>
    <w:rsid w:val="657988F3"/>
    <w:rsid w:val="657AC681"/>
    <w:rsid w:val="657D0EF4"/>
    <w:rsid w:val="657DA855"/>
    <w:rsid w:val="6583C111"/>
    <w:rsid w:val="6583DA50"/>
    <w:rsid w:val="65842420"/>
    <w:rsid w:val="65850BFA"/>
    <w:rsid w:val="65942028"/>
    <w:rsid w:val="6595FCEB"/>
    <w:rsid w:val="6596D925"/>
    <w:rsid w:val="659933D8"/>
    <w:rsid w:val="659AC4A2"/>
    <w:rsid w:val="659C5749"/>
    <w:rsid w:val="659F971B"/>
    <w:rsid w:val="65A32F3F"/>
    <w:rsid w:val="65A42861"/>
    <w:rsid w:val="65AAE8CA"/>
    <w:rsid w:val="65B819CF"/>
    <w:rsid w:val="65B98675"/>
    <w:rsid w:val="65B9CF19"/>
    <w:rsid w:val="65BC2748"/>
    <w:rsid w:val="65BC9AD1"/>
    <w:rsid w:val="65C092C9"/>
    <w:rsid w:val="65C0C203"/>
    <w:rsid w:val="65C14EC8"/>
    <w:rsid w:val="65C30981"/>
    <w:rsid w:val="65C34778"/>
    <w:rsid w:val="65C93459"/>
    <w:rsid w:val="65CB6850"/>
    <w:rsid w:val="65CB80D9"/>
    <w:rsid w:val="65CBE5AD"/>
    <w:rsid w:val="65CEEDE8"/>
    <w:rsid w:val="65D0CAED"/>
    <w:rsid w:val="65D158AD"/>
    <w:rsid w:val="65D2270A"/>
    <w:rsid w:val="65D4ED6C"/>
    <w:rsid w:val="65D7DCBA"/>
    <w:rsid w:val="65D988D8"/>
    <w:rsid w:val="65DB759E"/>
    <w:rsid w:val="65DD49D9"/>
    <w:rsid w:val="65E32694"/>
    <w:rsid w:val="65E6C477"/>
    <w:rsid w:val="65EB080D"/>
    <w:rsid w:val="65EE2D74"/>
    <w:rsid w:val="65F87B9C"/>
    <w:rsid w:val="65F9C427"/>
    <w:rsid w:val="65FC90CA"/>
    <w:rsid w:val="65FE62DC"/>
    <w:rsid w:val="65FE6388"/>
    <w:rsid w:val="65FF7B54"/>
    <w:rsid w:val="660077D4"/>
    <w:rsid w:val="6602352B"/>
    <w:rsid w:val="660A895E"/>
    <w:rsid w:val="660ACD35"/>
    <w:rsid w:val="660B0C15"/>
    <w:rsid w:val="660FBB67"/>
    <w:rsid w:val="6611442B"/>
    <w:rsid w:val="6616095A"/>
    <w:rsid w:val="661711D7"/>
    <w:rsid w:val="6617F0EC"/>
    <w:rsid w:val="661A65FB"/>
    <w:rsid w:val="661B29B2"/>
    <w:rsid w:val="66253DB3"/>
    <w:rsid w:val="662BDA79"/>
    <w:rsid w:val="662C3A64"/>
    <w:rsid w:val="662D732E"/>
    <w:rsid w:val="662E3DDD"/>
    <w:rsid w:val="662FACC6"/>
    <w:rsid w:val="66319489"/>
    <w:rsid w:val="663A7139"/>
    <w:rsid w:val="663AB8F8"/>
    <w:rsid w:val="663B96B6"/>
    <w:rsid w:val="663C474F"/>
    <w:rsid w:val="663CABED"/>
    <w:rsid w:val="663DF967"/>
    <w:rsid w:val="6643EE1A"/>
    <w:rsid w:val="6645243B"/>
    <w:rsid w:val="66463CD9"/>
    <w:rsid w:val="6648944E"/>
    <w:rsid w:val="66493BB8"/>
    <w:rsid w:val="664AB37D"/>
    <w:rsid w:val="664B6BC6"/>
    <w:rsid w:val="6650D89C"/>
    <w:rsid w:val="66519327"/>
    <w:rsid w:val="665269E1"/>
    <w:rsid w:val="6653E5A9"/>
    <w:rsid w:val="6654B998"/>
    <w:rsid w:val="665583EA"/>
    <w:rsid w:val="665DF8D3"/>
    <w:rsid w:val="6666F5D8"/>
    <w:rsid w:val="666826C6"/>
    <w:rsid w:val="66694A90"/>
    <w:rsid w:val="667043B1"/>
    <w:rsid w:val="66719E5D"/>
    <w:rsid w:val="6672E832"/>
    <w:rsid w:val="6679802B"/>
    <w:rsid w:val="6679CA10"/>
    <w:rsid w:val="6684194B"/>
    <w:rsid w:val="668499E4"/>
    <w:rsid w:val="66887B30"/>
    <w:rsid w:val="668DF03F"/>
    <w:rsid w:val="66945756"/>
    <w:rsid w:val="6694C241"/>
    <w:rsid w:val="669545B2"/>
    <w:rsid w:val="669DD655"/>
    <w:rsid w:val="66AE4E5D"/>
    <w:rsid w:val="66B2A72E"/>
    <w:rsid w:val="66B65215"/>
    <w:rsid w:val="66B95FF6"/>
    <w:rsid w:val="66BA45DE"/>
    <w:rsid w:val="66BCD097"/>
    <w:rsid w:val="66BDD864"/>
    <w:rsid w:val="66BFF07A"/>
    <w:rsid w:val="66C0D0FC"/>
    <w:rsid w:val="66C87904"/>
    <w:rsid w:val="66C9D86E"/>
    <w:rsid w:val="66CA1059"/>
    <w:rsid w:val="66CC931B"/>
    <w:rsid w:val="66D34FE5"/>
    <w:rsid w:val="66D38F11"/>
    <w:rsid w:val="66D62DF6"/>
    <w:rsid w:val="66D70D70"/>
    <w:rsid w:val="66D715A1"/>
    <w:rsid w:val="66D88300"/>
    <w:rsid w:val="66D8BFBC"/>
    <w:rsid w:val="66DC1598"/>
    <w:rsid w:val="66DCA480"/>
    <w:rsid w:val="66E2C479"/>
    <w:rsid w:val="66E3F07C"/>
    <w:rsid w:val="66E5D3AE"/>
    <w:rsid w:val="66E8F748"/>
    <w:rsid w:val="66E8F828"/>
    <w:rsid w:val="66EB34F4"/>
    <w:rsid w:val="66EB675A"/>
    <w:rsid w:val="66EC3D75"/>
    <w:rsid w:val="66EE1105"/>
    <w:rsid w:val="66F2136C"/>
    <w:rsid w:val="66F2D6AE"/>
    <w:rsid w:val="66F53574"/>
    <w:rsid w:val="66F97609"/>
    <w:rsid w:val="66FA70A1"/>
    <w:rsid w:val="6703D0FC"/>
    <w:rsid w:val="67071944"/>
    <w:rsid w:val="6708A8AC"/>
    <w:rsid w:val="67092F90"/>
    <w:rsid w:val="670AD1CB"/>
    <w:rsid w:val="670D1293"/>
    <w:rsid w:val="670D579B"/>
    <w:rsid w:val="670EE921"/>
    <w:rsid w:val="67194CE1"/>
    <w:rsid w:val="671B948E"/>
    <w:rsid w:val="6727D1F5"/>
    <w:rsid w:val="672A87B9"/>
    <w:rsid w:val="672ADA05"/>
    <w:rsid w:val="672B16BF"/>
    <w:rsid w:val="6730A750"/>
    <w:rsid w:val="6738582B"/>
    <w:rsid w:val="673A8D87"/>
    <w:rsid w:val="673AF5A7"/>
    <w:rsid w:val="673DFD04"/>
    <w:rsid w:val="673F0CF7"/>
    <w:rsid w:val="6744870B"/>
    <w:rsid w:val="6744E53A"/>
    <w:rsid w:val="6754D68B"/>
    <w:rsid w:val="675979F0"/>
    <w:rsid w:val="675A76F9"/>
    <w:rsid w:val="675D9AF8"/>
    <w:rsid w:val="675E1D35"/>
    <w:rsid w:val="675EE8B5"/>
    <w:rsid w:val="6760431E"/>
    <w:rsid w:val="676228C4"/>
    <w:rsid w:val="6770F6F7"/>
    <w:rsid w:val="6772507B"/>
    <w:rsid w:val="67793289"/>
    <w:rsid w:val="6779CBE0"/>
    <w:rsid w:val="677A50E9"/>
    <w:rsid w:val="6781378D"/>
    <w:rsid w:val="6782FCA6"/>
    <w:rsid w:val="6784CEC1"/>
    <w:rsid w:val="67875110"/>
    <w:rsid w:val="67931869"/>
    <w:rsid w:val="6793D171"/>
    <w:rsid w:val="6797E7E4"/>
    <w:rsid w:val="679A6FA6"/>
    <w:rsid w:val="679F903C"/>
    <w:rsid w:val="67A010D3"/>
    <w:rsid w:val="67A50BC9"/>
    <w:rsid w:val="67A7A49B"/>
    <w:rsid w:val="67ADE0D4"/>
    <w:rsid w:val="67B0ECB4"/>
    <w:rsid w:val="67B2F868"/>
    <w:rsid w:val="67B4EF61"/>
    <w:rsid w:val="67B9AA90"/>
    <w:rsid w:val="67BA463B"/>
    <w:rsid w:val="67BB94A8"/>
    <w:rsid w:val="67BC2D4B"/>
    <w:rsid w:val="67C198D9"/>
    <w:rsid w:val="67C26FEA"/>
    <w:rsid w:val="67C659C9"/>
    <w:rsid w:val="67C8F760"/>
    <w:rsid w:val="67CA00B0"/>
    <w:rsid w:val="67CA20FE"/>
    <w:rsid w:val="67CAA755"/>
    <w:rsid w:val="67CC867B"/>
    <w:rsid w:val="67D00DBE"/>
    <w:rsid w:val="67D05DBF"/>
    <w:rsid w:val="67D24485"/>
    <w:rsid w:val="67D4BAE9"/>
    <w:rsid w:val="67D75A72"/>
    <w:rsid w:val="67D77AAB"/>
    <w:rsid w:val="67D85082"/>
    <w:rsid w:val="67D8CA48"/>
    <w:rsid w:val="67D8CBA5"/>
    <w:rsid w:val="67DB8515"/>
    <w:rsid w:val="67DBB70F"/>
    <w:rsid w:val="67DBC095"/>
    <w:rsid w:val="67DCB4CB"/>
    <w:rsid w:val="67DDE0AD"/>
    <w:rsid w:val="67E1CF5C"/>
    <w:rsid w:val="67E255CB"/>
    <w:rsid w:val="67E35A32"/>
    <w:rsid w:val="67E4B00C"/>
    <w:rsid w:val="67E507A8"/>
    <w:rsid w:val="67E9563F"/>
    <w:rsid w:val="67E95750"/>
    <w:rsid w:val="67F054BF"/>
    <w:rsid w:val="67F18CD0"/>
    <w:rsid w:val="67F9C05A"/>
    <w:rsid w:val="680058D3"/>
    <w:rsid w:val="6806F4DF"/>
    <w:rsid w:val="680C76D0"/>
    <w:rsid w:val="68103A73"/>
    <w:rsid w:val="6811A32B"/>
    <w:rsid w:val="6817ED34"/>
    <w:rsid w:val="681B68A5"/>
    <w:rsid w:val="681C2CC0"/>
    <w:rsid w:val="681D8B47"/>
    <w:rsid w:val="6820C102"/>
    <w:rsid w:val="6827BA37"/>
    <w:rsid w:val="682998AA"/>
    <w:rsid w:val="68345AC5"/>
    <w:rsid w:val="68345C74"/>
    <w:rsid w:val="6838170E"/>
    <w:rsid w:val="683A4BA9"/>
    <w:rsid w:val="683CEC60"/>
    <w:rsid w:val="6840487A"/>
    <w:rsid w:val="68475000"/>
    <w:rsid w:val="6847E7CA"/>
    <w:rsid w:val="68492AFE"/>
    <w:rsid w:val="684A7848"/>
    <w:rsid w:val="684C473F"/>
    <w:rsid w:val="68533F1F"/>
    <w:rsid w:val="6853F1D4"/>
    <w:rsid w:val="6858B278"/>
    <w:rsid w:val="685A873E"/>
    <w:rsid w:val="685B3EBA"/>
    <w:rsid w:val="685BB316"/>
    <w:rsid w:val="685E0E7E"/>
    <w:rsid w:val="685F7ED8"/>
    <w:rsid w:val="68629BAB"/>
    <w:rsid w:val="68643A31"/>
    <w:rsid w:val="686DEB6D"/>
    <w:rsid w:val="687291BE"/>
    <w:rsid w:val="687F59FA"/>
    <w:rsid w:val="688306F4"/>
    <w:rsid w:val="68839BF8"/>
    <w:rsid w:val="6884E911"/>
    <w:rsid w:val="68867EE1"/>
    <w:rsid w:val="6889F426"/>
    <w:rsid w:val="688A8AEB"/>
    <w:rsid w:val="688ADF6F"/>
    <w:rsid w:val="68901513"/>
    <w:rsid w:val="6890AC31"/>
    <w:rsid w:val="6890F114"/>
    <w:rsid w:val="6891212B"/>
    <w:rsid w:val="68933A2C"/>
    <w:rsid w:val="6895C5D8"/>
    <w:rsid w:val="68977CA0"/>
    <w:rsid w:val="6899DBF8"/>
    <w:rsid w:val="689B9191"/>
    <w:rsid w:val="68A4DE00"/>
    <w:rsid w:val="68A86098"/>
    <w:rsid w:val="68AB2564"/>
    <w:rsid w:val="68B6272D"/>
    <w:rsid w:val="68B829FD"/>
    <w:rsid w:val="68BA2A10"/>
    <w:rsid w:val="68BE9B79"/>
    <w:rsid w:val="68C1F1F1"/>
    <w:rsid w:val="68C2391D"/>
    <w:rsid w:val="68C4C453"/>
    <w:rsid w:val="68CB9594"/>
    <w:rsid w:val="68CF9E37"/>
    <w:rsid w:val="68D1D340"/>
    <w:rsid w:val="68D4D25D"/>
    <w:rsid w:val="68D7D076"/>
    <w:rsid w:val="68D94CDF"/>
    <w:rsid w:val="68DCF09E"/>
    <w:rsid w:val="68DD01F8"/>
    <w:rsid w:val="68DFC847"/>
    <w:rsid w:val="68E0DDC1"/>
    <w:rsid w:val="68E1AAE2"/>
    <w:rsid w:val="68E435D7"/>
    <w:rsid w:val="68E46FEA"/>
    <w:rsid w:val="68E55581"/>
    <w:rsid w:val="68E6C69A"/>
    <w:rsid w:val="68E6DC99"/>
    <w:rsid w:val="68E8468D"/>
    <w:rsid w:val="68EA29C0"/>
    <w:rsid w:val="68EA4B66"/>
    <w:rsid w:val="68EF17F8"/>
    <w:rsid w:val="68F126F3"/>
    <w:rsid w:val="68F21E7D"/>
    <w:rsid w:val="68F314E2"/>
    <w:rsid w:val="68F4148E"/>
    <w:rsid w:val="68F7B651"/>
    <w:rsid w:val="68F9426B"/>
    <w:rsid w:val="68FBF5F0"/>
    <w:rsid w:val="68FE7DC5"/>
    <w:rsid w:val="6907B1D3"/>
    <w:rsid w:val="6909CCA9"/>
    <w:rsid w:val="690DA98D"/>
    <w:rsid w:val="690E722F"/>
    <w:rsid w:val="691098E4"/>
    <w:rsid w:val="69140FD2"/>
    <w:rsid w:val="6914FE6E"/>
    <w:rsid w:val="6916DEB4"/>
    <w:rsid w:val="691A47A5"/>
    <w:rsid w:val="691CF309"/>
    <w:rsid w:val="6920AFF4"/>
    <w:rsid w:val="692955B3"/>
    <w:rsid w:val="692B1D12"/>
    <w:rsid w:val="692BD388"/>
    <w:rsid w:val="692C0B5C"/>
    <w:rsid w:val="693566A1"/>
    <w:rsid w:val="69379552"/>
    <w:rsid w:val="693E4C0B"/>
    <w:rsid w:val="694292D4"/>
    <w:rsid w:val="6944041B"/>
    <w:rsid w:val="6945284F"/>
    <w:rsid w:val="694AE264"/>
    <w:rsid w:val="694F2593"/>
    <w:rsid w:val="694FE6AA"/>
    <w:rsid w:val="69519BE0"/>
    <w:rsid w:val="6955FBFC"/>
    <w:rsid w:val="6956ACD4"/>
    <w:rsid w:val="695A1E47"/>
    <w:rsid w:val="695BE279"/>
    <w:rsid w:val="6960DFBD"/>
    <w:rsid w:val="696380BD"/>
    <w:rsid w:val="69647969"/>
    <w:rsid w:val="69685F1D"/>
    <w:rsid w:val="69691378"/>
    <w:rsid w:val="696B01B0"/>
    <w:rsid w:val="696DCC57"/>
    <w:rsid w:val="696EFE21"/>
    <w:rsid w:val="697589E2"/>
    <w:rsid w:val="697641F7"/>
    <w:rsid w:val="697B9080"/>
    <w:rsid w:val="6980A679"/>
    <w:rsid w:val="69811D1E"/>
    <w:rsid w:val="69824201"/>
    <w:rsid w:val="698271C1"/>
    <w:rsid w:val="69858421"/>
    <w:rsid w:val="698587FF"/>
    <w:rsid w:val="69865836"/>
    <w:rsid w:val="698ADADA"/>
    <w:rsid w:val="698F7402"/>
    <w:rsid w:val="6992DB26"/>
    <w:rsid w:val="69939F04"/>
    <w:rsid w:val="699CE233"/>
    <w:rsid w:val="699E6397"/>
    <w:rsid w:val="69A05E65"/>
    <w:rsid w:val="69A07C99"/>
    <w:rsid w:val="69A12F7F"/>
    <w:rsid w:val="69A18EF1"/>
    <w:rsid w:val="69A2BD5E"/>
    <w:rsid w:val="69A45482"/>
    <w:rsid w:val="69A87B48"/>
    <w:rsid w:val="69ABD9FD"/>
    <w:rsid w:val="69AC78C4"/>
    <w:rsid w:val="69AD88BB"/>
    <w:rsid w:val="69AE71F4"/>
    <w:rsid w:val="69B72FF3"/>
    <w:rsid w:val="69C59DCC"/>
    <w:rsid w:val="69CA364B"/>
    <w:rsid w:val="69CAB10E"/>
    <w:rsid w:val="69CBCC6F"/>
    <w:rsid w:val="69CF178C"/>
    <w:rsid w:val="69D01D06"/>
    <w:rsid w:val="69D08CAC"/>
    <w:rsid w:val="69D3BCD3"/>
    <w:rsid w:val="69DB6CC0"/>
    <w:rsid w:val="69DB8CA9"/>
    <w:rsid w:val="69DED0F1"/>
    <w:rsid w:val="69E50672"/>
    <w:rsid w:val="69E980FD"/>
    <w:rsid w:val="69EBBFFD"/>
    <w:rsid w:val="69EDF329"/>
    <w:rsid w:val="69F09586"/>
    <w:rsid w:val="69F1044B"/>
    <w:rsid w:val="69F1F6E9"/>
    <w:rsid w:val="69FCA4AE"/>
    <w:rsid w:val="69FE3778"/>
    <w:rsid w:val="69FF6343"/>
    <w:rsid w:val="69FFB996"/>
    <w:rsid w:val="6A01C5D4"/>
    <w:rsid w:val="6A05A0E3"/>
    <w:rsid w:val="6A06F330"/>
    <w:rsid w:val="6A08B8F0"/>
    <w:rsid w:val="6A09882D"/>
    <w:rsid w:val="6A0B45D9"/>
    <w:rsid w:val="6A11E6F3"/>
    <w:rsid w:val="6A1B8679"/>
    <w:rsid w:val="6A1C78AD"/>
    <w:rsid w:val="6A1D4151"/>
    <w:rsid w:val="6A24B144"/>
    <w:rsid w:val="6A2CFACB"/>
    <w:rsid w:val="6A3290AE"/>
    <w:rsid w:val="6A344EA9"/>
    <w:rsid w:val="6A347D98"/>
    <w:rsid w:val="6A38E948"/>
    <w:rsid w:val="6A3F2465"/>
    <w:rsid w:val="6A3FD85E"/>
    <w:rsid w:val="6A451A2D"/>
    <w:rsid w:val="6A46EF33"/>
    <w:rsid w:val="6A4FD800"/>
    <w:rsid w:val="6A54714D"/>
    <w:rsid w:val="6A55427B"/>
    <w:rsid w:val="6A56EDEC"/>
    <w:rsid w:val="6A591BE1"/>
    <w:rsid w:val="6A5EC05E"/>
    <w:rsid w:val="6A5F7190"/>
    <w:rsid w:val="6A6BE028"/>
    <w:rsid w:val="6A6EE6E1"/>
    <w:rsid w:val="6A715D3D"/>
    <w:rsid w:val="6A71FA5D"/>
    <w:rsid w:val="6A73BDDB"/>
    <w:rsid w:val="6A766981"/>
    <w:rsid w:val="6A7A877D"/>
    <w:rsid w:val="6A7A9514"/>
    <w:rsid w:val="6A7D19B5"/>
    <w:rsid w:val="6A7DD1B5"/>
    <w:rsid w:val="6A828022"/>
    <w:rsid w:val="6A82A4F0"/>
    <w:rsid w:val="6A89048B"/>
    <w:rsid w:val="6A8C4C01"/>
    <w:rsid w:val="6A8D7F69"/>
    <w:rsid w:val="6A8E3215"/>
    <w:rsid w:val="6A908B82"/>
    <w:rsid w:val="6A915554"/>
    <w:rsid w:val="6A92E08D"/>
    <w:rsid w:val="6A9465A2"/>
    <w:rsid w:val="6A9490CD"/>
    <w:rsid w:val="6A959FD4"/>
    <w:rsid w:val="6A98C14C"/>
    <w:rsid w:val="6A9A2981"/>
    <w:rsid w:val="6A9C0DD3"/>
    <w:rsid w:val="6A9D252E"/>
    <w:rsid w:val="6AA877CD"/>
    <w:rsid w:val="6AA9494B"/>
    <w:rsid w:val="6AA982E8"/>
    <w:rsid w:val="6AAA1A02"/>
    <w:rsid w:val="6AADD9C9"/>
    <w:rsid w:val="6AB01B1B"/>
    <w:rsid w:val="6AB0C4EC"/>
    <w:rsid w:val="6AB346CB"/>
    <w:rsid w:val="6AB7EAB1"/>
    <w:rsid w:val="6ABDCD0C"/>
    <w:rsid w:val="6AC44C27"/>
    <w:rsid w:val="6AC81463"/>
    <w:rsid w:val="6AC83C3F"/>
    <w:rsid w:val="6ACDC4FF"/>
    <w:rsid w:val="6AD0C848"/>
    <w:rsid w:val="6AD50434"/>
    <w:rsid w:val="6AD648DC"/>
    <w:rsid w:val="6AD75E0A"/>
    <w:rsid w:val="6ADA2230"/>
    <w:rsid w:val="6ADC92A4"/>
    <w:rsid w:val="6ADD34DE"/>
    <w:rsid w:val="6ADE43D1"/>
    <w:rsid w:val="6AE18A0E"/>
    <w:rsid w:val="6AE325DA"/>
    <w:rsid w:val="6AE48297"/>
    <w:rsid w:val="6AE4C32B"/>
    <w:rsid w:val="6AE8FCB5"/>
    <w:rsid w:val="6AEE46E5"/>
    <w:rsid w:val="6AEEC61F"/>
    <w:rsid w:val="6AEEDC04"/>
    <w:rsid w:val="6AF3FA5C"/>
    <w:rsid w:val="6AF5636D"/>
    <w:rsid w:val="6AF5EA78"/>
    <w:rsid w:val="6AF9B767"/>
    <w:rsid w:val="6AFBEE17"/>
    <w:rsid w:val="6AFC4ECB"/>
    <w:rsid w:val="6AFC6D22"/>
    <w:rsid w:val="6AFDE889"/>
    <w:rsid w:val="6B143B79"/>
    <w:rsid w:val="6B166371"/>
    <w:rsid w:val="6B1717F7"/>
    <w:rsid w:val="6B194900"/>
    <w:rsid w:val="6B1A7794"/>
    <w:rsid w:val="6B1D1291"/>
    <w:rsid w:val="6B1F557A"/>
    <w:rsid w:val="6B20DB30"/>
    <w:rsid w:val="6B23883E"/>
    <w:rsid w:val="6B256F60"/>
    <w:rsid w:val="6B2D92AE"/>
    <w:rsid w:val="6B2FC474"/>
    <w:rsid w:val="6B302DDF"/>
    <w:rsid w:val="6B3066D0"/>
    <w:rsid w:val="6B3335FC"/>
    <w:rsid w:val="6B33ABC5"/>
    <w:rsid w:val="6B347590"/>
    <w:rsid w:val="6B348BB1"/>
    <w:rsid w:val="6B38123B"/>
    <w:rsid w:val="6B3AA6DC"/>
    <w:rsid w:val="6B3C7DD0"/>
    <w:rsid w:val="6B404431"/>
    <w:rsid w:val="6B414A36"/>
    <w:rsid w:val="6B417803"/>
    <w:rsid w:val="6B42E296"/>
    <w:rsid w:val="6B45F71A"/>
    <w:rsid w:val="6B472D0F"/>
    <w:rsid w:val="6B4D0E7A"/>
    <w:rsid w:val="6B5C577F"/>
    <w:rsid w:val="6B5F3FFD"/>
    <w:rsid w:val="6B6784CC"/>
    <w:rsid w:val="6B6EB322"/>
    <w:rsid w:val="6B70B5EA"/>
    <w:rsid w:val="6B71E416"/>
    <w:rsid w:val="6B751780"/>
    <w:rsid w:val="6B7695C5"/>
    <w:rsid w:val="6B7B2984"/>
    <w:rsid w:val="6B7D283F"/>
    <w:rsid w:val="6B7F3C6B"/>
    <w:rsid w:val="6B87EF31"/>
    <w:rsid w:val="6B8BA29D"/>
    <w:rsid w:val="6B8CCB5B"/>
    <w:rsid w:val="6B8D1052"/>
    <w:rsid w:val="6B8F55B1"/>
    <w:rsid w:val="6B910BA3"/>
    <w:rsid w:val="6B914861"/>
    <w:rsid w:val="6B92F1D3"/>
    <w:rsid w:val="6B9479C7"/>
    <w:rsid w:val="6B95902F"/>
    <w:rsid w:val="6B9A1241"/>
    <w:rsid w:val="6B9A9FD0"/>
    <w:rsid w:val="6BA1255C"/>
    <w:rsid w:val="6BA4F728"/>
    <w:rsid w:val="6BA5AE23"/>
    <w:rsid w:val="6BA5C9F5"/>
    <w:rsid w:val="6BA6949D"/>
    <w:rsid w:val="6BAA52D2"/>
    <w:rsid w:val="6BAA70E2"/>
    <w:rsid w:val="6BAD6A3B"/>
    <w:rsid w:val="6BAED312"/>
    <w:rsid w:val="6BB07C4E"/>
    <w:rsid w:val="6BB5B0F3"/>
    <w:rsid w:val="6BB6A944"/>
    <w:rsid w:val="6BB7C803"/>
    <w:rsid w:val="6BBB26D0"/>
    <w:rsid w:val="6BBC42AE"/>
    <w:rsid w:val="6BBC832A"/>
    <w:rsid w:val="6BBD27B8"/>
    <w:rsid w:val="6BBEC820"/>
    <w:rsid w:val="6BC02D71"/>
    <w:rsid w:val="6BC09DC9"/>
    <w:rsid w:val="6BC0B623"/>
    <w:rsid w:val="6BC6288B"/>
    <w:rsid w:val="6BC7E415"/>
    <w:rsid w:val="6BCAD95E"/>
    <w:rsid w:val="6BCD79ED"/>
    <w:rsid w:val="6BCE4DD3"/>
    <w:rsid w:val="6BCECCF2"/>
    <w:rsid w:val="6BCF4724"/>
    <w:rsid w:val="6BD29338"/>
    <w:rsid w:val="6BD2BA5F"/>
    <w:rsid w:val="6BD3D120"/>
    <w:rsid w:val="6BD455C8"/>
    <w:rsid w:val="6BD5D253"/>
    <w:rsid w:val="6BD63626"/>
    <w:rsid w:val="6BD9C1BF"/>
    <w:rsid w:val="6BDA6E97"/>
    <w:rsid w:val="6BDD7A8F"/>
    <w:rsid w:val="6BE4D30A"/>
    <w:rsid w:val="6BE7A744"/>
    <w:rsid w:val="6BE7DC05"/>
    <w:rsid w:val="6BE7F5CB"/>
    <w:rsid w:val="6BE98E28"/>
    <w:rsid w:val="6BEFAC6A"/>
    <w:rsid w:val="6BF3768A"/>
    <w:rsid w:val="6BF5405C"/>
    <w:rsid w:val="6BFBAFB9"/>
    <w:rsid w:val="6BFCB23F"/>
    <w:rsid w:val="6C021BB8"/>
    <w:rsid w:val="6C09B1F6"/>
    <w:rsid w:val="6C1030C4"/>
    <w:rsid w:val="6C1056DB"/>
    <w:rsid w:val="6C16CCC5"/>
    <w:rsid w:val="6C1B35D5"/>
    <w:rsid w:val="6C1E191C"/>
    <w:rsid w:val="6C20A9CD"/>
    <w:rsid w:val="6C21EA66"/>
    <w:rsid w:val="6C248DEC"/>
    <w:rsid w:val="6C25F3EC"/>
    <w:rsid w:val="6C26D972"/>
    <w:rsid w:val="6C28B1D1"/>
    <w:rsid w:val="6C342E10"/>
    <w:rsid w:val="6C3A0BA9"/>
    <w:rsid w:val="6C3B0AB6"/>
    <w:rsid w:val="6C3F85E3"/>
    <w:rsid w:val="6C3FEB74"/>
    <w:rsid w:val="6C445045"/>
    <w:rsid w:val="6C46B163"/>
    <w:rsid w:val="6C4BEBE5"/>
    <w:rsid w:val="6C4C408A"/>
    <w:rsid w:val="6C4E7CB2"/>
    <w:rsid w:val="6C562315"/>
    <w:rsid w:val="6C5CF3D0"/>
    <w:rsid w:val="6C622664"/>
    <w:rsid w:val="6C63E65B"/>
    <w:rsid w:val="6C67AE5E"/>
    <w:rsid w:val="6C69864D"/>
    <w:rsid w:val="6C6BF8B0"/>
    <w:rsid w:val="6C712243"/>
    <w:rsid w:val="6C77DFB9"/>
    <w:rsid w:val="6C7AF13D"/>
    <w:rsid w:val="6C7DA471"/>
    <w:rsid w:val="6C80255F"/>
    <w:rsid w:val="6C804120"/>
    <w:rsid w:val="6C81A825"/>
    <w:rsid w:val="6C81D084"/>
    <w:rsid w:val="6C830FC8"/>
    <w:rsid w:val="6C8AD93B"/>
    <w:rsid w:val="6C968DC1"/>
    <w:rsid w:val="6C990667"/>
    <w:rsid w:val="6C9919A8"/>
    <w:rsid w:val="6C9E860E"/>
    <w:rsid w:val="6CA01CF6"/>
    <w:rsid w:val="6CA02FD5"/>
    <w:rsid w:val="6CA3F6A5"/>
    <w:rsid w:val="6CA47AC2"/>
    <w:rsid w:val="6CA5974C"/>
    <w:rsid w:val="6CA7B771"/>
    <w:rsid w:val="6CAA79FF"/>
    <w:rsid w:val="6CACC981"/>
    <w:rsid w:val="6CAD6367"/>
    <w:rsid w:val="6CB32F04"/>
    <w:rsid w:val="6CB3482B"/>
    <w:rsid w:val="6CB35D1F"/>
    <w:rsid w:val="6CB94EB9"/>
    <w:rsid w:val="6CBBC04A"/>
    <w:rsid w:val="6CBD7A71"/>
    <w:rsid w:val="6CC0DE04"/>
    <w:rsid w:val="6CC2AC17"/>
    <w:rsid w:val="6CC4D63F"/>
    <w:rsid w:val="6CC70216"/>
    <w:rsid w:val="6CCA3995"/>
    <w:rsid w:val="6CCDDE9F"/>
    <w:rsid w:val="6CCED3AB"/>
    <w:rsid w:val="6CD1EC8E"/>
    <w:rsid w:val="6CD33FFF"/>
    <w:rsid w:val="6CD3B936"/>
    <w:rsid w:val="6CD94751"/>
    <w:rsid w:val="6CDC6295"/>
    <w:rsid w:val="6CDD1BD9"/>
    <w:rsid w:val="6CDF33CD"/>
    <w:rsid w:val="6CDF605F"/>
    <w:rsid w:val="6CE23E16"/>
    <w:rsid w:val="6CE303F8"/>
    <w:rsid w:val="6CE45805"/>
    <w:rsid w:val="6CE8A289"/>
    <w:rsid w:val="6CEAD6FF"/>
    <w:rsid w:val="6CF430C2"/>
    <w:rsid w:val="6CF6F68A"/>
    <w:rsid w:val="6CFFDD71"/>
    <w:rsid w:val="6D01728E"/>
    <w:rsid w:val="6D05BFAB"/>
    <w:rsid w:val="6D081A92"/>
    <w:rsid w:val="6D09F944"/>
    <w:rsid w:val="6D0A00EA"/>
    <w:rsid w:val="6D0B1930"/>
    <w:rsid w:val="6D0B5D83"/>
    <w:rsid w:val="6D0C1CE7"/>
    <w:rsid w:val="6D0FD95B"/>
    <w:rsid w:val="6D11989B"/>
    <w:rsid w:val="6D1762EC"/>
    <w:rsid w:val="6D19F595"/>
    <w:rsid w:val="6D1B8722"/>
    <w:rsid w:val="6D1E380B"/>
    <w:rsid w:val="6D1ED56E"/>
    <w:rsid w:val="6D22D51D"/>
    <w:rsid w:val="6D244051"/>
    <w:rsid w:val="6D247C36"/>
    <w:rsid w:val="6D2ABCFF"/>
    <w:rsid w:val="6D2DDED9"/>
    <w:rsid w:val="6D31E4DB"/>
    <w:rsid w:val="6D3284AE"/>
    <w:rsid w:val="6D370052"/>
    <w:rsid w:val="6D398935"/>
    <w:rsid w:val="6D3C5DEE"/>
    <w:rsid w:val="6D3C8399"/>
    <w:rsid w:val="6D3F4644"/>
    <w:rsid w:val="6D496FAD"/>
    <w:rsid w:val="6D4E5EC6"/>
    <w:rsid w:val="6D507042"/>
    <w:rsid w:val="6D509A33"/>
    <w:rsid w:val="6D5538E9"/>
    <w:rsid w:val="6D570D7B"/>
    <w:rsid w:val="6D645726"/>
    <w:rsid w:val="6D657010"/>
    <w:rsid w:val="6D673497"/>
    <w:rsid w:val="6D67BFC0"/>
    <w:rsid w:val="6D6ABFFF"/>
    <w:rsid w:val="6D6B676C"/>
    <w:rsid w:val="6D7026DF"/>
    <w:rsid w:val="6D75DDC7"/>
    <w:rsid w:val="6D762141"/>
    <w:rsid w:val="6D79C7F4"/>
    <w:rsid w:val="6D7CD584"/>
    <w:rsid w:val="6D7F8535"/>
    <w:rsid w:val="6D81DA7C"/>
    <w:rsid w:val="6D8350A4"/>
    <w:rsid w:val="6D8DF232"/>
    <w:rsid w:val="6D8EDCEF"/>
    <w:rsid w:val="6D8F64F1"/>
    <w:rsid w:val="6D8FA5AD"/>
    <w:rsid w:val="6D90D0D0"/>
    <w:rsid w:val="6D915365"/>
    <w:rsid w:val="6D962BF6"/>
    <w:rsid w:val="6D97241E"/>
    <w:rsid w:val="6D9793E3"/>
    <w:rsid w:val="6D98CDB5"/>
    <w:rsid w:val="6D9A2D8E"/>
    <w:rsid w:val="6D9EB9C5"/>
    <w:rsid w:val="6D9F28CC"/>
    <w:rsid w:val="6DA0D421"/>
    <w:rsid w:val="6DAF66FE"/>
    <w:rsid w:val="6DB1B17A"/>
    <w:rsid w:val="6DB50690"/>
    <w:rsid w:val="6DB58B3B"/>
    <w:rsid w:val="6DB7B758"/>
    <w:rsid w:val="6DBB7D32"/>
    <w:rsid w:val="6DBD8046"/>
    <w:rsid w:val="6DBD965F"/>
    <w:rsid w:val="6DC130CE"/>
    <w:rsid w:val="6DC4EAD6"/>
    <w:rsid w:val="6DC50F1E"/>
    <w:rsid w:val="6DC9EBD8"/>
    <w:rsid w:val="6DD054FD"/>
    <w:rsid w:val="6DD0E356"/>
    <w:rsid w:val="6DD12509"/>
    <w:rsid w:val="6DDD4824"/>
    <w:rsid w:val="6DDDD959"/>
    <w:rsid w:val="6DE0D7FB"/>
    <w:rsid w:val="6DE76AB0"/>
    <w:rsid w:val="6DE7F3B5"/>
    <w:rsid w:val="6DE95B30"/>
    <w:rsid w:val="6DF025E8"/>
    <w:rsid w:val="6DF1B207"/>
    <w:rsid w:val="6DF2FB63"/>
    <w:rsid w:val="6DF5827A"/>
    <w:rsid w:val="6DF86205"/>
    <w:rsid w:val="6E0620D9"/>
    <w:rsid w:val="6E0979FE"/>
    <w:rsid w:val="6E130A56"/>
    <w:rsid w:val="6E1A4426"/>
    <w:rsid w:val="6E1C9231"/>
    <w:rsid w:val="6E1EA5EC"/>
    <w:rsid w:val="6E25EBEF"/>
    <w:rsid w:val="6E280620"/>
    <w:rsid w:val="6E2B6B8F"/>
    <w:rsid w:val="6E2BBBC2"/>
    <w:rsid w:val="6E2C28E3"/>
    <w:rsid w:val="6E2D0745"/>
    <w:rsid w:val="6E2D2AAB"/>
    <w:rsid w:val="6E30D246"/>
    <w:rsid w:val="6E311607"/>
    <w:rsid w:val="6E3303F3"/>
    <w:rsid w:val="6E34275D"/>
    <w:rsid w:val="6E3A6B26"/>
    <w:rsid w:val="6E3B5232"/>
    <w:rsid w:val="6E3D4117"/>
    <w:rsid w:val="6E44827A"/>
    <w:rsid w:val="6E45B724"/>
    <w:rsid w:val="6E472D61"/>
    <w:rsid w:val="6E49C303"/>
    <w:rsid w:val="6E52B4E5"/>
    <w:rsid w:val="6E575FD9"/>
    <w:rsid w:val="6E5B6479"/>
    <w:rsid w:val="6E5E66F3"/>
    <w:rsid w:val="6E5EBD1F"/>
    <w:rsid w:val="6E62AEAB"/>
    <w:rsid w:val="6E630C0D"/>
    <w:rsid w:val="6E67C4C8"/>
    <w:rsid w:val="6E6909D7"/>
    <w:rsid w:val="6E69BA0B"/>
    <w:rsid w:val="6E6E82B0"/>
    <w:rsid w:val="6E6FDC20"/>
    <w:rsid w:val="6E74E4D3"/>
    <w:rsid w:val="6E75AE97"/>
    <w:rsid w:val="6E76C4A5"/>
    <w:rsid w:val="6E77CE25"/>
    <w:rsid w:val="6E7B1753"/>
    <w:rsid w:val="6E7CA06B"/>
    <w:rsid w:val="6E80A8E6"/>
    <w:rsid w:val="6E82128F"/>
    <w:rsid w:val="6E8464ED"/>
    <w:rsid w:val="6E84AA3B"/>
    <w:rsid w:val="6E84DE6B"/>
    <w:rsid w:val="6E863FEB"/>
    <w:rsid w:val="6E893289"/>
    <w:rsid w:val="6E8A412A"/>
    <w:rsid w:val="6E8D42E2"/>
    <w:rsid w:val="6E8E8017"/>
    <w:rsid w:val="6E8ED930"/>
    <w:rsid w:val="6E8EF1A0"/>
    <w:rsid w:val="6E91FCD3"/>
    <w:rsid w:val="6E92A782"/>
    <w:rsid w:val="6E93EBDB"/>
    <w:rsid w:val="6E961074"/>
    <w:rsid w:val="6E97E678"/>
    <w:rsid w:val="6E9A7405"/>
    <w:rsid w:val="6EA06197"/>
    <w:rsid w:val="6EA82602"/>
    <w:rsid w:val="6EA866C1"/>
    <w:rsid w:val="6EA9BA17"/>
    <w:rsid w:val="6EACC7CC"/>
    <w:rsid w:val="6EAD59CF"/>
    <w:rsid w:val="6EB36D01"/>
    <w:rsid w:val="6EB7A189"/>
    <w:rsid w:val="6EBB038B"/>
    <w:rsid w:val="6EBF7970"/>
    <w:rsid w:val="6EC0B7C3"/>
    <w:rsid w:val="6EC558E8"/>
    <w:rsid w:val="6EC83BE3"/>
    <w:rsid w:val="6ED6D3F2"/>
    <w:rsid w:val="6ED8BFF3"/>
    <w:rsid w:val="6ED915A8"/>
    <w:rsid w:val="6ED993EC"/>
    <w:rsid w:val="6EDC1068"/>
    <w:rsid w:val="6EDC4AA2"/>
    <w:rsid w:val="6EDF9DFE"/>
    <w:rsid w:val="6EE322F5"/>
    <w:rsid w:val="6EE42B9A"/>
    <w:rsid w:val="6EE5334A"/>
    <w:rsid w:val="6EEE314D"/>
    <w:rsid w:val="6EF05720"/>
    <w:rsid w:val="6EF0DF2C"/>
    <w:rsid w:val="6EF85290"/>
    <w:rsid w:val="6EF8ECAD"/>
    <w:rsid w:val="6EFB9AF2"/>
    <w:rsid w:val="6EFC74A8"/>
    <w:rsid w:val="6EFD01EF"/>
    <w:rsid w:val="6F0570EC"/>
    <w:rsid w:val="6F05B34B"/>
    <w:rsid w:val="6F06173E"/>
    <w:rsid w:val="6F061D9D"/>
    <w:rsid w:val="6F064C9A"/>
    <w:rsid w:val="6F0941ED"/>
    <w:rsid w:val="6F0B2B3C"/>
    <w:rsid w:val="6F14155D"/>
    <w:rsid w:val="6F14EB67"/>
    <w:rsid w:val="6F154B76"/>
    <w:rsid w:val="6F19FDF6"/>
    <w:rsid w:val="6F1C1104"/>
    <w:rsid w:val="6F200AB7"/>
    <w:rsid w:val="6F2079C6"/>
    <w:rsid w:val="6F26FCB8"/>
    <w:rsid w:val="6F2715ED"/>
    <w:rsid w:val="6F2738CA"/>
    <w:rsid w:val="6F29DD09"/>
    <w:rsid w:val="6F2B1B4D"/>
    <w:rsid w:val="6F2D0C96"/>
    <w:rsid w:val="6F2D3804"/>
    <w:rsid w:val="6F2FA843"/>
    <w:rsid w:val="6F343CC8"/>
    <w:rsid w:val="6F3D75DC"/>
    <w:rsid w:val="6F3DE3A7"/>
    <w:rsid w:val="6F3E17E7"/>
    <w:rsid w:val="6F3EBA97"/>
    <w:rsid w:val="6F3F7013"/>
    <w:rsid w:val="6F3F8399"/>
    <w:rsid w:val="6F424539"/>
    <w:rsid w:val="6F432BC1"/>
    <w:rsid w:val="6F440488"/>
    <w:rsid w:val="6F447D95"/>
    <w:rsid w:val="6F4A3DB3"/>
    <w:rsid w:val="6F4AF7B8"/>
    <w:rsid w:val="6F4E58D0"/>
    <w:rsid w:val="6F5A33DF"/>
    <w:rsid w:val="6F5B8927"/>
    <w:rsid w:val="6F5C0E58"/>
    <w:rsid w:val="6F64B061"/>
    <w:rsid w:val="6F74C17B"/>
    <w:rsid w:val="6F768684"/>
    <w:rsid w:val="6F7E8A7C"/>
    <w:rsid w:val="6F7FB262"/>
    <w:rsid w:val="6F81AAFF"/>
    <w:rsid w:val="6F8BAD8C"/>
    <w:rsid w:val="6F904AFB"/>
    <w:rsid w:val="6F940D08"/>
    <w:rsid w:val="6F98BFF5"/>
    <w:rsid w:val="6F9A77A8"/>
    <w:rsid w:val="6F9AAE22"/>
    <w:rsid w:val="6F9F4F20"/>
    <w:rsid w:val="6F9F59EF"/>
    <w:rsid w:val="6FA04A92"/>
    <w:rsid w:val="6FA086B7"/>
    <w:rsid w:val="6FA1C6FA"/>
    <w:rsid w:val="6FA77319"/>
    <w:rsid w:val="6FA84151"/>
    <w:rsid w:val="6FB72D20"/>
    <w:rsid w:val="6FB75CAB"/>
    <w:rsid w:val="6FB9C549"/>
    <w:rsid w:val="6FBE338C"/>
    <w:rsid w:val="6FC461CE"/>
    <w:rsid w:val="6FC496EA"/>
    <w:rsid w:val="6FCB8A09"/>
    <w:rsid w:val="6FCEF6A4"/>
    <w:rsid w:val="6FD003E0"/>
    <w:rsid w:val="6FD59CB2"/>
    <w:rsid w:val="6FD5E5A9"/>
    <w:rsid w:val="6FE3171F"/>
    <w:rsid w:val="6FE44637"/>
    <w:rsid w:val="6FE56C53"/>
    <w:rsid w:val="6FE7DF4C"/>
    <w:rsid w:val="6FE8D438"/>
    <w:rsid w:val="6FECD377"/>
    <w:rsid w:val="6FF5B05E"/>
    <w:rsid w:val="6FF7A943"/>
    <w:rsid w:val="6FF80B84"/>
    <w:rsid w:val="6FF87833"/>
    <w:rsid w:val="6FF9691B"/>
    <w:rsid w:val="6FFA862E"/>
    <w:rsid w:val="6FFB159A"/>
    <w:rsid w:val="6FFD92C4"/>
    <w:rsid w:val="6FFDEEE8"/>
    <w:rsid w:val="70023B4C"/>
    <w:rsid w:val="7006D4AA"/>
    <w:rsid w:val="7007E074"/>
    <w:rsid w:val="700D4309"/>
    <w:rsid w:val="700F11AC"/>
    <w:rsid w:val="701070F2"/>
    <w:rsid w:val="701077FB"/>
    <w:rsid w:val="7010B51E"/>
    <w:rsid w:val="7019EB2D"/>
    <w:rsid w:val="701AD99C"/>
    <w:rsid w:val="701D6F12"/>
    <w:rsid w:val="701F4F04"/>
    <w:rsid w:val="7021A8D0"/>
    <w:rsid w:val="70223AB0"/>
    <w:rsid w:val="70288B53"/>
    <w:rsid w:val="702B4C72"/>
    <w:rsid w:val="702C1643"/>
    <w:rsid w:val="7030EB84"/>
    <w:rsid w:val="7031B556"/>
    <w:rsid w:val="70362A6C"/>
    <w:rsid w:val="7036A20F"/>
    <w:rsid w:val="70375716"/>
    <w:rsid w:val="7038B52C"/>
    <w:rsid w:val="703E00CF"/>
    <w:rsid w:val="7041BA13"/>
    <w:rsid w:val="70458CFE"/>
    <w:rsid w:val="704E530E"/>
    <w:rsid w:val="704FDC2A"/>
    <w:rsid w:val="70523438"/>
    <w:rsid w:val="7053B0E3"/>
    <w:rsid w:val="70574DFF"/>
    <w:rsid w:val="705839F9"/>
    <w:rsid w:val="705C332B"/>
    <w:rsid w:val="705D22D2"/>
    <w:rsid w:val="706144FC"/>
    <w:rsid w:val="7063DDFE"/>
    <w:rsid w:val="7072AD3C"/>
    <w:rsid w:val="7072D9EC"/>
    <w:rsid w:val="7072DE78"/>
    <w:rsid w:val="7073634B"/>
    <w:rsid w:val="7077F3DB"/>
    <w:rsid w:val="70780D82"/>
    <w:rsid w:val="707A5B99"/>
    <w:rsid w:val="70807E38"/>
    <w:rsid w:val="7080DD98"/>
    <w:rsid w:val="70841CD0"/>
    <w:rsid w:val="7086B344"/>
    <w:rsid w:val="7086F385"/>
    <w:rsid w:val="708888F6"/>
    <w:rsid w:val="7088C816"/>
    <w:rsid w:val="708BFF81"/>
    <w:rsid w:val="708F3889"/>
    <w:rsid w:val="708F4940"/>
    <w:rsid w:val="7090FBA4"/>
    <w:rsid w:val="7094044D"/>
    <w:rsid w:val="70964402"/>
    <w:rsid w:val="709AF51B"/>
    <w:rsid w:val="70A1E120"/>
    <w:rsid w:val="70A663FA"/>
    <w:rsid w:val="70AD0315"/>
    <w:rsid w:val="70B0F629"/>
    <w:rsid w:val="70BC7FFA"/>
    <w:rsid w:val="70BF6F1C"/>
    <w:rsid w:val="70C38138"/>
    <w:rsid w:val="70C564BF"/>
    <w:rsid w:val="70C5972C"/>
    <w:rsid w:val="70C7C399"/>
    <w:rsid w:val="70C832EC"/>
    <w:rsid w:val="70C963AC"/>
    <w:rsid w:val="70CC7621"/>
    <w:rsid w:val="70CC9034"/>
    <w:rsid w:val="70D50B75"/>
    <w:rsid w:val="70D5BA1B"/>
    <w:rsid w:val="70D9687B"/>
    <w:rsid w:val="70DCEEC0"/>
    <w:rsid w:val="70DD2AF5"/>
    <w:rsid w:val="70E1F273"/>
    <w:rsid w:val="70EBEB7E"/>
    <w:rsid w:val="70EE0937"/>
    <w:rsid w:val="70F1383B"/>
    <w:rsid w:val="70F22872"/>
    <w:rsid w:val="70F77F65"/>
    <w:rsid w:val="70FA6ADC"/>
    <w:rsid w:val="70FB0EBE"/>
    <w:rsid w:val="70FE59C4"/>
    <w:rsid w:val="70FF5371"/>
    <w:rsid w:val="710744C7"/>
    <w:rsid w:val="71089268"/>
    <w:rsid w:val="710954D5"/>
    <w:rsid w:val="710F45A2"/>
    <w:rsid w:val="71104746"/>
    <w:rsid w:val="71148215"/>
    <w:rsid w:val="7116FDD7"/>
    <w:rsid w:val="71170573"/>
    <w:rsid w:val="7119B46B"/>
    <w:rsid w:val="711ADF93"/>
    <w:rsid w:val="711EC140"/>
    <w:rsid w:val="7121A54F"/>
    <w:rsid w:val="71226649"/>
    <w:rsid w:val="71243E13"/>
    <w:rsid w:val="7124F646"/>
    <w:rsid w:val="7128A888"/>
    <w:rsid w:val="7129BCE6"/>
    <w:rsid w:val="712DD001"/>
    <w:rsid w:val="71330E57"/>
    <w:rsid w:val="7135D5BA"/>
    <w:rsid w:val="713625A6"/>
    <w:rsid w:val="71373C59"/>
    <w:rsid w:val="713751A6"/>
    <w:rsid w:val="7141D515"/>
    <w:rsid w:val="71437D7C"/>
    <w:rsid w:val="71446CC1"/>
    <w:rsid w:val="7149668E"/>
    <w:rsid w:val="714B04B0"/>
    <w:rsid w:val="714B5214"/>
    <w:rsid w:val="714D6275"/>
    <w:rsid w:val="714EBE15"/>
    <w:rsid w:val="715155C0"/>
    <w:rsid w:val="7151C9D0"/>
    <w:rsid w:val="71525B9B"/>
    <w:rsid w:val="715726EC"/>
    <w:rsid w:val="715A7C7F"/>
    <w:rsid w:val="715D8AF4"/>
    <w:rsid w:val="7160C1B7"/>
    <w:rsid w:val="716441F2"/>
    <w:rsid w:val="7164C2AE"/>
    <w:rsid w:val="7168B818"/>
    <w:rsid w:val="7168CE51"/>
    <w:rsid w:val="7168F0AA"/>
    <w:rsid w:val="7169161B"/>
    <w:rsid w:val="716AC8C3"/>
    <w:rsid w:val="716C092E"/>
    <w:rsid w:val="716D1A7B"/>
    <w:rsid w:val="716FB9E6"/>
    <w:rsid w:val="716FED50"/>
    <w:rsid w:val="7171F80B"/>
    <w:rsid w:val="717D4781"/>
    <w:rsid w:val="717D9769"/>
    <w:rsid w:val="717EBCAC"/>
    <w:rsid w:val="7184C67D"/>
    <w:rsid w:val="7186366A"/>
    <w:rsid w:val="7188D8BA"/>
    <w:rsid w:val="718D3CC1"/>
    <w:rsid w:val="7192E1EA"/>
    <w:rsid w:val="7199E595"/>
    <w:rsid w:val="719CF67E"/>
    <w:rsid w:val="719D7055"/>
    <w:rsid w:val="719F5119"/>
    <w:rsid w:val="71A1D295"/>
    <w:rsid w:val="71A43437"/>
    <w:rsid w:val="71A52629"/>
    <w:rsid w:val="71A92BE1"/>
    <w:rsid w:val="71A94E6F"/>
    <w:rsid w:val="71AA50DD"/>
    <w:rsid w:val="71AB056D"/>
    <w:rsid w:val="71AD1BB9"/>
    <w:rsid w:val="71B6DF1B"/>
    <w:rsid w:val="71B7E9FB"/>
    <w:rsid w:val="71BC763F"/>
    <w:rsid w:val="71BEC90F"/>
    <w:rsid w:val="71C1E08C"/>
    <w:rsid w:val="71C291F9"/>
    <w:rsid w:val="71C2DFF3"/>
    <w:rsid w:val="71C3B5E7"/>
    <w:rsid w:val="71C8BABE"/>
    <w:rsid w:val="71CC0E62"/>
    <w:rsid w:val="71CCBD9D"/>
    <w:rsid w:val="71D3D997"/>
    <w:rsid w:val="71D448E7"/>
    <w:rsid w:val="71D4EECA"/>
    <w:rsid w:val="71DB34AA"/>
    <w:rsid w:val="71E0A5E7"/>
    <w:rsid w:val="71E3B408"/>
    <w:rsid w:val="71E45D67"/>
    <w:rsid w:val="71E4A178"/>
    <w:rsid w:val="71E7CA24"/>
    <w:rsid w:val="71E8B609"/>
    <w:rsid w:val="71E9322E"/>
    <w:rsid w:val="71E9AD68"/>
    <w:rsid w:val="71ECDC66"/>
    <w:rsid w:val="71F5074F"/>
    <w:rsid w:val="71F9B3C8"/>
    <w:rsid w:val="71FB1E60"/>
    <w:rsid w:val="71FC266A"/>
    <w:rsid w:val="71FCFF25"/>
    <w:rsid w:val="71FFE735"/>
    <w:rsid w:val="72034C13"/>
    <w:rsid w:val="72063D66"/>
    <w:rsid w:val="7208CCC8"/>
    <w:rsid w:val="7212DD1A"/>
    <w:rsid w:val="7214A0F9"/>
    <w:rsid w:val="7214BBB6"/>
    <w:rsid w:val="7216D0F2"/>
    <w:rsid w:val="721A5FB2"/>
    <w:rsid w:val="721AC41A"/>
    <w:rsid w:val="72228A7A"/>
    <w:rsid w:val="722340BB"/>
    <w:rsid w:val="72295EC6"/>
    <w:rsid w:val="72299347"/>
    <w:rsid w:val="722B2369"/>
    <w:rsid w:val="722B252E"/>
    <w:rsid w:val="722F07F1"/>
    <w:rsid w:val="7235B51A"/>
    <w:rsid w:val="72365454"/>
    <w:rsid w:val="724586A9"/>
    <w:rsid w:val="72480F05"/>
    <w:rsid w:val="7249558B"/>
    <w:rsid w:val="7251FABC"/>
    <w:rsid w:val="72532F60"/>
    <w:rsid w:val="72546E56"/>
    <w:rsid w:val="72549DFE"/>
    <w:rsid w:val="725582C9"/>
    <w:rsid w:val="72570DC1"/>
    <w:rsid w:val="725C3258"/>
    <w:rsid w:val="725F00BD"/>
    <w:rsid w:val="725F7856"/>
    <w:rsid w:val="7262FD18"/>
    <w:rsid w:val="72655FC0"/>
    <w:rsid w:val="726A76A1"/>
    <w:rsid w:val="726B08EA"/>
    <w:rsid w:val="726D9925"/>
    <w:rsid w:val="726F5848"/>
    <w:rsid w:val="727454F8"/>
    <w:rsid w:val="7274D3A8"/>
    <w:rsid w:val="7274D476"/>
    <w:rsid w:val="727E394C"/>
    <w:rsid w:val="72842E74"/>
    <w:rsid w:val="7285A8F0"/>
    <w:rsid w:val="7285A957"/>
    <w:rsid w:val="72880B74"/>
    <w:rsid w:val="72885317"/>
    <w:rsid w:val="72894F71"/>
    <w:rsid w:val="728A62C2"/>
    <w:rsid w:val="728CF147"/>
    <w:rsid w:val="728D7E2B"/>
    <w:rsid w:val="728E7B26"/>
    <w:rsid w:val="72909DE7"/>
    <w:rsid w:val="7291FB29"/>
    <w:rsid w:val="72946E37"/>
    <w:rsid w:val="7297D8DE"/>
    <w:rsid w:val="729B3C0B"/>
    <w:rsid w:val="729CF1E1"/>
    <w:rsid w:val="729D78C1"/>
    <w:rsid w:val="72A3DFA4"/>
    <w:rsid w:val="72ABF3A4"/>
    <w:rsid w:val="72AEE11B"/>
    <w:rsid w:val="72B3D0F3"/>
    <w:rsid w:val="72B449CA"/>
    <w:rsid w:val="72B50AAF"/>
    <w:rsid w:val="72B54F3E"/>
    <w:rsid w:val="72B6EA2A"/>
    <w:rsid w:val="72B8E7D7"/>
    <w:rsid w:val="72C06DE4"/>
    <w:rsid w:val="72C64AC5"/>
    <w:rsid w:val="72C96511"/>
    <w:rsid w:val="72CCA350"/>
    <w:rsid w:val="72CEDEB8"/>
    <w:rsid w:val="72CFE62A"/>
    <w:rsid w:val="72D14F1C"/>
    <w:rsid w:val="72D2C680"/>
    <w:rsid w:val="72D4ED6B"/>
    <w:rsid w:val="72D68DF5"/>
    <w:rsid w:val="72D9AF64"/>
    <w:rsid w:val="72D9B43F"/>
    <w:rsid w:val="72DB3E09"/>
    <w:rsid w:val="72DB7B0D"/>
    <w:rsid w:val="72DD1199"/>
    <w:rsid w:val="72DE6D32"/>
    <w:rsid w:val="72E0E8DE"/>
    <w:rsid w:val="72E1F9D9"/>
    <w:rsid w:val="72E79AA5"/>
    <w:rsid w:val="72E9DF05"/>
    <w:rsid w:val="72F2736A"/>
    <w:rsid w:val="72F479C6"/>
    <w:rsid w:val="72F4EE51"/>
    <w:rsid w:val="72F5705D"/>
    <w:rsid w:val="72F67DC4"/>
    <w:rsid w:val="72FA2F80"/>
    <w:rsid w:val="72FC7AC4"/>
    <w:rsid w:val="72FFCB7E"/>
    <w:rsid w:val="7301E3A1"/>
    <w:rsid w:val="7303E95D"/>
    <w:rsid w:val="730ACBCE"/>
    <w:rsid w:val="730D6899"/>
    <w:rsid w:val="730D8B3B"/>
    <w:rsid w:val="730E2860"/>
    <w:rsid w:val="730EFA4B"/>
    <w:rsid w:val="73104624"/>
    <w:rsid w:val="731114AB"/>
    <w:rsid w:val="7315C577"/>
    <w:rsid w:val="731CA282"/>
    <w:rsid w:val="731F29C5"/>
    <w:rsid w:val="73207DA0"/>
    <w:rsid w:val="7322D6DA"/>
    <w:rsid w:val="73233C4D"/>
    <w:rsid w:val="732DB3A7"/>
    <w:rsid w:val="732E3C9A"/>
    <w:rsid w:val="7332D0DE"/>
    <w:rsid w:val="73377422"/>
    <w:rsid w:val="7339150F"/>
    <w:rsid w:val="733D225B"/>
    <w:rsid w:val="733D3774"/>
    <w:rsid w:val="73433D9B"/>
    <w:rsid w:val="734AC682"/>
    <w:rsid w:val="734B2FD9"/>
    <w:rsid w:val="734CE336"/>
    <w:rsid w:val="734E0801"/>
    <w:rsid w:val="734FBDB5"/>
    <w:rsid w:val="73515E61"/>
    <w:rsid w:val="7351E813"/>
    <w:rsid w:val="73535935"/>
    <w:rsid w:val="7353D31C"/>
    <w:rsid w:val="73585409"/>
    <w:rsid w:val="735983EC"/>
    <w:rsid w:val="73599CB1"/>
    <w:rsid w:val="735A51BA"/>
    <w:rsid w:val="735E53B7"/>
    <w:rsid w:val="7364DE5D"/>
    <w:rsid w:val="73663345"/>
    <w:rsid w:val="73678093"/>
    <w:rsid w:val="7367CAAD"/>
    <w:rsid w:val="73690EBE"/>
    <w:rsid w:val="73699F47"/>
    <w:rsid w:val="736D7202"/>
    <w:rsid w:val="736D9759"/>
    <w:rsid w:val="736EB308"/>
    <w:rsid w:val="7375F4B1"/>
    <w:rsid w:val="737CFEAA"/>
    <w:rsid w:val="7380898E"/>
    <w:rsid w:val="738B9B7E"/>
    <w:rsid w:val="738E43FE"/>
    <w:rsid w:val="739789B8"/>
    <w:rsid w:val="739840B1"/>
    <w:rsid w:val="739C0AF5"/>
    <w:rsid w:val="739C3554"/>
    <w:rsid w:val="739CE995"/>
    <w:rsid w:val="739D686C"/>
    <w:rsid w:val="739F1BCF"/>
    <w:rsid w:val="73A10FD8"/>
    <w:rsid w:val="73A3C18D"/>
    <w:rsid w:val="73A51B71"/>
    <w:rsid w:val="73A97C1A"/>
    <w:rsid w:val="73B13959"/>
    <w:rsid w:val="73B70D6F"/>
    <w:rsid w:val="73B71E90"/>
    <w:rsid w:val="73BC427B"/>
    <w:rsid w:val="73C4A31B"/>
    <w:rsid w:val="73C4D5EC"/>
    <w:rsid w:val="73CEC735"/>
    <w:rsid w:val="73D58D71"/>
    <w:rsid w:val="73D829C7"/>
    <w:rsid w:val="73E120E0"/>
    <w:rsid w:val="73ECFD3B"/>
    <w:rsid w:val="73F12A3D"/>
    <w:rsid w:val="73F466C2"/>
    <w:rsid w:val="73F5AC8A"/>
    <w:rsid w:val="73FA600C"/>
    <w:rsid w:val="73FD6D8A"/>
    <w:rsid w:val="7403A41C"/>
    <w:rsid w:val="7405D322"/>
    <w:rsid w:val="74067647"/>
    <w:rsid w:val="7409B2CE"/>
    <w:rsid w:val="740ACD00"/>
    <w:rsid w:val="740B1C37"/>
    <w:rsid w:val="740FA895"/>
    <w:rsid w:val="74121883"/>
    <w:rsid w:val="74122BC5"/>
    <w:rsid w:val="74159D4C"/>
    <w:rsid w:val="741882B2"/>
    <w:rsid w:val="741C5F58"/>
    <w:rsid w:val="741EB880"/>
    <w:rsid w:val="74209901"/>
    <w:rsid w:val="742653E6"/>
    <w:rsid w:val="74270061"/>
    <w:rsid w:val="7427C1EB"/>
    <w:rsid w:val="742A9D2A"/>
    <w:rsid w:val="742BCF97"/>
    <w:rsid w:val="74365F12"/>
    <w:rsid w:val="743828F6"/>
    <w:rsid w:val="743A490B"/>
    <w:rsid w:val="743C4255"/>
    <w:rsid w:val="743F6941"/>
    <w:rsid w:val="744059BD"/>
    <w:rsid w:val="7443CF79"/>
    <w:rsid w:val="7446225C"/>
    <w:rsid w:val="744639FC"/>
    <w:rsid w:val="74486024"/>
    <w:rsid w:val="74488586"/>
    <w:rsid w:val="7448F854"/>
    <w:rsid w:val="74496BA2"/>
    <w:rsid w:val="744F3C09"/>
    <w:rsid w:val="744FEC66"/>
    <w:rsid w:val="7453ADA0"/>
    <w:rsid w:val="74576A25"/>
    <w:rsid w:val="74594853"/>
    <w:rsid w:val="745CA9D5"/>
    <w:rsid w:val="745D5B3E"/>
    <w:rsid w:val="74681864"/>
    <w:rsid w:val="74759B4F"/>
    <w:rsid w:val="7477523E"/>
    <w:rsid w:val="74797D53"/>
    <w:rsid w:val="747CA5F1"/>
    <w:rsid w:val="747D4741"/>
    <w:rsid w:val="74833AA8"/>
    <w:rsid w:val="7483BF02"/>
    <w:rsid w:val="74842396"/>
    <w:rsid w:val="74844829"/>
    <w:rsid w:val="7489E5B1"/>
    <w:rsid w:val="748C3840"/>
    <w:rsid w:val="7491804A"/>
    <w:rsid w:val="74936536"/>
    <w:rsid w:val="74974B8B"/>
    <w:rsid w:val="749A73A3"/>
    <w:rsid w:val="749AAE2A"/>
    <w:rsid w:val="749E2296"/>
    <w:rsid w:val="74A0F556"/>
    <w:rsid w:val="74A25643"/>
    <w:rsid w:val="74A2BF05"/>
    <w:rsid w:val="74A39600"/>
    <w:rsid w:val="74A748A9"/>
    <w:rsid w:val="74A95BF8"/>
    <w:rsid w:val="74AA2779"/>
    <w:rsid w:val="74AADF54"/>
    <w:rsid w:val="74AB926F"/>
    <w:rsid w:val="74ABBA18"/>
    <w:rsid w:val="74AD8AA2"/>
    <w:rsid w:val="74BF1E09"/>
    <w:rsid w:val="74C019C1"/>
    <w:rsid w:val="74C5E0CB"/>
    <w:rsid w:val="74C82719"/>
    <w:rsid w:val="74CFBF59"/>
    <w:rsid w:val="74D43F6F"/>
    <w:rsid w:val="74D74C14"/>
    <w:rsid w:val="74DBCA8E"/>
    <w:rsid w:val="74DDB34D"/>
    <w:rsid w:val="74DF2737"/>
    <w:rsid w:val="74DF86EE"/>
    <w:rsid w:val="74E7E92E"/>
    <w:rsid w:val="74E918EE"/>
    <w:rsid w:val="74E9736C"/>
    <w:rsid w:val="74E9DCEC"/>
    <w:rsid w:val="74EC7422"/>
    <w:rsid w:val="74ECD229"/>
    <w:rsid w:val="74F030FB"/>
    <w:rsid w:val="74F4F770"/>
    <w:rsid w:val="74F543E6"/>
    <w:rsid w:val="74F6B082"/>
    <w:rsid w:val="74FB303B"/>
    <w:rsid w:val="74FB360F"/>
    <w:rsid w:val="75012B49"/>
    <w:rsid w:val="75039030"/>
    <w:rsid w:val="750492C1"/>
    <w:rsid w:val="750ADD4F"/>
    <w:rsid w:val="750DE681"/>
    <w:rsid w:val="750F233B"/>
    <w:rsid w:val="750F82F3"/>
    <w:rsid w:val="751598E8"/>
    <w:rsid w:val="7515EA5C"/>
    <w:rsid w:val="7515F533"/>
    <w:rsid w:val="751F4FA4"/>
    <w:rsid w:val="7521FA4B"/>
    <w:rsid w:val="7525E26E"/>
    <w:rsid w:val="7526B04D"/>
    <w:rsid w:val="75273965"/>
    <w:rsid w:val="75290B5B"/>
    <w:rsid w:val="752DC170"/>
    <w:rsid w:val="753020E8"/>
    <w:rsid w:val="7532FD14"/>
    <w:rsid w:val="7536BB3C"/>
    <w:rsid w:val="753803B9"/>
    <w:rsid w:val="753AADB7"/>
    <w:rsid w:val="753D7E3B"/>
    <w:rsid w:val="75410C63"/>
    <w:rsid w:val="7542316C"/>
    <w:rsid w:val="75436633"/>
    <w:rsid w:val="7543D9CD"/>
    <w:rsid w:val="754415AE"/>
    <w:rsid w:val="754635D3"/>
    <w:rsid w:val="754D1D17"/>
    <w:rsid w:val="754EED64"/>
    <w:rsid w:val="7550B9A8"/>
    <w:rsid w:val="7556BBC8"/>
    <w:rsid w:val="7559EC5D"/>
    <w:rsid w:val="755A974F"/>
    <w:rsid w:val="75621A8B"/>
    <w:rsid w:val="7565B482"/>
    <w:rsid w:val="75668336"/>
    <w:rsid w:val="75673A56"/>
    <w:rsid w:val="75685680"/>
    <w:rsid w:val="756918D0"/>
    <w:rsid w:val="75755642"/>
    <w:rsid w:val="75758B9C"/>
    <w:rsid w:val="7578AE19"/>
    <w:rsid w:val="757920D3"/>
    <w:rsid w:val="757C9EC0"/>
    <w:rsid w:val="758083CD"/>
    <w:rsid w:val="7580BDB4"/>
    <w:rsid w:val="7582F998"/>
    <w:rsid w:val="7589FCE2"/>
    <w:rsid w:val="758B8916"/>
    <w:rsid w:val="758BDB72"/>
    <w:rsid w:val="758F062A"/>
    <w:rsid w:val="758F6F39"/>
    <w:rsid w:val="75926B61"/>
    <w:rsid w:val="75927E12"/>
    <w:rsid w:val="7597C577"/>
    <w:rsid w:val="759C67B3"/>
    <w:rsid w:val="759CA09B"/>
    <w:rsid w:val="759CAA3F"/>
    <w:rsid w:val="759D4B1C"/>
    <w:rsid w:val="759E281D"/>
    <w:rsid w:val="75A0FB0F"/>
    <w:rsid w:val="75AAD395"/>
    <w:rsid w:val="75AB5A04"/>
    <w:rsid w:val="75AEDD89"/>
    <w:rsid w:val="75AFC8C7"/>
    <w:rsid w:val="75B16DF5"/>
    <w:rsid w:val="75B196C1"/>
    <w:rsid w:val="75B2609A"/>
    <w:rsid w:val="75BA0E7F"/>
    <w:rsid w:val="75BA5908"/>
    <w:rsid w:val="75C2A5E1"/>
    <w:rsid w:val="75C5842F"/>
    <w:rsid w:val="75CECE39"/>
    <w:rsid w:val="75D1438C"/>
    <w:rsid w:val="75D87FFE"/>
    <w:rsid w:val="75D8B182"/>
    <w:rsid w:val="75D961C0"/>
    <w:rsid w:val="75DA6729"/>
    <w:rsid w:val="75DC4764"/>
    <w:rsid w:val="75DE9AA7"/>
    <w:rsid w:val="75E77E6D"/>
    <w:rsid w:val="75EB3C3B"/>
    <w:rsid w:val="75EBD1BA"/>
    <w:rsid w:val="75EEB89F"/>
    <w:rsid w:val="75F70E29"/>
    <w:rsid w:val="75FED1D1"/>
    <w:rsid w:val="76024330"/>
    <w:rsid w:val="76058F14"/>
    <w:rsid w:val="760A9AF6"/>
    <w:rsid w:val="761FC9C6"/>
    <w:rsid w:val="7622F421"/>
    <w:rsid w:val="76278DFE"/>
    <w:rsid w:val="762D9C86"/>
    <w:rsid w:val="76305A0B"/>
    <w:rsid w:val="763256E8"/>
    <w:rsid w:val="76331530"/>
    <w:rsid w:val="763504C9"/>
    <w:rsid w:val="763702FC"/>
    <w:rsid w:val="76377BA9"/>
    <w:rsid w:val="764059D7"/>
    <w:rsid w:val="76417DBB"/>
    <w:rsid w:val="7641D14E"/>
    <w:rsid w:val="7641D9B4"/>
    <w:rsid w:val="764B8441"/>
    <w:rsid w:val="764D6F62"/>
    <w:rsid w:val="764F58DB"/>
    <w:rsid w:val="765224C6"/>
    <w:rsid w:val="765300D7"/>
    <w:rsid w:val="7655B2EA"/>
    <w:rsid w:val="7658CD53"/>
    <w:rsid w:val="765AEF09"/>
    <w:rsid w:val="765DCF61"/>
    <w:rsid w:val="765F54F8"/>
    <w:rsid w:val="7663AF84"/>
    <w:rsid w:val="7667D180"/>
    <w:rsid w:val="766AAD6E"/>
    <w:rsid w:val="766AED00"/>
    <w:rsid w:val="766B47DC"/>
    <w:rsid w:val="766B9A26"/>
    <w:rsid w:val="766EE3DC"/>
    <w:rsid w:val="7672CB47"/>
    <w:rsid w:val="767413E8"/>
    <w:rsid w:val="767510FF"/>
    <w:rsid w:val="767B3930"/>
    <w:rsid w:val="767C4E25"/>
    <w:rsid w:val="7689CC7D"/>
    <w:rsid w:val="768CB1F2"/>
    <w:rsid w:val="76979239"/>
    <w:rsid w:val="7697BFD8"/>
    <w:rsid w:val="769B444C"/>
    <w:rsid w:val="769DECA4"/>
    <w:rsid w:val="76A0BCE7"/>
    <w:rsid w:val="76A43522"/>
    <w:rsid w:val="76A48D92"/>
    <w:rsid w:val="76AA044A"/>
    <w:rsid w:val="76ACC4C7"/>
    <w:rsid w:val="76AF4BFB"/>
    <w:rsid w:val="76B03821"/>
    <w:rsid w:val="76B2C424"/>
    <w:rsid w:val="76B5774C"/>
    <w:rsid w:val="76B6670B"/>
    <w:rsid w:val="76B7AAFF"/>
    <w:rsid w:val="76BA0758"/>
    <w:rsid w:val="76BD77FE"/>
    <w:rsid w:val="76BE46FD"/>
    <w:rsid w:val="76C28C7C"/>
    <w:rsid w:val="76C2E87F"/>
    <w:rsid w:val="76C4CDC5"/>
    <w:rsid w:val="76C8954D"/>
    <w:rsid w:val="76C95D2F"/>
    <w:rsid w:val="76CA36A8"/>
    <w:rsid w:val="76CDD25A"/>
    <w:rsid w:val="76CE2CAA"/>
    <w:rsid w:val="76CFAC91"/>
    <w:rsid w:val="76CFBD03"/>
    <w:rsid w:val="76D6F87C"/>
    <w:rsid w:val="76D7BB33"/>
    <w:rsid w:val="76D923F5"/>
    <w:rsid w:val="76D9EE66"/>
    <w:rsid w:val="76DD3A2D"/>
    <w:rsid w:val="76E02F45"/>
    <w:rsid w:val="76E759C4"/>
    <w:rsid w:val="76EB485F"/>
    <w:rsid w:val="76ED3C51"/>
    <w:rsid w:val="76EE2C62"/>
    <w:rsid w:val="76F0DBA6"/>
    <w:rsid w:val="76F18B99"/>
    <w:rsid w:val="76F44E17"/>
    <w:rsid w:val="76F4F370"/>
    <w:rsid w:val="76F8D53F"/>
    <w:rsid w:val="76F919A7"/>
    <w:rsid w:val="76FB85B9"/>
    <w:rsid w:val="76FDA03D"/>
    <w:rsid w:val="76FE75A2"/>
    <w:rsid w:val="770D4651"/>
    <w:rsid w:val="770F943F"/>
    <w:rsid w:val="7710F355"/>
    <w:rsid w:val="771331BC"/>
    <w:rsid w:val="7715A5F3"/>
    <w:rsid w:val="77166365"/>
    <w:rsid w:val="7716B52A"/>
    <w:rsid w:val="771B32F5"/>
    <w:rsid w:val="771C4151"/>
    <w:rsid w:val="771E5F13"/>
    <w:rsid w:val="77227456"/>
    <w:rsid w:val="77248813"/>
    <w:rsid w:val="77252814"/>
    <w:rsid w:val="7725BB68"/>
    <w:rsid w:val="7726C790"/>
    <w:rsid w:val="7727FFDB"/>
    <w:rsid w:val="77333A00"/>
    <w:rsid w:val="77361205"/>
    <w:rsid w:val="7736F507"/>
    <w:rsid w:val="7737EFA2"/>
    <w:rsid w:val="7738A2A0"/>
    <w:rsid w:val="773AF3C8"/>
    <w:rsid w:val="773C1760"/>
    <w:rsid w:val="773DDC4D"/>
    <w:rsid w:val="77522B89"/>
    <w:rsid w:val="7752BB6F"/>
    <w:rsid w:val="77536D4B"/>
    <w:rsid w:val="7753A3A4"/>
    <w:rsid w:val="77553E3F"/>
    <w:rsid w:val="77571A25"/>
    <w:rsid w:val="7758C43B"/>
    <w:rsid w:val="7759AADF"/>
    <w:rsid w:val="775B2D81"/>
    <w:rsid w:val="775C1C8E"/>
    <w:rsid w:val="775C24F3"/>
    <w:rsid w:val="775D2F4D"/>
    <w:rsid w:val="776689ED"/>
    <w:rsid w:val="776799C2"/>
    <w:rsid w:val="7769426A"/>
    <w:rsid w:val="77702FEC"/>
    <w:rsid w:val="777C1F59"/>
    <w:rsid w:val="778077E8"/>
    <w:rsid w:val="7783A194"/>
    <w:rsid w:val="77862182"/>
    <w:rsid w:val="77869E96"/>
    <w:rsid w:val="778814A9"/>
    <w:rsid w:val="778CB064"/>
    <w:rsid w:val="778D9216"/>
    <w:rsid w:val="778F55CF"/>
    <w:rsid w:val="7796170B"/>
    <w:rsid w:val="77A2F088"/>
    <w:rsid w:val="77A42B0E"/>
    <w:rsid w:val="77A6B09D"/>
    <w:rsid w:val="77A9C464"/>
    <w:rsid w:val="77AC4E4E"/>
    <w:rsid w:val="77B56E07"/>
    <w:rsid w:val="77B5BDB5"/>
    <w:rsid w:val="77B6D391"/>
    <w:rsid w:val="77BB8FA7"/>
    <w:rsid w:val="77BBA000"/>
    <w:rsid w:val="77BEC1D6"/>
    <w:rsid w:val="77C0B482"/>
    <w:rsid w:val="77C9951C"/>
    <w:rsid w:val="77CAEF61"/>
    <w:rsid w:val="77CC726A"/>
    <w:rsid w:val="77CD8787"/>
    <w:rsid w:val="77D59842"/>
    <w:rsid w:val="77D85D45"/>
    <w:rsid w:val="77DCBCD9"/>
    <w:rsid w:val="77DDEC83"/>
    <w:rsid w:val="77E3A9AD"/>
    <w:rsid w:val="77E3E9A2"/>
    <w:rsid w:val="77E4FF8B"/>
    <w:rsid w:val="77E5E689"/>
    <w:rsid w:val="77EA60A6"/>
    <w:rsid w:val="77EF9FEF"/>
    <w:rsid w:val="77F05D70"/>
    <w:rsid w:val="77F49C10"/>
    <w:rsid w:val="77F6F53E"/>
    <w:rsid w:val="77F700C7"/>
    <w:rsid w:val="77FC850C"/>
    <w:rsid w:val="77FF633F"/>
    <w:rsid w:val="7803142C"/>
    <w:rsid w:val="78031F33"/>
    <w:rsid w:val="78070BCA"/>
    <w:rsid w:val="780839F6"/>
    <w:rsid w:val="78095CB5"/>
    <w:rsid w:val="7809B6CA"/>
    <w:rsid w:val="780B7DA1"/>
    <w:rsid w:val="7812B214"/>
    <w:rsid w:val="781E79CD"/>
    <w:rsid w:val="781FFBAC"/>
    <w:rsid w:val="782075CC"/>
    <w:rsid w:val="7822158C"/>
    <w:rsid w:val="78228AA9"/>
    <w:rsid w:val="7824F6FA"/>
    <w:rsid w:val="782C6FEB"/>
    <w:rsid w:val="782E22DA"/>
    <w:rsid w:val="782F4B22"/>
    <w:rsid w:val="783035CA"/>
    <w:rsid w:val="7836F7FB"/>
    <w:rsid w:val="783A6FEA"/>
    <w:rsid w:val="783A7A12"/>
    <w:rsid w:val="78434C7D"/>
    <w:rsid w:val="78441CC5"/>
    <w:rsid w:val="784542A0"/>
    <w:rsid w:val="78490CBD"/>
    <w:rsid w:val="784B88FE"/>
    <w:rsid w:val="784FF3CD"/>
    <w:rsid w:val="7851130B"/>
    <w:rsid w:val="785277A5"/>
    <w:rsid w:val="78528A7D"/>
    <w:rsid w:val="78586356"/>
    <w:rsid w:val="78596A32"/>
    <w:rsid w:val="78598474"/>
    <w:rsid w:val="785C4903"/>
    <w:rsid w:val="785C9FD2"/>
    <w:rsid w:val="785DB6C9"/>
    <w:rsid w:val="785E912B"/>
    <w:rsid w:val="785EC491"/>
    <w:rsid w:val="785F41EE"/>
    <w:rsid w:val="786A4F9B"/>
    <w:rsid w:val="786A83EA"/>
    <w:rsid w:val="786A936A"/>
    <w:rsid w:val="78702359"/>
    <w:rsid w:val="78731456"/>
    <w:rsid w:val="7875D33F"/>
    <w:rsid w:val="7876DDCB"/>
    <w:rsid w:val="78784938"/>
    <w:rsid w:val="787C89D4"/>
    <w:rsid w:val="787E66E7"/>
    <w:rsid w:val="788121AF"/>
    <w:rsid w:val="78843FED"/>
    <w:rsid w:val="788488FE"/>
    <w:rsid w:val="7886C1E0"/>
    <w:rsid w:val="788A24B3"/>
    <w:rsid w:val="788B629A"/>
    <w:rsid w:val="788C8D45"/>
    <w:rsid w:val="7897FB76"/>
    <w:rsid w:val="789C8C60"/>
    <w:rsid w:val="789CD83F"/>
    <w:rsid w:val="78A199FE"/>
    <w:rsid w:val="78A1BB51"/>
    <w:rsid w:val="78A589D0"/>
    <w:rsid w:val="78AF73F1"/>
    <w:rsid w:val="78AF8BD5"/>
    <w:rsid w:val="78B1FEA6"/>
    <w:rsid w:val="78B4CE56"/>
    <w:rsid w:val="78B6C42C"/>
    <w:rsid w:val="78B88975"/>
    <w:rsid w:val="78BABA97"/>
    <w:rsid w:val="78BBBAEA"/>
    <w:rsid w:val="78BC4120"/>
    <w:rsid w:val="78BD52D3"/>
    <w:rsid w:val="78C02175"/>
    <w:rsid w:val="78C08D17"/>
    <w:rsid w:val="78C28FA9"/>
    <w:rsid w:val="78C2B53D"/>
    <w:rsid w:val="78C77EDE"/>
    <w:rsid w:val="78CDEEBA"/>
    <w:rsid w:val="78CFE0CD"/>
    <w:rsid w:val="78D28DF1"/>
    <w:rsid w:val="78D3962E"/>
    <w:rsid w:val="78D6F99D"/>
    <w:rsid w:val="78D7E302"/>
    <w:rsid w:val="78DCBD61"/>
    <w:rsid w:val="78DF0AF4"/>
    <w:rsid w:val="78E0CAB3"/>
    <w:rsid w:val="78E0DC6A"/>
    <w:rsid w:val="78E39E19"/>
    <w:rsid w:val="78E782BD"/>
    <w:rsid w:val="78ED2B55"/>
    <w:rsid w:val="78EE7605"/>
    <w:rsid w:val="78F11FF0"/>
    <w:rsid w:val="78F6DDF9"/>
    <w:rsid w:val="78F89FAD"/>
    <w:rsid w:val="78F8E6D4"/>
    <w:rsid w:val="78FD3652"/>
    <w:rsid w:val="78FD7A46"/>
    <w:rsid w:val="79049B2E"/>
    <w:rsid w:val="7906D269"/>
    <w:rsid w:val="7907A2F6"/>
    <w:rsid w:val="7908807C"/>
    <w:rsid w:val="79096DC2"/>
    <w:rsid w:val="790A1996"/>
    <w:rsid w:val="790D47B4"/>
    <w:rsid w:val="790D7B77"/>
    <w:rsid w:val="790F4A2E"/>
    <w:rsid w:val="7913473D"/>
    <w:rsid w:val="7914E2FD"/>
    <w:rsid w:val="7916AB78"/>
    <w:rsid w:val="791CD0FD"/>
    <w:rsid w:val="791E9486"/>
    <w:rsid w:val="7925B5FE"/>
    <w:rsid w:val="7926956A"/>
    <w:rsid w:val="79271BEB"/>
    <w:rsid w:val="79279132"/>
    <w:rsid w:val="792BDDAD"/>
    <w:rsid w:val="792C1118"/>
    <w:rsid w:val="792C8197"/>
    <w:rsid w:val="7934190C"/>
    <w:rsid w:val="793B2C50"/>
    <w:rsid w:val="793D8305"/>
    <w:rsid w:val="793E203C"/>
    <w:rsid w:val="79401ECE"/>
    <w:rsid w:val="794059ED"/>
    <w:rsid w:val="794480DF"/>
    <w:rsid w:val="7946FBF8"/>
    <w:rsid w:val="794C2394"/>
    <w:rsid w:val="79505CAC"/>
    <w:rsid w:val="7954D1B1"/>
    <w:rsid w:val="79566169"/>
    <w:rsid w:val="7957C035"/>
    <w:rsid w:val="795BA2B8"/>
    <w:rsid w:val="795DCDB1"/>
    <w:rsid w:val="795E379D"/>
    <w:rsid w:val="79693780"/>
    <w:rsid w:val="796BCE30"/>
    <w:rsid w:val="796E18B8"/>
    <w:rsid w:val="79701E83"/>
    <w:rsid w:val="7970426E"/>
    <w:rsid w:val="7974A58B"/>
    <w:rsid w:val="79762B21"/>
    <w:rsid w:val="79775333"/>
    <w:rsid w:val="7979992E"/>
    <w:rsid w:val="797BE22A"/>
    <w:rsid w:val="7981829F"/>
    <w:rsid w:val="79847AE6"/>
    <w:rsid w:val="7988BC2D"/>
    <w:rsid w:val="79923492"/>
    <w:rsid w:val="799A9DF5"/>
    <w:rsid w:val="799AA657"/>
    <w:rsid w:val="79A52D32"/>
    <w:rsid w:val="79A570D5"/>
    <w:rsid w:val="79A63992"/>
    <w:rsid w:val="79A65439"/>
    <w:rsid w:val="79A6C9CB"/>
    <w:rsid w:val="79ABFF38"/>
    <w:rsid w:val="79BD9CF8"/>
    <w:rsid w:val="79BDBEA6"/>
    <w:rsid w:val="79C6916E"/>
    <w:rsid w:val="79CB1401"/>
    <w:rsid w:val="79CD5AEE"/>
    <w:rsid w:val="79D16618"/>
    <w:rsid w:val="79D4B0BB"/>
    <w:rsid w:val="79D547A3"/>
    <w:rsid w:val="79D7FA3C"/>
    <w:rsid w:val="79DB994F"/>
    <w:rsid w:val="79DC3C68"/>
    <w:rsid w:val="79E162A2"/>
    <w:rsid w:val="79E21AF7"/>
    <w:rsid w:val="79E9D821"/>
    <w:rsid w:val="79ED2E8B"/>
    <w:rsid w:val="79FF0E60"/>
    <w:rsid w:val="7A003269"/>
    <w:rsid w:val="7A01B333"/>
    <w:rsid w:val="7A023A4E"/>
    <w:rsid w:val="7A033F00"/>
    <w:rsid w:val="7A05D28E"/>
    <w:rsid w:val="7A063EB3"/>
    <w:rsid w:val="7A0B201D"/>
    <w:rsid w:val="7A0BE302"/>
    <w:rsid w:val="7A0DCD5C"/>
    <w:rsid w:val="7A114A52"/>
    <w:rsid w:val="7A14361E"/>
    <w:rsid w:val="7A174ABE"/>
    <w:rsid w:val="7A198E43"/>
    <w:rsid w:val="7A19D9D1"/>
    <w:rsid w:val="7A1A6DF2"/>
    <w:rsid w:val="7A1B5602"/>
    <w:rsid w:val="7A1FF9A4"/>
    <w:rsid w:val="7A21067D"/>
    <w:rsid w:val="7A270A6B"/>
    <w:rsid w:val="7A2756EC"/>
    <w:rsid w:val="7A2AE04F"/>
    <w:rsid w:val="7A2E443A"/>
    <w:rsid w:val="7A2EE5B5"/>
    <w:rsid w:val="7A3239FA"/>
    <w:rsid w:val="7A32D010"/>
    <w:rsid w:val="7A33D95A"/>
    <w:rsid w:val="7A35B637"/>
    <w:rsid w:val="7A35EE43"/>
    <w:rsid w:val="7A3B1137"/>
    <w:rsid w:val="7A3B70B4"/>
    <w:rsid w:val="7A3C0C82"/>
    <w:rsid w:val="7A3DC6C2"/>
    <w:rsid w:val="7A4174FC"/>
    <w:rsid w:val="7A418D03"/>
    <w:rsid w:val="7A43C5BD"/>
    <w:rsid w:val="7A4490AE"/>
    <w:rsid w:val="7A451110"/>
    <w:rsid w:val="7A493260"/>
    <w:rsid w:val="7A4CF19E"/>
    <w:rsid w:val="7A4E8148"/>
    <w:rsid w:val="7A4FBDC9"/>
    <w:rsid w:val="7A52A1D5"/>
    <w:rsid w:val="7A6006C8"/>
    <w:rsid w:val="7A651611"/>
    <w:rsid w:val="7A65D1DD"/>
    <w:rsid w:val="7A66E635"/>
    <w:rsid w:val="7A69734A"/>
    <w:rsid w:val="7A6B122D"/>
    <w:rsid w:val="7A6EB8A2"/>
    <w:rsid w:val="7A6F615C"/>
    <w:rsid w:val="7A6F9A3A"/>
    <w:rsid w:val="7A7268B5"/>
    <w:rsid w:val="7A726FF1"/>
    <w:rsid w:val="7A72FEBA"/>
    <w:rsid w:val="7A740659"/>
    <w:rsid w:val="7A76A9FD"/>
    <w:rsid w:val="7A7D8936"/>
    <w:rsid w:val="7A7E8844"/>
    <w:rsid w:val="7A7E9F40"/>
    <w:rsid w:val="7A7F3482"/>
    <w:rsid w:val="7A818132"/>
    <w:rsid w:val="7A81D054"/>
    <w:rsid w:val="7A837AC2"/>
    <w:rsid w:val="7A858851"/>
    <w:rsid w:val="7A8A490D"/>
    <w:rsid w:val="7A8AF959"/>
    <w:rsid w:val="7A8F7BAD"/>
    <w:rsid w:val="7A9348F8"/>
    <w:rsid w:val="7A93D0DF"/>
    <w:rsid w:val="7A941AE8"/>
    <w:rsid w:val="7A98ADB7"/>
    <w:rsid w:val="7A9976FB"/>
    <w:rsid w:val="7A9C274F"/>
    <w:rsid w:val="7AA5FB31"/>
    <w:rsid w:val="7AA60FA8"/>
    <w:rsid w:val="7AA967C1"/>
    <w:rsid w:val="7AAAC92D"/>
    <w:rsid w:val="7AAC64D5"/>
    <w:rsid w:val="7AAD3A3F"/>
    <w:rsid w:val="7AAFB39C"/>
    <w:rsid w:val="7AB04447"/>
    <w:rsid w:val="7AB79364"/>
    <w:rsid w:val="7AB9B675"/>
    <w:rsid w:val="7ABACE01"/>
    <w:rsid w:val="7ABD9F6A"/>
    <w:rsid w:val="7ABDA452"/>
    <w:rsid w:val="7ABE6DA5"/>
    <w:rsid w:val="7AC1A8E4"/>
    <w:rsid w:val="7AC1BCEC"/>
    <w:rsid w:val="7AC27CBB"/>
    <w:rsid w:val="7AC35E4C"/>
    <w:rsid w:val="7AC36B5F"/>
    <w:rsid w:val="7AC80F0C"/>
    <w:rsid w:val="7ACE8DD0"/>
    <w:rsid w:val="7ACEC06F"/>
    <w:rsid w:val="7AD18F59"/>
    <w:rsid w:val="7AD256FE"/>
    <w:rsid w:val="7AD27A8A"/>
    <w:rsid w:val="7AD37BA1"/>
    <w:rsid w:val="7AD42748"/>
    <w:rsid w:val="7AD6B6C2"/>
    <w:rsid w:val="7AD949E7"/>
    <w:rsid w:val="7ADE5269"/>
    <w:rsid w:val="7ADF27F7"/>
    <w:rsid w:val="7ADFDE5B"/>
    <w:rsid w:val="7AE51A73"/>
    <w:rsid w:val="7AE82E1E"/>
    <w:rsid w:val="7AE93151"/>
    <w:rsid w:val="7AE94674"/>
    <w:rsid w:val="7AE9730C"/>
    <w:rsid w:val="7AEB9363"/>
    <w:rsid w:val="7AEC63B2"/>
    <w:rsid w:val="7AED7AB1"/>
    <w:rsid w:val="7AEE9138"/>
    <w:rsid w:val="7AEED230"/>
    <w:rsid w:val="7AEFA8CB"/>
    <w:rsid w:val="7AF2DD05"/>
    <w:rsid w:val="7AF32CB1"/>
    <w:rsid w:val="7AF8B0D7"/>
    <w:rsid w:val="7AFEA1E9"/>
    <w:rsid w:val="7B0002B7"/>
    <w:rsid w:val="7B00F6D5"/>
    <w:rsid w:val="7B034600"/>
    <w:rsid w:val="7B0AE2ED"/>
    <w:rsid w:val="7B0C53EA"/>
    <w:rsid w:val="7B0D109B"/>
    <w:rsid w:val="7B1113B0"/>
    <w:rsid w:val="7B126892"/>
    <w:rsid w:val="7B139DC6"/>
    <w:rsid w:val="7B14BF8B"/>
    <w:rsid w:val="7B14DE57"/>
    <w:rsid w:val="7B168F03"/>
    <w:rsid w:val="7B1C9B41"/>
    <w:rsid w:val="7B1D43C0"/>
    <w:rsid w:val="7B1DB2AA"/>
    <w:rsid w:val="7B1E9EDC"/>
    <w:rsid w:val="7B1F05A8"/>
    <w:rsid w:val="7B2206A0"/>
    <w:rsid w:val="7B256B3D"/>
    <w:rsid w:val="7B257654"/>
    <w:rsid w:val="7B25AE59"/>
    <w:rsid w:val="7B25B2AA"/>
    <w:rsid w:val="7B2612DD"/>
    <w:rsid w:val="7B26D4B3"/>
    <w:rsid w:val="7B28BCCA"/>
    <w:rsid w:val="7B28D466"/>
    <w:rsid w:val="7B2C088C"/>
    <w:rsid w:val="7B2E6253"/>
    <w:rsid w:val="7B309E15"/>
    <w:rsid w:val="7B3397DD"/>
    <w:rsid w:val="7B356E9C"/>
    <w:rsid w:val="7B3A7591"/>
    <w:rsid w:val="7B3BA40A"/>
    <w:rsid w:val="7B3C2291"/>
    <w:rsid w:val="7B42EDC1"/>
    <w:rsid w:val="7B4AAA40"/>
    <w:rsid w:val="7B4FB132"/>
    <w:rsid w:val="7B4FBF24"/>
    <w:rsid w:val="7B50808C"/>
    <w:rsid w:val="7B5090B8"/>
    <w:rsid w:val="7B51ABE7"/>
    <w:rsid w:val="7B53E232"/>
    <w:rsid w:val="7B5B17D4"/>
    <w:rsid w:val="7B5D9DB7"/>
    <w:rsid w:val="7B5DC89B"/>
    <w:rsid w:val="7B5FEA6B"/>
    <w:rsid w:val="7B60052F"/>
    <w:rsid w:val="7B60B74D"/>
    <w:rsid w:val="7B61607F"/>
    <w:rsid w:val="7B656622"/>
    <w:rsid w:val="7B662EB3"/>
    <w:rsid w:val="7B6A78E1"/>
    <w:rsid w:val="7B6A8CD8"/>
    <w:rsid w:val="7B6C0FD6"/>
    <w:rsid w:val="7B6DD542"/>
    <w:rsid w:val="7B6FF5F7"/>
    <w:rsid w:val="7B746B20"/>
    <w:rsid w:val="7B75D0A6"/>
    <w:rsid w:val="7B7680D1"/>
    <w:rsid w:val="7B77A1E2"/>
    <w:rsid w:val="7B786BE8"/>
    <w:rsid w:val="7B7DF991"/>
    <w:rsid w:val="7B7EC2B3"/>
    <w:rsid w:val="7B7F225F"/>
    <w:rsid w:val="7B7FFF12"/>
    <w:rsid w:val="7B8A005C"/>
    <w:rsid w:val="7B8CC80D"/>
    <w:rsid w:val="7B947239"/>
    <w:rsid w:val="7B99C297"/>
    <w:rsid w:val="7B9A5DC7"/>
    <w:rsid w:val="7B9E808E"/>
    <w:rsid w:val="7B9FFE0D"/>
    <w:rsid w:val="7BA2EA8C"/>
    <w:rsid w:val="7BA34E9C"/>
    <w:rsid w:val="7BA3DAB4"/>
    <w:rsid w:val="7BA4465C"/>
    <w:rsid w:val="7BA6958B"/>
    <w:rsid w:val="7BA705E8"/>
    <w:rsid w:val="7BA809A8"/>
    <w:rsid w:val="7BAB3F55"/>
    <w:rsid w:val="7BAF7CC6"/>
    <w:rsid w:val="7BAF7EBB"/>
    <w:rsid w:val="7BB18732"/>
    <w:rsid w:val="7BB36EBF"/>
    <w:rsid w:val="7BB55D54"/>
    <w:rsid w:val="7BB5A3AF"/>
    <w:rsid w:val="7BBB924C"/>
    <w:rsid w:val="7BBC6CBF"/>
    <w:rsid w:val="7BBC9C5D"/>
    <w:rsid w:val="7BC1F489"/>
    <w:rsid w:val="7BC36DCF"/>
    <w:rsid w:val="7BC7A339"/>
    <w:rsid w:val="7BCD4A6A"/>
    <w:rsid w:val="7BD94A28"/>
    <w:rsid w:val="7BDC2FD0"/>
    <w:rsid w:val="7BDFE79C"/>
    <w:rsid w:val="7BE0B251"/>
    <w:rsid w:val="7BE2AE8B"/>
    <w:rsid w:val="7BE44193"/>
    <w:rsid w:val="7BE66E2F"/>
    <w:rsid w:val="7BEC123C"/>
    <w:rsid w:val="7BEF1E85"/>
    <w:rsid w:val="7BF4AD87"/>
    <w:rsid w:val="7BF516EF"/>
    <w:rsid w:val="7BF5561E"/>
    <w:rsid w:val="7BF5DB08"/>
    <w:rsid w:val="7BF6B199"/>
    <w:rsid w:val="7BF97699"/>
    <w:rsid w:val="7BF996E4"/>
    <w:rsid w:val="7C0457E0"/>
    <w:rsid w:val="7C074659"/>
    <w:rsid w:val="7C08F838"/>
    <w:rsid w:val="7C0A9BC2"/>
    <w:rsid w:val="7C0ABE00"/>
    <w:rsid w:val="7C0B1FFA"/>
    <w:rsid w:val="7C0E9130"/>
    <w:rsid w:val="7C0FE65C"/>
    <w:rsid w:val="7C0FF3F9"/>
    <w:rsid w:val="7C11F535"/>
    <w:rsid w:val="7C151D1F"/>
    <w:rsid w:val="7C15FFFA"/>
    <w:rsid w:val="7C18F4B5"/>
    <w:rsid w:val="7C1AA018"/>
    <w:rsid w:val="7C1CC583"/>
    <w:rsid w:val="7C1EC336"/>
    <w:rsid w:val="7C209932"/>
    <w:rsid w:val="7C22529A"/>
    <w:rsid w:val="7C2E5FA9"/>
    <w:rsid w:val="7C306ACC"/>
    <w:rsid w:val="7C33F03A"/>
    <w:rsid w:val="7C3677CF"/>
    <w:rsid w:val="7C3A778C"/>
    <w:rsid w:val="7C3C0CEB"/>
    <w:rsid w:val="7C40A579"/>
    <w:rsid w:val="7C4144CA"/>
    <w:rsid w:val="7C4445A0"/>
    <w:rsid w:val="7C4BA955"/>
    <w:rsid w:val="7C4D7CD1"/>
    <w:rsid w:val="7C50763C"/>
    <w:rsid w:val="7C537501"/>
    <w:rsid w:val="7C544BAD"/>
    <w:rsid w:val="7C55E8DE"/>
    <w:rsid w:val="7C56578C"/>
    <w:rsid w:val="7C59B92C"/>
    <w:rsid w:val="7C5DFEC2"/>
    <w:rsid w:val="7C5ED51B"/>
    <w:rsid w:val="7C65F032"/>
    <w:rsid w:val="7C670364"/>
    <w:rsid w:val="7C6B549F"/>
    <w:rsid w:val="7C6BA3A4"/>
    <w:rsid w:val="7C6EBD23"/>
    <w:rsid w:val="7C700372"/>
    <w:rsid w:val="7C756A9D"/>
    <w:rsid w:val="7C76446E"/>
    <w:rsid w:val="7C7927CA"/>
    <w:rsid w:val="7C7AC602"/>
    <w:rsid w:val="7C83353C"/>
    <w:rsid w:val="7C8C286B"/>
    <w:rsid w:val="7C8D55B2"/>
    <w:rsid w:val="7C8E501A"/>
    <w:rsid w:val="7C97B232"/>
    <w:rsid w:val="7C9DA20E"/>
    <w:rsid w:val="7C9FB9C8"/>
    <w:rsid w:val="7CA4663C"/>
    <w:rsid w:val="7CA4F23B"/>
    <w:rsid w:val="7CA5644E"/>
    <w:rsid w:val="7CA7D1BA"/>
    <w:rsid w:val="7CAB55CF"/>
    <w:rsid w:val="7CAFE329"/>
    <w:rsid w:val="7CB4D337"/>
    <w:rsid w:val="7CB78781"/>
    <w:rsid w:val="7CB8516D"/>
    <w:rsid w:val="7CBCEC31"/>
    <w:rsid w:val="7CBEDB7A"/>
    <w:rsid w:val="7CBF962A"/>
    <w:rsid w:val="7CC250A8"/>
    <w:rsid w:val="7CC37EDB"/>
    <w:rsid w:val="7CC56EE1"/>
    <w:rsid w:val="7CC5A3E0"/>
    <w:rsid w:val="7CC5E1E2"/>
    <w:rsid w:val="7CC62BF7"/>
    <w:rsid w:val="7CCB49E9"/>
    <w:rsid w:val="7CCCF6B6"/>
    <w:rsid w:val="7CD2BBEB"/>
    <w:rsid w:val="7CD6F58C"/>
    <w:rsid w:val="7CD77503"/>
    <w:rsid w:val="7CDA7328"/>
    <w:rsid w:val="7CDBA7DC"/>
    <w:rsid w:val="7CE01051"/>
    <w:rsid w:val="7CE0ABB5"/>
    <w:rsid w:val="7CE2FE18"/>
    <w:rsid w:val="7CE7A881"/>
    <w:rsid w:val="7CE9F8EE"/>
    <w:rsid w:val="7CEC0EFF"/>
    <w:rsid w:val="7CF3D5E9"/>
    <w:rsid w:val="7CF5C3D9"/>
    <w:rsid w:val="7CF9B7FF"/>
    <w:rsid w:val="7D00E00E"/>
    <w:rsid w:val="7D010E5C"/>
    <w:rsid w:val="7D019852"/>
    <w:rsid w:val="7D04B7A8"/>
    <w:rsid w:val="7D05611F"/>
    <w:rsid w:val="7D05A6EB"/>
    <w:rsid w:val="7D05C9BE"/>
    <w:rsid w:val="7D095679"/>
    <w:rsid w:val="7D0A4ECF"/>
    <w:rsid w:val="7D0BF7BC"/>
    <w:rsid w:val="7D0C02EC"/>
    <w:rsid w:val="7D0F4641"/>
    <w:rsid w:val="7D15E9B8"/>
    <w:rsid w:val="7D2020FA"/>
    <w:rsid w:val="7D2057F3"/>
    <w:rsid w:val="7D229752"/>
    <w:rsid w:val="7D238C5D"/>
    <w:rsid w:val="7D28DBAB"/>
    <w:rsid w:val="7D29329B"/>
    <w:rsid w:val="7D2AF602"/>
    <w:rsid w:val="7D2B1B8E"/>
    <w:rsid w:val="7D2C3AEE"/>
    <w:rsid w:val="7D2F0096"/>
    <w:rsid w:val="7D30D84D"/>
    <w:rsid w:val="7D332F0C"/>
    <w:rsid w:val="7D35EDBE"/>
    <w:rsid w:val="7D396BCD"/>
    <w:rsid w:val="7D4851EE"/>
    <w:rsid w:val="7D5135A4"/>
    <w:rsid w:val="7D557552"/>
    <w:rsid w:val="7D574C03"/>
    <w:rsid w:val="7D58E024"/>
    <w:rsid w:val="7D5B1E51"/>
    <w:rsid w:val="7D609319"/>
    <w:rsid w:val="7D616F6A"/>
    <w:rsid w:val="7D61903C"/>
    <w:rsid w:val="7D628D9C"/>
    <w:rsid w:val="7D6454DE"/>
    <w:rsid w:val="7D6EA018"/>
    <w:rsid w:val="7D72A925"/>
    <w:rsid w:val="7D73B584"/>
    <w:rsid w:val="7D73E6CC"/>
    <w:rsid w:val="7D838334"/>
    <w:rsid w:val="7D8663E6"/>
    <w:rsid w:val="7D874AE9"/>
    <w:rsid w:val="7D87A93F"/>
    <w:rsid w:val="7D8816B7"/>
    <w:rsid w:val="7D89BDC4"/>
    <w:rsid w:val="7D8B2446"/>
    <w:rsid w:val="7D8EB3D3"/>
    <w:rsid w:val="7D923D22"/>
    <w:rsid w:val="7D959799"/>
    <w:rsid w:val="7D96132E"/>
    <w:rsid w:val="7D962CA6"/>
    <w:rsid w:val="7D9A73EA"/>
    <w:rsid w:val="7D9F4CE2"/>
    <w:rsid w:val="7D9FA0C5"/>
    <w:rsid w:val="7DA17BC6"/>
    <w:rsid w:val="7DA22AD6"/>
    <w:rsid w:val="7DA54CA0"/>
    <w:rsid w:val="7DA84F67"/>
    <w:rsid w:val="7DAA9E7A"/>
    <w:rsid w:val="7DAC193F"/>
    <w:rsid w:val="7DADD1BB"/>
    <w:rsid w:val="7DB15213"/>
    <w:rsid w:val="7DB3A8A7"/>
    <w:rsid w:val="7DB902D7"/>
    <w:rsid w:val="7DBCB6E9"/>
    <w:rsid w:val="7DC49E26"/>
    <w:rsid w:val="7DC4CC06"/>
    <w:rsid w:val="7DC4F143"/>
    <w:rsid w:val="7DC5C3B9"/>
    <w:rsid w:val="7DCA0065"/>
    <w:rsid w:val="7DCB27A8"/>
    <w:rsid w:val="7DCEF6D6"/>
    <w:rsid w:val="7DCFA404"/>
    <w:rsid w:val="7DD24EFD"/>
    <w:rsid w:val="7DD46430"/>
    <w:rsid w:val="7DD54147"/>
    <w:rsid w:val="7DD5648B"/>
    <w:rsid w:val="7DD63230"/>
    <w:rsid w:val="7DD68A14"/>
    <w:rsid w:val="7DD6DEF5"/>
    <w:rsid w:val="7DD8E09B"/>
    <w:rsid w:val="7DD9CFEF"/>
    <w:rsid w:val="7DDAB51B"/>
    <w:rsid w:val="7DDB3DD2"/>
    <w:rsid w:val="7DDED42E"/>
    <w:rsid w:val="7DDFBAD9"/>
    <w:rsid w:val="7DE78CB5"/>
    <w:rsid w:val="7DE82B9D"/>
    <w:rsid w:val="7DE897F0"/>
    <w:rsid w:val="7DEA74D0"/>
    <w:rsid w:val="7DEC6899"/>
    <w:rsid w:val="7DEC8DE6"/>
    <w:rsid w:val="7DED401C"/>
    <w:rsid w:val="7DF05F19"/>
    <w:rsid w:val="7DF0F89F"/>
    <w:rsid w:val="7DF5D529"/>
    <w:rsid w:val="7DFD1698"/>
    <w:rsid w:val="7DFD53EA"/>
    <w:rsid w:val="7E055C8E"/>
    <w:rsid w:val="7E0A147B"/>
    <w:rsid w:val="7E0B4A79"/>
    <w:rsid w:val="7E0D0DD1"/>
    <w:rsid w:val="7E0D3E56"/>
    <w:rsid w:val="7E0FA093"/>
    <w:rsid w:val="7E101259"/>
    <w:rsid w:val="7E1F38AB"/>
    <w:rsid w:val="7E217B46"/>
    <w:rsid w:val="7E21C44B"/>
    <w:rsid w:val="7E22347F"/>
    <w:rsid w:val="7E24158B"/>
    <w:rsid w:val="7E27D6D0"/>
    <w:rsid w:val="7E2C48A1"/>
    <w:rsid w:val="7E368D9B"/>
    <w:rsid w:val="7E3747A6"/>
    <w:rsid w:val="7E3768B7"/>
    <w:rsid w:val="7E388DB8"/>
    <w:rsid w:val="7E391C2A"/>
    <w:rsid w:val="7E3AA891"/>
    <w:rsid w:val="7E3F94D9"/>
    <w:rsid w:val="7E426F9F"/>
    <w:rsid w:val="7E46FE7F"/>
    <w:rsid w:val="7E47A7E6"/>
    <w:rsid w:val="7E4ABA35"/>
    <w:rsid w:val="7E4BB026"/>
    <w:rsid w:val="7E511B4A"/>
    <w:rsid w:val="7E53AA97"/>
    <w:rsid w:val="7E57C00D"/>
    <w:rsid w:val="7E57DCDF"/>
    <w:rsid w:val="7E591C65"/>
    <w:rsid w:val="7E5AD652"/>
    <w:rsid w:val="7E5E4A63"/>
    <w:rsid w:val="7E5E67ED"/>
    <w:rsid w:val="7E64C599"/>
    <w:rsid w:val="7E64F8E1"/>
    <w:rsid w:val="7E652181"/>
    <w:rsid w:val="7E670719"/>
    <w:rsid w:val="7E674347"/>
    <w:rsid w:val="7E715BA1"/>
    <w:rsid w:val="7E73F11A"/>
    <w:rsid w:val="7E7860E6"/>
    <w:rsid w:val="7E78BBD6"/>
    <w:rsid w:val="7E7A96A5"/>
    <w:rsid w:val="7E810A76"/>
    <w:rsid w:val="7E8516F5"/>
    <w:rsid w:val="7E86C2EE"/>
    <w:rsid w:val="7E88381A"/>
    <w:rsid w:val="7E884888"/>
    <w:rsid w:val="7E89CF86"/>
    <w:rsid w:val="7E8A7D87"/>
    <w:rsid w:val="7E8E620C"/>
    <w:rsid w:val="7E92C796"/>
    <w:rsid w:val="7E933B96"/>
    <w:rsid w:val="7E957F49"/>
    <w:rsid w:val="7E96F050"/>
    <w:rsid w:val="7E9B4E91"/>
    <w:rsid w:val="7E9BA2E5"/>
    <w:rsid w:val="7EA5DB69"/>
    <w:rsid w:val="7EA73163"/>
    <w:rsid w:val="7EABC967"/>
    <w:rsid w:val="7EAD09FA"/>
    <w:rsid w:val="7EADA9F3"/>
    <w:rsid w:val="7EB3B4D8"/>
    <w:rsid w:val="7EB7B716"/>
    <w:rsid w:val="7EB9DC6B"/>
    <w:rsid w:val="7EBA9AF5"/>
    <w:rsid w:val="7EBB9BE3"/>
    <w:rsid w:val="7EBCE38C"/>
    <w:rsid w:val="7EC4F9AF"/>
    <w:rsid w:val="7EC7021E"/>
    <w:rsid w:val="7ECB86C7"/>
    <w:rsid w:val="7ECE6278"/>
    <w:rsid w:val="7ED0F298"/>
    <w:rsid w:val="7ED63999"/>
    <w:rsid w:val="7ED779AB"/>
    <w:rsid w:val="7ED8B57C"/>
    <w:rsid w:val="7EDABD61"/>
    <w:rsid w:val="7EDF3574"/>
    <w:rsid w:val="7EE28310"/>
    <w:rsid w:val="7EE312FF"/>
    <w:rsid w:val="7EE53C6E"/>
    <w:rsid w:val="7EEEC65C"/>
    <w:rsid w:val="7EEF49EB"/>
    <w:rsid w:val="7EEFC612"/>
    <w:rsid w:val="7EF37081"/>
    <w:rsid w:val="7EF4AAEE"/>
    <w:rsid w:val="7EF8086E"/>
    <w:rsid w:val="7F03C1C9"/>
    <w:rsid w:val="7F0CAEB0"/>
    <w:rsid w:val="7F0E41EF"/>
    <w:rsid w:val="7F0EDDB8"/>
    <w:rsid w:val="7F118813"/>
    <w:rsid w:val="7F1247AE"/>
    <w:rsid w:val="7F158BD9"/>
    <w:rsid w:val="7F1CB14A"/>
    <w:rsid w:val="7F1FFADB"/>
    <w:rsid w:val="7F216853"/>
    <w:rsid w:val="7F24E915"/>
    <w:rsid w:val="7F281759"/>
    <w:rsid w:val="7F281AFF"/>
    <w:rsid w:val="7F2A412C"/>
    <w:rsid w:val="7F2C3A9D"/>
    <w:rsid w:val="7F36AF6A"/>
    <w:rsid w:val="7F38051E"/>
    <w:rsid w:val="7F3EE607"/>
    <w:rsid w:val="7F4464CC"/>
    <w:rsid w:val="7F45EB2A"/>
    <w:rsid w:val="7F463151"/>
    <w:rsid w:val="7F4682F2"/>
    <w:rsid w:val="7F46FFDB"/>
    <w:rsid w:val="7F4B2BDC"/>
    <w:rsid w:val="7F5674C9"/>
    <w:rsid w:val="7F593CDE"/>
    <w:rsid w:val="7F59BFA9"/>
    <w:rsid w:val="7F5BE266"/>
    <w:rsid w:val="7F5CF607"/>
    <w:rsid w:val="7F5FC25E"/>
    <w:rsid w:val="7F616832"/>
    <w:rsid w:val="7F678305"/>
    <w:rsid w:val="7F69635A"/>
    <w:rsid w:val="7F69A081"/>
    <w:rsid w:val="7F6A7833"/>
    <w:rsid w:val="7F6D205B"/>
    <w:rsid w:val="7F6EF555"/>
    <w:rsid w:val="7F736979"/>
    <w:rsid w:val="7F74C053"/>
    <w:rsid w:val="7F7B2F38"/>
    <w:rsid w:val="7F7EEB75"/>
    <w:rsid w:val="7F817646"/>
    <w:rsid w:val="7F83637B"/>
    <w:rsid w:val="7F86AD57"/>
    <w:rsid w:val="7F88CEDB"/>
    <w:rsid w:val="7F88DF25"/>
    <w:rsid w:val="7F8A26FF"/>
    <w:rsid w:val="7F8B134A"/>
    <w:rsid w:val="7F8C954B"/>
    <w:rsid w:val="7F93715E"/>
    <w:rsid w:val="7F94180A"/>
    <w:rsid w:val="7F943F10"/>
    <w:rsid w:val="7F9614E1"/>
    <w:rsid w:val="7F98927D"/>
    <w:rsid w:val="7FA15AD0"/>
    <w:rsid w:val="7FA206EA"/>
    <w:rsid w:val="7FA55EC6"/>
    <w:rsid w:val="7FA5FD61"/>
    <w:rsid w:val="7FAA0F5F"/>
    <w:rsid w:val="7FAB6EAB"/>
    <w:rsid w:val="7FAE22E7"/>
    <w:rsid w:val="7FB14C1F"/>
    <w:rsid w:val="7FB154FD"/>
    <w:rsid w:val="7FB864D8"/>
    <w:rsid w:val="7FBB0492"/>
    <w:rsid w:val="7FBC66E6"/>
    <w:rsid w:val="7FC28FD7"/>
    <w:rsid w:val="7FC7471A"/>
    <w:rsid w:val="7FCBC9F5"/>
    <w:rsid w:val="7FCFAF6F"/>
    <w:rsid w:val="7FD1247B"/>
    <w:rsid w:val="7FD2245A"/>
    <w:rsid w:val="7FD2BAB4"/>
    <w:rsid w:val="7FD3AB79"/>
    <w:rsid w:val="7FD67974"/>
    <w:rsid w:val="7FD7E12B"/>
    <w:rsid w:val="7FD9D44B"/>
    <w:rsid w:val="7FDCEE12"/>
    <w:rsid w:val="7FE2222B"/>
    <w:rsid w:val="7FE39428"/>
    <w:rsid w:val="7FEA1DEB"/>
    <w:rsid w:val="7FEA2A64"/>
    <w:rsid w:val="7FF535F2"/>
    <w:rsid w:val="7FF7C3DD"/>
    <w:rsid w:val="7FF95EE5"/>
    <w:rsid w:val="7FFC4531"/>
    <w:rsid w:val="7FFF25C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A36A69"/>
  <w15:chartTrackingRefBased/>
  <w15:docId w15:val="{B352E4D1-D755-4B02-A71E-01E9F5D66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80DE7"/>
    <w:pPr>
      <w:keepLines/>
    </w:pPr>
    <w:rPr>
      <w:rFonts w:ascii="Helvetica" w:hAnsi="Helvetica"/>
      <w:color w:val="404040" w:themeColor="text1" w:themeTint="BF"/>
      <w:lang w:eastAsia="en-US"/>
    </w:rPr>
  </w:style>
  <w:style w:type="paragraph" w:styleId="Heading1">
    <w:name w:val="heading 1"/>
    <w:basedOn w:val="Heading2"/>
    <w:next w:val="Normal"/>
    <w:link w:val="Heading1Char"/>
    <w:qFormat/>
    <w:rsid w:val="009F55ED"/>
    <w:pPr>
      <w:outlineLvl w:val="0"/>
    </w:pPr>
    <w:rPr>
      <w:rFonts w:cs="Arial"/>
      <w:color w:val="4F7D29" w:themeColor="accent4"/>
      <w:sz w:val="36"/>
      <w:szCs w:val="36"/>
    </w:rPr>
  </w:style>
  <w:style w:type="paragraph" w:styleId="Heading2">
    <w:name w:val="heading 2"/>
    <w:basedOn w:val="Heading3"/>
    <w:next w:val="Normal"/>
    <w:link w:val="Heading2Char"/>
    <w:qFormat/>
    <w:rsid w:val="009F55ED"/>
    <w:pPr>
      <w:outlineLvl w:val="1"/>
    </w:pPr>
    <w:rPr>
      <w:b/>
      <w:bCs/>
      <w:szCs w:val="28"/>
    </w:rPr>
  </w:style>
  <w:style w:type="paragraph" w:styleId="Heading3">
    <w:name w:val="heading 3"/>
    <w:basedOn w:val="Normal"/>
    <w:next w:val="Normal"/>
    <w:link w:val="Heading3Char"/>
    <w:qFormat/>
    <w:rsid w:val="0042107B"/>
    <w:pPr>
      <w:keepLines w:val="0"/>
      <w:widowControl w:val="0"/>
      <w:autoSpaceDE w:val="0"/>
      <w:autoSpaceDN w:val="0"/>
      <w:adjustRightInd w:val="0"/>
      <w:spacing w:before="240" w:line="276" w:lineRule="auto"/>
      <w:outlineLvl w:val="2"/>
    </w:pPr>
    <w:rPr>
      <w:rFonts w:ascii="Arial" w:hAnsi="Arial" w:cs="Helvetica"/>
      <w:color w:val="3B5D1E" w:themeColor="accent4" w:themeShade="BF"/>
      <w:szCs w:val="26"/>
      <w:lang w:eastAsia="en-NZ"/>
    </w:rPr>
  </w:style>
  <w:style w:type="paragraph" w:styleId="Heading4">
    <w:name w:val="heading 4"/>
    <w:basedOn w:val="ListParagraph"/>
    <w:next w:val="Normal"/>
    <w:link w:val="Heading4Char"/>
    <w:qFormat/>
    <w:rsid w:val="00365801"/>
    <w:pPr>
      <w:keepLines w:val="0"/>
      <w:numPr>
        <w:numId w:val="22"/>
      </w:numPr>
      <w:autoSpaceDE w:val="0"/>
      <w:autoSpaceDN w:val="0"/>
      <w:adjustRightInd w:val="0"/>
      <w:spacing w:before="160" w:after="0"/>
      <w:outlineLvl w:val="3"/>
    </w:pPr>
    <w:rPr>
      <w:rFonts w:cs="Helvetica"/>
      <w:color w:val="000000"/>
      <w:sz w:val="26"/>
      <w:szCs w:val="26"/>
      <w:lang w:val="en" w:eastAsia="en-NZ"/>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1"/>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20"/>
    <w:qFormat/>
    <w:rsid w:val="0072383C"/>
    <w:rPr>
      <w:u w:val="single"/>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9F55ED"/>
    <w:rPr>
      <w:rFonts w:ascii="Arial" w:hAnsi="Arial" w:cs="Arial"/>
      <w:b/>
      <w:bCs/>
      <w:color w:val="4F7D29" w:themeColor="accent4"/>
      <w:sz w:val="36"/>
      <w:szCs w:val="36"/>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link w:val="List123Char"/>
    <w:rsid w:val="00065F18"/>
    <w:pPr>
      <w:numPr>
        <w:numId w:val="17"/>
      </w:numPr>
      <w:spacing w:before="80" w:after="80"/>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uiPriority w:val="99"/>
    <w:qFormat/>
    <w:rsid w:val="00563FF2"/>
    <w:pPr>
      <w:spacing w:before="40" w:after="40" w:line="264" w:lineRule="auto"/>
      <w:jc w:val="both"/>
    </w:pPr>
    <w:rPr>
      <w:rFonts w:ascii="Arial" w:hAnsi="Arial"/>
      <w:color w:val="000000" w:themeColor="text1"/>
      <w:sz w:val="18"/>
      <w:szCs w:val="20"/>
    </w:rPr>
  </w:style>
  <w:style w:type="character" w:styleId="FootnoteReference">
    <w:name w:val="footnote reference"/>
    <w:aliases w:val="Fago Fuﬂnotenzeichen,Fago Fußnotenzeichen,Footnotes refss,Footnote number,Footnote,4_G,Appel note de bas de page,Fago Fu?notenzeichen,Stinking Styles,fr,References/Footnotes,Fago Fuß notenzeichen"/>
    <w:uiPriority w:val="99"/>
    <w:qFormat/>
    <w:rsid w:val="00DC5AE4"/>
    <w:rPr>
      <w:rFonts w:cs="Arial"/>
      <w:vertAlign w:val="superscript"/>
    </w:rPr>
  </w:style>
  <w:style w:type="paragraph" w:styleId="TOC1">
    <w:name w:val="toc 1"/>
    <w:basedOn w:val="Normal"/>
    <w:next w:val="Normal"/>
    <w:uiPriority w:val="39"/>
    <w:rsid w:val="00E205EF"/>
    <w:pPr>
      <w:tabs>
        <w:tab w:val="right" w:leader="dot" w:pos="9072"/>
      </w:tabs>
      <w:spacing w:before="200" w:after="60"/>
      <w:ind w:right="567"/>
    </w:pPr>
    <w:rPr>
      <w:rFonts w:ascii="Arial" w:hAnsi="Arial"/>
      <w:b/>
      <w:color w:val="1F546B"/>
      <w:sz w:val="22"/>
    </w:rPr>
  </w:style>
  <w:style w:type="paragraph" w:styleId="TOC2">
    <w:name w:val="toc 2"/>
    <w:basedOn w:val="Normal"/>
    <w:next w:val="Normal"/>
    <w:uiPriority w:val="39"/>
    <w:rsid w:val="00D37D20"/>
    <w:pPr>
      <w:tabs>
        <w:tab w:val="right" w:leader="dot" w:pos="9072"/>
      </w:tabs>
      <w:spacing w:before="60" w:after="60"/>
      <w:ind w:left="425" w:right="567"/>
    </w:pPr>
    <w:rPr>
      <w:rFonts w:ascii="Arial" w:hAnsi="Arial"/>
      <w:noProof/>
      <w:sz w:val="22"/>
    </w:rPr>
  </w:style>
  <w:style w:type="paragraph" w:styleId="TOC3">
    <w:name w:val="toc 3"/>
    <w:basedOn w:val="Normal"/>
    <w:next w:val="Normal"/>
    <w:autoRedefine/>
    <w:uiPriority w:val="39"/>
    <w:rsid w:val="00525E38"/>
    <w:pPr>
      <w:tabs>
        <w:tab w:val="right" w:leader="dot" w:pos="9072"/>
      </w:tabs>
      <w:spacing w:before="60" w:after="60"/>
      <w:ind w:left="992" w:right="567"/>
    </w:pPr>
    <w:rPr>
      <w:rFonts w:ascii="Arial" w:hAnsi="Arial"/>
      <w:noProof/>
      <w:sz w:val="22"/>
    </w:rPr>
  </w:style>
  <w:style w:type="paragraph" w:styleId="TOC4">
    <w:name w:val="toc 4"/>
    <w:basedOn w:val="Normal"/>
    <w:next w:val="Normal"/>
    <w:autoRedefine/>
    <w:uiPriority w:val="39"/>
    <w:rsid w:val="00AB666D"/>
    <w:pPr>
      <w:tabs>
        <w:tab w:val="right" w:leader="dot" w:pos="9072"/>
      </w:tabs>
      <w:spacing w:before="60" w:after="60"/>
      <w:ind w:left="1701" w:right="567"/>
    </w:pPr>
    <w:rPr>
      <w:rFonts w:ascii="Arial" w:hAnsi="Arial"/>
      <w:noProof/>
      <w:sz w:val="22"/>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9F55ED"/>
    <w:rPr>
      <w:rFonts w:ascii="Arial" w:hAnsi="Arial" w:cs="Helvetica"/>
      <w:b/>
      <w:bCs/>
      <w:color w:val="3B5D1E" w:themeColor="accent4" w:themeShade="BF"/>
      <w:szCs w:val="28"/>
      <w:lang w:val="e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365801"/>
    <w:rPr>
      <w:rFonts w:ascii="Helvetica" w:hAnsi="Helvetica" w:cs="Helvetica"/>
      <w:color w:val="000000"/>
      <w:sz w:val="26"/>
      <w:szCs w:val="26"/>
      <w:lang w:val="e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42107B"/>
    <w:rPr>
      <w:rFonts w:ascii="Arial" w:hAnsi="Arial" w:cs="Helvetica"/>
      <w:color w:val="3B5D1E" w:themeColor="accent4" w:themeShade="BF"/>
      <w:szCs w:val="26"/>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aliases w:val="Unordered List Paragraph,List Paragraph numbered,List Paragraph1,List Bullet indent,Level 3,Rec para,List 1,Other List,FooterText,numbered,Paragraphe de liste1,Bulletr List Paragraph,列出段落,列出段落1,Listeafsnit1,Parágrafo da Lista1,TOC style,l"/>
    <w:basedOn w:val="List123"/>
    <w:link w:val="ListParagraphChar"/>
    <w:uiPriority w:val="1"/>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CommentText">
    <w:name w:val="annotation text"/>
    <w:basedOn w:val="Normal"/>
    <w:link w:val="CommentTextChar"/>
    <w:uiPriority w:val="99"/>
    <w:unhideWhenUsed/>
    <w:rsid w:val="00781662"/>
    <w:rPr>
      <w:sz w:val="20"/>
      <w:szCs w:val="20"/>
    </w:rPr>
  </w:style>
  <w:style w:type="character" w:customStyle="1" w:styleId="CommentTextChar">
    <w:name w:val="Comment Text Char"/>
    <w:basedOn w:val="DefaultParagraphFont"/>
    <w:link w:val="CommentText"/>
    <w:uiPriority w:val="99"/>
    <w:rsid w:val="00781662"/>
    <w:rPr>
      <w:sz w:val="20"/>
      <w:szCs w:val="20"/>
      <w:lang w:eastAsia="en-US"/>
    </w:rPr>
  </w:style>
  <w:style w:type="paragraph" w:styleId="CommentSubject">
    <w:name w:val="annotation subject"/>
    <w:basedOn w:val="CommentText"/>
    <w:next w:val="CommentText"/>
    <w:link w:val="CommentSubjectChar"/>
    <w:uiPriority w:val="99"/>
    <w:semiHidden/>
    <w:unhideWhenUsed/>
    <w:rsid w:val="00781662"/>
    <w:rPr>
      <w:b/>
      <w:bCs/>
    </w:rPr>
  </w:style>
  <w:style w:type="character" w:customStyle="1" w:styleId="CommentSubjectChar">
    <w:name w:val="Comment Subject Char"/>
    <w:basedOn w:val="CommentTextChar"/>
    <w:link w:val="CommentSubject"/>
    <w:uiPriority w:val="99"/>
    <w:semiHidden/>
    <w:rsid w:val="00781662"/>
    <w:rPr>
      <w:b/>
      <w:bCs/>
      <w:sz w:val="20"/>
      <w:szCs w:val="20"/>
      <w:lang w:eastAsia="en-US"/>
    </w:rPr>
  </w:style>
  <w:style w:type="paragraph" w:customStyle="1" w:styleId="pf0">
    <w:name w:val="pf0"/>
    <w:basedOn w:val="Normal"/>
    <w:rsid w:val="00090026"/>
    <w:pPr>
      <w:keepLines w:val="0"/>
      <w:spacing w:before="100" w:beforeAutospacing="1" w:after="100" w:afterAutospacing="1"/>
    </w:pPr>
    <w:rPr>
      <w:rFonts w:ascii="Times New Roman" w:eastAsia="Times New Roman" w:hAnsi="Times New Roman"/>
      <w:lang w:eastAsia="en-NZ"/>
    </w:rPr>
  </w:style>
  <w:style w:type="character" w:customStyle="1" w:styleId="cf01">
    <w:name w:val="cf01"/>
    <w:basedOn w:val="DefaultParagraphFont"/>
    <w:rsid w:val="00090026"/>
    <w:rPr>
      <w:rFonts w:ascii="Segoe UI" w:hAnsi="Segoe UI" w:cs="Segoe UI" w:hint="default"/>
      <w:sz w:val="18"/>
      <w:szCs w:val="18"/>
    </w:rPr>
  </w:style>
  <w:style w:type="paragraph" w:customStyle="1" w:styleId="paragraph">
    <w:name w:val="paragraph"/>
    <w:basedOn w:val="Normal"/>
    <w:rsid w:val="00A51E35"/>
    <w:pPr>
      <w:keepLines w:val="0"/>
      <w:spacing w:before="100" w:beforeAutospacing="1" w:after="100" w:afterAutospacing="1"/>
    </w:pPr>
    <w:rPr>
      <w:rFonts w:ascii="Times New Roman" w:eastAsia="Times New Roman" w:hAnsi="Times New Roman"/>
      <w:color w:val="auto"/>
      <w:lang w:eastAsia="en-NZ"/>
    </w:rPr>
  </w:style>
  <w:style w:type="character" w:customStyle="1" w:styleId="normaltextrun">
    <w:name w:val="normaltextrun"/>
    <w:basedOn w:val="DefaultParagraphFont"/>
    <w:rsid w:val="00A51E35"/>
  </w:style>
  <w:style w:type="character" w:customStyle="1" w:styleId="eop">
    <w:name w:val="eop"/>
    <w:basedOn w:val="DefaultParagraphFont"/>
    <w:rsid w:val="00A51E35"/>
  </w:style>
  <w:style w:type="paragraph" w:styleId="NoSpacing">
    <w:name w:val="No Spacing"/>
    <w:uiPriority w:val="1"/>
    <w:qFormat/>
    <w:rsid w:val="005F4B26"/>
    <w:pPr>
      <w:keepLines/>
      <w:spacing w:before="0" w:after="0"/>
    </w:pPr>
    <w:rPr>
      <w:rFonts w:ascii="Helvetica" w:hAnsi="Helvetica"/>
      <w:color w:val="404040" w:themeColor="text1" w:themeTint="BF"/>
      <w:lang w:eastAsia="en-US"/>
    </w:rPr>
  </w:style>
  <w:style w:type="paragraph" w:customStyle="1" w:styleId="AllNumbparas">
    <w:name w:val="All Numb paras"/>
    <w:basedOn w:val="Numbparas"/>
    <w:link w:val="AllNumbparasChar"/>
    <w:uiPriority w:val="1"/>
    <w:qFormat/>
    <w:rsid w:val="007D73A6"/>
  </w:style>
  <w:style w:type="paragraph" w:customStyle="1" w:styleId="Paranumbers">
    <w:name w:val="Para numbers"/>
    <w:basedOn w:val="ListParagraph"/>
    <w:link w:val="ParanumbersChar"/>
    <w:qFormat/>
    <w:rsid w:val="00951504"/>
    <w:pPr>
      <w:numPr>
        <w:numId w:val="23"/>
      </w:numPr>
      <w:spacing w:before="120" w:after="0" w:line="360" w:lineRule="auto"/>
      <w:ind w:left="567" w:hanging="567"/>
    </w:pPr>
    <w:rPr>
      <w:rFonts w:ascii="Calibri" w:hAnsi="Calibri"/>
      <w:color w:val="auto"/>
      <w:shd w:val="clear" w:color="auto" w:fill="FFFFFF"/>
    </w:rPr>
  </w:style>
  <w:style w:type="character" w:customStyle="1" w:styleId="List123Char">
    <w:name w:val="List 1 2 3 Char"/>
    <w:basedOn w:val="DefaultParagraphFont"/>
    <w:link w:val="List123"/>
    <w:rsid w:val="000B6A6B"/>
    <w:rPr>
      <w:rFonts w:ascii="Helvetica" w:hAnsi="Helvetica"/>
      <w:color w:val="404040" w:themeColor="text1" w:themeTint="BF"/>
      <w:lang w:eastAsia="en-US"/>
    </w:rPr>
  </w:style>
  <w:style w:type="character" w:customStyle="1" w:styleId="ListParagraphChar">
    <w:name w:val="List Paragraph Char"/>
    <w:aliases w:val="Unordered List Paragraph Char,List Paragraph numbered Char,List Paragraph1 Char,List Bullet indent Char,Level 3 Char,Rec para Char,List 1 Char,Other List Char,FooterText Char,numbered Char,Paragraphe de liste1 Char,列出段落 Char,l Char"/>
    <w:basedOn w:val="List123Char"/>
    <w:link w:val="ListParagraph"/>
    <w:uiPriority w:val="1"/>
    <w:rsid w:val="000B6A6B"/>
    <w:rPr>
      <w:rFonts w:ascii="Helvetica" w:hAnsi="Helvetica"/>
      <w:color w:val="404040" w:themeColor="text1" w:themeTint="BF"/>
      <w:lang w:eastAsia="en-US"/>
    </w:rPr>
  </w:style>
  <w:style w:type="character" w:customStyle="1" w:styleId="AllNumbparasChar">
    <w:name w:val="All Numb paras Char"/>
    <w:basedOn w:val="ListParagraphChar"/>
    <w:link w:val="AllNumbparas"/>
    <w:uiPriority w:val="1"/>
    <w:rsid w:val="007D73A6"/>
    <w:rPr>
      <w:rFonts w:ascii="Arial" w:eastAsia="Calibri" w:hAnsi="Arial" w:cs="Arial"/>
      <w:bCs/>
      <w:color w:val="222222"/>
      <w:sz w:val="22"/>
      <w:szCs w:val="22"/>
      <w:lang w:eastAsia="en-US"/>
    </w:rPr>
  </w:style>
  <w:style w:type="character" w:customStyle="1" w:styleId="ParanumbersChar">
    <w:name w:val="Para numbers Char"/>
    <w:basedOn w:val="DefaultParagraphFont"/>
    <w:link w:val="Paranumbers"/>
    <w:rsid w:val="00951504"/>
    <w:rPr>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563FF2"/>
    <w:rPr>
      <w:rFonts w:ascii="Arial" w:hAnsi="Arial"/>
      <w:color w:val="000000" w:themeColor="text1"/>
      <w:sz w:val="18"/>
      <w:szCs w:val="20"/>
      <w:lang w:eastAsia="en-US"/>
    </w:rPr>
  </w:style>
  <w:style w:type="paragraph" w:styleId="Revision">
    <w:name w:val="Revision"/>
    <w:hidden/>
    <w:uiPriority w:val="99"/>
    <w:semiHidden/>
    <w:rsid w:val="002A74A9"/>
    <w:pPr>
      <w:spacing w:before="0" w:after="0"/>
    </w:pPr>
    <w:rPr>
      <w:rFonts w:ascii="Helvetica" w:hAnsi="Helvetica"/>
      <w:color w:val="404040" w:themeColor="text1" w:themeTint="BF"/>
      <w:lang w:eastAsia="en-US"/>
    </w:rPr>
  </w:style>
  <w:style w:type="paragraph" w:customStyle="1" w:styleId="EndNoteBibliography">
    <w:name w:val="EndNote Bibliography"/>
    <w:basedOn w:val="Normal"/>
    <w:link w:val="EndNoteBibliographyChar"/>
    <w:rsid w:val="00012A9D"/>
    <w:pPr>
      <w:keepLines w:val="0"/>
      <w:spacing w:before="160" w:after="0" w:line="259" w:lineRule="auto"/>
    </w:pPr>
    <w:rPr>
      <w:rFonts w:ascii="Calibri" w:eastAsia="Times New Roman" w:hAnsi="Calibri" w:cs="Calibri"/>
      <w:noProof/>
      <w:color w:val="auto"/>
      <w:lang w:val="en-GB" w:eastAsia="en-GB"/>
    </w:rPr>
  </w:style>
  <w:style w:type="character" w:customStyle="1" w:styleId="EndNoteBibliographyChar">
    <w:name w:val="EndNote Bibliography Char"/>
    <w:basedOn w:val="DefaultParagraphFont"/>
    <w:link w:val="EndNoteBibliography"/>
    <w:rsid w:val="00012A9D"/>
    <w:rPr>
      <w:rFonts w:eastAsia="Times New Roman" w:cs="Calibri"/>
      <w:noProof/>
      <w:lang w:val="en-GB" w:eastAsia="en-GB"/>
    </w:rPr>
  </w:style>
  <w:style w:type="paragraph" w:customStyle="1" w:styleId="Hed4">
    <w:name w:val="Hed 4"/>
    <w:basedOn w:val="Heading4"/>
    <w:next w:val="Heading4"/>
    <w:link w:val="Hed4Char"/>
    <w:qFormat/>
    <w:rsid w:val="00461DA4"/>
    <w:pPr>
      <w:keepNext/>
      <w:numPr>
        <w:numId w:val="0"/>
      </w:numPr>
      <w:spacing w:before="240" w:after="120"/>
    </w:pPr>
    <w:rPr>
      <w:rFonts w:ascii="Arial" w:hAnsi="Arial" w:cstheme="minorHAnsi"/>
      <w:b/>
      <w:iCs/>
      <w:color w:val="273E14" w:themeColor="accent4" w:themeShade="80"/>
      <w:sz w:val="22"/>
    </w:rPr>
  </w:style>
  <w:style w:type="character" w:customStyle="1" w:styleId="Hed4Char">
    <w:name w:val="Hed 4 Char"/>
    <w:basedOn w:val="DefaultParagraphFont"/>
    <w:link w:val="Hed4"/>
    <w:rsid w:val="00A512A1"/>
    <w:rPr>
      <w:rFonts w:ascii="Arial" w:hAnsi="Arial" w:cstheme="minorHAnsi"/>
      <w:b/>
      <w:iCs/>
      <w:color w:val="273E14" w:themeColor="accent4" w:themeShade="80"/>
      <w:sz w:val="22"/>
      <w:szCs w:val="26"/>
      <w:lang w:val="en"/>
    </w:rPr>
  </w:style>
  <w:style w:type="paragraph" w:customStyle="1" w:styleId="Draftingnotes">
    <w:name w:val="Drafting notes"/>
    <w:basedOn w:val="Paranumbers"/>
    <w:link w:val="DraftingnotesChar"/>
    <w:rsid w:val="0071715C"/>
    <w:pPr>
      <w:keepLines w:val="0"/>
      <w:widowControl w:val="0"/>
      <w:numPr>
        <w:numId w:val="0"/>
      </w:numPr>
      <w:ind w:left="360"/>
    </w:pPr>
    <w:rPr>
      <w:b/>
      <w:bCs/>
      <w:color w:val="FF0000"/>
    </w:rPr>
  </w:style>
  <w:style w:type="character" w:customStyle="1" w:styleId="DraftingnotesChar">
    <w:name w:val="Drafting notes Char"/>
    <w:basedOn w:val="ParanumbersChar"/>
    <w:link w:val="Draftingnotes"/>
    <w:rsid w:val="0071715C"/>
    <w:rPr>
      <w:b/>
      <w:bCs/>
      <w:color w:val="FF0000"/>
      <w:lang w:eastAsia="en-US"/>
    </w:rPr>
  </w:style>
  <w:style w:type="character" w:customStyle="1" w:styleId="ui-provider">
    <w:name w:val="ui-provider"/>
    <w:basedOn w:val="DefaultParagraphFont"/>
    <w:rsid w:val="00F46B9F"/>
  </w:style>
  <w:style w:type="paragraph" w:customStyle="1" w:styleId="Bulletpoints">
    <w:name w:val="Bullet points"/>
    <w:basedOn w:val="AllNumbparas"/>
    <w:link w:val="BulletpointsChar"/>
    <w:qFormat/>
    <w:rsid w:val="0006451F"/>
    <w:pPr>
      <w:numPr>
        <w:numId w:val="27"/>
      </w:numPr>
      <w:mirrorIndents w:val="0"/>
    </w:pPr>
  </w:style>
  <w:style w:type="character" w:styleId="UnresolvedMention">
    <w:name w:val="Unresolved Mention"/>
    <w:basedOn w:val="DefaultParagraphFont"/>
    <w:uiPriority w:val="99"/>
    <w:semiHidden/>
    <w:unhideWhenUsed/>
    <w:rsid w:val="008463A6"/>
    <w:rPr>
      <w:color w:val="605E5C"/>
      <w:shd w:val="clear" w:color="auto" w:fill="E1DFDD"/>
    </w:rPr>
  </w:style>
  <w:style w:type="character" w:customStyle="1" w:styleId="BulletpointsChar">
    <w:name w:val="Bullet points Char"/>
    <w:basedOn w:val="AllNumbparasChar"/>
    <w:link w:val="Bulletpoints"/>
    <w:rsid w:val="0006451F"/>
    <w:rPr>
      <w:rFonts w:ascii="Arial" w:eastAsia="Calibri" w:hAnsi="Arial" w:cs="Arial"/>
      <w:bCs/>
      <w:color w:val="222222"/>
      <w:sz w:val="22"/>
      <w:szCs w:val="22"/>
      <w:lang w:eastAsia="en-US"/>
    </w:rPr>
  </w:style>
  <w:style w:type="character" w:customStyle="1" w:styleId="fieldrange">
    <w:name w:val="fieldrange"/>
    <w:basedOn w:val="DefaultParagraphFont"/>
    <w:rsid w:val="0006394D"/>
  </w:style>
  <w:style w:type="character" w:customStyle="1" w:styleId="findhit">
    <w:name w:val="findhit"/>
    <w:basedOn w:val="DefaultParagraphFont"/>
    <w:rsid w:val="00750900"/>
  </w:style>
  <w:style w:type="character" w:customStyle="1" w:styleId="superscript">
    <w:name w:val="superscript"/>
    <w:basedOn w:val="DefaultParagraphFont"/>
    <w:rsid w:val="00750900"/>
  </w:style>
  <w:style w:type="table" w:customStyle="1" w:styleId="DIATable1">
    <w:name w:val="_DIA Table1"/>
    <w:basedOn w:val="TableNormal"/>
    <w:uiPriority w:val="99"/>
    <w:rsid w:val="00EF602C"/>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table" w:styleId="GridTable4-Accent1">
    <w:name w:val="Grid Table 4 Accent 1"/>
    <w:basedOn w:val="TableNormal"/>
    <w:uiPriority w:val="49"/>
    <w:rsid w:val="00AA7260"/>
    <w:pPr>
      <w:spacing w:after="0"/>
    </w:pPr>
    <w:tblPr>
      <w:tblStyleRowBandSize w:val="1"/>
      <w:tblStyleColBandSize w:val="1"/>
      <w:tblBorders>
        <w:top w:val="single" w:sz="4" w:space="0" w:color="AFDDE1" w:themeColor="accent1" w:themeTint="99"/>
        <w:left w:val="single" w:sz="4" w:space="0" w:color="AFDDE1" w:themeColor="accent1" w:themeTint="99"/>
        <w:bottom w:val="single" w:sz="4" w:space="0" w:color="AFDDE1" w:themeColor="accent1" w:themeTint="99"/>
        <w:right w:val="single" w:sz="4" w:space="0" w:color="AFDDE1" w:themeColor="accent1" w:themeTint="99"/>
        <w:insideH w:val="single" w:sz="4" w:space="0" w:color="AFDDE1" w:themeColor="accent1" w:themeTint="99"/>
        <w:insideV w:val="single" w:sz="4" w:space="0" w:color="AFDDE1" w:themeColor="accent1" w:themeTint="99"/>
      </w:tblBorders>
    </w:tblPr>
    <w:tblStylePr w:type="firstRow">
      <w:rPr>
        <w:b/>
        <w:bCs/>
        <w:color w:val="FFFFFF" w:themeColor="background1"/>
      </w:rPr>
      <w:tblPr/>
      <w:tcPr>
        <w:tcBorders>
          <w:top w:val="single" w:sz="4" w:space="0" w:color="7BC7CE" w:themeColor="accent1"/>
          <w:left w:val="single" w:sz="4" w:space="0" w:color="7BC7CE" w:themeColor="accent1"/>
          <w:bottom w:val="single" w:sz="4" w:space="0" w:color="7BC7CE" w:themeColor="accent1"/>
          <w:right w:val="single" w:sz="4" w:space="0" w:color="7BC7CE" w:themeColor="accent1"/>
          <w:insideH w:val="nil"/>
          <w:insideV w:val="nil"/>
        </w:tcBorders>
        <w:shd w:val="clear" w:color="auto" w:fill="7BC7CE" w:themeFill="accent1"/>
      </w:tcPr>
    </w:tblStylePr>
    <w:tblStylePr w:type="lastRow">
      <w:rPr>
        <w:b/>
        <w:bCs/>
      </w:rPr>
      <w:tblPr/>
      <w:tcPr>
        <w:tcBorders>
          <w:top w:val="double" w:sz="4" w:space="0" w:color="7BC7CE" w:themeColor="accent1"/>
        </w:tcBorders>
      </w:tcPr>
    </w:tblStylePr>
    <w:tblStylePr w:type="firstCol">
      <w:rPr>
        <w:b/>
        <w:bCs/>
      </w:rPr>
    </w:tblStylePr>
    <w:tblStylePr w:type="lastCol">
      <w:rPr>
        <w:b/>
        <w:bCs/>
      </w:rPr>
    </w:tblStylePr>
    <w:tblStylePr w:type="band1Vert">
      <w:tblPr/>
      <w:tcPr>
        <w:shd w:val="clear" w:color="auto" w:fill="E4F3F5" w:themeFill="accent1" w:themeFillTint="33"/>
      </w:tcPr>
    </w:tblStylePr>
    <w:tblStylePr w:type="band1Horz">
      <w:tblPr/>
      <w:tcPr>
        <w:shd w:val="clear" w:color="auto" w:fill="E4F3F5" w:themeFill="accent1" w:themeFillTint="33"/>
      </w:tcPr>
    </w:tblStylePr>
  </w:style>
  <w:style w:type="character" w:customStyle="1" w:styleId="sdzsvb">
    <w:name w:val="sdzsvb"/>
    <w:basedOn w:val="DefaultParagraphFont"/>
    <w:rsid w:val="007D3B15"/>
  </w:style>
  <w:style w:type="paragraph" w:customStyle="1" w:styleId="Bullets">
    <w:name w:val="Bullets"/>
    <w:basedOn w:val="ListParagraph"/>
    <w:link w:val="BulletsChar"/>
    <w:rsid w:val="009555F8"/>
    <w:pPr>
      <w:numPr>
        <w:numId w:val="24"/>
      </w:numPr>
      <w:spacing w:before="120" w:after="120" w:line="360" w:lineRule="auto"/>
    </w:pPr>
    <w:rPr>
      <w:rFonts w:ascii="Calibri" w:hAnsi="Calibri"/>
      <w:color w:val="auto"/>
    </w:rPr>
  </w:style>
  <w:style w:type="character" w:customStyle="1" w:styleId="BulletsChar">
    <w:name w:val="Bullets Char"/>
    <w:basedOn w:val="DefaultParagraphFont"/>
    <w:link w:val="Bullets"/>
    <w:rsid w:val="009555F8"/>
    <w:rPr>
      <w:lang w:eastAsia="en-US"/>
    </w:rPr>
  </w:style>
  <w:style w:type="table" w:styleId="ListTable3-Accent1">
    <w:name w:val="List Table 3 Accent 1"/>
    <w:basedOn w:val="TableNormal"/>
    <w:uiPriority w:val="48"/>
    <w:rsid w:val="00C968BC"/>
    <w:pPr>
      <w:spacing w:after="0"/>
    </w:pPr>
    <w:tblPr>
      <w:tblStyleRowBandSize w:val="1"/>
      <w:tblStyleColBandSize w:val="1"/>
      <w:tblBorders>
        <w:top w:val="single" w:sz="4" w:space="0" w:color="7BC7CE" w:themeColor="accent1"/>
        <w:left w:val="single" w:sz="4" w:space="0" w:color="7BC7CE" w:themeColor="accent1"/>
        <w:bottom w:val="single" w:sz="4" w:space="0" w:color="7BC7CE" w:themeColor="accent1"/>
        <w:right w:val="single" w:sz="4" w:space="0" w:color="7BC7CE" w:themeColor="accent1"/>
      </w:tblBorders>
    </w:tblPr>
    <w:tblStylePr w:type="firstRow">
      <w:rPr>
        <w:b/>
        <w:bCs/>
        <w:color w:val="FFFFFF" w:themeColor="background1"/>
      </w:rPr>
      <w:tblPr/>
      <w:tcPr>
        <w:shd w:val="clear" w:color="auto" w:fill="7BC7CE" w:themeFill="accent1"/>
      </w:tcPr>
    </w:tblStylePr>
    <w:tblStylePr w:type="lastRow">
      <w:rPr>
        <w:b/>
        <w:bCs/>
      </w:rPr>
      <w:tblPr/>
      <w:tcPr>
        <w:tcBorders>
          <w:top w:val="double" w:sz="4" w:space="0" w:color="7BC7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C7CE" w:themeColor="accent1"/>
          <w:right w:val="single" w:sz="4" w:space="0" w:color="7BC7CE" w:themeColor="accent1"/>
        </w:tcBorders>
      </w:tcPr>
    </w:tblStylePr>
    <w:tblStylePr w:type="band1Horz">
      <w:tblPr/>
      <w:tcPr>
        <w:tcBorders>
          <w:top w:val="single" w:sz="4" w:space="0" w:color="7BC7CE" w:themeColor="accent1"/>
          <w:bottom w:val="single" w:sz="4" w:space="0" w:color="7BC7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C7CE" w:themeColor="accent1"/>
          <w:left w:val="nil"/>
        </w:tcBorders>
      </w:tcPr>
    </w:tblStylePr>
    <w:tblStylePr w:type="swCell">
      <w:tblPr/>
      <w:tcPr>
        <w:tcBorders>
          <w:top w:val="double" w:sz="4" w:space="0" w:color="7BC7CE" w:themeColor="accent1"/>
          <w:right w:val="nil"/>
        </w:tcBorders>
      </w:tcPr>
    </w:tblStylePr>
  </w:style>
  <w:style w:type="table" w:styleId="GridTable6Colorful-Accent1">
    <w:name w:val="Grid Table 6 Colorful Accent 1"/>
    <w:basedOn w:val="TableNormal"/>
    <w:uiPriority w:val="51"/>
    <w:rsid w:val="00996838"/>
    <w:pPr>
      <w:spacing w:after="0"/>
    </w:pPr>
    <w:rPr>
      <w:color w:val="42A9B3" w:themeColor="accent1" w:themeShade="BF"/>
    </w:rPr>
    <w:tblPr>
      <w:tblStyleRowBandSize w:val="1"/>
      <w:tblStyleColBandSize w:val="1"/>
      <w:tblBorders>
        <w:top w:val="single" w:sz="4" w:space="0" w:color="AFDDE1" w:themeColor="accent1" w:themeTint="99"/>
        <w:left w:val="single" w:sz="4" w:space="0" w:color="AFDDE1" w:themeColor="accent1" w:themeTint="99"/>
        <w:bottom w:val="single" w:sz="4" w:space="0" w:color="AFDDE1" w:themeColor="accent1" w:themeTint="99"/>
        <w:right w:val="single" w:sz="4" w:space="0" w:color="AFDDE1" w:themeColor="accent1" w:themeTint="99"/>
        <w:insideH w:val="single" w:sz="4" w:space="0" w:color="AFDDE1" w:themeColor="accent1" w:themeTint="99"/>
        <w:insideV w:val="single" w:sz="4" w:space="0" w:color="AFDDE1" w:themeColor="accent1" w:themeTint="99"/>
      </w:tblBorders>
    </w:tblPr>
    <w:tblStylePr w:type="firstRow">
      <w:rPr>
        <w:b/>
        <w:bCs/>
      </w:rPr>
      <w:tblPr/>
      <w:tcPr>
        <w:tcBorders>
          <w:bottom w:val="single" w:sz="12" w:space="0" w:color="AFDDE1" w:themeColor="accent1" w:themeTint="99"/>
        </w:tcBorders>
      </w:tcPr>
    </w:tblStylePr>
    <w:tblStylePr w:type="lastRow">
      <w:rPr>
        <w:b/>
        <w:bCs/>
      </w:rPr>
      <w:tblPr/>
      <w:tcPr>
        <w:tcBorders>
          <w:top w:val="double" w:sz="4" w:space="0" w:color="AFDDE1" w:themeColor="accent1" w:themeTint="99"/>
        </w:tcBorders>
      </w:tcPr>
    </w:tblStylePr>
    <w:tblStylePr w:type="firstCol">
      <w:rPr>
        <w:b/>
        <w:bCs/>
      </w:rPr>
    </w:tblStylePr>
    <w:tblStylePr w:type="lastCol">
      <w:rPr>
        <w:b/>
        <w:bCs/>
      </w:rPr>
    </w:tblStylePr>
    <w:tblStylePr w:type="band1Vert">
      <w:tblPr/>
      <w:tcPr>
        <w:shd w:val="clear" w:color="auto" w:fill="E4F3F5" w:themeFill="accent1" w:themeFillTint="33"/>
      </w:tcPr>
    </w:tblStylePr>
    <w:tblStylePr w:type="band1Horz">
      <w:tblPr/>
      <w:tcPr>
        <w:shd w:val="clear" w:color="auto" w:fill="E4F3F5" w:themeFill="accent1" w:themeFillTint="33"/>
      </w:tcPr>
    </w:tblStylePr>
  </w:style>
  <w:style w:type="paragraph" w:customStyle="1" w:styleId="Number">
    <w:name w:val="Number"/>
    <w:basedOn w:val="ListParagraph"/>
    <w:link w:val="NumberChar"/>
    <w:rsid w:val="00D261C5"/>
    <w:pPr>
      <w:numPr>
        <w:numId w:val="25"/>
      </w:numPr>
      <w:spacing w:line="276" w:lineRule="auto"/>
    </w:pPr>
    <w:rPr>
      <w:rFonts w:ascii="Arial" w:eastAsia="Calibri" w:hAnsi="Arial" w:cs="Arial"/>
      <w:color w:val="000000" w:themeColor="text1"/>
      <w:sz w:val="22"/>
      <w:szCs w:val="22"/>
    </w:rPr>
  </w:style>
  <w:style w:type="character" w:customStyle="1" w:styleId="NumberChar">
    <w:name w:val="Number Char"/>
    <w:basedOn w:val="ListParagraphChar"/>
    <w:link w:val="Number"/>
    <w:rsid w:val="005C4170"/>
    <w:rPr>
      <w:rFonts w:ascii="Arial" w:eastAsia="Calibri" w:hAnsi="Arial" w:cs="Arial"/>
      <w:color w:val="000000" w:themeColor="text1"/>
      <w:sz w:val="22"/>
      <w:szCs w:val="22"/>
      <w:lang w:eastAsia="en-US"/>
    </w:rPr>
  </w:style>
  <w:style w:type="character" w:styleId="Mention">
    <w:name w:val="Mention"/>
    <w:basedOn w:val="DefaultParagraphFont"/>
    <w:uiPriority w:val="99"/>
    <w:unhideWhenUsed/>
    <w:rPr>
      <w:color w:val="2B579A"/>
      <w:shd w:val="clear" w:color="auto" w:fill="E6E6E6"/>
    </w:rPr>
  </w:style>
  <w:style w:type="paragraph" w:customStyle="1" w:styleId="footnotes">
    <w:name w:val="footnotes"/>
    <w:basedOn w:val="Normal"/>
    <w:link w:val="footnotesChar"/>
    <w:qFormat/>
    <w:rsid w:val="0002355F"/>
    <w:pPr>
      <w:keepLines w:val="0"/>
      <w:spacing w:before="0" w:after="40"/>
    </w:pPr>
    <w:rPr>
      <w:rFonts w:ascii="Calibri" w:eastAsia="Calibri" w:hAnsi="Calibri" w:cs="Calibri"/>
      <w:color w:val="0A0A0A"/>
      <w:sz w:val="20"/>
      <w:szCs w:val="20"/>
    </w:rPr>
  </w:style>
  <w:style w:type="character" w:customStyle="1" w:styleId="footnotesChar">
    <w:name w:val="footnotes Char"/>
    <w:basedOn w:val="DefaultParagraphFont"/>
    <w:link w:val="footnotes"/>
    <w:rsid w:val="0002355F"/>
    <w:rPr>
      <w:rFonts w:eastAsia="Calibri" w:cs="Calibri"/>
      <w:color w:val="0A0A0A"/>
      <w:sz w:val="20"/>
      <w:szCs w:val="20"/>
      <w:lang w:eastAsia="en-US"/>
    </w:rPr>
  </w:style>
  <w:style w:type="paragraph" w:customStyle="1" w:styleId="Alldraftingnotes">
    <w:name w:val="All drafting notes"/>
    <w:basedOn w:val="AllNumbparas"/>
    <w:link w:val="AlldraftingnotesChar"/>
    <w:qFormat/>
    <w:rsid w:val="004F080E"/>
    <w:pPr>
      <w:numPr>
        <w:numId w:val="0"/>
      </w:numPr>
    </w:pPr>
    <w:rPr>
      <w:b/>
      <w:bCs w:val="0"/>
    </w:rPr>
  </w:style>
  <w:style w:type="paragraph" w:customStyle="1" w:styleId="AllQuotes">
    <w:name w:val="All Quotes"/>
    <w:basedOn w:val="Normal"/>
    <w:link w:val="AllQuotesChar"/>
    <w:qFormat/>
    <w:rsid w:val="00563FF2"/>
    <w:pPr>
      <w:keepLines w:val="0"/>
      <w:widowControl w:val="0"/>
      <w:spacing w:after="120" w:line="276" w:lineRule="auto"/>
      <w:ind w:left="1701" w:right="1134"/>
    </w:pPr>
    <w:rPr>
      <w:rFonts w:ascii="Arial" w:hAnsi="Arial"/>
      <w:color w:val="auto"/>
      <w:sz w:val="22"/>
      <w:lang w:eastAsia="en-NZ"/>
    </w:rPr>
  </w:style>
  <w:style w:type="character" w:customStyle="1" w:styleId="AlldraftingnotesChar">
    <w:name w:val="All drafting notes Char"/>
    <w:basedOn w:val="AllNumbparasChar"/>
    <w:link w:val="Alldraftingnotes"/>
    <w:rsid w:val="004F080E"/>
    <w:rPr>
      <w:rFonts w:ascii="Arial" w:eastAsia="Calibri" w:hAnsi="Arial" w:cstheme="minorHAnsi"/>
      <w:b/>
      <w:bCs w:val="0"/>
      <w:color w:val="404040" w:themeColor="text1" w:themeTint="BF"/>
      <w:sz w:val="22"/>
      <w:szCs w:val="22"/>
      <w:lang w:eastAsia="en-US"/>
    </w:rPr>
  </w:style>
  <w:style w:type="character" w:customStyle="1" w:styleId="AllQuotesChar">
    <w:name w:val="All Quotes Char"/>
    <w:basedOn w:val="DefaultParagraphFont"/>
    <w:link w:val="AllQuotes"/>
    <w:rsid w:val="00563FF2"/>
    <w:rPr>
      <w:rFonts w:ascii="Arial" w:hAnsi="Arial"/>
      <w:sz w:val="22"/>
    </w:rPr>
  </w:style>
  <w:style w:type="table" w:styleId="GridTable4-Accent6">
    <w:name w:val="Grid Table 4 Accent 6"/>
    <w:basedOn w:val="TableNormal"/>
    <w:uiPriority w:val="49"/>
    <w:rsid w:val="00F73A11"/>
    <w:pPr>
      <w:spacing w:before="0" w:after="0"/>
    </w:pPr>
    <w:rPr>
      <w:rFonts w:asciiTheme="minorHAnsi" w:hAnsiTheme="minorHAnsi" w:cstheme="minorBidi"/>
      <w:sz w:val="22"/>
      <w:szCs w:val="22"/>
      <w:lang w:eastAsia="en-US"/>
    </w:rPr>
    <w:tblPr>
      <w:tblStyleRowBandSize w:val="1"/>
      <w:tblStyleColBandSize w:val="1"/>
      <w:tblBorders>
        <w:top w:val="single" w:sz="4" w:space="0" w:color="F6A57A" w:themeColor="accent6" w:themeTint="99"/>
        <w:left w:val="single" w:sz="4" w:space="0" w:color="F6A57A" w:themeColor="accent6" w:themeTint="99"/>
        <w:bottom w:val="single" w:sz="4" w:space="0" w:color="F6A57A" w:themeColor="accent6" w:themeTint="99"/>
        <w:right w:val="single" w:sz="4" w:space="0" w:color="F6A57A" w:themeColor="accent6" w:themeTint="99"/>
        <w:insideH w:val="single" w:sz="4" w:space="0" w:color="F6A57A" w:themeColor="accent6" w:themeTint="99"/>
        <w:insideV w:val="single" w:sz="4" w:space="0" w:color="F6A57A" w:themeColor="accent6" w:themeTint="99"/>
      </w:tblBorders>
    </w:tblPr>
    <w:tblStylePr w:type="firstRow">
      <w:rPr>
        <w:b/>
        <w:bCs/>
        <w:color w:val="FFFFFF" w:themeColor="background1"/>
      </w:rPr>
      <w:tblPr/>
      <w:tcPr>
        <w:tcBorders>
          <w:top w:val="single" w:sz="4" w:space="0" w:color="F06A22" w:themeColor="accent6"/>
          <w:left w:val="single" w:sz="4" w:space="0" w:color="F06A22" w:themeColor="accent6"/>
          <w:bottom w:val="single" w:sz="4" w:space="0" w:color="F06A22" w:themeColor="accent6"/>
          <w:right w:val="single" w:sz="4" w:space="0" w:color="F06A22" w:themeColor="accent6"/>
          <w:insideH w:val="nil"/>
          <w:insideV w:val="nil"/>
        </w:tcBorders>
        <w:shd w:val="clear" w:color="auto" w:fill="F06A22" w:themeFill="accent6"/>
      </w:tcPr>
    </w:tblStylePr>
    <w:tblStylePr w:type="lastRow">
      <w:rPr>
        <w:b/>
        <w:bCs/>
      </w:rPr>
      <w:tblPr/>
      <w:tcPr>
        <w:tcBorders>
          <w:top w:val="double" w:sz="4" w:space="0" w:color="F06A22" w:themeColor="accent6"/>
        </w:tcBorders>
      </w:tcPr>
    </w:tblStylePr>
    <w:tblStylePr w:type="firstCol">
      <w:rPr>
        <w:b/>
        <w:bCs/>
      </w:rPr>
    </w:tblStylePr>
    <w:tblStylePr w:type="lastCol">
      <w:rPr>
        <w:b/>
        <w:bCs/>
      </w:rPr>
    </w:tblStylePr>
    <w:tblStylePr w:type="band1Vert">
      <w:tblPr/>
      <w:tcPr>
        <w:shd w:val="clear" w:color="auto" w:fill="FCE1D2" w:themeFill="accent6" w:themeFillTint="33"/>
      </w:tcPr>
    </w:tblStylePr>
    <w:tblStylePr w:type="band1Horz">
      <w:tblPr/>
      <w:tcPr>
        <w:shd w:val="clear" w:color="auto" w:fill="FCE1D2" w:themeFill="accent6" w:themeFillTint="33"/>
      </w:tcPr>
    </w:tblStylePr>
  </w:style>
  <w:style w:type="paragraph" w:styleId="Quote">
    <w:name w:val="Quote"/>
    <w:basedOn w:val="Normal"/>
    <w:next w:val="Normal"/>
    <w:link w:val="QuoteChar"/>
    <w:uiPriority w:val="29"/>
    <w:qFormat/>
    <w:rsid w:val="009F53E1"/>
    <w:pPr>
      <w:keepLines w:val="0"/>
      <w:spacing w:before="200" w:after="160" w:line="259" w:lineRule="auto"/>
      <w:ind w:left="720" w:right="864"/>
    </w:pPr>
    <w:rPr>
      <w:rFonts w:asciiTheme="minorHAnsi" w:hAnsiTheme="minorHAnsi" w:cstheme="minorBidi"/>
      <w:i/>
      <w:iCs/>
      <w:color w:val="262626" w:themeColor="text1" w:themeTint="D9"/>
      <w:sz w:val="22"/>
      <w:szCs w:val="22"/>
    </w:rPr>
  </w:style>
  <w:style w:type="character" w:customStyle="1" w:styleId="QuoteChar">
    <w:name w:val="Quote Char"/>
    <w:basedOn w:val="DefaultParagraphFont"/>
    <w:link w:val="Quote"/>
    <w:uiPriority w:val="29"/>
    <w:rsid w:val="009F53E1"/>
    <w:rPr>
      <w:rFonts w:asciiTheme="minorHAnsi" w:hAnsiTheme="minorHAnsi" w:cstheme="minorBidi"/>
      <w:i/>
      <w:iCs/>
      <w:color w:val="262626" w:themeColor="text1" w:themeTint="D9"/>
      <w:sz w:val="22"/>
      <w:szCs w:val="22"/>
      <w:lang w:eastAsia="en-US"/>
    </w:rPr>
  </w:style>
  <w:style w:type="paragraph" w:styleId="TOCHeading">
    <w:name w:val="TOC Heading"/>
    <w:basedOn w:val="Heading1"/>
    <w:next w:val="Normal"/>
    <w:uiPriority w:val="39"/>
    <w:unhideWhenUsed/>
    <w:rsid w:val="0081438D"/>
    <w:pPr>
      <w:autoSpaceDE/>
      <w:autoSpaceDN/>
      <w:adjustRightInd/>
      <w:spacing w:line="259" w:lineRule="auto"/>
      <w:outlineLvl w:val="9"/>
    </w:pPr>
    <w:rPr>
      <w:rFonts w:asciiTheme="majorHAnsi" w:eastAsiaTheme="majorEastAsia" w:hAnsiTheme="majorHAnsi" w:cstheme="majorBidi"/>
      <w:b w:val="0"/>
      <w:color w:val="42A9B3" w:themeColor="accent1" w:themeShade="BF"/>
      <w:szCs w:val="32"/>
      <w:lang w:val="en-US" w:eastAsia="en-US"/>
    </w:rPr>
  </w:style>
  <w:style w:type="paragraph" w:customStyle="1" w:styleId="Numbered">
    <w:name w:val="Numbered"/>
    <w:basedOn w:val="Normal"/>
    <w:link w:val="NumberedChar"/>
    <w:rsid w:val="00785B98"/>
    <w:pPr>
      <w:keepLines w:val="0"/>
      <w:widowControl w:val="0"/>
      <w:numPr>
        <w:numId w:val="26"/>
      </w:numPr>
      <w:spacing w:after="120" w:line="276" w:lineRule="auto"/>
      <w:mirrorIndents/>
    </w:pPr>
    <w:rPr>
      <w:rFonts w:ascii="Arial" w:eastAsia="Calibri" w:hAnsi="Arial" w:cs="Calibri"/>
      <w:color w:val="000000" w:themeColor="text1"/>
      <w:sz w:val="22"/>
      <w:szCs w:val="22"/>
      <w:lang w:eastAsia="en-NZ"/>
    </w:rPr>
  </w:style>
  <w:style w:type="character" w:customStyle="1" w:styleId="NumberedChar">
    <w:name w:val="Numbered Char"/>
    <w:basedOn w:val="DefaultParagraphFont"/>
    <w:link w:val="Numbered"/>
    <w:rsid w:val="00785B98"/>
    <w:rPr>
      <w:rFonts w:ascii="Arial" w:eastAsia="Calibri" w:hAnsi="Arial" w:cs="Calibri"/>
      <w:color w:val="000000" w:themeColor="text1"/>
      <w:sz w:val="22"/>
      <w:szCs w:val="22"/>
    </w:rPr>
  </w:style>
  <w:style w:type="paragraph" w:customStyle="1" w:styleId="Vol4Quotes">
    <w:name w:val="Vol 4 Quotes"/>
    <w:basedOn w:val="Normal"/>
    <w:link w:val="Vol4QuotesChar"/>
    <w:rsid w:val="00785B98"/>
    <w:pPr>
      <w:keepLines w:val="0"/>
      <w:widowControl w:val="0"/>
      <w:spacing w:line="276" w:lineRule="auto"/>
      <w:ind w:left="1134" w:right="969"/>
    </w:pPr>
    <w:rPr>
      <w:rFonts w:ascii="Arial" w:hAnsi="Arial" w:cs="Arial"/>
      <w:i/>
      <w:color w:val="auto"/>
      <w:sz w:val="22"/>
      <w:szCs w:val="22"/>
      <w:lang w:val="en-US"/>
    </w:rPr>
  </w:style>
  <w:style w:type="character" w:customStyle="1" w:styleId="Vol4QuotesChar">
    <w:name w:val="Vol 4 Quotes Char"/>
    <w:basedOn w:val="DefaultParagraphFont"/>
    <w:link w:val="Vol4Quotes"/>
    <w:rsid w:val="00785B98"/>
    <w:rPr>
      <w:rFonts w:ascii="Arial" w:hAnsi="Arial" w:cs="Arial"/>
      <w:i/>
      <w:sz w:val="22"/>
      <w:szCs w:val="22"/>
      <w:lang w:val="en-US" w:eastAsia="en-US"/>
    </w:rPr>
  </w:style>
  <w:style w:type="paragraph" w:customStyle="1" w:styleId="Quotes">
    <w:name w:val="Quotes"/>
    <w:basedOn w:val="Normal"/>
    <w:link w:val="QuotesChar"/>
    <w:rsid w:val="005A5E88"/>
    <w:pPr>
      <w:keepLines w:val="0"/>
      <w:widowControl w:val="0"/>
      <w:spacing w:line="312" w:lineRule="auto"/>
      <w:ind w:left="1134"/>
    </w:pPr>
    <w:rPr>
      <w:rFonts w:ascii="Arial" w:hAnsi="Arial"/>
      <w:color w:val="auto"/>
      <w:sz w:val="22"/>
      <w:lang w:eastAsia="en-NZ"/>
    </w:rPr>
  </w:style>
  <w:style w:type="character" w:customStyle="1" w:styleId="QuotesChar">
    <w:name w:val="Quotes Char"/>
    <w:basedOn w:val="DefaultParagraphFont"/>
    <w:link w:val="Quotes"/>
    <w:rsid w:val="005A5E88"/>
    <w:rPr>
      <w:rFonts w:ascii="Arial" w:hAnsi="Arial"/>
      <w:sz w:val="22"/>
    </w:rPr>
  </w:style>
  <w:style w:type="paragraph" w:styleId="TOC9">
    <w:name w:val="toc 9"/>
    <w:basedOn w:val="Normal"/>
    <w:next w:val="Normal"/>
    <w:autoRedefine/>
    <w:uiPriority w:val="39"/>
    <w:unhideWhenUsed/>
    <w:rsid w:val="00AE055C"/>
    <w:pPr>
      <w:keepLines w:val="0"/>
      <w:spacing w:before="0" w:after="100" w:line="259" w:lineRule="auto"/>
      <w:ind w:left="1760"/>
    </w:pPr>
    <w:rPr>
      <w:rFonts w:asciiTheme="minorHAnsi" w:eastAsiaTheme="minorEastAsia" w:hAnsiTheme="minorHAnsi" w:cstheme="minorBidi"/>
      <w:color w:val="auto"/>
      <w:kern w:val="2"/>
      <w:sz w:val="22"/>
      <w:szCs w:val="22"/>
      <w:lang w:eastAsia="en-NZ"/>
      <w14:ligatures w14:val="standardContextual"/>
    </w:rPr>
  </w:style>
  <w:style w:type="paragraph" w:customStyle="1" w:styleId="Numbparas">
    <w:name w:val="Numb paras"/>
    <w:basedOn w:val="Normal"/>
    <w:link w:val="NumbparasChar"/>
    <w:uiPriority w:val="1"/>
    <w:qFormat/>
    <w:rsid w:val="009574D1"/>
    <w:pPr>
      <w:keepLines w:val="0"/>
      <w:widowControl w:val="0"/>
      <w:numPr>
        <w:numId w:val="29"/>
      </w:numPr>
      <w:spacing w:after="120" w:line="276" w:lineRule="auto"/>
      <w:mirrorIndents/>
    </w:pPr>
    <w:rPr>
      <w:rFonts w:ascii="Arial" w:eastAsia="Calibri" w:hAnsi="Arial" w:cs="Arial"/>
      <w:bCs/>
      <w:color w:val="222222"/>
      <w:sz w:val="22"/>
      <w:szCs w:val="22"/>
      <w:shd w:val="clear" w:color="auto" w:fill="FFFFFF"/>
      <w:lang w:eastAsia="en-NZ"/>
    </w:rPr>
  </w:style>
  <w:style w:type="character" w:customStyle="1" w:styleId="NumbparasChar">
    <w:name w:val="Numb paras Char"/>
    <w:basedOn w:val="DefaultParagraphFont"/>
    <w:link w:val="Numbparas"/>
    <w:uiPriority w:val="1"/>
    <w:rsid w:val="009574D1"/>
    <w:rPr>
      <w:rFonts w:ascii="Arial" w:eastAsia="Calibri" w:hAnsi="Arial" w:cs="Arial"/>
      <w:bCs/>
      <w:color w:val="222222"/>
      <w:sz w:val="22"/>
      <w:szCs w:val="22"/>
    </w:rPr>
  </w:style>
  <w:style w:type="paragraph" w:customStyle="1" w:styleId="Default">
    <w:name w:val="Default"/>
    <w:rsid w:val="00EC61EB"/>
    <w:pPr>
      <w:autoSpaceDE w:val="0"/>
      <w:autoSpaceDN w:val="0"/>
      <w:adjustRightInd w:val="0"/>
      <w:spacing w:before="0" w:after="0"/>
    </w:pPr>
    <w:rPr>
      <w:rFonts w:ascii="Calibri Light" w:hAnsi="Calibri Light" w:cs="Calibri Light"/>
      <w:color w:val="000000"/>
    </w:rPr>
  </w:style>
  <w:style w:type="character" w:customStyle="1" w:styleId="xcontentpasted0">
    <w:name w:val="x_contentpasted0"/>
    <w:basedOn w:val="DefaultParagraphFont"/>
    <w:rsid w:val="006E1B6B"/>
  </w:style>
  <w:style w:type="paragraph" w:customStyle="1" w:styleId="Vol4Numberedparas">
    <w:name w:val="Vol 4 Numbered paras"/>
    <w:basedOn w:val="Numbparas"/>
    <w:link w:val="Vol4NumberedparasChar"/>
    <w:rsid w:val="004763C2"/>
    <w:pPr>
      <w:numPr>
        <w:numId w:val="28"/>
      </w:numPr>
    </w:pPr>
    <w:rPr>
      <w:rFonts w:cs="Calibri"/>
      <w:bCs w:val="0"/>
      <w:color w:val="000000" w:themeColor="text1"/>
    </w:rPr>
  </w:style>
  <w:style w:type="character" w:customStyle="1" w:styleId="Vol4NumberedparasChar">
    <w:name w:val="Vol 4 Numbered paras Char"/>
    <w:basedOn w:val="DefaultParagraphFont"/>
    <w:link w:val="Vol4Numberedparas"/>
    <w:rsid w:val="004763C2"/>
    <w:rPr>
      <w:rFonts w:ascii="Arial" w:eastAsia="Calibri" w:hAnsi="Arial" w:cs="Calibri"/>
      <w:color w:val="000000" w:themeColor="text1"/>
      <w:sz w:val="22"/>
      <w:szCs w:val="22"/>
    </w:rPr>
  </w:style>
  <w:style w:type="table" w:customStyle="1" w:styleId="TableGrid10">
    <w:name w:val="Table Grid1"/>
    <w:basedOn w:val="TableNormal"/>
    <w:next w:val="TableGrid"/>
    <w:uiPriority w:val="39"/>
    <w:rsid w:val="00EC0850"/>
    <w:pPr>
      <w:spacing w:before="0" w:after="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246357890">
    <w:name w:val="scxw246357890"/>
    <w:basedOn w:val="DefaultParagraphFont"/>
    <w:rsid w:val="00CA3FAB"/>
  </w:style>
  <w:style w:type="paragraph" w:customStyle="1" w:styleId="Heading50">
    <w:name w:val="Heading5"/>
    <w:basedOn w:val="Numbparas"/>
    <w:link w:val="Heading5Char0"/>
    <w:qFormat/>
    <w:rsid w:val="00907FE6"/>
    <w:pPr>
      <w:numPr>
        <w:numId w:val="0"/>
      </w:numPr>
      <w:spacing w:before="240" w:after="240" w:line="240" w:lineRule="auto"/>
    </w:pPr>
    <w:rPr>
      <w:rFonts w:ascii="Helvetica" w:eastAsiaTheme="minorHAnsi" w:hAnsi="Helvetica" w:cs="Times New Roman"/>
      <w:bCs w:val="0"/>
      <w:iCs/>
      <w:color w:val="273E14" w:themeColor="accent4" w:themeShade="80"/>
      <w:szCs w:val="24"/>
      <w:lang w:eastAsia="en-US"/>
    </w:rPr>
  </w:style>
  <w:style w:type="character" w:customStyle="1" w:styleId="Heading5Char0">
    <w:name w:val="Heading5 Char"/>
    <w:basedOn w:val="NumbparasChar"/>
    <w:link w:val="Heading50"/>
    <w:rsid w:val="00907FE6"/>
    <w:rPr>
      <w:rFonts w:ascii="Helvetica" w:eastAsia="Calibri" w:hAnsi="Helvetica" w:cs="Arial"/>
      <w:bCs w:val="0"/>
      <w:iCs/>
      <w:color w:val="273E14" w:themeColor="accent4" w:themeShade="80"/>
      <w:sz w:val="22"/>
      <w:szCs w:val="22"/>
      <w:lang w:eastAsia="en-US"/>
    </w:rPr>
  </w:style>
  <w:style w:type="character" w:customStyle="1" w:styleId="oit-ss4">
    <w:name w:val="oit-ss4"/>
    <w:basedOn w:val="DefaultParagraphFont"/>
    <w:rsid w:val="008056A8"/>
  </w:style>
  <w:style w:type="character" w:customStyle="1" w:styleId="oit-ss1">
    <w:name w:val="oit-ss1"/>
    <w:basedOn w:val="DefaultParagraphFont"/>
    <w:rsid w:val="00627D38"/>
  </w:style>
  <w:style w:type="character" w:customStyle="1" w:styleId="oistylename23">
    <w:name w:val="oistylename23"/>
    <w:basedOn w:val="DefaultParagraphFont"/>
    <w:rsid w:val="00EC1412"/>
  </w:style>
  <w:style w:type="character" w:customStyle="1" w:styleId="nonvisual-indicator">
    <w:name w:val="nonvisual-indicator"/>
    <w:basedOn w:val="DefaultParagraphFont"/>
    <w:rsid w:val="003E6A2D"/>
  </w:style>
  <w:style w:type="paragraph" w:customStyle="1" w:styleId="text-justify">
    <w:name w:val="text-justify"/>
    <w:basedOn w:val="Normal"/>
    <w:rsid w:val="00C8102D"/>
    <w:pPr>
      <w:keepLines w:val="0"/>
      <w:spacing w:before="100" w:beforeAutospacing="1" w:after="100" w:afterAutospacing="1"/>
    </w:pPr>
    <w:rPr>
      <w:rFonts w:ascii="Times New Roman" w:eastAsia="Times New Roman" w:hAnsi="Times New Roman"/>
      <w:color w:val="auto"/>
      <w:lang w:eastAsia="en-NZ"/>
    </w:rPr>
  </w:style>
  <w:style w:type="paragraph" w:styleId="z-TopofForm">
    <w:name w:val="HTML Top of Form"/>
    <w:basedOn w:val="Normal"/>
    <w:next w:val="Normal"/>
    <w:link w:val="z-TopofFormChar"/>
    <w:hidden/>
    <w:uiPriority w:val="99"/>
    <w:semiHidden/>
    <w:unhideWhenUsed/>
    <w:rsid w:val="007C00DA"/>
    <w:pPr>
      <w:keepLines w:val="0"/>
      <w:pBdr>
        <w:bottom w:val="single" w:sz="6" w:space="1" w:color="auto"/>
      </w:pBdr>
      <w:spacing w:before="0" w:after="0"/>
      <w:jc w:val="center"/>
    </w:pPr>
    <w:rPr>
      <w:rFonts w:ascii="Arial" w:eastAsia="Times New Roman" w:hAnsi="Arial" w:cs="Arial"/>
      <w:vanish/>
      <w:color w:val="auto"/>
      <w:sz w:val="16"/>
      <w:szCs w:val="16"/>
      <w:lang w:eastAsia="en-NZ"/>
    </w:rPr>
  </w:style>
  <w:style w:type="character" w:customStyle="1" w:styleId="z-TopofFormChar">
    <w:name w:val="z-Top of Form Char"/>
    <w:basedOn w:val="DefaultParagraphFont"/>
    <w:link w:val="z-TopofForm"/>
    <w:uiPriority w:val="99"/>
    <w:semiHidden/>
    <w:rsid w:val="007C00DA"/>
    <w:rPr>
      <w:rFonts w:ascii="Arial" w:eastAsia="Times New Roman" w:hAnsi="Arial" w:cs="Arial"/>
      <w:vanish/>
      <w:sz w:val="16"/>
      <w:szCs w:val="16"/>
    </w:rPr>
  </w:style>
  <w:style w:type="paragraph" w:customStyle="1" w:styleId="TSOtherBodyText">
    <w:name w:val="TS Other (Body Text)"/>
    <w:basedOn w:val="Normal"/>
    <w:uiPriority w:val="9"/>
    <w:qFormat/>
    <w:pPr>
      <w:keepLines w:val="0"/>
      <w:spacing w:before="57" w:after="57" w:line="190" w:lineRule="atLeast"/>
    </w:pPr>
    <w:rPr>
      <w:rFonts w:ascii="Cera Pro" w:hAnsi="Cera Pro" w:cstheme="minorBidi"/>
      <w:color w:val="auto"/>
      <w:sz w:val="16"/>
      <w:szCs w:val="22"/>
    </w:rPr>
  </w:style>
  <w:style w:type="paragraph" w:customStyle="1" w:styleId="SNHeading1">
    <w:name w:val="SN Heading 1"/>
    <w:basedOn w:val="Heading1"/>
    <w:next w:val="Normal"/>
    <w:uiPriority w:val="99"/>
    <w:semiHidden/>
    <w:pPr>
      <w:keepNext/>
      <w:keepLines/>
      <w:pageBreakBefore/>
      <w:widowControl/>
      <w:numPr>
        <w:numId w:val="30"/>
      </w:numPr>
      <w:autoSpaceDE/>
      <w:autoSpaceDN/>
      <w:adjustRightInd/>
      <w:spacing w:before="0" w:after="340" w:line="300" w:lineRule="atLeast"/>
      <w:ind w:right="851"/>
    </w:pPr>
    <w:rPr>
      <w:rFonts w:ascii="Cera Pro" w:eastAsiaTheme="majorEastAsia" w:hAnsi="Cera Pro" w:cstheme="majorBidi"/>
      <w:bCs w:val="0"/>
      <w:color w:val="auto"/>
      <w:sz w:val="48"/>
      <w:szCs w:val="32"/>
      <w:lang w:eastAsia="en-US"/>
    </w:rPr>
  </w:style>
  <w:style w:type="paragraph" w:customStyle="1" w:styleId="StyleAllNumbparas9ptSuperscript">
    <w:name w:val="Style All Numb paras + 9 pt Superscript"/>
    <w:basedOn w:val="AllNumbparas"/>
    <w:autoRedefine/>
    <w:rsid w:val="001318FE"/>
    <w:rPr>
      <w:bCs w:val="0"/>
      <w:sz w:val="18"/>
      <w:vertAlign w:val="superscript"/>
    </w:rPr>
  </w:style>
  <w:style w:type="character" w:customStyle="1" w:styleId="StyleFootnoteReferenceFagoFunotenzeichenFagoFunotenzeichen">
    <w:name w:val="Style Footnote ReferenceFago FuﬂnotenzeichenFago Fußnotenzeichen..."/>
    <w:basedOn w:val="FootnoteReference"/>
    <w:rsid w:val="003F30E2"/>
    <w:rPr>
      <w:rFonts w:ascii="Arial" w:hAnsi="Arial" w:cs="Arial"/>
      <w:color w:val="000000" w:themeColor="text1"/>
      <w:sz w:val="22"/>
      <w:shd w:val="clear" w:color="auto" w:fill="FFFFFF"/>
      <w:vertAlign w:val="superscript"/>
    </w:rPr>
  </w:style>
  <w:style w:type="character" w:customStyle="1" w:styleId="StyleFootnoteReferenceFagoFunotenzeichenFagoFunotenzeichen1">
    <w:name w:val="Style Footnote ReferenceFago FuﬂnotenzeichenFago Fußnotenzeichen...1"/>
    <w:basedOn w:val="FootnoteReference"/>
    <w:rsid w:val="003F30E2"/>
    <w:rPr>
      <w:rFonts w:ascii="Arial" w:hAnsi="Arial" w:cs="Arial"/>
      <w:color w:val="222222"/>
      <w:sz w:val="22"/>
      <w:shd w:val="clear" w:color="auto" w:fill="FFFFFF"/>
      <w:vertAlign w:val="superscript"/>
    </w:rPr>
  </w:style>
  <w:style w:type="character" w:customStyle="1" w:styleId="scxw67291607">
    <w:name w:val="scxw67291607"/>
    <w:basedOn w:val="DefaultParagraphFont"/>
    <w:rsid w:val="00992F48"/>
  </w:style>
  <w:style w:type="paragraph" w:customStyle="1" w:styleId="ReportParagraph">
    <w:name w:val="ReportParagraph"/>
    <w:basedOn w:val="ListParagraph"/>
    <w:qFormat/>
    <w:rsid w:val="00FD73F1"/>
    <w:pPr>
      <w:numPr>
        <w:numId w:val="148"/>
      </w:numPr>
      <w:spacing w:before="240" w:after="240" w:line="276" w:lineRule="auto"/>
      <w:jc w:val="both"/>
    </w:pPr>
    <w:rPr>
      <w:rFonts w:ascii="Arial" w:hAnsi="Arial" w:cs="Arial"/>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42">
      <w:bodyDiv w:val="1"/>
      <w:marLeft w:val="0"/>
      <w:marRight w:val="0"/>
      <w:marTop w:val="0"/>
      <w:marBottom w:val="0"/>
      <w:divBdr>
        <w:top w:val="none" w:sz="0" w:space="0" w:color="auto"/>
        <w:left w:val="none" w:sz="0" w:space="0" w:color="auto"/>
        <w:bottom w:val="none" w:sz="0" w:space="0" w:color="auto"/>
        <w:right w:val="none" w:sz="0" w:space="0" w:color="auto"/>
      </w:divBdr>
    </w:div>
    <w:div w:id="3170114">
      <w:bodyDiv w:val="1"/>
      <w:marLeft w:val="0"/>
      <w:marRight w:val="0"/>
      <w:marTop w:val="0"/>
      <w:marBottom w:val="0"/>
      <w:divBdr>
        <w:top w:val="none" w:sz="0" w:space="0" w:color="auto"/>
        <w:left w:val="none" w:sz="0" w:space="0" w:color="auto"/>
        <w:bottom w:val="none" w:sz="0" w:space="0" w:color="auto"/>
        <w:right w:val="none" w:sz="0" w:space="0" w:color="auto"/>
      </w:divBdr>
      <w:divsChild>
        <w:div w:id="1708413888">
          <w:marLeft w:val="0"/>
          <w:marRight w:val="0"/>
          <w:marTop w:val="0"/>
          <w:marBottom w:val="0"/>
          <w:divBdr>
            <w:top w:val="none" w:sz="0" w:space="0" w:color="auto"/>
            <w:left w:val="none" w:sz="0" w:space="0" w:color="auto"/>
            <w:bottom w:val="none" w:sz="0" w:space="0" w:color="auto"/>
            <w:right w:val="none" w:sz="0" w:space="0" w:color="auto"/>
          </w:divBdr>
        </w:div>
      </w:divsChild>
    </w:div>
    <w:div w:id="8333074">
      <w:bodyDiv w:val="1"/>
      <w:marLeft w:val="0"/>
      <w:marRight w:val="0"/>
      <w:marTop w:val="0"/>
      <w:marBottom w:val="0"/>
      <w:divBdr>
        <w:top w:val="none" w:sz="0" w:space="0" w:color="auto"/>
        <w:left w:val="none" w:sz="0" w:space="0" w:color="auto"/>
        <w:bottom w:val="none" w:sz="0" w:space="0" w:color="auto"/>
        <w:right w:val="none" w:sz="0" w:space="0" w:color="auto"/>
      </w:divBdr>
      <w:divsChild>
        <w:div w:id="721976579">
          <w:marLeft w:val="0"/>
          <w:marRight w:val="0"/>
          <w:marTop w:val="0"/>
          <w:marBottom w:val="0"/>
          <w:divBdr>
            <w:top w:val="none" w:sz="0" w:space="0" w:color="auto"/>
            <w:left w:val="none" w:sz="0" w:space="0" w:color="auto"/>
            <w:bottom w:val="none" w:sz="0" w:space="0" w:color="auto"/>
            <w:right w:val="none" w:sz="0" w:space="0" w:color="auto"/>
          </w:divBdr>
        </w:div>
      </w:divsChild>
    </w:div>
    <w:div w:id="24331665">
      <w:bodyDiv w:val="1"/>
      <w:marLeft w:val="0"/>
      <w:marRight w:val="0"/>
      <w:marTop w:val="0"/>
      <w:marBottom w:val="0"/>
      <w:divBdr>
        <w:top w:val="none" w:sz="0" w:space="0" w:color="auto"/>
        <w:left w:val="none" w:sz="0" w:space="0" w:color="auto"/>
        <w:bottom w:val="none" w:sz="0" w:space="0" w:color="auto"/>
        <w:right w:val="none" w:sz="0" w:space="0" w:color="auto"/>
      </w:divBdr>
    </w:div>
    <w:div w:id="44455732">
      <w:bodyDiv w:val="1"/>
      <w:marLeft w:val="0"/>
      <w:marRight w:val="0"/>
      <w:marTop w:val="0"/>
      <w:marBottom w:val="0"/>
      <w:divBdr>
        <w:top w:val="none" w:sz="0" w:space="0" w:color="auto"/>
        <w:left w:val="none" w:sz="0" w:space="0" w:color="auto"/>
        <w:bottom w:val="none" w:sz="0" w:space="0" w:color="auto"/>
        <w:right w:val="none" w:sz="0" w:space="0" w:color="auto"/>
      </w:divBdr>
      <w:divsChild>
        <w:div w:id="1960067547">
          <w:marLeft w:val="0"/>
          <w:marRight w:val="0"/>
          <w:marTop w:val="0"/>
          <w:marBottom w:val="0"/>
          <w:divBdr>
            <w:top w:val="none" w:sz="0" w:space="0" w:color="auto"/>
            <w:left w:val="none" w:sz="0" w:space="0" w:color="auto"/>
            <w:bottom w:val="none" w:sz="0" w:space="0" w:color="auto"/>
            <w:right w:val="none" w:sz="0" w:space="0" w:color="auto"/>
          </w:divBdr>
        </w:div>
      </w:divsChild>
    </w:div>
    <w:div w:id="48119050">
      <w:bodyDiv w:val="1"/>
      <w:marLeft w:val="0"/>
      <w:marRight w:val="0"/>
      <w:marTop w:val="0"/>
      <w:marBottom w:val="0"/>
      <w:divBdr>
        <w:top w:val="none" w:sz="0" w:space="0" w:color="auto"/>
        <w:left w:val="none" w:sz="0" w:space="0" w:color="auto"/>
        <w:bottom w:val="none" w:sz="0" w:space="0" w:color="auto"/>
        <w:right w:val="none" w:sz="0" w:space="0" w:color="auto"/>
      </w:divBdr>
      <w:divsChild>
        <w:div w:id="1540582638">
          <w:marLeft w:val="0"/>
          <w:marRight w:val="0"/>
          <w:marTop w:val="0"/>
          <w:marBottom w:val="0"/>
          <w:divBdr>
            <w:top w:val="none" w:sz="0" w:space="0" w:color="auto"/>
            <w:left w:val="none" w:sz="0" w:space="0" w:color="auto"/>
            <w:bottom w:val="none" w:sz="0" w:space="0" w:color="auto"/>
            <w:right w:val="none" w:sz="0" w:space="0" w:color="auto"/>
          </w:divBdr>
        </w:div>
      </w:divsChild>
    </w:div>
    <w:div w:id="70588118">
      <w:bodyDiv w:val="1"/>
      <w:marLeft w:val="0"/>
      <w:marRight w:val="0"/>
      <w:marTop w:val="0"/>
      <w:marBottom w:val="0"/>
      <w:divBdr>
        <w:top w:val="none" w:sz="0" w:space="0" w:color="auto"/>
        <w:left w:val="none" w:sz="0" w:space="0" w:color="auto"/>
        <w:bottom w:val="none" w:sz="0" w:space="0" w:color="auto"/>
        <w:right w:val="none" w:sz="0" w:space="0" w:color="auto"/>
      </w:divBdr>
    </w:div>
    <w:div w:id="81723739">
      <w:bodyDiv w:val="1"/>
      <w:marLeft w:val="0"/>
      <w:marRight w:val="0"/>
      <w:marTop w:val="0"/>
      <w:marBottom w:val="0"/>
      <w:divBdr>
        <w:top w:val="none" w:sz="0" w:space="0" w:color="auto"/>
        <w:left w:val="none" w:sz="0" w:space="0" w:color="auto"/>
        <w:bottom w:val="none" w:sz="0" w:space="0" w:color="auto"/>
        <w:right w:val="none" w:sz="0" w:space="0" w:color="auto"/>
      </w:divBdr>
    </w:div>
    <w:div w:id="144124319">
      <w:bodyDiv w:val="1"/>
      <w:marLeft w:val="0"/>
      <w:marRight w:val="0"/>
      <w:marTop w:val="0"/>
      <w:marBottom w:val="0"/>
      <w:divBdr>
        <w:top w:val="none" w:sz="0" w:space="0" w:color="auto"/>
        <w:left w:val="none" w:sz="0" w:space="0" w:color="auto"/>
        <w:bottom w:val="none" w:sz="0" w:space="0" w:color="auto"/>
        <w:right w:val="none" w:sz="0" w:space="0" w:color="auto"/>
      </w:divBdr>
      <w:divsChild>
        <w:div w:id="53508838">
          <w:marLeft w:val="0"/>
          <w:marRight w:val="0"/>
          <w:marTop w:val="0"/>
          <w:marBottom w:val="0"/>
          <w:divBdr>
            <w:top w:val="none" w:sz="0" w:space="0" w:color="auto"/>
            <w:left w:val="none" w:sz="0" w:space="0" w:color="auto"/>
            <w:bottom w:val="none" w:sz="0" w:space="0" w:color="auto"/>
            <w:right w:val="none" w:sz="0" w:space="0" w:color="auto"/>
          </w:divBdr>
        </w:div>
      </w:divsChild>
    </w:div>
    <w:div w:id="145896264">
      <w:bodyDiv w:val="1"/>
      <w:marLeft w:val="0"/>
      <w:marRight w:val="0"/>
      <w:marTop w:val="0"/>
      <w:marBottom w:val="0"/>
      <w:divBdr>
        <w:top w:val="none" w:sz="0" w:space="0" w:color="auto"/>
        <w:left w:val="none" w:sz="0" w:space="0" w:color="auto"/>
        <w:bottom w:val="none" w:sz="0" w:space="0" w:color="auto"/>
        <w:right w:val="none" w:sz="0" w:space="0" w:color="auto"/>
      </w:divBdr>
      <w:divsChild>
        <w:div w:id="2077973604">
          <w:marLeft w:val="0"/>
          <w:marRight w:val="0"/>
          <w:marTop w:val="0"/>
          <w:marBottom w:val="0"/>
          <w:divBdr>
            <w:top w:val="none" w:sz="0" w:space="0" w:color="auto"/>
            <w:left w:val="none" w:sz="0" w:space="0" w:color="auto"/>
            <w:bottom w:val="none" w:sz="0" w:space="0" w:color="auto"/>
            <w:right w:val="none" w:sz="0" w:space="0" w:color="auto"/>
          </w:divBdr>
        </w:div>
      </w:divsChild>
    </w:div>
    <w:div w:id="152571247">
      <w:bodyDiv w:val="1"/>
      <w:marLeft w:val="0"/>
      <w:marRight w:val="0"/>
      <w:marTop w:val="0"/>
      <w:marBottom w:val="0"/>
      <w:divBdr>
        <w:top w:val="none" w:sz="0" w:space="0" w:color="auto"/>
        <w:left w:val="none" w:sz="0" w:space="0" w:color="auto"/>
        <w:bottom w:val="none" w:sz="0" w:space="0" w:color="auto"/>
        <w:right w:val="none" w:sz="0" w:space="0" w:color="auto"/>
      </w:divBdr>
    </w:div>
    <w:div w:id="179125598">
      <w:bodyDiv w:val="1"/>
      <w:marLeft w:val="0"/>
      <w:marRight w:val="0"/>
      <w:marTop w:val="0"/>
      <w:marBottom w:val="0"/>
      <w:divBdr>
        <w:top w:val="none" w:sz="0" w:space="0" w:color="auto"/>
        <w:left w:val="none" w:sz="0" w:space="0" w:color="auto"/>
        <w:bottom w:val="none" w:sz="0" w:space="0" w:color="auto"/>
        <w:right w:val="none" w:sz="0" w:space="0" w:color="auto"/>
      </w:divBdr>
    </w:div>
    <w:div w:id="210728637">
      <w:bodyDiv w:val="1"/>
      <w:marLeft w:val="0"/>
      <w:marRight w:val="0"/>
      <w:marTop w:val="0"/>
      <w:marBottom w:val="0"/>
      <w:divBdr>
        <w:top w:val="none" w:sz="0" w:space="0" w:color="auto"/>
        <w:left w:val="none" w:sz="0" w:space="0" w:color="auto"/>
        <w:bottom w:val="none" w:sz="0" w:space="0" w:color="auto"/>
        <w:right w:val="none" w:sz="0" w:space="0" w:color="auto"/>
      </w:divBdr>
    </w:div>
    <w:div w:id="268664072">
      <w:bodyDiv w:val="1"/>
      <w:marLeft w:val="0"/>
      <w:marRight w:val="0"/>
      <w:marTop w:val="0"/>
      <w:marBottom w:val="0"/>
      <w:divBdr>
        <w:top w:val="none" w:sz="0" w:space="0" w:color="auto"/>
        <w:left w:val="none" w:sz="0" w:space="0" w:color="auto"/>
        <w:bottom w:val="none" w:sz="0" w:space="0" w:color="auto"/>
        <w:right w:val="none" w:sz="0" w:space="0" w:color="auto"/>
      </w:divBdr>
    </w:div>
    <w:div w:id="279458327">
      <w:bodyDiv w:val="1"/>
      <w:marLeft w:val="0"/>
      <w:marRight w:val="0"/>
      <w:marTop w:val="0"/>
      <w:marBottom w:val="0"/>
      <w:divBdr>
        <w:top w:val="none" w:sz="0" w:space="0" w:color="auto"/>
        <w:left w:val="none" w:sz="0" w:space="0" w:color="auto"/>
        <w:bottom w:val="none" w:sz="0" w:space="0" w:color="auto"/>
        <w:right w:val="none" w:sz="0" w:space="0" w:color="auto"/>
      </w:divBdr>
    </w:div>
    <w:div w:id="279798863">
      <w:bodyDiv w:val="1"/>
      <w:marLeft w:val="0"/>
      <w:marRight w:val="0"/>
      <w:marTop w:val="0"/>
      <w:marBottom w:val="0"/>
      <w:divBdr>
        <w:top w:val="none" w:sz="0" w:space="0" w:color="auto"/>
        <w:left w:val="none" w:sz="0" w:space="0" w:color="auto"/>
        <w:bottom w:val="none" w:sz="0" w:space="0" w:color="auto"/>
        <w:right w:val="none" w:sz="0" w:space="0" w:color="auto"/>
      </w:divBdr>
      <w:divsChild>
        <w:div w:id="463696357">
          <w:marLeft w:val="547"/>
          <w:marRight w:val="0"/>
          <w:marTop w:val="0"/>
          <w:marBottom w:val="0"/>
          <w:divBdr>
            <w:top w:val="none" w:sz="0" w:space="0" w:color="auto"/>
            <w:left w:val="none" w:sz="0" w:space="0" w:color="auto"/>
            <w:bottom w:val="none" w:sz="0" w:space="0" w:color="auto"/>
            <w:right w:val="none" w:sz="0" w:space="0" w:color="auto"/>
          </w:divBdr>
        </w:div>
        <w:div w:id="2052462911">
          <w:marLeft w:val="547"/>
          <w:marRight w:val="0"/>
          <w:marTop w:val="0"/>
          <w:marBottom w:val="0"/>
          <w:divBdr>
            <w:top w:val="none" w:sz="0" w:space="0" w:color="auto"/>
            <w:left w:val="none" w:sz="0" w:space="0" w:color="auto"/>
            <w:bottom w:val="none" w:sz="0" w:space="0" w:color="auto"/>
            <w:right w:val="none" w:sz="0" w:space="0" w:color="auto"/>
          </w:divBdr>
        </w:div>
      </w:divsChild>
    </w:div>
    <w:div w:id="292492781">
      <w:bodyDiv w:val="1"/>
      <w:marLeft w:val="0"/>
      <w:marRight w:val="0"/>
      <w:marTop w:val="0"/>
      <w:marBottom w:val="0"/>
      <w:divBdr>
        <w:top w:val="none" w:sz="0" w:space="0" w:color="auto"/>
        <w:left w:val="none" w:sz="0" w:space="0" w:color="auto"/>
        <w:bottom w:val="none" w:sz="0" w:space="0" w:color="auto"/>
        <w:right w:val="none" w:sz="0" w:space="0" w:color="auto"/>
      </w:divBdr>
    </w:div>
    <w:div w:id="294067413">
      <w:bodyDiv w:val="1"/>
      <w:marLeft w:val="0"/>
      <w:marRight w:val="0"/>
      <w:marTop w:val="0"/>
      <w:marBottom w:val="0"/>
      <w:divBdr>
        <w:top w:val="none" w:sz="0" w:space="0" w:color="auto"/>
        <w:left w:val="none" w:sz="0" w:space="0" w:color="auto"/>
        <w:bottom w:val="none" w:sz="0" w:space="0" w:color="auto"/>
        <w:right w:val="none" w:sz="0" w:space="0" w:color="auto"/>
      </w:divBdr>
      <w:divsChild>
        <w:div w:id="1362167404">
          <w:marLeft w:val="0"/>
          <w:marRight w:val="0"/>
          <w:marTop w:val="0"/>
          <w:marBottom w:val="0"/>
          <w:divBdr>
            <w:top w:val="none" w:sz="0" w:space="0" w:color="auto"/>
            <w:left w:val="none" w:sz="0" w:space="0" w:color="auto"/>
            <w:bottom w:val="none" w:sz="0" w:space="0" w:color="auto"/>
            <w:right w:val="none" w:sz="0" w:space="0" w:color="auto"/>
          </w:divBdr>
          <w:divsChild>
            <w:div w:id="1584409001">
              <w:marLeft w:val="0"/>
              <w:marRight w:val="0"/>
              <w:marTop w:val="0"/>
              <w:marBottom w:val="0"/>
              <w:divBdr>
                <w:top w:val="none" w:sz="0" w:space="0" w:color="auto"/>
                <w:left w:val="none" w:sz="0" w:space="0" w:color="auto"/>
                <w:bottom w:val="none" w:sz="0" w:space="0" w:color="auto"/>
                <w:right w:val="none" w:sz="0" w:space="0" w:color="auto"/>
              </w:divBdr>
              <w:divsChild>
                <w:div w:id="18607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9702">
      <w:bodyDiv w:val="1"/>
      <w:marLeft w:val="0"/>
      <w:marRight w:val="0"/>
      <w:marTop w:val="0"/>
      <w:marBottom w:val="0"/>
      <w:divBdr>
        <w:top w:val="none" w:sz="0" w:space="0" w:color="auto"/>
        <w:left w:val="none" w:sz="0" w:space="0" w:color="auto"/>
        <w:bottom w:val="none" w:sz="0" w:space="0" w:color="auto"/>
        <w:right w:val="none" w:sz="0" w:space="0" w:color="auto"/>
      </w:divBdr>
    </w:div>
    <w:div w:id="320276942">
      <w:bodyDiv w:val="1"/>
      <w:marLeft w:val="0"/>
      <w:marRight w:val="0"/>
      <w:marTop w:val="0"/>
      <w:marBottom w:val="0"/>
      <w:divBdr>
        <w:top w:val="none" w:sz="0" w:space="0" w:color="auto"/>
        <w:left w:val="none" w:sz="0" w:space="0" w:color="auto"/>
        <w:bottom w:val="none" w:sz="0" w:space="0" w:color="auto"/>
        <w:right w:val="none" w:sz="0" w:space="0" w:color="auto"/>
      </w:divBdr>
      <w:divsChild>
        <w:div w:id="2136675310">
          <w:marLeft w:val="0"/>
          <w:marRight w:val="0"/>
          <w:marTop w:val="0"/>
          <w:marBottom w:val="0"/>
          <w:divBdr>
            <w:top w:val="none" w:sz="0" w:space="0" w:color="auto"/>
            <w:left w:val="none" w:sz="0" w:space="0" w:color="auto"/>
            <w:bottom w:val="none" w:sz="0" w:space="0" w:color="auto"/>
            <w:right w:val="none" w:sz="0" w:space="0" w:color="auto"/>
          </w:divBdr>
        </w:div>
      </w:divsChild>
    </w:div>
    <w:div w:id="323902145">
      <w:bodyDiv w:val="1"/>
      <w:marLeft w:val="0"/>
      <w:marRight w:val="0"/>
      <w:marTop w:val="0"/>
      <w:marBottom w:val="0"/>
      <w:divBdr>
        <w:top w:val="none" w:sz="0" w:space="0" w:color="auto"/>
        <w:left w:val="none" w:sz="0" w:space="0" w:color="auto"/>
        <w:bottom w:val="none" w:sz="0" w:space="0" w:color="auto"/>
        <w:right w:val="none" w:sz="0" w:space="0" w:color="auto"/>
      </w:divBdr>
    </w:div>
    <w:div w:id="335766948">
      <w:bodyDiv w:val="1"/>
      <w:marLeft w:val="0"/>
      <w:marRight w:val="0"/>
      <w:marTop w:val="0"/>
      <w:marBottom w:val="0"/>
      <w:divBdr>
        <w:top w:val="none" w:sz="0" w:space="0" w:color="auto"/>
        <w:left w:val="none" w:sz="0" w:space="0" w:color="auto"/>
        <w:bottom w:val="none" w:sz="0" w:space="0" w:color="auto"/>
        <w:right w:val="none" w:sz="0" w:space="0" w:color="auto"/>
      </w:divBdr>
    </w:div>
    <w:div w:id="376978815">
      <w:bodyDiv w:val="1"/>
      <w:marLeft w:val="0"/>
      <w:marRight w:val="0"/>
      <w:marTop w:val="0"/>
      <w:marBottom w:val="0"/>
      <w:divBdr>
        <w:top w:val="none" w:sz="0" w:space="0" w:color="auto"/>
        <w:left w:val="none" w:sz="0" w:space="0" w:color="auto"/>
        <w:bottom w:val="none" w:sz="0" w:space="0" w:color="auto"/>
        <w:right w:val="none" w:sz="0" w:space="0" w:color="auto"/>
      </w:divBdr>
    </w:div>
    <w:div w:id="399442550">
      <w:bodyDiv w:val="1"/>
      <w:marLeft w:val="0"/>
      <w:marRight w:val="0"/>
      <w:marTop w:val="0"/>
      <w:marBottom w:val="0"/>
      <w:divBdr>
        <w:top w:val="none" w:sz="0" w:space="0" w:color="auto"/>
        <w:left w:val="none" w:sz="0" w:space="0" w:color="auto"/>
        <w:bottom w:val="none" w:sz="0" w:space="0" w:color="auto"/>
        <w:right w:val="none" w:sz="0" w:space="0" w:color="auto"/>
      </w:divBdr>
    </w:div>
    <w:div w:id="436173965">
      <w:bodyDiv w:val="1"/>
      <w:marLeft w:val="0"/>
      <w:marRight w:val="0"/>
      <w:marTop w:val="0"/>
      <w:marBottom w:val="0"/>
      <w:divBdr>
        <w:top w:val="none" w:sz="0" w:space="0" w:color="auto"/>
        <w:left w:val="none" w:sz="0" w:space="0" w:color="auto"/>
        <w:bottom w:val="none" w:sz="0" w:space="0" w:color="auto"/>
        <w:right w:val="none" w:sz="0" w:space="0" w:color="auto"/>
      </w:divBdr>
    </w:div>
    <w:div w:id="444352209">
      <w:bodyDiv w:val="1"/>
      <w:marLeft w:val="0"/>
      <w:marRight w:val="0"/>
      <w:marTop w:val="0"/>
      <w:marBottom w:val="0"/>
      <w:divBdr>
        <w:top w:val="none" w:sz="0" w:space="0" w:color="auto"/>
        <w:left w:val="none" w:sz="0" w:space="0" w:color="auto"/>
        <w:bottom w:val="none" w:sz="0" w:space="0" w:color="auto"/>
        <w:right w:val="none" w:sz="0" w:space="0" w:color="auto"/>
      </w:divBdr>
    </w:div>
    <w:div w:id="458569979">
      <w:bodyDiv w:val="1"/>
      <w:marLeft w:val="0"/>
      <w:marRight w:val="0"/>
      <w:marTop w:val="0"/>
      <w:marBottom w:val="0"/>
      <w:divBdr>
        <w:top w:val="none" w:sz="0" w:space="0" w:color="auto"/>
        <w:left w:val="none" w:sz="0" w:space="0" w:color="auto"/>
        <w:bottom w:val="none" w:sz="0" w:space="0" w:color="auto"/>
        <w:right w:val="none" w:sz="0" w:space="0" w:color="auto"/>
      </w:divBdr>
    </w:div>
    <w:div w:id="475418931">
      <w:bodyDiv w:val="1"/>
      <w:marLeft w:val="0"/>
      <w:marRight w:val="0"/>
      <w:marTop w:val="0"/>
      <w:marBottom w:val="0"/>
      <w:divBdr>
        <w:top w:val="none" w:sz="0" w:space="0" w:color="auto"/>
        <w:left w:val="none" w:sz="0" w:space="0" w:color="auto"/>
        <w:bottom w:val="none" w:sz="0" w:space="0" w:color="auto"/>
        <w:right w:val="none" w:sz="0" w:space="0" w:color="auto"/>
      </w:divBdr>
    </w:div>
    <w:div w:id="487553631">
      <w:bodyDiv w:val="1"/>
      <w:marLeft w:val="0"/>
      <w:marRight w:val="0"/>
      <w:marTop w:val="0"/>
      <w:marBottom w:val="0"/>
      <w:divBdr>
        <w:top w:val="none" w:sz="0" w:space="0" w:color="auto"/>
        <w:left w:val="none" w:sz="0" w:space="0" w:color="auto"/>
        <w:bottom w:val="none" w:sz="0" w:space="0" w:color="auto"/>
        <w:right w:val="none" w:sz="0" w:space="0" w:color="auto"/>
      </w:divBdr>
    </w:div>
    <w:div w:id="499735028">
      <w:bodyDiv w:val="1"/>
      <w:marLeft w:val="0"/>
      <w:marRight w:val="0"/>
      <w:marTop w:val="0"/>
      <w:marBottom w:val="0"/>
      <w:divBdr>
        <w:top w:val="none" w:sz="0" w:space="0" w:color="auto"/>
        <w:left w:val="none" w:sz="0" w:space="0" w:color="auto"/>
        <w:bottom w:val="none" w:sz="0" w:space="0" w:color="auto"/>
        <w:right w:val="none" w:sz="0" w:space="0" w:color="auto"/>
      </w:divBdr>
      <w:divsChild>
        <w:div w:id="425348649">
          <w:marLeft w:val="0"/>
          <w:marRight w:val="0"/>
          <w:marTop w:val="0"/>
          <w:marBottom w:val="0"/>
          <w:divBdr>
            <w:top w:val="none" w:sz="0" w:space="0" w:color="auto"/>
            <w:left w:val="none" w:sz="0" w:space="0" w:color="auto"/>
            <w:bottom w:val="none" w:sz="0" w:space="0" w:color="auto"/>
            <w:right w:val="none" w:sz="0" w:space="0" w:color="auto"/>
          </w:divBdr>
          <w:divsChild>
            <w:div w:id="2085830334">
              <w:marLeft w:val="0"/>
              <w:marRight w:val="0"/>
              <w:marTop w:val="0"/>
              <w:marBottom w:val="0"/>
              <w:divBdr>
                <w:top w:val="none" w:sz="0" w:space="0" w:color="auto"/>
                <w:left w:val="none" w:sz="0" w:space="0" w:color="auto"/>
                <w:bottom w:val="none" w:sz="0" w:space="0" w:color="auto"/>
                <w:right w:val="none" w:sz="0" w:space="0" w:color="auto"/>
              </w:divBdr>
              <w:divsChild>
                <w:div w:id="13954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5733">
      <w:bodyDiv w:val="1"/>
      <w:marLeft w:val="0"/>
      <w:marRight w:val="0"/>
      <w:marTop w:val="0"/>
      <w:marBottom w:val="0"/>
      <w:divBdr>
        <w:top w:val="none" w:sz="0" w:space="0" w:color="auto"/>
        <w:left w:val="none" w:sz="0" w:space="0" w:color="auto"/>
        <w:bottom w:val="none" w:sz="0" w:space="0" w:color="auto"/>
        <w:right w:val="none" w:sz="0" w:space="0" w:color="auto"/>
      </w:divBdr>
      <w:divsChild>
        <w:div w:id="1005747313">
          <w:marLeft w:val="0"/>
          <w:marRight w:val="0"/>
          <w:marTop w:val="0"/>
          <w:marBottom w:val="0"/>
          <w:divBdr>
            <w:top w:val="none" w:sz="0" w:space="0" w:color="auto"/>
            <w:left w:val="none" w:sz="0" w:space="0" w:color="auto"/>
            <w:bottom w:val="none" w:sz="0" w:space="0" w:color="auto"/>
            <w:right w:val="none" w:sz="0" w:space="0" w:color="auto"/>
          </w:divBdr>
          <w:divsChild>
            <w:div w:id="1823502309">
              <w:marLeft w:val="0"/>
              <w:marRight w:val="0"/>
              <w:marTop w:val="0"/>
              <w:marBottom w:val="0"/>
              <w:divBdr>
                <w:top w:val="none" w:sz="0" w:space="0" w:color="auto"/>
                <w:left w:val="none" w:sz="0" w:space="0" w:color="auto"/>
                <w:bottom w:val="none" w:sz="0" w:space="0" w:color="auto"/>
                <w:right w:val="none" w:sz="0" w:space="0" w:color="auto"/>
              </w:divBdr>
              <w:divsChild>
                <w:div w:id="12043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0576">
      <w:bodyDiv w:val="1"/>
      <w:marLeft w:val="0"/>
      <w:marRight w:val="0"/>
      <w:marTop w:val="0"/>
      <w:marBottom w:val="0"/>
      <w:divBdr>
        <w:top w:val="none" w:sz="0" w:space="0" w:color="auto"/>
        <w:left w:val="none" w:sz="0" w:space="0" w:color="auto"/>
        <w:bottom w:val="none" w:sz="0" w:space="0" w:color="auto"/>
        <w:right w:val="none" w:sz="0" w:space="0" w:color="auto"/>
      </w:divBdr>
      <w:divsChild>
        <w:div w:id="1045174446">
          <w:marLeft w:val="0"/>
          <w:marRight w:val="0"/>
          <w:marTop w:val="0"/>
          <w:marBottom w:val="0"/>
          <w:divBdr>
            <w:top w:val="none" w:sz="0" w:space="0" w:color="auto"/>
            <w:left w:val="none" w:sz="0" w:space="0" w:color="auto"/>
            <w:bottom w:val="none" w:sz="0" w:space="0" w:color="auto"/>
            <w:right w:val="none" w:sz="0" w:space="0" w:color="auto"/>
          </w:divBdr>
          <w:divsChild>
            <w:div w:id="1902521532">
              <w:marLeft w:val="0"/>
              <w:marRight w:val="0"/>
              <w:marTop w:val="0"/>
              <w:marBottom w:val="0"/>
              <w:divBdr>
                <w:top w:val="none" w:sz="0" w:space="0" w:color="auto"/>
                <w:left w:val="none" w:sz="0" w:space="0" w:color="auto"/>
                <w:bottom w:val="none" w:sz="0" w:space="0" w:color="auto"/>
                <w:right w:val="none" w:sz="0" w:space="0" w:color="auto"/>
              </w:divBdr>
              <w:divsChild>
                <w:div w:id="1238982856">
                  <w:marLeft w:val="0"/>
                  <w:marRight w:val="0"/>
                  <w:marTop w:val="0"/>
                  <w:marBottom w:val="0"/>
                  <w:divBdr>
                    <w:top w:val="none" w:sz="0" w:space="0" w:color="auto"/>
                    <w:left w:val="none" w:sz="0" w:space="0" w:color="auto"/>
                    <w:bottom w:val="none" w:sz="0" w:space="0" w:color="auto"/>
                    <w:right w:val="none" w:sz="0" w:space="0" w:color="auto"/>
                  </w:divBdr>
                  <w:divsChild>
                    <w:div w:id="18086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3743">
          <w:marLeft w:val="0"/>
          <w:marRight w:val="0"/>
          <w:marTop w:val="0"/>
          <w:marBottom w:val="0"/>
          <w:divBdr>
            <w:top w:val="none" w:sz="0" w:space="0" w:color="auto"/>
            <w:left w:val="none" w:sz="0" w:space="0" w:color="auto"/>
            <w:bottom w:val="none" w:sz="0" w:space="0" w:color="auto"/>
            <w:right w:val="none" w:sz="0" w:space="0" w:color="auto"/>
          </w:divBdr>
          <w:divsChild>
            <w:div w:id="607127138">
              <w:marLeft w:val="0"/>
              <w:marRight w:val="0"/>
              <w:marTop w:val="0"/>
              <w:marBottom w:val="0"/>
              <w:divBdr>
                <w:top w:val="none" w:sz="0" w:space="0" w:color="auto"/>
                <w:left w:val="none" w:sz="0" w:space="0" w:color="auto"/>
                <w:bottom w:val="none" w:sz="0" w:space="0" w:color="auto"/>
                <w:right w:val="none" w:sz="0" w:space="0" w:color="auto"/>
              </w:divBdr>
              <w:divsChild>
                <w:div w:id="2085031998">
                  <w:marLeft w:val="0"/>
                  <w:marRight w:val="0"/>
                  <w:marTop w:val="0"/>
                  <w:marBottom w:val="0"/>
                  <w:divBdr>
                    <w:top w:val="none" w:sz="0" w:space="0" w:color="auto"/>
                    <w:left w:val="none" w:sz="0" w:space="0" w:color="auto"/>
                    <w:bottom w:val="none" w:sz="0" w:space="0" w:color="auto"/>
                    <w:right w:val="none" w:sz="0" w:space="0" w:color="auto"/>
                  </w:divBdr>
                  <w:divsChild>
                    <w:div w:id="16667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716068">
      <w:bodyDiv w:val="1"/>
      <w:marLeft w:val="0"/>
      <w:marRight w:val="0"/>
      <w:marTop w:val="0"/>
      <w:marBottom w:val="0"/>
      <w:divBdr>
        <w:top w:val="none" w:sz="0" w:space="0" w:color="auto"/>
        <w:left w:val="none" w:sz="0" w:space="0" w:color="auto"/>
        <w:bottom w:val="none" w:sz="0" w:space="0" w:color="auto"/>
        <w:right w:val="none" w:sz="0" w:space="0" w:color="auto"/>
      </w:divBdr>
      <w:divsChild>
        <w:div w:id="1669477587">
          <w:marLeft w:val="0"/>
          <w:marRight w:val="0"/>
          <w:marTop w:val="0"/>
          <w:marBottom w:val="0"/>
          <w:divBdr>
            <w:top w:val="none" w:sz="0" w:space="0" w:color="auto"/>
            <w:left w:val="none" w:sz="0" w:space="0" w:color="auto"/>
            <w:bottom w:val="none" w:sz="0" w:space="0" w:color="auto"/>
            <w:right w:val="none" w:sz="0" w:space="0" w:color="auto"/>
          </w:divBdr>
        </w:div>
      </w:divsChild>
    </w:div>
    <w:div w:id="542212034">
      <w:bodyDiv w:val="1"/>
      <w:marLeft w:val="0"/>
      <w:marRight w:val="0"/>
      <w:marTop w:val="0"/>
      <w:marBottom w:val="0"/>
      <w:divBdr>
        <w:top w:val="none" w:sz="0" w:space="0" w:color="auto"/>
        <w:left w:val="none" w:sz="0" w:space="0" w:color="auto"/>
        <w:bottom w:val="none" w:sz="0" w:space="0" w:color="auto"/>
        <w:right w:val="none" w:sz="0" w:space="0" w:color="auto"/>
      </w:divBdr>
    </w:div>
    <w:div w:id="560017701">
      <w:bodyDiv w:val="1"/>
      <w:marLeft w:val="0"/>
      <w:marRight w:val="0"/>
      <w:marTop w:val="0"/>
      <w:marBottom w:val="0"/>
      <w:divBdr>
        <w:top w:val="none" w:sz="0" w:space="0" w:color="auto"/>
        <w:left w:val="none" w:sz="0" w:space="0" w:color="auto"/>
        <w:bottom w:val="none" w:sz="0" w:space="0" w:color="auto"/>
        <w:right w:val="none" w:sz="0" w:space="0" w:color="auto"/>
      </w:divBdr>
    </w:div>
    <w:div w:id="579219293">
      <w:bodyDiv w:val="1"/>
      <w:marLeft w:val="0"/>
      <w:marRight w:val="0"/>
      <w:marTop w:val="0"/>
      <w:marBottom w:val="0"/>
      <w:divBdr>
        <w:top w:val="none" w:sz="0" w:space="0" w:color="auto"/>
        <w:left w:val="none" w:sz="0" w:space="0" w:color="auto"/>
        <w:bottom w:val="none" w:sz="0" w:space="0" w:color="auto"/>
        <w:right w:val="none" w:sz="0" w:space="0" w:color="auto"/>
      </w:divBdr>
    </w:div>
    <w:div w:id="595792289">
      <w:bodyDiv w:val="1"/>
      <w:marLeft w:val="0"/>
      <w:marRight w:val="0"/>
      <w:marTop w:val="0"/>
      <w:marBottom w:val="0"/>
      <w:divBdr>
        <w:top w:val="none" w:sz="0" w:space="0" w:color="auto"/>
        <w:left w:val="none" w:sz="0" w:space="0" w:color="auto"/>
        <w:bottom w:val="none" w:sz="0" w:space="0" w:color="auto"/>
        <w:right w:val="none" w:sz="0" w:space="0" w:color="auto"/>
      </w:divBdr>
    </w:div>
    <w:div w:id="597753942">
      <w:bodyDiv w:val="1"/>
      <w:marLeft w:val="0"/>
      <w:marRight w:val="0"/>
      <w:marTop w:val="0"/>
      <w:marBottom w:val="0"/>
      <w:divBdr>
        <w:top w:val="none" w:sz="0" w:space="0" w:color="auto"/>
        <w:left w:val="none" w:sz="0" w:space="0" w:color="auto"/>
        <w:bottom w:val="none" w:sz="0" w:space="0" w:color="auto"/>
        <w:right w:val="none" w:sz="0" w:space="0" w:color="auto"/>
      </w:divBdr>
      <w:divsChild>
        <w:div w:id="5521093">
          <w:marLeft w:val="0"/>
          <w:marRight w:val="0"/>
          <w:marTop w:val="0"/>
          <w:marBottom w:val="0"/>
          <w:divBdr>
            <w:top w:val="none" w:sz="0" w:space="0" w:color="auto"/>
            <w:left w:val="none" w:sz="0" w:space="0" w:color="auto"/>
            <w:bottom w:val="none" w:sz="0" w:space="0" w:color="auto"/>
            <w:right w:val="none" w:sz="0" w:space="0" w:color="auto"/>
          </w:divBdr>
        </w:div>
        <w:div w:id="28845237">
          <w:marLeft w:val="0"/>
          <w:marRight w:val="0"/>
          <w:marTop w:val="0"/>
          <w:marBottom w:val="0"/>
          <w:divBdr>
            <w:top w:val="none" w:sz="0" w:space="0" w:color="auto"/>
            <w:left w:val="none" w:sz="0" w:space="0" w:color="auto"/>
            <w:bottom w:val="none" w:sz="0" w:space="0" w:color="auto"/>
            <w:right w:val="none" w:sz="0" w:space="0" w:color="auto"/>
          </w:divBdr>
        </w:div>
        <w:div w:id="122190833">
          <w:marLeft w:val="0"/>
          <w:marRight w:val="0"/>
          <w:marTop w:val="0"/>
          <w:marBottom w:val="0"/>
          <w:divBdr>
            <w:top w:val="none" w:sz="0" w:space="0" w:color="auto"/>
            <w:left w:val="none" w:sz="0" w:space="0" w:color="auto"/>
            <w:bottom w:val="none" w:sz="0" w:space="0" w:color="auto"/>
            <w:right w:val="none" w:sz="0" w:space="0" w:color="auto"/>
          </w:divBdr>
        </w:div>
        <w:div w:id="146021845">
          <w:marLeft w:val="0"/>
          <w:marRight w:val="0"/>
          <w:marTop w:val="0"/>
          <w:marBottom w:val="0"/>
          <w:divBdr>
            <w:top w:val="none" w:sz="0" w:space="0" w:color="auto"/>
            <w:left w:val="none" w:sz="0" w:space="0" w:color="auto"/>
            <w:bottom w:val="none" w:sz="0" w:space="0" w:color="auto"/>
            <w:right w:val="none" w:sz="0" w:space="0" w:color="auto"/>
          </w:divBdr>
        </w:div>
        <w:div w:id="198518200">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265962231">
          <w:marLeft w:val="0"/>
          <w:marRight w:val="0"/>
          <w:marTop w:val="0"/>
          <w:marBottom w:val="0"/>
          <w:divBdr>
            <w:top w:val="none" w:sz="0" w:space="0" w:color="auto"/>
            <w:left w:val="none" w:sz="0" w:space="0" w:color="auto"/>
            <w:bottom w:val="none" w:sz="0" w:space="0" w:color="auto"/>
            <w:right w:val="none" w:sz="0" w:space="0" w:color="auto"/>
          </w:divBdr>
        </w:div>
        <w:div w:id="282079319">
          <w:marLeft w:val="0"/>
          <w:marRight w:val="0"/>
          <w:marTop w:val="0"/>
          <w:marBottom w:val="0"/>
          <w:divBdr>
            <w:top w:val="none" w:sz="0" w:space="0" w:color="auto"/>
            <w:left w:val="none" w:sz="0" w:space="0" w:color="auto"/>
            <w:bottom w:val="none" w:sz="0" w:space="0" w:color="auto"/>
            <w:right w:val="none" w:sz="0" w:space="0" w:color="auto"/>
          </w:divBdr>
        </w:div>
        <w:div w:id="298994023">
          <w:marLeft w:val="0"/>
          <w:marRight w:val="0"/>
          <w:marTop w:val="0"/>
          <w:marBottom w:val="0"/>
          <w:divBdr>
            <w:top w:val="none" w:sz="0" w:space="0" w:color="auto"/>
            <w:left w:val="none" w:sz="0" w:space="0" w:color="auto"/>
            <w:bottom w:val="none" w:sz="0" w:space="0" w:color="auto"/>
            <w:right w:val="none" w:sz="0" w:space="0" w:color="auto"/>
          </w:divBdr>
        </w:div>
        <w:div w:id="376052938">
          <w:marLeft w:val="0"/>
          <w:marRight w:val="0"/>
          <w:marTop w:val="0"/>
          <w:marBottom w:val="0"/>
          <w:divBdr>
            <w:top w:val="none" w:sz="0" w:space="0" w:color="auto"/>
            <w:left w:val="none" w:sz="0" w:space="0" w:color="auto"/>
            <w:bottom w:val="none" w:sz="0" w:space="0" w:color="auto"/>
            <w:right w:val="none" w:sz="0" w:space="0" w:color="auto"/>
          </w:divBdr>
        </w:div>
        <w:div w:id="390541976">
          <w:marLeft w:val="0"/>
          <w:marRight w:val="0"/>
          <w:marTop w:val="0"/>
          <w:marBottom w:val="0"/>
          <w:divBdr>
            <w:top w:val="none" w:sz="0" w:space="0" w:color="auto"/>
            <w:left w:val="none" w:sz="0" w:space="0" w:color="auto"/>
            <w:bottom w:val="none" w:sz="0" w:space="0" w:color="auto"/>
            <w:right w:val="none" w:sz="0" w:space="0" w:color="auto"/>
          </w:divBdr>
        </w:div>
        <w:div w:id="390809235">
          <w:marLeft w:val="0"/>
          <w:marRight w:val="0"/>
          <w:marTop w:val="0"/>
          <w:marBottom w:val="0"/>
          <w:divBdr>
            <w:top w:val="none" w:sz="0" w:space="0" w:color="auto"/>
            <w:left w:val="none" w:sz="0" w:space="0" w:color="auto"/>
            <w:bottom w:val="none" w:sz="0" w:space="0" w:color="auto"/>
            <w:right w:val="none" w:sz="0" w:space="0" w:color="auto"/>
          </w:divBdr>
        </w:div>
        <w:div w:id="457799153">
          <w:marLeft w:val="0"/>
          <w:marRight w:val="0"/>
          <w:marTop w:val="0"/>
          <w:marBottom w:val="0"/>
          <w:divBdr>
            <w:top w:val="none" w:sz="0" w:space="0" w:color="auto"/>
            <w:left w:val="none" w:sz="0" w:space="0" w:color="auto"/>
            <w:bottom w:val="none" w:sz="0" w:space="0" w:color="auto"/>
            <w:right w:val="none" w:sz="0" w:space="0" w:color="auto"/>
          </w:divBdr>
        </w:div>
        <w:div w:id="543299759">
          <w:marLeft w:val="0"/>
          <w:marRight w:val="0"/>
          <w:marTop w:val="0"/>
          <w:marBottom w:val="0"/>
          <w:divBdr>
            <w:top w:val="none" w:sz="0" w:space="0" w:color="auto"/>
            <w:left w:val="none" w:sz="0" w:space="0" w:color="auto"/>
            <w:bottom w:val="none" w:sz="0" w:space="0" w:color="auto"/>
            <w:right w:val="none" w:sz="0" w:space="0" w:color="auto"/>
          </w:divBdr>
        </w:div>
        <w:div w:id="680162348">
          <w:marLeft w:val="0"/>
          <w:marRight w:val="0"/>
          <w:marTop w:val="0"/>
          <w:marBottom w:val="0"/>
          <w:divBdr>
            <w:top w:val="none" w:sz="0" w:space="0" w:color="auto"/>
            <w:left w:val="none" w:sz="0" w:space="0" w:color="auto"/>
            <w:bottom w:val="none" w:sz="0" w:space="0" w:color="auto"/>
            <w:right w:val="none" w:sz="0" w:space="0" w:color="auto"/>
          </w:divBdr>
        </w:div>
        <w:div w:id="689643049">
          <w:marLeft w:val="0"/>
          <w:marRight w:val="0"/>
          <w:marTop w:val="0"/>
          <w:marBottom w:val="0"/>
          <w:divBdr>
            <w:top w:val="none" w:sz="0" w:space="0" w:color="auto"/>
            <w:left w:val="none" w:sz="0" w:space="0" w:color="auto"/>
            <w:bottom w:val="none" w:sz="0" w:space="0" w:color="auto"/>
            <w:right w:val="none" w:sz="0" w:space="0" w:color="auto"/>
          </w:divBdr>
        </w:div>
        <w:div w:id="771246996">
          <w:marLeft w:val="0"/>
          <w:marRight w:val="0"/>
          <w:marTop w:val="0"/>
          <w:marBottom w:val="0"/>
          <w:divBdr>
            <w:top w:val="none" w:sz="0" w:space="0" w:color="auto"/>
            <w:left w:val="none" w:sz="0" w:space="0" w:color="auto"/>
            <w:bottom w:val="none" w:sz="0" w:space="0" w:color="auto"/>
            <w:right w:val="none" w:sz="0" w:space="0" w:color="auto"/>
          </w:divBdr>
        </w:div>
        <w:div w:id="805514563">
          <w:marLeft w:val="0"/>
          <w:marRight w:val="0"/>
          <w:marTop w:val="0"/>
          <w:marBottom w:val="0"/>
          <w:divBdr>
            <w:top w:val="none" w:sz="0" w:space="0" w:color="auto"/>
            <w:left w:val="none" w:sz="0" w:space="0" w:color="auto"/>
            <w:bottom w:val="none" w:sz="0" w:space="0" w:color="auto"/>
            <w:right w:val="none" w:sz="0" w:space="0" w:color="auto"/>
          </w:divBdr>
        </w:div>
        <w:div w:id="1127167742">
          <w:marLeft w:val="0"/>
          <w:marRight w:val="0"/>
          <w:marTop w:val="0"/>
          <w:marBottom w:val="0"/>
          <w:divBdr>
            <w:top w:val="none" w:sz="0" w:space="0" w:color="auto"/>
            <w:left w:val="none" w:sz="0" w:space="0" w:color="auto"/>
            <w:bottom w:val="none" w:sz="0" w:space="0" w:color="auto"/>
            <w:right w:val="none" w:sz="0" w:space="0" w:color="auto"/>
          </w:divBdr>
        </w:div>
        <w:div w:id="1414475467">
          <w:marLeft w:val="0"/>
          <w:marRight w:val="0"/>
          <w:marTop w:val="0"/>
          <w:marBottom w:val="0"/>
          <w:divBdr>
            <w:top w:val="none" w:sz="0" w:space="0" w:color="auto"/>
            <w:left w:val="none" w:sz="0" w:space="0" w:color="auto"/>
            <w:bottom w:val="none" w:sz="0" w:space="0" w:color="auto"/>
            <w:right w:val="none" w:sz="0" w:space="0" w:color="auto"/>
          </w:divBdr>
        </w:div>
        <w:div w:id="1429813485">
          <w:marLeft w:val="0"/>
          <w:marRight w:val="0"/>
          <w:marTop w:val="0"/>
          <w:marBottom w:val="0"/>
          <w:divBdr>
            <w:top w:val="none" w:sz="0" w:space="0" w:color="auto"/>
            <w:left w:val="none" w:sz="0" w:space="0" w:color="auto"/>
            <w:bottom w:val="none" w:sz="0" w:space="0" w:color="auto"/>
            <w:right w:val="none" w:sz="0" w:space="0" w:color="auto"/>
          </w:divBdr>
        </w:div>
        <w:div w:id="1681078663">
          <w:marLeft w:val="0"/>
          <w:marRight w:val="0"/>
          <w:marTop w:val="0"/>
          <w:marBottom w:val="0"/>
          <w:divBdr>
            <w:top w:val="none" w:sz="0" w:space="0" w:color="auto"/>
            <w:left w:val="none" w:sz="0" w:space="0" w:color="auto"/>
            <w:bottom w:val="none" w:sz="0" w:space="0" w:color="auto"/>
            <w:right w:val="none" w:sz="0" w:space="0" w:color="auto"/>
          </w:divBdr>
        </w:div>
        <w:div w:id="1866095872">
          <w:marLeft w:val="0"/>
          <w:marRight w:val="0"/>
          <w:marTop w:val="0"/>
          <w:marBottom w:val="0"/>
          <w:divBdr>
            <w:top w:val="none" w:sz="0" w:space="0" w:color="auto"/>
            <w:left w:val="none" w:sz="0" w:space="0" w:color="auto"/>
            <w:bottom w:val="none" w:sz="0" w:space="0" w:color="auto"/>
            <w:right w:val="none" w:sz="0" w:space="0" w:color="auto"/>
          </w:divBdr>
        </w:div>
        <w:div w:id="1904367936">
          <w:marLeft w:val="0"/>
          <w:marRight w:val="0"/>
          <w:marTop w:val="0"/>
          <w:marBottom w:val="0"/>
          <w:divBdr>
            <w:top w:val="none" w:sz="0" w:space="0" w:color="auto"/>
            <w:left w:val="none" w:sz="0" w:space="0" w:color="auto"/>
            <w:bottom w:val="none" w:sz="0" w:space="0" w:color="auto"/>
            <w:right w:val="none" w:sz="0" w:space="0" w:color="auto"/>
          </w:divBdr>
        </w:div>
        <w:div w:id="1962225821">
          <w:marLeft w:val="0"/>
          <w:marRight w:val="0"/>
          <w:marTop w:val="0"/>
          <w:marBottom w:val="0"/>
          <w:divBdr>
            <w:top w:val="none" w:sz="0" w:space="0" w:color="auto"/>
            <w:left w:val="none" w:sz="0" w:space="0" w:color="auto"/>
            <w:bottom w:val="none" w:sz="0" w:space="0" w:color="auto"/>
            <w:right w:val="none" w:sz="0" w:space="0" w:color="auto"/>
          </w:divBdr>
        </w:div>
        <w:div w:id="1966084097">
          <w:marLeft w:val="0"/>
          <w:marRight w:val="0"/>
          <w:marTop w:val="0"/>
          <w:marBottom w:val="0"/>
          <w:divBdr>
            <w:top w:val="none" w:sz="0" w:space="0" w:color="auto"/>
            <w:left w:val="none" w:sz="0" w:space="0" w:color="auto"/>
            <w:bottom w:val="none" w:sz="0" w:space="0" w:color="auto"/>
            <w:right w:val="none" w:sz="0" w:space="0" w:color="auto"/>
          </w:divBdr>
        </w:div>
        <w:div w:id="2116053667">
          <w:marLeft w:val="0"/>
          <w:marRight w:val="0"/>
          <w:marTop w:val="0"/>
          <w:marBottom w:val="0"/>
          <w:divBdr>
            <w:top w:val="none" w:sz="0" w:space="0" w:color="auto"/>
            <w:left w:val="none" w:sz="0" w:space="0" w:color="auto"/>
            <w:bottom w:val="none" w:sz="0" w:space="0" w:color="auto"/>
            <w:right w:val="none" w:sz="0" w:space="0" w:color="auto"/>
          </w:divBdr>
        </w:div>
        <w:div w:id="2120637881">
          <w:marLeft w:val="0"/>
          <w:marRight w:val="0"/>
          <w:marTop w:val="0"/>
          <w:marBottom w:val="0"/>
          <w:divBdr>
            <w:top w:val="none" w:sz="0" w:space="0" w:color="auto"/>
            <w:left w:val="none" w:sz="0" w:space="0" w:color="auto"/>
            <w:bottom w:val="none" w:sz="0" w:space="0" w:color="auto"/>
            <w:right w:val="none" w:sz="0" w:space="0" w:color="auto"/>
          </w:divBdr>
        </w:div>
        <w:div w:id="2143108243">
          <w:marLeft w:val="0"/>
          <w:marRight w:val="0"/>
          <w:marTop w:val="0"/>
          <w:marBottom w:val="0"/>
          <w:divBdr>
            <w:top w:val="none" w:sz="0" w:space="0" w:color="auto"/>
            <w:left w:val="none" w:sz="0" w:space="0" w:color="auto"/>
            <w:bottom w:val="none" w:sz="0" w:space="0" w:color="auto"/>
            <w:right w:val="none" w:sz="0" w:space="0" w:color="auto"/>
          </w:divBdr>
        </w:div>
      </w:divsChild>
    </w:div>
    <w:div w:id="603853101">
      <w:bodyDiv w:val="1"/>
      <w:marLeft w:val="0"/>
      <w:marRight w:val="0"/>
      <w:marTop w:val="0"/>
      <w:marBottom w:val="0"/>
      <w:divBdr>
        <w:top w:val="none" w:sz="0" w:space="0" w:color="auto"/>
        <w:left w:val="none" w:sz="0" w:space="0" w:color="auto"/>
        <w:bottom w:val="none" w:sz="0" w:space="0" w:color="auto"/>
        <w:right w:val="none" w:sz="0" w:space="0" w:color="auto"/>
      </w:divBdr>
    </w:div>
    <w:div w:id="614023391">
      <w:bodyDiv w:val="1"/>
      <w:marLeft w:val="0"/>
      <w:marRight w:val="0"/>
      <w:marTop w:val="0"/>
      <w:marBottom w:val="0"/>
      <w:divBdr>
        <w:top w:val="none" w:sz="0" w:space="0" w:color="auto"/>
        <w:left w:val="none" w:sz="0" w:space="0" w:color="auto"/>
        <w:bottom w:val="none" w:sz="0" w:space="0" w:color="auto"/>
        <w:right w:val="none" w:sz="0" w:space="0" w:color="auto"/>
      </w:divBdr>
      <w:divsChild>
        <w:div w:id="160892315">
          <w:marLeft w:val="0"/>
          <w:marRight w:val="0"/>
          <w:marTop w:val="0"/>
          <w:marBottom w:val="0"/>
          <w:divBdr>
            <w:top w:val="none" w:sz="0" w:space="0" w:color="auto"/>
            <w:left w:val="none" w:sz="0" w:space="0" w:color="auto"/>
            <w:bottom w:val="none" w:sz="0" w:space="0" w:color="auto"/>
            <w:right w:val="none" w:sz="0" w:space="0" w:color="auto"/>
          </w:divBdr>
        </w:div>
      </w:divsChild>
    </w:div>
    <w:div w:id="637030844">
      <w:bodyDiv w:val="1"/>
      <w:marLeft w:val="0"/>
      <w:marRight w:val="0"/>
      <w:marTop w:val="0"/>
      <w:marBottom w:val="0"/>
      <w:divBdr>
        <w:top w:val="none" w:sz="0" w:space="0" w:color="auto"/>
        <w:left w:val="none" w:sz="0" w:space="0" w:color="auto"/>
        <w:bottom w:val="none" w:sz="0" w:space="0" w:color="auto"/>
        <w:right w:val="none" w:sz="0" w:space="0" w:color="auto"/>
      </w:divBdr>
      <w:divsChild>
        <w:div w:id="280191844">
          <w:marLeft w:val="0"/>
          <w:marRight w:val="0"/>
          <w:marTop w:val="0"/>
          <w:marBottom w:val="0"/>
          <w:divBdr>
            <w:top w:val="none" w:sz="0" w:space="0" w:color="auto"/>
            <w:left w:val="none" w:sz="0" w:space="0" w:color="auto"/>
            <w:bottom w:val="none" w:sz="0" w:space="0" w:color="auto"/>
            <w:right w:val="none" w:sz="0" w:space="0" w:color="auto"/>
          </w:divBdr>
        </w:div>
      </w:divsChild>
    </w:div>
    <w:div w:id="653602832">
      <w:bodyDiv w:val="1"/>
      <w:marLeft w:val="0"/>
      <w:marRight w:val="0"/>
      <w:marTop w:val="0"/>
      <w:marBottom w:val="0"/>
      <w:divBdr>
        <w:top w:val="none" w:sz="0" w:space="0" w:color="auto"/>
        <w:left w:val="none" w:sz="0" w:space="0" w:color="auto"/>
        <w:bottom w:val="none" w:sz="0" w:space="0" w:color="auto"/>
        <w:right w:val="none" w:sz="0" w:space="0" w:color="auto"/>
      </w:divBdr>
      <w:divsChild>
        <w:div w:id="62411035">
          <w:marLeft w:val="0"/>
          <w:marRight w:val="0"/>
          <w:marTop w:val="0"/>
          <w:marBottom w:val="0"/>
          <w:divBdr>
            <w:top w:val="none" w:sz="0" w:space="0" w:color="auto"/>
            <w:left w:val="none" w:sz="0" w:space="0" w:color="auto"/>
            <w:bottom w:val="none" w:sz="0" w:space="0" w:color="auto"/>
            <w:right w:val="none" w:sz="0" w:space="0" w:color="auto"/>
          </w:divBdr>
        </w:div>
      </w:divsChild>
    </w:div>
    <w:div w:id="665861735">
      <w:bodyDiv w:val="1"/>
      <w:marLeft w:val="0"/>
      <w:marRight w:val="0"/>
      <w:marTop w:val="0"/>
      <w:marBottom w:val="0"/>
      <w:divBdr>
        <w:top w:val="none" w:sz="0" w:space="0" w:color="auto"/>
        <w:left w:val="none" w:sz="0" w:space="0" w:color="auto"/>
        <w:bottom w:val="none" w:sz="0" w:space="0" w:color="auto"/>
        <w:right w:val="none" w:sz="0" w:space="0" w:color="auto"/>
      </w:divBdr>
      <w:divsChild>
        <w:div w:id="95055897">
          <w:marLeft w:val="0"/>
          <w:marRight w:val="0"/>
          <w:marTop w:val="0"/>
          <w:marBottom w:val="0"/>
          <w:divBdr>
            <w:top w:val="none" w:sz="0" w:space="0" w:color="auto"/>
            <w:left w:val="none" w:sz="0" w:space="0" w:color="auto"/>
            <w:bottom w:val="none" w:sz="0" w:space="0" w:color="auto"/>
            <w:right w:val="none" w:sz="0" w:space="0" w:color="auto"/>
          </w:divBdr>
        </w:div>
        <w:div w:id="1866748017">
          <w:marLeft w:val="0"/>
          <w:marRight w:val="0"/>
          <w:marTop w:val="0"/>
          <w:marBottom w:val="0"/>
          <w:divBdr>
            <w:top w:val="single" w:sz="2" w:space="0" w:color="E3E3E3"/>
            <w:left w:val="single" w:sz="2" w:space="0" w:color="E3E3E3"/>
            <w:bottom w:val="single" w:sz="2" w:space="0" w:color="E3E3E3"/>
            <w:right w:val="single" w:sz="2" w:space="0" w:color="E3E3E3"/>
          </w:divBdr>
          <w:divsChild>
            <w:div w:id="2057971904">
              <w:marLeft w:val="0"/>
              <w:marRight w:val="0"/>
              <w:marTop w:val="0"/>
              <w:marBottom w:val="0"/>
              <w:divBdr>
                <w:top w:val="single" w:sz="2" w:space="0" w:color="E3E3E3"/>
                <w:left w:val="single" w:sz="2" w:space="0" w:color="E3E3E3"/>
                <w:bottom w:val="single" w:sz="2" w:space="0" w:color="E3E3E3"/>
                <w:right w:val="single" w:sz="2" w:space="0" w:color="E3E3E3"/>
              </w:divBdr>
              <w:divsChild>
                <w:div w:id="291400648">
                  <w:marLeft w:val="0"/>
                  <w:marRight w:val="0"/>
                  <w:marTop w:val="0"/>
                  <w:marBottom w:val="0"/>
                  <w:divBdr>
                    <w:top w:val="single" w:sz="2" w:space="0" w:color="E3E3E3"/>
                    <w:left w:val="single" w:sz="2" w:space="0" w:color="E3E3E3"/>
                    <w:bottom w:val="single" w:sz="2" w:space="0" w:color="E3E3E3"/>
                    <w:right w:val="single" w:sz="2" w:space="0" w:color="E3E3E3"/>
                  </w:divBdr>
                  <w:divsChild>
                    <w:div w:id="1422332349">
                      <w:marLeft w:val="0"/>
                      <w:marRight w:val="0"/>
                      <w:marTop w:val="0"/>
                      <w:marBottom w:val="0"/>
                      <w:divBdr>
                        <w:top w:val="single" w:sz="2" w:space="0" w:color="E3E3E3"/>
                        <w:left w:val="single" w:sz="2" w:space="0" w:color="E3E3E3"/>
                        <w:bottom w:val="single" w:sz="2" w:space="0" w:color="E3E3E3"/>
                        <w:right w:val="single" w:sz="2" w:space="0" w:color="E3E3E3"/>
                      </w:divBdr>
                      <w:divsChild>
                        <w:div w:id="938876485">
                          <w:marLeft w:val="0"/>
                          <w:marRight w:val="0"/>
                          <w:marTop w:val="0"/>
                          <w:marBottom w:val="0"/>
                          <w:divBdr>
                            <w:top w:val="single" w:sz="2" w:space="0" w:color="E3E3E3"/>
                            <w:left w:val="single" w:sz="2" w:space="0" w:color="E3E3E3"/>
                            <w:bottom w:val="single" w:sz="2" w:space="0" w:color="E3E3E3"/>
                            <w:right w:val="single" w:sz="2" w:space="0" w:color="E3E3E3"/>
                          </w:divBdr>
                          <w:divsChild>
                            <w:div w:id="1775520524">
                              <w:marLeft w:val="0"/>
                              <w:marRight w:val="0"/>
                              <w:marTop w:val="100"/>
                              <w:marBottom w:val="100"/>
                              <w:divBdr>
                                <w:top w:val="single" w:sz="2" w:space="0" w:color="E3E3E3"/>
                                <w:left w:val="single" w:sz="2" w:space="0" w:color="E3E3E3"/>
                                <w:bottom w:val="single" w:sz="2" w:space="0" w:color="E3E3E3"/>
                                <w:right w:val="single" w:sz="2" w:space="0" w:color="E3E3E3"/>
                              </w:divBdr>
                              <w:divsChild>
                                <w:div w:id="1465152112">
                                  <w:marLeft w:val="0"/>
                                  <w:marRight w:val="0"/>
                                  <w:marTop w:val="0"/>
                                  <w:marBottom w:val="0"/>
                                  <w:divBdr>
                                    <w:top w:val="single" w:sz="2" w:space="0" w:color="E3E3E3"/>
                                    <w:left w:val="single" w:sz="2" w:space="0" w:color="E3E3E3"/>
                                    <w:bottom w:val="single" w:sz="2" w:space="0" w:color="E3E3E3"/>
                                    <w:right w:val="single" w:sz="2" w:space="0" w:color="E3E3E3"/>
                                  </w:divBdr>
                                  <w:divsChild>
                                    <w:div w:id="1478110393">
                                      <w:marLeft w:val="0"/>
                                      <w:marRight w:val="0"/>
                                      <w:marTop w:val="0"/>
                                      <w:marBottom w:val="0"/>
                                      <w:divBdr>
                                        <w:top w:val="single" w:sz="2" w:space="0" w:color="E3E3E3"/>
                                        <w:left w:val="single" w:sz="2" w:space="0" w:color="E3E3E3"/>
                                        <w:bottom w:val="single" w:sz="2" w:space="0" w:color="E3E3E3"/>
                                        <w:right w:val="single" w:sz="2" w:space="0" w:color="E3E3E3"/>
                                      </w:divBdr>
                                      <w:divsChild>
                                        <w:div w:id="383680386">
                                          <w:marLeft w:val="0"/>
                                          <w:marRight w:val="0"/>
                                          <w:marTop w:val="0"/>
                                          <w:marBottom w:val="0"/>
                                          <w:divBdr>
                                            <w:top w:val="single" w:sz="2" w:space="0" w:color="E3E3E3"/>
                                            <w:left w:val="single" w:sz="2" w:space="0" w:color="E3E3E3"/>
                                            <w:bottom w:val="single" w:sz="2" w:space="0" w:color="E3E3E3"/>
                                            <w:right w:val="single" w:sz="2" w:space="0" w:color="E3E3E3"/>
                                          </w:divBdr>
                                          <w:divsChild>
                                            <w:div w:id="657076765">
                                              <w:marLeft w:val="0"/>
                                              <w:marRight w:val="0"/>
                                              <w:marTop w:val="0"/>
                                              <w:marBottom w:val="0"/>
                                              <w:divBdr>
                                                <w:top w:val="single" w:sz="2" w:space="0" w:color="E3E3E3"/>
                                                <w:left w:val="single" w:sz="2" w:space="0" w:color="E3E3E3"/>
                                                <w:bottom w:val="single" w:sz="2" w:space="0" w:color="E3E3E3"/>
                                                <w:right w:val="single" w:sz="2" w:space="0" w:color="E3E3E3"/>
                                              </w:divBdr>
                                              <w:divsChild>
                                                <w:div w:id="1388383527">
                                                  <w:marLeft w:val="0"/>
                                                  <w:marRight w:val="0"/>
                                                  <w:marTop w:val="0"/>
                                                  <w:marBottom w:val="0"/>
                                                  <w:divBdr>
                                                    <w:top w:val="single" w:sz="2" w:space="0" w:color="E3E3E3"/>
                                                    <w:left w:val="single" w:sz="2" w:space="0" w:color="E3E3E3"/>
                                                    <w:bottom w:val="single" w:sz="2" w:space="0" w:color="E3E3E3"/>
                                                    <w:right w:val="single" w:sz="2" w:space="0" w:color="E3E3E3"/>
                                                  </w:divBdr>
                                                  <w:divsChild>
                                                    <w:div w:id="14175544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68950857">
      <w:bodyDiv w:val="1"/>
      <w:marLeft w:val="0"/>
      <w:marRight w:val="0"/>
      <w:marTop w:val="0"/>
      <w:marBottom w:val="0"/>
      <w:divBdr>
        <w:top w:val="none" w:sz="0" w:space="0" w:color="auto"/>
        <w:left w:val="none" w:sz="0" w:space="0" w:color="auto"/>
        <w:bottom w:val="none" w:sz="0" w:space="0" w:color="auto"/>
        <w:right w:val="none" w:sz="0" w:space="0" w:color="auto"/>
      </w:divBdr>
    </w:div>
    <w:div w:id="686255671">
      <w:bodyDiv w:val="1"/>
      <w:marLeft w:val="0"/>
      <w:marRight w:val="0"/>
      <w:marTop w:val="0"/>
      <w:marBottom w:val="0"/>
      <w:divBdr>
        <w:top w:val="none" w:sz="0" w:space="0" w:color="auto"/>
        <w:left w:val="none" w:sz="0" w:space="0" w:color="auto"/>
        <w:bottom w:val="none" w:sz="0" w:space="0" w:color="auto"/>
        <w:right w:val="none" w:sz="0" w:space="0" w:color="auto"/>
      </w:divBdr>
      <w:divsChild>
        <w:div w:id="261033202">
          <w:marLeft w:val="547"/>
          <w:marRight w:val="0"/>
          <w:marTop w:val="0"/>
          <w:marBottom w:val="0"/>
          <w:divBdr>
            <w:top w:val="none" w:sz="0" w:space="0" w:color="auto"/>
            <w:left w:val="none" w:sz="0" w:space="0" w:color="auto"/>
            <w:bottom w:val="none" w:sz="0" w:space="0" w:color="auto"/>
            <w:right w:val="none" w:sz="0" w:space="0" w:color="auto"/>
          </w:divBdr>
        </w:div>
        <w:div w:id="699278808">
          <w:marLeft w:val="547"/>
          <w:marRight w:val="0"/>
          <w:marTop w:val="0"/>
          <w:marBottom w:val="0"/>
          <w:divBdr>
            <w:top w:val="none" w:sz="0" w:space="0" w:color="auto"/>
            <w:left w:val="none" w:sz="0" w:space="0" w:color="auto"/>
            <w:bottom w:val="none" w:sz="0" w:space="0" w:color="auto"/>
            <w:right w:val="none" w:sz="0" w:space="0" w:color="auto"/>
          </w:divBdr>
        </w:div>
        <w:div w:id="1184130621">
          <w:marLeft w:val="547"/>
          <w:marRight w:val="0"/>
          <w:marTop w:val="0"/>
          <w:marBottom w:val="0"/>
          <w:divBdr>
            <w:top w:val="none" w:sz="0" w:space="0" w:color="auto"/>
            <w:left w:val="none" w:sz="0" w:space="0" w:color="auto"/>
            <w:bottom w:val="none" w:sz="0" w:space="0" w:color="auto"/>
            <w:right w:val="none" w:sz="0" w:space="0" w:color="auto"/>
          </w:divBdr>
        </w:div>
        <w:div w:id="1763183811">
          <w:marLeft w:val="547"/>
          <w:marRight w:val="0"/>
          <w:marTop w:val="0"/>
          <w:marBottom w:val="0"/>
          <w:divBdr>
            <w:top w:val="none" w:sz="0" w:space="0" w:color="auto"/>
            <w:left w:val="none" w:sz="0" w:space="0" w:color="auto"/>
            <w:bottom w:val="none" w:sz="0" w:space="0" w:color="auto"/>
            <w:right w:val="none" w:sz="0" w:space="0" w:color="auto"/>
          </w:divBdr>
        </w:div>
      </w:divsChild>
    </w:div>
    <w:div w:id="687758116">
      <w:bodyDiv w:val="1"/>
      <w:marLeft w:val="0"/>
      <w:marRight w:val="0"/>
      <w:marTop w:val="0"/>
      <w:marBottom w:val="0"/>
      <w:divBdr>
        <w:top w:val="none" w:sz="0" w:space="0" w:color="auto"/>
        <w:left w:val="none" w:sz="0" w:space="0" w:color="auto"/>
        <w:bottom w:val="none" w:sz="0" w:space="0" w:color="auto"/>
        <w:right w:val="none" w:sz="0" w:space="0" w:color="auto"/>
      </w:divBdr>
    </w:div>
    <w:div w:id="693117069">
      <w:bodyDiv w:val="1"/>
      <w:marLeft w:val="0"/>
      <w:marRight w:val="0"/>
      <w:marTop w:val="0"/>
      <w:marBottom w:val="0"/>
      <w:divBdr>
        <w:top w:val="none" w:sz="0" w:space="0" w:color="auto"/>
        <w:left w:val="none" w:sz="0" w:space="0" w:color="auto"/>
        <w:bottom w:val="none" w:sz="0" w:space="0" w:color="auto"/>
        <w:right w:val="none" w:sz="0" w:space="0" w:color="auto"/>
      </w:divBdr>
    </w:div>
    <w:div w:id="699628169">
      <w:bodyDiv w:val="1"/>
      <w:marLeft w:val="0"/>
      <w:marRight w:val="0"/>
      <w:marTop w:val="0"/>
      <w:marBottom w:val="0"/>
      <w:divBdr>
        <w:top w:val="none" w:sz="0" w:space="0" w:color="auto"/>
        <w:left w:val="none" w:sz="0" w:space="0" w:color="auto"/>
        <w:bottom w:val="none" w:sz="0" w:space="0" w:color="auto"/>
        <w:right w:val="none" w:sz="0" w:space="0" w:color="auto"/>
      </w:divBdr>
      <w:divsChild>
        <w:div w:id="16468461">
          <w:marLeft w:val="0"/>
          <w:marRight w:val="0"/>
          <w:marTop w:val="0"/>
          <w:marBottom w:val="0"/>
          <w:divBdr>
            <w:top w:val="none" w:sz="0" w:space="0" w:color="auto"/>
            <w:left w:val="none" w:sz="0" w:space="0" w:color="auto"/>
            <w:bottom w:val="none" w:sz="0" w:space="0" w:color="auto"/>
            <w:right w:val="none" w:sz="0" w:space="0" w:color="auto"/>
          </w:divBdr>
        </w:div>
        <w:div w:id="571894076">
          <w:marLeft w:val="0"/>
          <w:marRight w:val="0"/>
          <w:marTop w:val="0"/>
          <w:marBottom w:val="0"/>
          <w:divBdr>
            <w:top w:val="none" w:sz="0" w:space="0" w:color="auto"/>
            <w:left w:val="none" w:sz="0" w:space="0" w:color="auto"/>
            <w:bottom w:val="none" w:sz="0" w:space="0" w:color="auto"/>
            <w:right w:val="none" w:sz="0" w:space="0" w:color="auto"/>
          </w:divBdr>
        </w:div>
        <w:div w:id="930815496">
          <w:marLeft w:val="0"/>
          <w:marRight w:val="0"/>
          <w:marTop w:val="0"/>
          <w:marBottom w:val="0"/>
          <w:divBdr>
            <w:top w:val="none" w:sz="0" w:space="0" w:color="auto"/>
            <w:left w:val="none" w:sz="0" w:space="0" w:color="auto"/>
            <w:bottom w:val="none" w:sz="0" w:space="0" w:color="auto"/>
            <w:right w:val="none" w:sz="0" w:space="0" w:color="auto"/>
          </w:divBdr>
        </w:div>
        <w:div w:id="1471904901">
          <w:marLeft w:val="0"/>
          <w:marRight w:val="0"/>
          <w:marTop w:val="0"/>
          <w:marBottom w:val="0"/>
          <w:divBdr>
            <w:top w:val="none" w:sz="0" w:space="0" w:color="auto"/>
            <w:left w:val="none" w:sz="0" w:space="0" w:color="auto"/>
            <w:bottom w:val="none" w:sz="0" w:space="0" w:color="auto"/>
            <w:right w:val="none" w:sz="0" w:space="0" w:color="auto"/>
          </w:divBdr>
        </w:div>
      </w:divsChild>
    </w:div>
    <w:div w:id="704139242">
      <w:bodyDiv w:val="1"/>
      <w:marLeft w:val="0"/>
      <w:marRight w:val="0"/>
      <w:marTop w:val="0"/>
      <w:marBottom w:val="0"/>
      <w:divBdr>
        <w:top w:val="none" w:sz="0" w:space="0" w:color="auto"/>
        <w:left w:val="none" w:sz="0" w:space="0" w:color="auto"/>
        <w:bottom w:val="none" w:sz="0" w:space="0" w:color="auto"/>
        <w:right w:val="none" w:sz="0" w:space="0" w:color="auto"/>
      </w:divBdr>
      <w:divsChild>
        <w:div w:id="195503726">
          <w:marLeft w:val="0"/>
          <w:marRight w:val="0"/>
          <w:marTop w:val="0"/>
          <w:marBottom w:val="0"/>
          <w:divBdr>
            <w:top w:val="none" w:sz="0" w:space="0" w:color="auto"/>
            <w:left w:val="none" w:sz="0" w:space="0" w:color="auto"/>
            <w:bottom w:val="none" w:sz="0" w:space="0" w:color="auto"/>
            <w:right w:val="none" w:sz="0" w:space="0" w:color="auto"/>
          </w:divBdr>
        </w:div>
        <w:div w:id="790635898">
          <w:marLeft w:val="0"/>
          <w:marRight w:val="0"/>
          <w:marTop w:val="0"/>
          <w:marBottom w:val="0"/>
          <w:divBdr>
            <w:top w:val="none" w:sz="0" w:space="0" w:color="auto"/>
            <w:left w:val="none" w:sz="0" w:space="0" w:color="auto"/>
            <w:bottom w:val="none" w:sz="0" w:space="0" w:color="auto"/>
            <w:right w:val="none" w:sz="0" w:space="0" w:color="auto"/>
          </w:divBdr>
        </w:div>
        <w:div w:id="1115909756">
          <w:marLeft w:val="0"/>
          <w:marRight w:val="0"/>
          <w:marTop w:val="0"/>
          <w:marBottom w:val="0"/>
          <w:divBdr>
            <w:top w:val="none" w:sz="0" w:space="0" w:color="auto"/>
            <w:left w:val="none" w:sz="0" w:space="0" w:color="auto"/>
            <w:bottom w:val="none" w:sz="0" w:space="0" w:color="auto"/>
            <w:right w:val="none" w:sz="0" w:space="0" w:color="auto"/>
          </w:divBdr>
        </w:div>
        <w:div w:id="1627545294">
          <w:marLeft w:val="0"/>
          <w:marRight w:val="0"/>
          <w:marTop w:val="0"/>
          <w:marBottom w:val="0"/>
          <w:divBdr>
            <w:top w:val="none" w:sz="0" w:space="0" w:color="auto"/>
            <w:left w:val="none" w:sz="0" w:space="0" w:color="auto"/>
            <w:bottom w:val="none" w:sz="0" w:space="0" w:color="auto"/>
            <w:right w:val="none" w:sz="0" w:space="0" w:color="auto"/>
          </w:divBdr>
        </w:div>
      </w:divsChild>
    </w:div>
    <w:div w:id="704788893">
      <w:bodyDiv w:val="1"/>
      <w:marLeft w:val="0"/>
      <w:marRight w:val="0"/>
      <w:marTop w:val="0"/>
      <w:marBottom w:val="0"/>
      <w:divBdr>
        <w:top w:val="none" w:sz="0" w:space="0" w:color="auto"/>
        <w:left w:val="none" w:sz="0" w:space="0" w:color="auto"/>
        <w:bottom w:val="none" w:sz="0" w:space="0" w:color="auto"/>
        <w:right w:val="none" w:sz="0" w:space="0" w:color="auto"/>
      </w:divBdr>
    </w:div>
    <w:div w:id="727460609">
      <w:bodyDiv w:val="1"/>
      <w:marLeft w:val="0"/>
      <w:marRight w:val="0"/>
      <w:marTop w:val="0"/>
      <w:marBottom w:val="0"/>
      <w:divBdr>
        <w:top w:val="none" w:sz="0" w:space="0" w:color="auto"/>
        <w:left w:val="none" w:sz="0" w:space="0" w:color="auto"/>
        <w:bottom w:val="none" w:sz="0" w:space="0" w:color="auto"/>
        <w:right w:val="none" w:sz="0" w:space="0" w:color="auto"/>
      </w:divBdr>
      <w:divsChild>
        <w:div w:id="526677715">
          <w:marLeft w:val="0"/>
          <w:marRight w:val="0"/>
          <w:marTop w:val="0"/>
          <w:marBottom w:val="0"/>
          <w:divBdr>
            <w:top w:val="none" w:sz="0" w:space="0" w:color="auto"/>
            <w:left w:val="none" w:sz="0" w:space="0" w:color="auto"/>
            <w:bottom w:val="none" w:sz="0" w:space="0" w:color="auto"/>
            <w:right w:val="none" w:sz="0" w:space="0" w:color="auto"/>
          </w:divBdr>
        </w:div>
      </w:divsChild>
    </w:div>
    <w:div w:id="735709444">
      <w:bodyDiv w:val="1"/>
      <w:marLeft w:val="0"/>
      <w:marRight w:val="0"/>
      <w:marTop w:val="0"/>
      <w:marBottom w:val="0"/>
      <w:divBdr>
        <w:top w:val="none" w:sz="0" w:space="0" w:color="auto"/>
        <w:left w:val="none" w:sz="0" w:space="0" w:color="auto"/>
        <w:bottom w:val="none" w:sz="0" w:space="0" w:color="auto"/>
        <w:right w:val="none" w:sz="0" w:space="0" w:color="auto"/>
      </w:divBdr>
      <w:divsChild>
        <w:div w:id="9919219">
          <w:marLeft w:val="0"/>
          <w:marRight w:val="0"/>
          <w:marTop w:val="0"/>
          <w:marBottom w:val="0"/>
          <w:divBdr>
            <w:top w:val="none" w:sz="0" w:space="0" w:color="auto"/>
            <w:left w:val="none" w:sz="0" w:space="0" w:color="auto"/>
            <w:bottom w:val="none" w:sz="0" w:space="0" w:color="auto"/>
            <w:right w:val="none" w:sz="0" w:space="0" w:color="auto"/>
          </w:divBdr>
        </w:div>
        <w:div w:id="15158868">
          <w:marLeft w:val="0"/>
          <w:marRight w:val="0"/>
          <w:marTop w:val="0"/>
          <w:marBottom w:val="0"/>
          <w:divBdr>
            <w:top w:val="none" w:sz="0" w:space="0" w:color="auto"/>
            <w:left w:val="none" w:sz="0" w:space="0" w:color="auto"/>
            <w:bottom w:val="none" w:sz="0" w:space="0" w:color="auto"/>
            <w:right w:val="none" w:sz="0" w:space="0" w:color="auto"/>
          </w:divBdr>
        </w:div>
        <w:div w:id="67729102">
          <w:marLeft w:val="0"/>
          <w:marRight w:val="0"/>
          <w:marTop w:val="0"/>
          <w:marBottom w:val="0"/>
          <w:divBdr>
            <w:top w:val="none" w:sz="0" w:space="0" w:color="auto"/>
            <w:left w:val="none" w:sz="0" w:space="0" w:color="auto"/>
            <w:bottom w:val="none" w:sz="0" w:space="0" w:color="auto"/>
            <w:right w:val="none" w:sz="0" w:space="0" w:color="auto"/>
          </w:divBdr>
        </w:div>
        <w:div w:id="286812899">
          <w:marLeft w:val="0"/>
          <w:marRight w:val="0"/>
          <w:marTop w:val="0"/>
          <w:marBottom w:val="0"/>
          <w:divBdr>
            <w:top w:val="none" w:sz="0" w:space="0" w:color="auto"/>
            <w:left w:val="none" w:sz="0" w:space="0" w:color="auto"/>
            <w:bottom w:val="none" w:sz="0" w:space="0" w:color="auto"/>
            <w:right w:val="none" w:sz="0" w:space="0" w:color="auto"/>
          </w:divBdr>
        </w:div>
        <w:div w:id="316306171">
          <w:marLeft w:val="0"/>
          <w:marRight w:val="0"/>
          <w:marTop w:val="0"/>
          <w:marBottom w:val="0"/>
          <w:divBdr>
            <w:top w:val="none" w:sz="0" w:space="0" w:color="auto"/>
            <w:left w:val="none" w:sz="0" w:space="0" w:color="auto"/>
            <w:bottom w:val="none" w:sz="0" w:space="0" w:color="auto"/>
            <w:right w:val="none" w:sz="0" w:space="0" w:color="auto"/>
          </w:divBdr>
        </w:div>
        <w:div w:id="322201988">
          <w:marLeft w:val="0"/>
          <w:marRight w:val="0"/>
          <w:marTop w:val="0"/>
          <w:marBottom w:val="0"/>
          <w:divBdr>
            <w:top w:val="none" w:sz="0" w:space="0" w:color="auto"/>
            <w:left w:val="none" w:sz="0" w:space="0" w:color="auto"/>
            <w:bottom w:val="none" w:sz="0" w:space="0" w:color="auto"/>
            <w:right w:val="none" w:sz="0" w:space="0" w:color="auto"/>
          </w:divBdr>
        </w:div>
        <w:div w:id="340276911">
          <w:marLeft w:val="0"/>
          <w:marRight w:val="0"/>
          <w:marTop w:val="0"/>
          <w:marBottom w:val="0"/>
          <w:divBdr>
            <w:top w:val="none" w:sz="0" w:space="0" w:color="auto"/>
            <w:left w:val="none" w:sz="0" w:space="0" w:color="auto"/>
            <w:bottom w:val="none" w:sz="0" w:space="0" w:color="auto"/>
            <w:right w:val="none" w:sz="0" w:space="0" w:color="auto"/>
          </w:divBdr>
        </w:div>
        <w:div w:id="524950686">
          <w:marLeft w:val="0"/>
          <w:marRight w:val="0"/>
          <w:marTop w:val="0"/>
          <w:marBottom w:val="0"/>
          <w:divBdr>
            <w:top w:val="none" w:sz="0" w:space="0" w:color="auto"/>
            <w:left w:val="none" w:sz="0" w:space="0" w:color="auto"/>
            <w:bottom w:val="none" w:sz="0" w:space="0" w:color="auto"/>
            <w:right w:val="none" w:sz="0" w:space="0" w:color="auto"/>
          </w:divBdr>
        </w:div>
        <w:div w:id="534316000">
          <w:marLeft w:val="0"/>
          <w:marRight w:val="0"/>
          <w:marTop w:val="0"/>
          <w:marBottom w:val="0"/>
          <w:divBdr>
            <w:top w:val="none" w:sz="0" w:space="0" w:color="auto"/>
            <w:left w:val="none" w:sz="0" w:space="0" w:color="auto"/>
            <w:bottom w:val="none" w:sz="0" w:space="0" w:color="auto"/>
            <w:right w:val="none" w:sz="0" w:space="0" w:color="auto"/>
          </w:divBdr>
        </w:div>
        <w:div w:id="541673700">
          <w:marLeft w:val="0"/>
          <w:marRight w:val="0"/>
          <w:marTop w:val="0"/>
          <w:marBottom w:val="0"/>
          <w:divBdr>
            <w:top w:val="none" w:sz="0" w:space="0" w:color="auto"/>
            <w:left w:val="none" w:sz="0" w:space="0" w:color="auto"/>
            <w:bottom w:val="none" w:sz="0" w:space="0" w:color="auto"/>
            <w:right w:val="none" w:sz="0" w:space="0" w:color="auto"/>
          </w:divBdr>
        </w:div>
        <w:div w:id="601911684">
          <w:marLeft w:val="0"/>
          <w:marRight w:val="0"/>
          <w:marTop w:val="0"/>
          <w:marBottom w:val="0"/>
          <w:divBdr>
            <w:top w:val="none" w:sz="0" w:space="0" w:color="auto"/>
            <w:left w:val="none" w:sz="0" w:space="0" w:color="auto"/>
            <w:bottom w:val="none" w:sz="0" w:space="0" w:color="auto"/>
            <w:right w:val="none" w:sz="0" w:space="0" w:color="auto"/>
          </w:divBdr>
        </w:div>
        <w:div w:id="607002928">
          <w:marLeft w:val="0"/>
          <w:marRight w:val="0"/>
          <w:marTop w:val="0"/>
          <w:marBottom w:val="0"/>
          <w:divBdr>
            <w:top w:val="none" w:sz="0" w:space="0" w:color="auto"/>
            <w:left w:val="none" w:sz="0" w:space="0" w:color="auto"/>
            <w:bottom w:val="none" w:sz="0" w:space="0" w:color="auto"/>
            <w:right w:val="none" w:sz="0" w:space="0" w:color="auto"/>
          </w:divBdr>
        </w:div>
        <w:div w:id="651182204">
          <w:marLeft w:val="0"/>
          <w:marRight w:val="0"/>
          <w:marTop w:val="0"/>
          <w:marBottom w:val="0"/>
          <w:divBdr>
            <w:top w:val="none" w:sz="0" w:space="0" w:color="auto"/>
            <w:left w:val="none" w:sz="0" w:space="0" w:color="auto"/>
            <w:bottom w:val="none" w:sz="0" w:space="0" w:color="auto"/>
            <w:right w:val="none" w:sz="0" w:space="0" w:color="auto"/>
          </w:divBdr>
        </w:div>
        <w:div w:id="705834588">
          <w:marLeft w:val="0"/>
          <w:marRight w:val="0"/>
          <w:marTop w:val="0"/>
          <w:marBottom w:val="0"/>
          <w:divBdr>
            <w:top w:val="none" w:sz="0" w:space="0" w:color="auto"/>
            <w:left w:val="none" w:sz="0" w:space="0" w:color="auto"/>
            <w:bottom w:val="none" w:sz="0" w:space="0" w:color="auto"/>
            <w:right w:val="none" w:sz="0" w:space="0" w:color="auto"/>
          </w:divBdr>
        </w:div>
        <w:div w:id="740717716">
          <w:marLeft w:val="0"/>
          <w:marRight w:val="0"/>
          <w:marTop w:val="0"/>
          <w:marBottom w:val="0"/>
          <w:divBdr>
            <w:top w:val="none" w:sz="0" w:space="0" w:color="auto"/>
            <w:left w:val="none" w:sz="0" w:space="0" w:color="auto"/>
            <w:bottom w:val="none" w:sz="0" w:space="0" w:color="auto"/>
            <w:right w:val="none" w:sz="0" w:space="0" w:color="auto"/>
          </w:divBdr>
        </w:div>
        <w:div w:id="1209343882">
          <w:marLeft w:val="0"/>
          <w:marRight w:val="0"/>
          <w:marTop w:val="0"/>
          <w:marBottom w:val="0"/>
          <w:divBdr>
            <w:top w:val="none" w:sz="0" w:space="0" w:color="auto"/>
            <w:left w:val="none" w:sz="0" w:space="0" w:color="auto"/>
            <w:bottom w:val="none" w:sz="0" w:space="0" w:color="auto"/>
            <w:right w:val="none" w:sz="0" w:space="0" w:color="auto"/>
          </w:divBdr>
        </w:div>
        <w:div w:id="1339193162">
          <w:marLeft w:val="0"/>
          <w:marRight w:val="0"/>
          <w:marTop w:val="0"/>
          <w:marBottom w:val="0"/>
          <w:divBdr>
            <w:top w:val="none" w:sz="0" w:space="0" w:color="auto"/>
            <w:left w:val="none" w:sz="0" w:space="0" w:color="auto"/>
            <w:bottom w:val="none" w:sz="0" w:space="0" w:color="auto"/>
            <w:right w:val="none" w:sz="0" w:space="0" w:color="auto"/>
          </w:divBdr>
        </w:div>
        <w:div w:id="1516386564">
          <w:marLeft w:val="0"/>
          <w:marRight w:val="0"/>
          <w:marTop w:val="0"/>
          <w:marBottom w:val="0"/>
          <w:divBdr>
            <w:top w:val="none" w:sz="0" w:space="0" w:color="auto"/>
            <w:left w:val="none" w:sz="0" w:space="0" w:color="auto"/>
            <w:bottom w:val="none" w:sz="0" w:space="0" w:color="auto"/>
            <w:right w:val="none" w:sz="0" w:space="0" w:color="auto"/>
          </w:divBdr>
        </w:div>
        <w:div w:id="1580018107">
          <w:marLeft w:val="0"/>
          <w:marRight w:val="0"/>
          <w:marTop w:val="0"/>
          <w:marBottom w:val="0"/>
          <w:divBdr>
            <w:top w:val="none" w:sz="0" w:space="0" w:color="auto"/>
            <w:left w:val="none" w:sz="0" w:space="0" w:color="auto"/>
            <w:bottom w:val="none" w:sz="0" w:space="0" w:color="auto"/>
            <w:right w:val="none" w:sz="0" w:space="0" w:color="auto"/>
          </w:divBdr>
        </w:div>
        <w:div w:id="1668366229">
          <w:marLeft w:val="0"/>
          <w:marRight w:val="0"/>
          <w:marTop w:val="0"/>
          <w:marBottom w:val="0"/>
          <w:divBdr>
            <w:top w:val="none" w:sz="0" w:space="0" w:color="auto"/>
            <w:left w:val="none" w:sz="0" w:space="0" w:color="auto"/>
            <w:bottom w:val="none" w:sz="0" w:space="0" w:color="auto"/>
            <w:right w:val="none" w:sz="0" w:space="0" w:color="auto"/>
          </w:divBdr>
        </w:div>
        <w:div w:id="1704360405">
          <w:marLeft w:val="0"/>
          <w:marRight w:val="0"/>
          <w:marTop w:val="0"/>
          <w:marBottom w:val="0"/>
          <w:divBdr>
            <w:top w:val="none" w:sz="0" w:space="0" w:color="auto"/>
            <w:left w:val="none" w:sz="0" w:space="0" w:color="auto"/>
            <w:bottom w:val="none" w:sz="0" w:space="0" w:color="auto"/>
            <w:right w:val="none" w:sz="0" w:space="0" w:color="auto"/>
          </w:divBdr>
        </w:div>
        <w:div w:id="1720126976">
          <w:marLeft w:val="0"/>
          <w:marRight w:val="0"/>
          <w:marTop w:val="0"/>
          <w:marBottom w:val="0"/>
          <w:divBdr>
            <w:top w:val="none" w:sz="0" w:space="0" w:color="auto"/>
            <w:left w:val="none" w:sz="0" w:space="0" w:color="auto"/>
            <w:bottom w:val="none" w:sz="0" w:space="0" w:color="auto"/>
            <w:right w:val="none" w:sz="0" w:space="0" w:color="auto"/>
          </w:divBdr>
        </w:div>
        <w:div w:id="1806654774">
          <w:marLeft w:val="0"/>
          <w:marRight w:val="0"/>
          <w:marTop w:val="0"/>
          <w:marBottom w:val="0"/>
          <w:divBdr>
            <w:top w:val="none" w:sz="0" w:space="0" w:color="auto"/>
            <w:left w:val="none" w:sz="0" w:space="0" w:color="auto"/>
            <w:bottom w:val="none" w:sz="0" w:space="0" w:color="auto"/>
            <w:right w:val="none" w:sz="0" w:space="0" w:color="auto"/>
          </w:divBdr>
        </w:div>
        <w:div w:id="1818960916">
          <w:marLeft w:val="0"/>
          <w:marRight w:val="0"/>
          <w:marTop w:val="0"/>
          <w:marBottom w:val="0"/>
          <w:divBdr>
            <w:top w:val="none" w:sz="0" w:space="0" w:color="auto"/>
            <w:left w:val="none" w:sz="0" w:space="0" w:color="auto"/>
            <w:bottom w:val="none" w:sz="0" w:space="0" w:color="auto"/>
            <w:right w:val="none" w:sz="0" w:space="0" w:color="auto"/>
          </w:divBdr>
        </w:div>
        <w:div w:id="1889754869">
          <w:marLeft w:val="0"/>
          <w:marRight w:val="0"/>
          <w:marTop w:val="0"/>
          <w:marBottom w:val="0"/>
          <w:divBdr>
            <w:top w:val="none" w:sz="0" w:space="0" w:color="auto"/>
            <w:left w:val="none" w:sz="0" w:space="0" w:color="auto"/>
            <w:bottom w:val="none" w:sz="0" w:space="0" w:color="auto"/>
            <w:right w:val="none" w:sz="0" w:space="0" w:color="auto"/>
          </w:divBdr>
        </w:div>
        <w:div w:id="1896702640">
          <w:marLeft w:val="0"/>
          <w:marRight w:val="0"/>
          <w:marTop w:val="0"/>
          <w:marBottom w:val="0"/>
          <w:divBdr>
            <w:top w:val="none" w:sz="0" w:space="0" w:color="auto"/>
            <w:left w:val="none" w:sz="0" w:space="0" w:color="auto"/>
            <w:bottom w:val="none" w:sz="0" w:space="0" w:color="auto"/>
            <w:right w:val="none" w:sz="0" w:space="0" w:color="auto"/>
          </w:divBdr>
        </w:div>
        <w:div w:id="1908488779">
          <w:marLeft w:val="0"/>
          <w:marRight w:val="0"/>
          <w:marTop w:val="0"/>
          <w:marBottom w:val="0"/>
          <w:divBdr>
            <w:top w:val="none" w:sz="0" w:space="0" w:color="auto"/>
            <w:left w:val="none" w:sz="0" w:space="0" w:color="auto"/>
            <w:bottom w:val="none" w:sz="0" w:space="0" w:color="auto"/>
            <w:right w:val="none" w:sz="0" w:space="0" w:color="auto"/>
          </w:divBdr>
        </w:div>
        <w:div w:id="1996298404">
          <w:marLeft w:val="0"/>
          <w:marRight w:val="0"/>
          <w:marTop w:val="0"/>
          <w:marBottom w:val="0"/>
          <w:divBdr>
            <w:top w:val="none" w:sz="0" w:space="0" w:color="auto"/>
            <w:left w:val="none" w:sz="0" w:space="0" w:color="auto"/>
            <w:bottom w:val="none" w:sz="0" w:space="0" w:color="auto"/>
            <w:right w:val="none" w:sz="0" w:space="0" w:color="auto"/>
          </w:divBdr>
        </w:div>
        <w:div w:id="2014335186">
          <w:marLeft w:val="0"/>
          <w:marRight w:val="0"/>
          <w:marTop w:val="0"/>
          <w:marBottom w:val="0"/>
          <w:divBdr>
            <w:top w:val="none" w:sz="0" w:space="0" w:color="auto"/>
            <w:left w:val="none" w:sz="0" w:space="0" w:color="auto"/>
            <w:bottom w:val="none" w:sz="0" w:space="0" w:color="auto"/>
            <w:right w:val="none" w:sz="0" w:space="0" w:color="auto"/>
          </w:divBdr>
        </w:div>
        <w:div w:id="2043479582">
          <w:marLeft w:val="0"/>
          <w:marRight w:val="0"/>
          <w:marTop w:val="0"/>
          <w:marBottom w:val="0"/>
          <w:divBdr>
            <w:top w:val="none" w:sz="0" w:space="0" w:color="auto"/>
            <w:left w:val="none" w:sz="0" w:space="0" w:color="auto"/>
            <w:bottom w:val="none" w:sz="0" w:space="0" w:color="auto"/>
            <w:right w:val="none" w:sz="0" w:space="0" w:color="auto"/>
          </w:divBdr>
        </w:div>
        <w:div w:id="2046174517">
          <w:marLeft w:val="0"/>
          <w:marRight w:val="0"/>
          <w:marTop w:val="0"/>
          <w:marBottom w:val="0"/>
          <w:divBdr>
            <w:top w:val="none" w:sz="0" w:space="0" w:color="auto"/>
            <w:left w:val="none" w:sz="0" w:space="0" w:color="auto"/>
            <w:bottom w:val="none" w:sz="0" w:space="0" w:color="auto"/>
            <w:right w:val="none" w:sz="0" w:space="0" w:color="auto"/>
          </w:divBdr>
        </w:div>
        <w:div w:id="2072922650">
          <w:marLeft w:val="0"/>
          <w:marRight w:val="0"/>
          <w:marTop w:val="0"/>
          <w:marBottom w:val="0"/>
          <w:divBdr>
            <w:top w:val="none" w:sz="0" w:space="0" w:color="auto"/>
            <w:left w:val="none" w:sz="0" w:space="0" w:color="auto"/>
            <w:bottom w:val="none" w:sz="0" w:space="0" w:color="auto"/>
            <w:right w:val="none" w:sz="0" w:space="0" w:color="auto"/>
          </w:divBdr>
        </w:div>
        <w:div w:id="2098406333">
          <w:marLeft w:val="0"/>
          <w:marRight w:val="0"/>
          <w:marTop w:val="0"/>
          <w:marBottom w:val="0"/>
          <w:divBdr>
            <w:top w:val="none" w:sz="0" w:space="0" w:color="auto"/>
            <w:left w:val="none" w:sz="0" w:space="0" w:color="auto"/>
            <w:bottom w:val="none" w:sz="0" w:space="0" w:color="auto"/>
            <w:right w:val="none" w:sz="0" w:space="0" w:color="auto"/>
          </w:divBdr>
        </w:div>
      </w:divsChild>
    </w:div>
    <w:div w:id="750782469">
      <w:bodyDiv w:val="1"/>
      <w:marLeft w:val="0"/>
      <w:marRight w:val="0"/>
      <w:marTop w:val="0"/>
      <w:marBottom w:val="0"/>
      <w:divBdr>
        <w:top w:val="none" w:sz="0" w:space="0" w:color="auto"/>
        <w:left w:val="none" w:sz="0" w:space="0" w:color="auto"/>
        <w:bottom w:val="none" w:sz="0" w:space="0" w:color="auto"/>
        <w:right w:val="none" w:sz="0" w:space="0" w:color="auto"/>
      </w:divBdr>
    </w:div>
    <w:div w:id="752243627">
      <w:bodyDiv w:val="1"/>
      <w:marLeft w:val="0"/>
      <w:marRight w:val="0"/>
      <w:marTop w:val="0"/>
      <w:marBottom w:val="0"/>
      <w:divBdr>
        <w:top w:val="none" w:sz="0" w:space="0" w:color="auto"/>
        <w:left w:val="none" w:sz="0" w:space="0" w:color="auto"/>
        <w:bottom w:val="none" w:sz="0" w:space="0" w:color="auto"/>
        <w:right w:val="none" w:sz="0" w:space="0" w:color="auto"/>
      </w:divBdr>
      <w:divsChild>
        <w:div w:id="1019548997">
          <w:marLeft w:val="0"/>
          <w:marRight w:val="0"/>
          <w:marTop w:val="0"/>
          <w:marBottom w:val="0"/>
          <w:divBdr>
            <w:top w:val="none" w:sz="0" w:space="0" w:color="auto"/>
            <w:left w:val="none" w:sz="0" w:space="0" w:color="auto"/>
            <w:bottom w:val="none" w:sz="0" w:space="0" w:color="auto"/>
            <w:right w:val="none" w:sz="0" w:space="0" w:color="auto"/>
          </w:divBdr>
          <w:divsChild>
            <w:div w:id="1219826984">
              <w:marLeft w:val="0"/>
              <w:marRight w:val="0"/>
              <w:marTop w:val="0"/>
              <w:marBottom w:val="0"/>
              <w:divBdr>
                <w:top w:val="none" w:sz="0" w:space="0" w:color="auto"/>
                <w:left w:val="none" w:sz="0" w:space="0" w:color="auto"/>
                <w:bottom w:val="none" w:sz="0" w:space="0" w:color="auto"/>
                <w:right w:val="none" w:sz="0" w:space="0" w:color="auto"/>
              </w:divBdr>
              <w:divsChild>
                <w:div w:id="688721286">
                  <w:marLeft w:val="0"/>
                  <w:marRight w:val="0"/>
                  <w:marTop w:val="0"/>
                  <w:marBottom w:val="0"/>
                  <w:divBdr>
                    <w:top w:val="none" w:sz="0" w:space="0" w:color="auto"/>
                    <w:left w:val="none" w:sz="0" w:space="0" w:color="auto"/>
                    <w:bottom w:val="none" w:sz="0" w:space="0" w:color="auto"/>
                    <w:right w:val="none" w:sz="0" w:space="0" w:color="auto"/>
                  </w:divBdr>
                  <w:divsChild>
                    <w:div w:id="2920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37278">
          <w:marLeft w:val="0"/>
          <w:marRight w:val="0"/>
          <w:marTop w:val="0"/>
          <w:marBottom w:val="0"/>
          <w:divBdr>
            <w:top w:val="none" w:sz="0" w:space="0" w:color="auto"/>
            <w:left w:val="none" w:sz="0" w:space="0" w:color="auto"/>
            <w:bottom w:val="none" w:sz="0" w:space="0" w:color="auto"/>
            <w:right w:val="none" w:sz="0" w:space="0" w:color="auto"/>
          </w:divBdr>
          <w:divsChild>
            <w:div w:id="955410084">
              <w:marLeft w:val="0"/>
              <w:marRight w:val="0"/>
              <w:marTop w:val="0"/>
              <w:marBottom w:val="0"/>
              <w:divBdr>
                <w:top w:val="none" w:sz="0" w:space="0" w:color="auto"/>
                <w:left w:val="none" w:sz="0" w:space="0" w:color="auto"/>
                <w:bottom w:val="none" w:sz="0" w:space="0" w:color="auto"/>
                <w:right w:val="none" w:sz="0" w:space="0" w:color="auto"/>
              </w:divBdr>
              <w:divsChild>
                <w:div w:id="642583608">
                  <w:marLeft w:val="0"/>
                  <w:marRight w:val="0"/>
                  <w:marTop w:val="0"/>
                  <w:marBottom w:val="0"/>
                  <w:divBdr>
                    <w:top w:val="none" w:sz="0" w:space="0" w:color="auto"/>
                    <w:left w:val="none" w:sz="0" w:space="0" w:color="auto"/>
                    <w:bottom w:val="none" w:sz="0" w:space="0" w:color="auto"/>
                    <w:right w:val="none" w:sz="0" w:space="0" w:color="auto"/>
                  </w:divBdr>
                  <w:divsChild>
                    <w:div w:id="3056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7567">
      <w:bodyDiv w:val="1"/>
      <w:marLeft w:val="0"/>
      <w:marRight w:val="0"/>
      <w:marTop w:val="0"/>
      <w:marBottom w:val="0"/>
      <w:divBdr>
        <w:top w:val="none" w:sz="0" w:space="0" w:color="auto"/>
        <w:left w:val="none" w:sz="0" w:space="0" w:color="auto"/>
        <w:bottom w:val="none" w:sz="0" w:space="0" w:color="auto"/>
        <w:right w:val="none" w:sz="0" w:space="0" w:color="auto"/>
      </w:divBdr>
      <w:divsChild>
        <w:div w:id="1149176132">
          <w:marLeft w:val="0"/>
          <w:marRight w:val="0"/>
          <w:marTop w:val="0"/>
          <w:marBottom w:val="0"/>
          <w:divBdr>
            <w:top w:val="none" w:sz="0" w:space="0" w:color="auto"/>
            <w:left w:val="none" w:sz="0" w:space="0" w:color="auto"/>
            <w:bottom w:val="none" w:sz="0" w:space="0" w:color="auto"/>
            <w:right w:val="none" w:sz="0" w:space="0" w:color="auto"/>
          </w:divBdr>
        </w:div>
        <w:div w:id="1357384182">
          <w:marLeft w:val="0"/>
          <w:marRight w:val="0"/>
          <w:marTop w:val="0"/>
          <w:marBottom w:val="0"/>
          <w:divBdr>
            <w:top w:val="none" w:sz="0" w:space="0" w:color="auto"/>
            <w:left w:val="none" w:sz="0" w:space="0" w:color="auto"/>
            <w:bottom w:val="none" w:sz="0" w:space="0" w:color="auto"/>
            <w:right w:val="none" w:sz="0" w:space="0" w:color="auto"/>
          </w:divBdr>
        </w:div>
        <w:div w:id="2130123420">
          <w:marLeft w:val="0"/>
          <w:marRight w:val="0"/>
          <w:marTop w:val="0"/>
          <w:marBottom w:val="0"/>
          <w:divBdr>
            <w:top w:val="none" w:sz="0" w:space="0" w:color="auto"/>
            <w:left w:val="none" w:sz="0" w:space="0" w:color="auto"/>
            <w:bottom w:val="none" w:sz="0" w:space="0" w:color="auto"/>
            <w:right w:val="none" w:sz="0" w:space="0" w:color="auto"/>
          </w:divBdr>
        </w:div>
      </w:divsChild>
    </w:div>
    <w:div w:id="764347844">
      <w:bodyDiv w:val="1"/>
      <w:marLeft w:val="0"/>
      <w:marRight w:val="0"/>
      <w:marTop w:val="0"/>
      <w:marBottom w:val="0"/>
      <w:divBdr>
        <w:top w:val="none" w:sz="0" w:space="0" w:color="auto"/>
        <w:left w:val="none" w:sz="0" w:space="0" w:color="auto"/>
        <w:bottom w:val="none" w:sz="0" w:space="0" w:color="auto"/>
        <w:right w:val="none" w:sz="0" w:space="0" w:color="auto"/>
      </w:divBdr>
    </w:div>
    <w:div w:id="770668138">
      <w:bodyDiv w:val="1"/>
      <w:marLeft w:val="0"/>
      <w:marRight w:val="0"/>
      <w:marTop w:val="0"/>
      <w:marBottom w:val="0"/>
      <w:divBdr>
        <w:top w:val="none" w:sz="0" w:space="0" w:color="auto"/>
        <w:left w:val="none" w:sz="0" w:space="0" w:color="auto"/>
        <w:bottom w:val="none" w:sz="0" w:space="0" w:color="auto"/>
        <w:right w:val="none" w:sz="0" w:space="0" w:color="auto"/>
      </w:divBdr>
    </w:div>
    <w:div w:id="820542551">
      <w:bodyDiv w:val="1"/>
      <w:marLeft w:val="0"/>
      <w:marRight w:val="0"/>
      <w:marTop w:val="0"/>
      <w:marBottom w:val="0"/>
      <w:divBdr>
        <w:top w:val="none" w:sz="0" w:space="0" w:color="auto"/>
        <w:left w:val="none" w:sz="0" w:space="0" w:color="auto"/>
        <w:bottom w:val="none" w:sz="0" w:space="0" w:color="auto"/>
        <w:right w:val="none" w:sz="0" w:space="0" w:color="auto"/>
      </w:divBdr>
    </w:div>
    <w:div w:id="827281350">
      <w:bodyDiv w:val="1"/>
      <w:marLeft w:val="0"/>
      <w:marRight w:val="0"/>
      <w:marTop w:val="0"/>
      <w:marBottom w:val="0"/>
      <w:divBdr>
        <w:top w:val="none" w:sz="0" w:space="0" w:color="auto"/>
        <w:left w:val="none" w:sz="0" w:space="0" w:color="auto"/>
        <w:bottom w:val="none" w:sz="0" w:space="0" w:color="auto"/>
        <w:right w:val="none" w:sz="0" w:space="0" w:color="auto"/>
      </w:divBdr>
      <w:divsChild>
        <w:div w:id="353728686">
          <w:marLeft w:val="0"/>
          <w:marRight w:val="0"/>
          <w:marTop w:val="0"/>
          <w:marBottom w:val="0"/>
          <w:divBdr>
            <w:top w:val="none" w:sz="0" w:space="0" w:color="auto"/>
            <w:left w:val="none" w:sz="0" w:space="0" w:color="auto"/>
            <w:bottom w:val="none" w:sz="0" w:space="0" w:color="auto"/>
            <w:right w:val="none" w:sz="0" w:space="0" w:color="auto"/>
          </w:divBdr>
        </w:div>
        <w:div w:id="719128636">
          <w:marLeft w:val="0"/>
          <w:marRight w:val="0"/>
          <w:marTop w:val="0"/>
          <w:marBottom w:val="0"/>
          <w:divBdr>
            <w:top w:val="none" w:sz="0" w:space="0" w:color="auto"/>
            <w:left w:val="none" w:sz="0" w:space="0" w:color="auto"/>
            <w:bottom w:val="none" w:sz="0" w:space="0" w:color="auto"/>
            <w:right w:val="none" w:sz="0" w:space="0" w:color="auto"/>
          </w:divBdr>
        </w:div>
        <w:div w:id="1228036724">
          <w:marLeft w:val="0"/>
          <w:marRight w:val="0"/>
          <w:marTop w:val="0"/>
          <w:marBottom w:val="0"/>
          <w:divBdr>
            <w:top w:val="none" w:sz="0" w:space="0" w:color="auto"/>
            <w:left w:val="none" w:sz="0" w:space="0" w:color="auto"/>
            <w:bottom w:val="none" w:sz="0" w:space="0" w:color="auto"/>
            <w:right w:val="none" w:sz="0" w:space="0" w:color="auto"/>
          </w:divBdr>
        </w:div>
        <w:div w:id="1939436783">
          <w:marLeft w:val="0"/>
          <w:marRight w:val="0"/>
          <w:marTop w:val="0"/>
          <w:marBottom w:val="0"/>
          <w:divBdr>
            <w:top w:val="none" w:sz="0" w:space="0" w:color="auto"/>
            <w:left w:val="none" w:sz="0" w:space="0" w:color="auto"/>
            <w:bottom w:val="none" w:sz="0" w:space="0" w:color="auto"/>
            <w:right w:val="none" w:sz="0" w:space="0" w:color="auto"/>
          </w:divBdr>
        </w:div>
      </w:divsChild>
    </w:div>
    <w:div w:id="832797218">
      <w:bodyDiv w:val="1"/>
      <w:marLeft w:val="0"/>
      <w:marRight w:val="0"/>
      <w:marTop w:val="0"/>
      <w:marBottom w:val="0"/>
      <w:divBdr>
        <w:top w:val="none" w:sz="0" w:space="0" w:color="auto"/>
        <w:left w:val="none" w:sz="0" w:space="0" w:color="auto"/>
        <w:bottom w:val="none" w:sz="0" w:space="0" w:color="auto"/>
        <w:right w:val="none" w:sz="0" w:space="0" w:color="auto"/>
      </w:divBdr>
      <w:divsChild>
        <w:div w:id="387537857">
          <w:marLeft w:val="0"/>
          <w:marRight w:val="0"/>
          <w:marTop w:val="0"/>
          <w:marBottom w:val="0"/>
          <w:divBdr>
            <w:top w:val="none" w:sz="0" w:space="0" w:color="auto"/>
            <w:left w:val="none" w:sz="0" w:space="0" w:color="auto"/>
            <w:bottom w:val="none" w:sz="0" w:space="0" w:color="auto"/>
            <w:right w:val="none" w:sz="0" w:space="0" w:color="auto"/>
          </w:divBdr>
        </w:div>
      </w:divsChild>
    </w:div>
    <w:div w:id="845287613">
      <w:bodyDiv w:val="1"/>
      <w:marLeft w:val="0"/>
      <w:marRight w:val="0"/>
      <w:marTop w:val="0"/>
      <w:marBottom w:val="0"/>
      <w:divBdr>
        <w:top w:val="none" w:sz="0" w:space="0" w:color="auto"/>
        <w:left w:val="none" w:sz="0" w:space="0" w:color="auto"/>
        <w:bottom w:val="none" w:sz="0" w:space="0" w:color="auto"/>
        <w:right w:val="none" w:sz="0" w:space="0" w:color="auto"/>
      </w:divBdr>
    </w:div>
    <w:div w:id="850146818">
      <w:bodyDiv w:val="1"/>
      <w:marLeft w:val="0"/>
      <w:marRight w:val="0"/>
      <w:marTop w:val="0"/>
      <w:marBottom w:val="0"/>
      <w:divBdr>
        <w:top w:val="none" w:sz="0" w:space="0" w:color="auto"/>
        <w:left w:val="none" w:sz="0" w:space="0" w:color="auto"/>
        <w:bottom w:val="none" w:sz="0" w:space="0" w:color="auto"/>
        <w:right w:val="none" w:sz="0" w:space="0" w:color="auto"/>
      </w:divBdr>
      <w:divsChild>
        <w:div w:id="30763297">
          <w:marLeft w:val="0"/>
          <w:marRight w:val="0"/>
          <w:marTop w:val="0"/>
          <w:marBottom w:val="0"/>
          <w:divBdr>
            <w:top w:val="none" w:sz="0" w:space="0" w:color="auto"/>
            <w:left w:val="none" w:sz="0" w:space="0" w:color="auto"/>
            <w:bottom w:val="none" w:sz="0" w:space="0" w:color="auto"/>
            <w:right w:val="none" w:sz="0" w:space="0" w:color="auto"/>
          </w:divBdr>
          <w:divsChild>
            <w:div w:id="188691239">
              <w:marLeft w:val="0"/>
              <w:marRight w:val="0"/>
              <w:marTop w:val="0"/>
              <w:marBottom w:val="0"/>
              <w:divBdr>
                <w:top w:val="none" w:sz="0" w:space="0" w:color="auto"/>
                <w:left w:val="none" w:sz="0" w:space="0" w:color="auto"/>
                <w:bottom w:val="none" w:sz="0" w:space="0" w:color="auto"/>
                <w:right w:val="none" w:sz="0" w:space="0" w:color="auto"/>
              </w:divBdr>
            </w:div>
            <w:div w:id="199437051">
              <w:marLeft w:val="0"/>
              <w:marRight w:val="0"/>
              <w:marTop w:val="0"/>
              <w:marBottom w:val="0"/>
              <w:divBdr>
                <w:top w:val="none" w:sz="0" w:space="0" w:color="auto"/>
                <w:left w:val="none" w:sz="0" w:space="0" w:color="auto"/>
                <w:bottom w:val="none" w:sz="0" w:space="0" w:color="auto"/>
                <w:right w:val="none" w:sz="0" w:space="0" w:color="auto"/>
              </w:divBdr>
            </w:div>
            <w:div w:id="1734111210">
              <w:marLeft w:val="0"/>
              <w:marRight w:val="0"/>
              <w:marTop w:val="0"/>
              <w:marBottom w:val="0"/>
              <w:divBdr>
                <w:top w:val="none" w:sz="0" w:space="0" w:color="auto"/>
                <w:left w:val="none" w:sz="0" w:space="0" w:color="auto"/>
                <w:bottom w:val="none" w:sz="0" w:space="0" w:color="auto"/>
                <w:right w:val="none" w:sz="0" w:space="0" w:color="auto"/>
              </w:divBdr>
            </w:div>
          </w:divsChild>
        </w:div>
        <w:div w:id="1547795808">
          <w:marLeft w:val="0"/>
          <w:marRight w:val="0"/>
          <w:marTop w:val="0"/>
          <w:marBottom w:val="0"/>
          <w:divBdr>
            <w:top w:val="none" w:sz="0" w:space="0" w:color="auto"/>
            <w:left w:val="none" w:sz="0" w:space="0" w:color="auto"/>
            <w:bottom w:val="none" w:sz="0" w:space="0" w:color="auto"/>
            <w:right w:val="none" w:sz="0" w:space="0" w:color="auto"/>
          </w:divBdr>
          <w:divsChild>
            <w:div w:id="17706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1297">
      <w:bodyDiv w:val="1"/>
      <w:marLeft w:val="0"/>
      <w:marRight w:val="0"/>
      <w:marTop w:val="0"/>
      <w:marBottom w:val="0"/>
      <w:divBdr>
        <w:top w:val="none" w:sz="0" w:space="0" w:color="auto"/>
        <w:left w:val="none" w:sz="0" w:space="0" w:color="auto"/>
        <w:bottom w:val="none" w:sz="0" w:space="0" w:color="auto"/>
        <w:right w:val="none" w:sz="0" w:space="0" w:color="auto"/>
      </w:divBdr>
    </w:div>
    <w:div w:id="864827720">
      <w:bodyDiv w:val="1"/>
      <w:marLeft w:val="0"/>
      <w:marRight w:val="0"/>
      <w:marTop w:val="0"/>
      <w:marBottom w:val="0"/>
      <w:divBdr>
        <w:top w:val="none" w:sz="0" w:space="0" w:color="auto"/>
        <w:left w:val="none" w:sz="0" w:space="0" w:color="auto"/>
        <w:bottom w:val="none" w:sz="0" w:space="0" w:color="auto"/>
        <w:right w:val="none" w:sz="0" w:space="0" w:color="auto"/>
      </w:divBdr>
      <w:divsChild>
        <w:div w:id="115950240">
          <w:marLeft w:val="0"/>
          <w:marRight w:val="0"/>
          <w:marTop w:val="0"/>
          <w:marBottom w:val="0"/>
          <w:divBdr>
            <w:top w:val="none" w:sz="0" w:space="0" w:color="auto"/>
            <w:left w:val="none" w:sz="0" w:space="0" w:color="auto"/>
            <w:bottom w:val="none" w:sz="0" w:space="0" w:color="auto"/>
            <w:right w:val="none" w:sz="0" w:space="0" w:color="auto"/>
          </w:divBdr>
        </w:div>
        <w:div w:id="120611180">
          <w:marLeft w:val="0"/>
          <w:marRight w:val="0"/>
          <w:marTop w:val="0"/>
          <w:marBottom w:val="0"/>
          <w:divBdr>
            <w:top w:val="none" w:sz="0" w:space="0" w:color="auto"/>
            <w:left w:val="none" w:sz="0" w:space="0" w:color="auto"/>
            <w:bottom w:val="none" w:sz="0" w:space="0" w:color="auto"/>
            <w:right w:val="none" w:sz="0" w:space="0" w:color="auto"/>
          </w:divBdr>
        </w:div>
        <w:div w:id="169951509">
          <w:marLeft w:val="0"/>
          <w:marRight w:val="0"/>
          <w:marTop w:val="0"/>
          <w:marBottom w:val="0"/>
          <w:divBdr>
            <w:top w:val="none" w:sz="0" w:space="0" w:color="auto"/>
            <w:left w:val="none" w:sz="0" w:space="0" w:color="auto"/>
            <w:bottom w:val="none" w:sz="0" w:space="0" w:color="auto"/>
            <w:right w:val="none" w:sz="0" w:space="0" w:color="auto"/>
          </w:divBdr>
        </w:div>
        <w:div w:id="201677585">
          <w:marLeft w:val="0"/>
          <w:marRight w:val="0"/>
          <w:marTop w:val="0"/>
          <w:marBottom w:val="0"/>
          <w:divBdr>
            <w:top w:val="none" w:sz="0" w:space="0" w:color="auto"/>
            <w:left w:val="none" w:sz="0" w:space="0" w:color="auto"/>
            <w:bottom w:val="none" w:sz="0" w:space="0" w:color="auto"/>
            <w:right w:val="none" w:sz="0" w:space="0" w:color="auto"/>
          </w:divBdr>
        </w:div>
        <w:div w:id="219099790">
          <w:marLeft w:val="0"/>
          <w:marRight w:val="0"/>
          <w:marTop w:val="0"/>
          <w:marBottom w:val="0"/>
          <w:divBdr>
            <w:top w:val="none" w:sz="0" w:space="0" w:color="auto"/>
            <w:left w:val="none" w:sz="0" w:space="0" w:color="auto"/>
            <w:bottom w:val="none" w:sz="0" w:space="0" w:color="auto"/>
            <w:right w:val="none" w:sz="0" w:space="0" w:color="auto"/>
          </w:divBdr>
        </w:div>
        <w:div w:id="224488999">
          <w:marLeft w:val="0"/>
          <w:marRight w:val="0"/>
          <w:marTop w:val="0"/>
          <w:marBottom w:val="0"/>
          <w:divBdr>
            <w:top w:val="none" w:sz="0" w:space="0" w:color="auto"/>
            <w:left w:val="none" w:sz="0" w:space="0" w:color="auto"/>
            <w:bottom w:val="none" w:sz="0" w:space="0" w:color="auto"/>
            <w:right w:val="none" w:sz="0" w:space="0" w:color="auto"/>
          </w:divBdr>
        </w:div>
        <w:div w:id="289744708">
          <w:marLeft w:val="0"/>
          <w:marRight w:val="0"/>
          <w:marTop w:val="0"/>
          <w:marBottom w:val="0"/>
          <w:divBdr>
            <w:top w:val="none" w:sz="0" w:space="0" w:color="auto"/>
            <w:left w:val="none" w:sz="0" w:space="0" w:color="auto"/>
            <w:bottom w:val="none" w:sz="0" w:space="0" w:color="auto"/>
            <w:right w:val="none" w:sz="0" w:space="0" w:color="auto"/>
          </w:divBdr>
        </w:div>
        <w:div w:id="294026494">
          <w:marLeft w:val="0"/>
          <w:marRight w:val="0"/>
          <w:marTop w:val="0"/>
          <w:marBottom w:val="0"/>
          <w:divBdr>
            <w:top w:val="none" w:sz="0" w:space="0" w:color="auto"/>
            <w:left w:val="none" w:sz="0" w:space="0" w:color="auto"/>
            <w:bottom w:val="none" w:sz="0" w:space="0" w:color="auto"/>
            <w:right w:val="none" w:sz="0" w:space="0" w:color="auto"/>
          </w:divBdr>
        </w:div>
        <w:div w:id="442379048">
          <w:marLeft w:val="0"/>
          <w:marRight w:val="0"/>
          <w:marTop w:val="0"/>
          <w:marBottom w:val="0"/>
          <w:divBdr>
            <w:top w:val="none" w:sz="0" w:space="0" w:color="auto"/>
            <w:left w:val="none" w:sz="0" w:space="0" w:color="auto"/>
            <w:bottom w:val="none" w:sz="0" w:space="0" w:color="auto"/>
            <w:right w:val="none" w:sz="0" w:space="0" w:color="auto"/>
          </w:divBdr>
        </w:div>
        <w:div w:id="550073469">
          <w:marLeft w:val="0"/>
          <w:marRight w:val="0"/>
          <w:marTop w:val="0"/>
          <w:marBottom w:val="0"/>
          <w:divBdr>
            <w:top w:val="none" w:sz="0" w:space="0" w:color="auto"/>
            <w:left w:val="none" w:sz="0" w:space="0" w:color="auto"/>
            <w:bottom w:val="none" w:sz="0" w:space="0" w:color="auto"/>
            <w:right w:val="none" w:sz="0" w:space="0" w:color="auto"/>
          </w:divBdr>
        </w:div>
        <w:div w:id="551188384">
          <w:marLeft w:val="0"/>
          <w:marRight w:val="0"/>
          <w:marTop w:val="0"/>
          <w:marBottom w:val="0"/>
          <w:divBdr>
            <w:top w:val="none" w:sz="0" w:space="0" w:color="auto"/>
            <w:left w:val="none" w:sz="0" w:space="0" w:color="auto"/>
            <w:bottom w:val="none" w:sz="0" w:space="0" w:color="auto"/>
            <w:right w:val="none" w:sz="0" w:space="0" w:color="auto"/>
          </w:divBdr>
        </w:div>
        <w:div w:id="603222651">
          <w:marLeft w:val="0"/>
          <w:marRight w:val="0"/>
          <w:marTop w:val="0"/>
          <w:marBottom w:val="0"/>
          <w:divBdr>
            <w:top w:val="none" w:sz="0" w:space="0" w:color="auto"/>
            <w:left w:val="none" w:sz="0" w:space="0" w:color="auto"/>
            <w:bottom w:val="none" w:sz="0" w:space="0" w:color="auto"/>
            <w:right w:val="none" w:sz="0" w:space="0" w:color="auto"/>
          </w:divBdr>
        </w:div>
        <w:div w:id="659771034">
          <w:marLeft w:val="0"/>
          <w:marRight w:val="0"/>
          <w:marTop w:val="0"/>
          <w:marBottom w:val="0"/>
          <w:divBdr>
            <w:top w:val="none" w:sz="0" w:space="0" w:color="auto"/>
            <w:left w:val="none" w:sz="0" w:space="0" w:color="auto"/>
            <w:bottom w:val="none" w:sz="0" w:space="0" w:color="auto"/>
            <w:right w:val="none" w:sz="0" w:space="0" w:color="auto"/>
          </w:divBdr>
        </w:div>
        <w:div w:id="765614074">
          <w:marLeft w:val="0"/>
          <w:marRight w:val="0"/>
          <w:marTop w:val="0"/>
          <w:marBottom w:val="0"/>
          <w:divBdr>
            <w:top w:val="none" w:sz="0" w:space="0" w:color="auto"/>
            <w:left w:val="none" w:sz="0" w:space="0" w:color="auto"/>
            <w:bottom w:val="none" w:sz="0" w:space="0" w:color="auto"/>
            <w:right w:val="none" w:sz="0" w:space="0" w:color="auto"/>
          </w:divBdr>
        </w:div>
        <w:div w:id="838349017">
          <w:marLeft w:val="0"/>
          <w:marRight w:val="0"/>
          <w:marTop w:val="0"/>
          <w:marBottom w:val="0"/>
          <w:divBdr>
            <w:top w:val="none" w:sz="0" w:space="0" w:color="auto"/>
            <w:left w:val="none" w:sz="0" w:space="0" w:color="auto"/>
            <w:bottom w:val="none" w:sz="0" w:space="0" w:color="auto"/>
            <w:right w:val="none" w:sz="0" w:space="0" w:color="auto"/>
          </w:divBdr>
        </w:div>
        <w:div w:id="915558545">
          <w:marLeft w:val="0"/>
          <w:marRight w:val="0"/>
          <w:marTop w:val="0"/>
          <w:marBottom w:val="0"/>
          <w:divBdr>
            <w:top w:val="none" w:sz="0" w:space="0" w:color="auto"/>
            <w:left w:val="none" w:sz="0" w:space="0" w:color="auto"/>
            <w:bottom w:val="none" w:sz="0" w:space="0" w:color="auto"/>
            <w:right w:val="none" w:sz="0" w:space="0" w:color="auto"/>
          </w:divBdr>
        </w:div>
        <w:div w:id="920065716">
          <w:marLeft w:val="0"/>
          <w:marRight w:val="0"/>
          <w:marTop w:val="0"/>
          <w:marBottom w:val="0"/>
          <w:divBdr>
            <w:top w:val="none" w:sz="0" w:space="0" w:color="auto"/>
            <w:left w:val="none" w:sz="0" w:space="0" w:color="auto"/>
            <w:bottom w:val="none" w:sz="0" w:space="0" w:color="auto"/>
            <w:right w:val="none" w:sz="0" w:space="0" w:color="auto"/>
          </w:divBdr>
        </w:div>
        <w:div w:id="965545555">
          <w:marLeft w:val="0"/>
          <w:marRight w:val="0"/>
          <w:marTop w:val="0"/>
          <w:marBottom w:val="0"/>
          <w:divBdr>
            <w:top w:val="none" w:sz="0" w:space="0" w:color="auto"/>
            <w:left w:val="none" w:sz="0" w:space="0" w:color="auto"/>
            <w:bottom w:val="none" w:sz="0" w:space="0" w:color="auto"/>
            <w:right w:val="none" w:sz="0" w:space="0" w:color="auto"/>
          </w:divBdr>
        </w:div>
        <w:div w:id="997732895">
          <w:marLeft w:val="0"/>
          <w:marRight w:val="0"/>
          <w:marTop w:val="0"/>
          <w:marBottom w:val="0"/>
          <w:divBdr>
            <w:top w:val="none" w:sz="0" w:space="0" w:color="auto"/>
            <w:left w:val="none" w:sz="0" w:space="0" w:color="auto"/>
            <w:bottom w:val="none" w:sz="0" w:space="0" w:color="auto"/>
            <w:right w:val="none" w:sz="0" w:space="0" w:color="auto"/>
          </w:divBdr>
        </w:div>
        <w:div w:id="1032608233">
          <w:marLeft w:val="0"/>
          <w:marRight w:val="0"/>
          <w:marTop w:val="0"/>
          <w:marBottom w:val="0"/>
          <w:divBdr>
            <w:top w:val="none" w:sz="0" w:space="0" w:color="auto"/>
            <w:left w:val="none" w:sz="0" w:space="0" w:color="auto"/>
            <w:bottom w:val="none" w:sz="0" w:space="0" w:color="auto"/>
            <w:right w:val="none" w:sz="0" w:space="0" w:color="auto"/>
          </w:divBdr>
        </w:div>
        <w:div w:id="1194416402">
          <w:marLeft w:val="0"/>
          <w:marRight w:val="0"/>
          <w:marTop w:val="0"/>
          <w:marBottom w:val="0"/>
          <w:divBdr>
            <w:top w:val="none" w:sz="0" w:space="0" w:color="auto"/>
            <w:left w:val="none" w:sz="0" w:space="0" w:color="auto"/>
            <w:bottom w:val="none" w:sz="0" w:space="0" w:color="auto"/>
            <w:right w:val="none" w:sz="0" w:space="0" w:color="auto"/>
          </w:divBdr>
        </w:div>
        <w:div w:id="1201170449">
          <w:marLeft w:val="0"/>
          <w:marRight w:val="0"/>
          <w:marTop w:val="0"/>
          <w:marBottom w:val="0"/>
          <w:divBdr>
            <w:top w:val="none" w:sz="0" w:space="0" w:color="auto"/>
            <w:left w:val="none" w:sz="0" w:space="0" w:color="auto"/>
            <w:bottom w:val="none" w:sz="0" w:space="0" w:color="auto"/>
            <w:right w:val="none" w:sz="0" w:space="0" w:color="auto"/>
          </w:divBdr>
        </w:div>
        <w:div w:id="1346709925">
          <w:marLeft w:val="0"/>
          <w:marRight w:val="0"/>
          <w:marTop w:val="0"/>
          <w:marBottom w:val="0"/>
          <w:divBdr>
            <w:top w:val="none" w:sz="0" w:space="0" w:color="auto"/>
            <w:left w:val="none" w:sz="0" w:space="0" w:color="auto"/>
            <w:bottom w:val="none" w:sz="0" w:space="0" w:color="auto"/>
            <w:right w:val="none" w:sz="0" w:space="0" w:color="auto"/>
          </w:divBdr>
        </w:div>
        <w:div w:id="1361511846">
          <w:marLeft w:val="0"/>
          <w:marRight w:val="0"/>
          <w:marTop w:val="0"/>
          <w:marBottom w:val="0"/>
          <w:divBdr>
            <w:top w:val="none" w:sz="0" w:space="0" w:color="auto"/>
            <w:left w:val="none" w:sz="0" w:space="0" w:color="auto"/>
            <w:bottom w:val="none" w:sz="0" w:space="0" w:color="auto"/>
            <w:right w:val="none" w:sz="0" w:space="0" w:color="auto"/>
          </w:divBdr>
        </w:div>
        <w:div w:id="1366753637">
          <w:marLeft w:val="0"/>
          <w:marRight w:val="0"/>
          <w:marTop w:val="0"/>
          <w:marBottom w:val="0"/>
          <w:divBdr>
            <w:top w:val="none" w:sz="0" w:space="0" w:color="auto"/>
            <w:left w:val="none" w:sz="0" w:space="0" w:color="auto"/>
            <w:bottom w:val="none" w:sz="0" w:space="0" w:color="auto"/>
            <w:right w:val="none" w:sz="0" w:space="0" w:color="auto"/>
          </w:divBdr>
        </w:div>
        <w:div w:id="1404372651">
          <w:marLeft w:val="0"/>
          <w:marRight w:val="0"/>
          <w:marTop w:val="0"/>
          <w:marBottom w:val="0"/>
          <w:divBdr>
            <w:top w:val="none" w:sz="0" w:space="0" w:color="auto"/>
            <w:left w:val="none" w:sz="0" w:space="0" w:color="auto"/>
            <w:bottom w:val="none" w:sz="0" w:space="0" w:color="auto"/>
            <w:right w:val="none" w:sz="0" w:space="0" w:color="auto"/>
          </w:divBdr>
        </w:div>
        <w:div w:id="1406293219">
          <w:marLeft w:val="0"/>
          <w:marRight w:val="0"/>
          <w:marTop w:val="0"/>
          <w:marBottom w:val="0"/>
          <w:divBdr>
            <w:top w:val="none" w:sz="0" w:space="0" w:color="auto"/>
            <w:left w:val="none" w:sz="0" w:space="0" w:color="auto"/>
            <w:bottom w:val="none" w:sz="0" w:space="0" w:color="auto"/>
            <w:right w:val="none" w:sz="0" w:space="0" w:color="auto"/>
          </w:divBdr>
        </w:div>
        <w:div w:id="1487669652">
          <w:marLeft w:val="0"/>
          <w:marRight w:val="0"/>
          <w:marTop w:val="0"/>
          <w:marBottom w:val="0"/>
          <w:divBdr>
            <w:top w:val="none" w:sz="0" w:space="0" w:color="auto"/>
            <w:left w:val="none" w:sz="0" w:space="0" w:color="auto"/>
            <w:bottom w:val="none" w:sz="0" w:space="0" w:color="auto"/>
            <w:right w:val="none" w:sz="0" w:space="0" w:color="auto"/>
          </w:divBdr>
        </w:div>
        <w:div w:id="1488669431">
          <w:marLeft w:val="0"/>
          <w:marRight w:val="0"/>
          <w:marTop w:val="0"/>
          <w:marBottom w:val="0"/>
          <w:divBdr>
            <w:top w:val="none" w:sz="0" w:space="0" w:color="auto"/>
            <w:left w:val="none" w:sz="0" w:space="0" w:color="auto"/>
            <w:bottom w:val="none" w:sz="0" w:space="0" w:color="auto"/>
            <w:right w:val="none" w:sz="0" w:space="0" w:color="auto"/>
          </w:divBdr>
        </w:div>
        <w:div w:id="1551454522">
          <w:marLeft w:val="0"/>
          <w:marRight w:val="0"/>
          <w:marTop w:val="0"/>
          <w:marBottom w:val="0"/>
          <w:divBdr>
            <w:top w:val="none" w:sz="0" w:space="0" w:color="auto"/>
            <w:left w:val="none" w:sz="0" w:space="0" w:color="auto"/>
            <w:bottom w:val="none" w:sz="0" w:space="0" w:color="auto"/>
            <w:right w:val="none" w:sz="0" w:space="0" w:color="auto"/>
          </w:divBdr>
        </w:div>
        <w:div w:id="1612587087">
          <w:marLeft w:val="0"/>
          <w:marRight w:val="0"/>
          <w:marTop w:val="0"/>
          <w:marBottom w:val="0"/>
          <w:divBdr>
            <w:top w:val="none" w:sz="0" w:space="0" w:color="auto"/>
            <w:left w:val="none" w:sz="0" w:space="0" w:color="auto"/>
            <w:bottom w:val="none" w:sz="0" w:space="0" w:color="auto"/>
            <w:right w:val="none" w:sz="0" w:space="0" w:color="auto"/>
          </w:divBdr>
        </w:div>
        <w:div w:id="1680040748">
          <w:marLeft w:val="0"/>
          <w:marRight w:val="0"/>
          <w:marTop w:val="0"/>
          <w:marBottom w:val="0"/>
          <w:divBdr>
            <w:top w:val="none" w:sz="0" w:space="0" w:color="auto"/>
            <w:left w:val="none" w:sz="0" w:space="0" w:color="auto"/>
            <w:bottom w:val="none" w:sz="0" w:space="0" w:color="auto"/>
            <w:right w:val="none" w:sz="0" w:space="0" w:color="auto"/>
          </w:divBdr>
        </w:div>
        <w:div w:id="1724711456">
          <w:marLeft w:val="0"/>
          <w:marRight w:val="0"/>
          <w:marTop w:val="0"/>
          <w:marBottom w:val="0"/>
          <w:divBdr>
            <w:top w:val="none" w:sz="0" w:space="0" w:color="auto"/>
            <w:left w:val="none" w:sz="0" w:space="0" w:color="auto"/>
            <w:bottom w:val="none" w:sz="0" w:space="0" w:color="auto"/>
            <w:right w:val="none" w:sz="0" w:space="0" w:color="auto"/>
          </w:divBdr>
        </w:div>
        <w:div w:id="1890798308">
          <w:marLeft w:val="0"/>
          <w:marRight w:val="0"/>
          <w:marTop w:val="0"/>
          <w:marBottom w:val="0"/>
          <w:divBdr>
            <w:top w:val="none" w:sz="0" w:space="0" w:color="auto"/>
            <w:left w:val="none" w:sz="0" w:space="0" w:color="auto"/>
            <w:bottom w:val="none" w:sz="0" w:space="0" w:color="auto"/>
            <w:right w:val="none" w:sz="0" w:space="0" w:color="auto"/>
          </w:divBdr>
        </w:div>
        <w:div w:id="1959606231">
          <w:marLeft w:val="0"/>
          <w:marRight w:val="0"/>
          <w:marTop w:val="0"/>
          <w:marBottom w:val="0"/>
          <w:divBdr>
            <w:top w:val="none" w:sz="0" w:space="0" w:color="auto"/>
            <w:left w:val="none" w:sz="0" w:space="0" w:color="auto"/>
            <w:bottom w:val="none" w:sz="0" w:space="0" w:color="auto"/>
            <w:right w:val="none" w:sz="0" w:space="0" w:color="auto"/>
          </w:divBdr>
        </w:div>
        <w:div w:id="2001763699">
          <w:marLeft w:val="0"/>
          <w:marRight w:val="0"/>
          <w:marTop w:val="0"/>
          <w:marBottom w:val="0"/>
          <w:divBdr>
            <w:top w:val="none" w:sz="0" w:space="0" w:color="auto"/>
            <w:left w:val="none" w:sz="0" w:space="0" w:color="auto"/>
            <w:bottom w:val="none" w:sz="0" w:space="0" w:color="auto"/>
            <w:right w:val="none" w:sz="0" w:space="0" w:color="auto"/>
          </w:divBdr>
        </w:div>
        <w:div w:id="2048791305">
          <w:marLeft w:val="0"/>
          <w:marRight w:val="0"/>
          <w:marTop w:val="0"/>
          <w:marBottom w:val="0"/>
          <w:divBdr>
            <w:top w:val="none" w:sz="0" w:space="0" w:color="auto"/>
            <w:left w:val="none" w:sz="0" w:space="0" w:color="auto"/>
            <w:bottom w:val="none" w:sz="0" w:space="0" w:color="auto"/>
            <w:right w:val="none" w:sz="0" w:space="0" w:color="auto"/>
          </w:divBdr>
        </w:div>
        <w:div w:id="2058049065">
          <w:marLeft w:val="0"/>
          <w:marRight w:val="0"/>
          <w:marTop w:val="0"/>
          <w:marBottom w:val="0"/>
          <w:divBdr>
            <w:top w:val="none" w:sz="0" w:space="0" w:color="auto"/>
            <w:left w:val="none" w:sz="0" w:space="0" w:color="auto"/>
            <w:bottom w:val="none" w:sz="0" w:space="0" w:color="auto"/>
            <w:right w:val="none" w:sz="0" w:space="0" w:color="auto"/>
          </w:divBdr>
        </w:div>
        <w:div w:id="2070227818">
          <w:marLeft w:val="0"/>
          <w:marRight w:val="0"/>
          <w:marTop w:val="0"/>
          <w:marBottom w:val="0"/>
          <w:divBdr>
            <w:top w:val="none" w:sz="0" w:space="0" w:color="auto"/>
            <w:left w:val="none" w:sz="0" w:space="0" w:color="auto"/>
            <w:bottom w:val="none" w:sz="0" w:space="0" w:color="auto"/>
            <w:right w:val="none" w:sz="0" w:space="0" w:color="auto"/>
          </w:divBdr>
        </w:div>
        <w:div w:id="2103795393">
          <w:marLeft w:val="0"/>
          <w:marRight w:val="0"/>
          <w:marTop w:val="0"/>
          <w:marBottom w:val="0"/>
          <w:divBdr>
            <w:top w:val="none" w:sz="0" w:space="0" w:color="auto"/>
            <w:left w:val="none" w:sz="0" w:space="0" w:color="auto"/>
            <w:bottom w:val="none" w:sz="0" w:space="0" w:color="auto"/>
            <w:right w:val="none" w:sz="0" w:space="0" w:color="auto"/>
          </w:divBdr>
        </w:div>
        <w:div w:id="2109502307">
          <w:marLeft w:val="0"/>
          <w:marRight w:val="0"/>
          <w:marTop w:val="0"/>
          <w:marBottom w:val="0"/>
          <w:divBdr>
            <w:top w:val="none" w:sz="0" w:space="0" w:color="auto"/>
            <w:left w:val="none" w:sz="0" w:space="0" w:color="auto"/>
            <w:bottom w:val="none" w:sz="0" w:space="0" w:color="auto"/>
            <w:right w:val="none" w:sz="0" w:space="0" w:color="auto"/>
          </w:divBdr>
        </w:div>
        <w:div w:id="2126001760">
          <w:marLeft w:val="0"/>
          <w:marRight w:val="0"/>
          <w:marTop w:val="0"/>
          <w:marBottom w:val="0"/>
          <w:divBdr>
            <w:top w:val="none" w:sz="0" w:space="0" w:color="auto"/>
            <w:left w:val="none" w:sz="0" w:space="0" w:color="auto"/>
            <w:bottom w:val="none" w:sz="0" w:space="0" w:color="auto"/>
            <w:right w:val="none" w:sz="0" w:space="0" w:color="auto"/>
          </w:divBdr>
        </w:div>
      </w:divsChild>
    </w:div>
    <w:div w:id="868224459">
      <w:bodyDiv w:val="1"/>
      <w:marLeft w:val="0"/>
      <w:marRight w:val="0"/>
      <w:marTop w:val="0"/>
      <w:marBottom w:val="0"/>
      <w:divBdr>
        <w:top w:val="none" w:sz="0" w:space="0" w:color="auto"/>
        <w:left w:val="none" w:sz="0" w:space="0" w:color="auto"/>
        <w:bottom w:val="none" w:sz="0" w:space="0" w:color="auto"/>
        <w:right w:val="none" w:sz="0" w:space="0" w:color="auto"/>
      </w:divBdr>
    </w:div>
    <w:div w:id="932199863">
      <w:bodyDiv w:val="1"/>
      <w:marLeft w:val="0"/>
      <w:marRight w:val="0"/>
      <w:marTop w:val="0"/>
      <w:marBottom w:val="0"/>
      <w:divBdr>
        <w:top w:val="none" w:sz="0" w:space="0" w:color="auto"/>
        <w:left w:val="none" w:sz="0" w:space="0" w:color="auto"/>
        <w:bottom w:val="none" w:sz="0" w:space="0" w:color="auto"/>
        <w:right w:val="none" w:sz="0" w:space="0" w:color="auto"/>
      </w:divBdr>
    </w:div>
    <w:div w:id="997000700">
      <w:bodyDiv w:val="1"/>
      <w:marLeft w:val="0"/>
      <w:marRight w:val="0"/>
      <w:marTop w:val="0"/>
      <w:marBottom w:val="0"/>
      <w:divBdr>
        <w:top w:val="none" w:sz="0" w:space="0" w:color="auto"/>
        <w:left w:val="none" w:sz="0" w:space="0" w:color="auto"/>
        <w:bottom w:val="none" w:sz="0" w:space="0" w:color="auto"/>
        <w:right w:val="none" w:sz="0" w:space="0" w:color="auto"/>
      </w:divBdr>
    </w:div>
    <w:div w:id="1032337710">
      <w:bodyDiv w:val="1"/>
      <w:marLeft w:val="0"/>
      <w:marRight w:val="0"/>
      <w:marTop w:val="0"/>
      <w:marBottom w:val="0"/>
      <w:divBdr>
        <w:top w:val="none" w:sz="0" w:space="0" w:color="auto"/>
        <w:left w:val="none" w:sz="0" w:space="0" w:color="auto"/>
        <w:bottom w:val="none" w:sz="0" w:space="0" w:color="auto"/>
        <w:right w:val="none" w:sz="0" w:space="0" w:color="auto"/>
      </w:divBdr>
      <w:divsChild>
        <w:div w:id="178086204">
          <w:marLeft w:val="0"/>
          <w:marRight w:val="0"/>
          <w:marTop w:val="0"/>
          <w:marBottom w:val="0"/>
          <w:divBdr>
            <w:top w:val="none" w:sz="0" w:space="0" w:color="auto"/>
            <w:left w:val="none" w:sz="0" w:space="0" w:color="auto"/>
            <w:bottom w:val="none" w:sz="0" w:space="0" w:color="auto"/>
            <w:right w:val="none" w:sz="0" w:space="0" w:color="auto"/>
          </w:divBdr>
          <w:divsChild>
            <w:div w:id="1290815847">
              <w:marLeft w:val="0"/>
              <w:marRight w:val="0"/>
              <w:marTop w:val="0"/>
              <w:marBottom w:val="0"/>
              <w:divBdr>
                <w:top w:val="none" w:sz="0" w:space="0" w:color="auto"/>
                <w:left w:val="none" w:sz="0" w:space="0" w:color="auto"/>
                <w:bottom w:val="none" w:sz="0" w:space="0" w:color="auto"/>
                <w:right w:val="none" w:sz="0" w:space="0" w:color="auto"/>
              </w:divBdr>
              <w:divsChild>
                <w:div w:id="16809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0919">
      <w:bodyDiv w:val="1"/>
      <w:marLeft w:val="0"/>
      <w:marRight w:val="0"/>
      <w:marTop w:val="0"/>
      <w:marBottom w:val="0"/>
      <w:divBdr>
        <w:top w:val="none" w:sz="0" w:space="0" w:color="auto"/>
        <w:left w:val="none" w:sz="0" w:space="0" w:color="auto"/>
        <w:bottom w:val="none" w:sz="0" w:space="0" w:color="auto"/>
        <w:right w:val="none" w:sz="0" w:space="0" w:color="auto"/>
      </w:divBdr>
    </w:div>
    <w:div w:id="1051928990">
      <w:bodyDiv w:val="1"/>
      <w:marLeft w:val="0"/>
      <w:marRight w:val="0"/>
      <w:marTop w:val="0"/>
      <w:marBottom w:val="0"/>
      <w:divBdr>
        <w:top w:val="none" w:sz="0" w:space="0" w:color="auto"/>
        <w:left w:val="none" w:sz="0" w:space="0" w:color="auto"/>
        <w:bottom w:val="none" w:sz="0" w:space="0" w:color="auto"/>
        <w:right w:val="none" w:sz="0" w:space="0" w:color="auto"/>
      </w:divBdr>
    </w:div>
    <w:div w:id="1086154078">
      <w:bodyDiv w:val="1"/>
      <w:marLeft w:val="0"/>
      <w:marRight w:val="0"/>
      <w:marTop w:val="0"/>
      <w:marBottom w:val="0"/>
      <w:divBdr>
        <w:top w:val="none" w:sz="0" w:space="0" w:color="auto"/>
        <w:left w:val="none" w:sz="0" w:space="0" w:color="auto"/>
        <w:bottom w:val="none" w:sz="0" w:space="0" w:color="auto"/>
        <w:right w:val="none" w:sz="0" w:space="0" w:color="auto"/>
      </w:divBdr>
      <w:divsChild>
        <w:div w:id="233127331">
          <w:marLeft w:val="0"/>
          <w:marRight w:val="0"/>
          <w:marTop w:val="0"/>
          <w:marBottom w:val="0"/>
          <w:divBdr>
            <w:top w:val="none" w:sz="0" w:space="0" w:color="auto"/>
            <w:left w:val="none" w:sz="0" w:space="0" w:color="auto"/>
            <w:bottom w:val="none" w:sz="0" w:space="0" w:color="auto"/>
            <w:right w:val="none" w:sz="0" w:space="0" w:color="auto"/>
          </w:divBdr>
        </w:div>
      </w:divsChild>
    </w:div>
    <w:div w:id="1112474831">
      <w:bodyDiv w:val="1"/>
      <w:marLeft w:val="0"/>
      <w:marRight w:val="0"/>
      <w:marTop w:val="0"/>
      <w:marBottom w:val="0"/>
      <w:divBdr>
        <w:top w:val="none" w:sz="0" w:space="0" w:color="auto"/>
        <w:left w:val="none" w:sz="0" w:space="0" w:color="auto"/>
        <w:bottom w:val="none" w:sz="0" w:space="0" w:color="auto"/>
        <w:right w:val="none" w:sz="0" w:space="0" w:color="auto"/>
      </w:divBdr>
      <w:divsChild>
        <w:div w:id="1133713665">
          <w:marLeft w:val="0"/>
          <w:marRight w:val="0"/>
          <w:marTop w:val="0"/>
          <w:marBottom w:val="0"/>
          <w:divBdr>
            <w:top w:val="none" w:sz="0" w:space="0" w:color="auto"/>
            <w:left w:val="none" w:sz="0" w:space="0" w:color="auto"/>
            <w:bottom w:val="none" w:sz="0" w:space="0" w:color="auto"/>
            <w:right w:val="none" w:sz="0" w:space="0" w:color="auto"/>
          </w:divBdr>
        </w:div>
      </w:divsChild>
    </w:div>
    <w:div w:id="1114441885">
      <w:bodyDiv w:val="1"/>
      <w:marLeft w:val="0"/>
      <w:marRight w:val="0"/>
      <w:marTop w:val="0"/>
      <w:marBottom w:val="0"/>
      <w:divBdr>
        <w:top w:val="none" w:sz="0" w:space="0" w:color="auto"/>
        <w:left w:val="none" w:sz="0" w:space="0" w:color="auto"/>
        <w:bottom w:val="none" w:sz="0" w:space="0" w:color="auto"/>
        <w:right w:val="none" w:sz="0" w:space="0" w:color="auto"/>
      </w:divBdr>
    </w:div>
    <w:div w:id="1128009252">
      <w:bodyDiv w:val="1"/>
      <w:marLeft w:val="0"/>
      <w:marRight w:val="0"/>
      <w:marTop w:val="0"/>
      <w:marBottom w:val="0"/>
      <w:divBdr>
        <w:top w:val="none" w:sz="0" w:space="0" w:color="auto"/>
        <w:left w:val="none" w:sz="0" w:space="0" w:color="auto"/>
        <w:bottom w:val="none" w:sz="0" w:space="0" w:color="auto"/>
        <w:right w:val="none" w:sz="0" w:space="0" w:color="auto"/>
      </w:divBdr>
    </w:div>
    <w:div w:id="1164779366">
      <w:bodyDiv w:val="1"/>
      <w:marLeft w:val="0"/>
      <w:marRight w:val="0"/>
      <w:marTop w:val="0"/>
      <w:marBottom w:val="0"/>
      <w:divBdr>
        <w:top w:val="none" w:sz="0" w:space="0" w:color="auto"/>
        <w:left w:val="none" w:sz="0" w:space="0" w:color="auto"/>
        <w:bottom w:val="none" w:sz="0" w:space="0" w:color="auto"/>
        <w:right w:val="none" w:sz="0" w:space="0" w:color="auto"/>
      </w:divBdr>
    </w:div>
    <w:div w:id="1175654772">
      <w:bodyDiv w:val="1"/>
      <w:marLeft w:val="0"/>
      <w:marRight w:val="0"/>
      <w:marTop w:val="0"/>
      <w:marBottom w:val="0"/>
      <w:divBdr>
        <w:top w:val="none" w:sz="0" w:space="0" w:color="auto"/>
        <w:left w:val="none" w:sz="0" w:space="0" w:color="auto"/>
        <w:bottom w:val="none" w:sz="0" w:space="0" w:color="auto"/>
        <w:right w:val="none" w:sz="0" w:space="0" w:color="auto"/>
      </w:divBdr>
      <w:divsChild>
        <w:div w:id="525220115">
          <w:marLeft w:val="0"/>
          <w:marRight w:val="0"/>
          <w:marTop w:val="0"/>
          <w:marBottom w:val="0"/>
          <w:divBdr>
            <w:top w:val="none" w:sz="0" w:space="0" w:color="auto"/>
            <w:left w:val="none" w:sz="0" w:space="0" w:color="auto"/>
            <w:bottom w:val="none" w:sz="0" w:space="0" w:color="auto"/>
            <w:right w:val="none" w:sz="0" w:space="0" w:color="auto"/>
          </w:divBdr>
        </w:div>
        <w:div w:id="596445320">
          <w:marLeft w:val="0"/>
          <w:marRight w:val="0"/>
          <w:marTop w:val="0"/>
          <w:marBottom w:val="0"/>
          <w:divBdr>
            <w:top w:val="none" w:sz="0" w:space="0" w:color="auto"/>
            <w:left w:val="none" w:sz="0" w:space="0" w:color="auto"/>
            <w:bottom w:val="none" w:sz="0" w:space="0" w:color="auto"/>
            <w:right w:val="none" w:sz="0" w:space="0" w:color="auto"/>
          </w:divBdr>
        </w:div>
      </w:divsChild>
    </w:div>
    <w:div w:id="1192305921">
      <w:bodyDiv w:val="1"/>
      <w:marLeft w:val="0"/>
      <w:marRight w:val="0"/>
      <w:marTop w:val="0"/>
      <w:marBottom w:val="0"/>
      <w:divBdr>
        <w:top w:val="none" w:sz="0" w:space="0" w:color="auto"/>
        <w:left w:val="none" w:sz="0" w:space="0" w:color="auto"/>
        <w:bottom w:val="none" w:sz="0" w:space="0" w:color="auto"/>
        <w:right w:val="none" w:sz="0" w:space="0" w:color="auto"/>
      </w:divBdr>
      <w:divsChild>
        <w:div w:id="751586982">
          <w:marLeft w:val="0"/>
          <w:marRight w:val="0"/>
          <w:marTop w:val="0"/>
          <w:marBottom w:val="0"/>
          <w:divBdr>
            <w:top w:val="none" w:sz="0" w:space="0" w:color="auto"/>
            <w:left w:val="none" w:sz="0" w:space="0" w:color="auto"/>
            <w:bottom w:val="none" w:sz="0" w:space="0" w:color="auto"/>
            <w:right w:val="none" w:sz="0" w:space="0" w:color="auto"/>
          </w:divBdr>
        </w:div>
        <w:div w:id="1846312792">
          <w:marLeft w:val="0"/>
          <w:marRight w:val="0"/>
          <w:marTop w:val="0"/>
          <w:marBottom w:val="0"/>
          <w:divBdr>
            <w:top w:val="none" w:sz="0" w:space="0" w:color="auto"/>
            <w:left w:val="none" w:sz="0" w:space="0" w:color="auto"/>
            <w:bottom w:val="none" w:sz="0" w:space="0" w:color="auto"/>
            <w:right w:val="none" w:sz="0" w:space="0" w:color="auto"/>
          </w:divBdr>
        </w:div>
        <w:div w:id="1893034968">
          <w:marLeft w:val="0"/>
          <w:marRight w:val="0"/>
          <w:marTop w:val="0"/>
          <w:marBottom w:val="0"/>
          <w:divBdr>
            <w:top w:val="none" w:sz="0" w:space="0" w:color="auto"/>
            <w:left w:val="none" w:sz="0" w:space="0" w:color="auto"/>
            <w:bottom w:val="none" w:sz="0" w:space="0" w:color="auto"/>
            <w:right w:val="none" w:sz="0" w:space="0" w:color="auto"/>
          </w:divBdr>
        </w:div>
        <w:div w:id="1927031298">
          <w:marLeft w:val="0"/>
          <w:marRight w:val="0"/>
          <w:marTop w:val="0"/>
          <w:marBottom w:val="0"/>
          <w:divBdr>
            <w:top w:val="none" w:sz="0" w:space="0" w:color="auto"/>
            <w:left w:val="none" w:sz="0" w:space="0" w:color="auto"/>
            <w:bottom w:val="none" w:sz="0" w:space="0" w:color="auto"/>
            <w:right w:val="none" w:sz="0" w:space="0" w:color="auto"/>
          </w:divBdr>
        </w:div>
      </w:divsChild>
    </w:div>
    <w:div w:id="1197305670">
      <w:bodyDiv w:val="1"/>
      <w:marLeft w:val="0"/>
      <w:marRight w:val="0"/>
      <w:marTop w:val="0"/>
      <w:marBottom w:val="0"/>
      <w:divBdr>
        <w:top w:val="none" w:sz="0" w:space="0" w:color="auto"/>
        <w:left w:val="none" w:sz="0" w:space="0" w:color="auto"/>
        <w:bottom w:val="none" w:sz="0" w:space="0" w:color="auto"/>
        <w:right w:val="none" w:sz="0" w:space="0" w:color="auto"/>
      </w:divBdr>
      <w:divsChild>
        <w:div w:id="1417358122">
          <w:marLeft w:val="0"/>
          <w:marRight w:val="0"/>
          <w:marTop w:val="0"/>
          <w:marBottom w:val="0"/>
          <w:divBdr>
            <w:top w:val="none" w:sz="0" w:space="0" w:color="auto"/>
            <w:left w:val="none" w:sz="0" w:space="0" w:color="auto"/>
            <w:bottom w:val="none" w:sz="0" w:space="0" w:color="auto"/>
            <w:right w:val="none" w:sz="0" w:space="0" w:color="auto"/>
          </w:divBdr>
        </w:div>
        <w:div w:id="1646742205">
          <w:marLeft w:val="0"/>
          <w:marRight w:val="0"/>
          <w:marTop w:val="0"/>
          <w:marBottom w:val="0"/>
          <w:divBdr>
            <w:top w:val="none" w:sz="0" w:space="0" w:color="auto"/>
            <w:left w:val="none" w:sz="0" w:space="0" w:color="auto"/>
            <w:bottom w:val="none" w:sz="0" w:space="0" w:color="auto"/>
            <w:right w:val="none" w:sz="0" w:space="0" w:color="auto"/>
          </w:divBdr>
        </w:div>
      </w:divsChild>
    </w:div>
    <w:div w:id="1198085259">
      <w:bodyDiv w:val="1"/>
      <w:marLeft w:val="0"/>
      <w:marRight w:val="0"/>
      <w:marTop w:val="0"/>
      <w:marBottom w:val="0"/>
      <w:divBdr>
        <w:top w:val="none" w:sz="0" w:space="0" w:color="auto"/>
        <w:left w:val="none" w:sz="0" w:space="0" w:color="auto"/>
        <w:bottom w:val="none" w:sz="0" w:space="0" w:color="auto"/>
        <w:right w:val="none" w:sz="0" w:space="0" w:color="auto"/>
      </w:divBdr>
    </w:div>
    <w:div w:id="1204713609">
      <w:bodyDiv w:val="1"/>
      <w:marLeft w:val="0"/>
      <w:marRight w:val="0"/>
      <w:marTop w:val="0"/>
      <w:marBottom w:val="0"/>
      <w:divBdr>
        <w:top w:val="none" w:sz="0" w:space="0" w:color="auto"/>
        <w:left w:val="none" w:sz="0" w:space="0" w:color="auto"/>
        <w:bottom w:val="none" w:sz="0" w:space="0" w:color="auto"/>
        <w:right w:val="none" w:sz="0" w:space="0" w:color="auto"/>
      </w:divBdr>
    </w:div>
    <w:div w:id="1209491484">
      <w:bodyDiv w:val="1"/>
      <w:marLeft w:val="0"/>
      <w:marRight w:val="0"/>
      <w:marTop w:val="0"/>
      <w:marBottom w:val="0"/>
      <w:divBdr>
        <w:top w:val="none" w:sz="0" w:space="0" w:color="auto"/>
        <w:left w:val="none" w:sz="0" w:space="0" w:color="auto"/>
        <w:bottom w:val="none" w:sz="0" w:space="0" w:color="auto"/>
        <w:right w:val="none" w:sz="0" w:space="0" w:color="auto"/>
      </w:divBdr>
      <w:divsChild>
        <w:div w:id="395512361">
          <w:marLeft w:val="0"/>
          <w:marRight w:val="0"/>
          <w:marTop w:val="0"/>
          <w:marBottom w:val="0"/>
          <w:divBdr>
            <w:top w:val="none" w:sz="0" w:space="0" w:color="auto"/>
            <w:left w:val="none" w:sz="0" w:space="0" w:color="auto"/>
            <w:bottom w:val="none" w:sz="0" w:space="0" w:color="auto"/>
            <w:right w:val="none" w:sz="0" w:space="0" w:color="auto"/>
          </w:divBdr>
        </w:div>
      </w:divsChild>
    </w:div>
    <w:div w:id="1221211077">
      <w:bodyDiv w:val="1"/>
      <w:marLeft w:val="0"/>
      <w:marRight w:val="0"/>
      <w:marTop w:val="0"/>
      <w:marBottom w:val="0"/>
      <w:divBdr>
        <w:top w:val="none" w:sz="0" w:space="0" w:color="auto"/>
        <w:left w:val="none" w:sz="0" w:space="0" w:color="auto"/>
        <w:bottom w:val="none" w:sz="0" w:space="0" w:color="auto"/>
        <w:right w:val="none" w:sz="0" w:space="0" w:color="auto"/>
      </w:divBdr>
    </w:div>
    <w:div w:id="1228152466">
      <w:bodyDiv w:val="1"/>
      <w:marLeft w:val="0"/>
      <w:marRight w:val="0"/>
      <w:marTop w:val="0"/>
      <w:marBottom w:val="0"/>
      <w:divBdr>
        <w:top w:val="none" w:sz="0" w:space="0" w:color="auto"/>
        <w:left w:val="none" w:sz="0" w:space="0" w:color="auto"/>
        <w:bottom w:val="none" w:sz="0" w:space="0" w:color="auto"/>
        <w:right w:val="none" w:sz="0" w:space="0" w:color="auto"/>
      </w:divBdr>
    </w:div>
    <w:div w:id="1244101300">
      <w:bodyDiv w:val="1"/>
      <w:marLeft w:val="0"/>
      <w:marRight w:val="0"/>
      <w:marTop w:val="0"/>
      <w:marBottom w:val="0"/>
      <w:divBdr>
        <w:top w:val="none" w:sz="0" w:space="0" w:color="auto"/>
        <w:left w:val="none" w:sz="0" w:space="0" w:color="auto"/>
        <w:bottom w:val="none" w:sz="0" w:space="0" w:color="auto"/>
        <w:right w:val="none" w:sz="0" w:space="0" w:color="auto"/>
      </w:divBdr>
    </w:div>
    <w:div w:id="1253318843">
      <w:bodyDiv w:val="1"/>
      <w:marLeft w:val="0"/>
      <w:marRight w:val="0"/>
      <w:marTop w:val="0"/>
      <w:marBottom w:val="0"/>
      <w:divBdr>
        <w:top w:val="none" w:sz="0" w:space="0" w:color="auto"/>
        <w:left w:val="none" w:sz="0" w:space="0" w:color="auto"/>
        <w:bottom w:val="none" w:sz="0" w:space="0" w:color="auto"/>
        <w:right w:val="none" w:sz="0" w:space="0" w:color="auto"/>
      </w:divBdr>
    </w:div>
    <w:div w:id="1261716787">
      <w:bodyDiv w:val="1"/>
      <w:marLeft w:val="0"/>
      <w:marRight w:val="0"/>
      <w:marTop w:val="0"/>
      <w:marBottom w:val="0"/>
      <w:divBdr>
        <w:top w:val="none" w:sz="0" w:space="0" w:color="auto"/>
        <w:left w:val="none" w:sz="0" w:space="0" w:color="auto"/>
        <w:bottom w:val="none" w:sz="0" w:space="0" w:color="auto"/>
        <w:right w:val="none" w:sz="0" w:space="0" w:color="auto"/>
      </w:divBdr>
      <w:divsChild>
        <w:div w:id="1160998575">
          <w:marLeft w:val="0"/>
          <w:marRight w:val="0"/>
          <w:marTop w:val="0"/>
          <w:marBottom w:val="0"/>
          <w:divBdr>
            <w:top w:val="none" w:sz="0" w:space="0" w:color="auto"/>
            <w:left w:val="none" w:sz="0" w:space="0" w:color="auto"/>
            <w:bottom w:val="none" w:sz="0" w:space="0" w:color="auto"/>
            <w:right w:val="none" w:sz="0" w:space="0" w:color="auto"/>
          </w:divBdr>
        </w:div>
      </w:divsChild>
    </w:div>
    <w:div w:id="1293249551">
      <w:bodyDiv w:val="1"/>
      <w:marLeft w:val="0"/>
      <w:marRight w:val="0"/>
      <w:marTop w:val="0"/>
      <w:marBottom w:val="0"/>
      <w:divBdr>
        <w:top w:val="none" w:sz="0" w:space="0" w:color="auto"/>
        <w:left w:val="none" w:sz="0" w:space="0" w:color="auto"/>
        <w:bottom w:val="none" w:sz="0" w:space="0" w:color="auto"/>
        <w:right w:val="none" w:sz="0" w:space="0" w:color="auto"/>
      </w:divBdr>
    </w:div>
    <w:div w:id="1315797313">
      <w:bodyDiv w:val="1"/>
      <w:marLeft w:val="0"/>
      <w:marRight w:val="0"/>
      <w:marTop w:val="0"/>
      <w:marBottom w:val="0"/>
      <w:divBdr>
        <w:top w:val="none" w:sz="0" w:space="0" w:color="auto"/>
        <w:left w:val="none" w:sz="0" w:space="0" w:color="auto"/>
        <w:bottom w:val="none" w:sz="0" w:space="0" w:color="auto"/>
        <w:right w:val="none" w:sz="0" w:space="0" w:color="auto"/>
      </w:divBdr>
      <w:divsChild>
        <w:div w:id="449740170">
          <w:marLeft w:val="0"/>
          <w:marRight w:val="0"/>
          <w:marTop w:val="0"/>
          <w:marBottom w:val="0"/>
          <w:divBdr>
            <w:top w:val="none" w:sz="0" w:space="0" w:color="auto"/>
            <w:left w:val="none" w:sz="0" w:space="0" w:color="auto"/>
            <w:bottom w:val="none" w:sz="0" w:space="0" w:color="auto"/>
            <w:right w:val="none" w:sz="0" w:space="0" w:color="auto"/>
          </w:divBdr>
        </w:div>
      </w:divsChild>
    </w:div>
    <w:div w:id="1319773337">
      <w:bodyDiv w:val="1"/>
      <w:marLeft w:val="0"/>
      <w:marRight w:val="0"/>
      <w:marTop w:val="0"/>
      <w:marBottom w:val="0"/>
      <w:divBdr>
        <w:top w:val="none" w:sz="0" w:space="0" w:color="auto"/>
        <w:left w:val="none" w:sz="0" w:space="0" w:color="auto"/>
        <w:bottom w:val="none" w:sz="0" w:space="0" w:color="auto"/>
        <w:right w:val="none" w:sz="0" w:space="0" w:color="auto"/>
      </w:divBdr>
    </w:div>
    <w:div w:id="1326711596">
      <w:bodyDiv w:val="1"/>
      <w:marLeft w:val="0"/>
      <w:marRight w:val="0"/>
      <w:marTop w:val="0"/>
      <w:marBottom w:val="0"/>
      <w:divBdr>
        <w:top w:val="none" w:sz="0" w:space="0" w:color="auto"/>
        <w:left w:val="none" w:sz="0" w:space="0" w:color="auto"/>
        <w:bottom w:val="none" w:sz="0" w:space="0" w:color="auto"/>
        <w:right w:val="none" w:sz="0" w:space="0" w:color="auto"/>
      </w:divBdr>
      <w:divsChild>
        <w:div w:id="1218785178">
          <w:marLeft w:val="0"/>
          <w:marRight w:val="0"/>
          <w:marTop w:val="0"/>
          <w:marBottom w:val="0"/>
          <w:divBdr>
            <w:top w:val="none" w:sz="0" w:space="0" w:color="auto"/>
            <w:left w:val="none" w:sz="0" w:space="0" w:color="auto"/>
            <w:bottom w:val="none" w:sz="0" w:space="0" w:color="auto"/>
            <w:right w:val="none" w:sz="0" w:space="0" w:color="auto"/>
          </w:divBdr>
        </w:div>
      </w:divsChild>
    </w:div>
    <w:div w:id="1335377412">
      <w:bodyDiv w:val="1"/>
      <w:marLeft w:val="0"/>
      <w:marRight w:val="0"/>
      <w:marTop w:val="0"/>
      <w:marBottom w:val="0"/>
      <w:divBdr>
        <w:top w:val="none" w:sz="0" w:space="0" w:color="auto"/>
        <w:left w:val="none" w:sz="0" w:space="0" w:color="auto"/>
        <w:bottom w:val="none" w:sz="0" w:space="0" w:color="auto"/>
        <w:right w:val="none" w:sz="0" w:space="0" w:color="auto"/>
      </w:divBdr>
      <w:divsChild>
        <w:div w:id="264579377">
          <w:marLeft w:val="0"/>
          <w:marRight w:val="0"/>
          <w:marTop w:val="0"/>
          <w:marBottom w:val="0"/>
          <w:divBdr>
            <w:top w:val="none" w:sz="0" w:space="0" w:color="auto"/>
            <w:left w:val="none" w:sz="0" w:space="0" w:color="auto"/>
            <w:bottom w:val="none" w:sz="0" w:space="0" w:color="auto"/>
            <w:right w:val="none" w:sz="0" w:space="0" w:color="auto"/>
          </w:divBdr>
        </w:div>
      </w:divsChild>
    </w:div>
    <w:div w:id="1350718842">
      <w:bodyDiv w:val="1"/>
      <w:marLeft w:val="0"/>
      <w:marRight w:val="0"/>
      <w:marTop w:val="0"/>
      <w:marBottom w:val="0"/>
      <w:divBdr>
        <w:top w:val="none" w:sz="0" w:space="0" w:color="auto"/>
        <w:left w:val="none" w:sz="0" w:space="0" w:color="auto"/>
        <w:bottom w:val="none" w:sz="0" w:space="0" w:color="auto"/>
        <w:right w:val="none" w:sz="0" w:space="0" w:color="auto"/>
      </w:divBdr>
    </w:div>
    <w:div w:id="1355494119">
      <w:bodyDiv w:val="1"/>
      <w:marLeft w:val="0"/>
      <w:marRight w:val="0"/>
      <w:marTop w:val="0"/>
      <w:marBottom w:val="0"/>
      <w:divBdr>
        <w:top w:val="none" w:sz="0" w:space="0" w:color="auto"/>
        <w:left w:val="none" w:sz="0" w:space="0" w:color="auto"/>
        <w:bottom w:val="none" w:sz="0" w:space="0" w:color="auto"/>
        <w:right w:val="none" w:sz="0" w:space="0" w:color="auto"/>
      </w:divBdr>
    </w:div>
    <w:div w:id="1375613762">
      <w:bodyDiv w:val="1"/>
      <w:marLeft w:val="0"/>
      <w:marRight w:val="0"/>
      <w:marTop w:val="0"/>
      <w:marBottom w:val="0"/>
      <w:divBdr>
        <w:top w:val="none" w:sz="0" w:space="0" w:color="auto"/>
        <w:left w:val="none" w:sz="0" w:space="0" w:color="auto"/>
        <w:bottom w:val="none" w:sz="0" w:space="0" w:color="auto"/>
        <w:right w:val="none" w:sz="0" w:space="0" w:color="auto"/>
      </w:divBdr>
    </w:div>
    <w:div w:id="1401095555">
      <w:bodyDiv w:val="1"/>
      <w:marLeft w:val="0"/>
      <w:marRight w:val="0"/>
      <w:marTop w:val="0"/>
      <w:marBottom w:val="0"/>
      <w:divBdr>
        <w:top w:val="none" w:sz="0" w:space="0" w:color="auto"/>
        <w:left w:val="none" w:sz="0" w:space="0" w:color="auto"/>
        <w:bottom w:val="none" w:sz="0" w:space="0" w:color="auto"/>
        <w:right w:val="none" w:sz="0" w:space="0" w:color="auto"/>
      </w:divBdr>
    </w:div>
    <w:div w:id="1429539600">
      <w:bodyDiv w:val="1"/>
      <w:marLeft w:val="0"/>
      <w:marRight w:val="0"/>
      <w:marTop w:val="0"/>
      <w:marBottom w:val="0"/>
      <w:divBdr>
        <w:top w:val="none" w:sz="0" w:space="0" w:color="auto"/>
        <w:left w:val="none" w:sz="0" w:space="0" w:color="auto"/>
        <w:bottom w:val="none" w:sz="0" w:space="0" w:color="auto"/>
        <w:right w:val="none" w:sz="0" w:space="0" w:color="auto"/>
      </w:divBdr>
    </w:div>
    <w:div w:id="1483815278">
      <w:bodyDiv w:val="1"/>
      <w:marLeft w:val="0"/>
      <w:marRight w:val="0"/>
      <w:marTop w:val="0"/>
      <w:marBottom w:val="0"/>
      <w:divBdr>
        <w:top w:val="none" w:sz="0" w:space="0" w:color="auto"/>
        <w:left w:val="none" w:sz="0" w:space="0" w:color="auto"/>
        <w:bottom w:val="none" w:sz="0" w:space="0" w:color="auto"/>
        <w:right w:val="none" w:sz="0" w:space="0" w:color="auto"/>
      </w:divBdr>
      <w:divsChild>
        <w:div w:id="893154839">
          <w:marLeft w:val="0"/>
          <w:marRight w:val="0"/>
          <w:marTop w:val="0"/>
          <w:marBottom w:val="0"/>
          <w:divBdr>
            <w:top w:val="none" w:sz="0" w:space="0" w:color="auto"/>
            <w:left w:val="none" w:sz="0" w:space="0" w:color="auto"/>
            <w:bottom w:val="none" w:sz="0" w:space="0" w:color="auto"/>
            <w:right w:val="none" w:sz="0" w:space="0" w:color="auto"/>
          </w:divBdr>
        </w:div>
        <w:div w:id="1847549537">
          <w:marLeft w:val="0"/>
          <w:marRight w:val="0"/>
          <w:marTop w:val="0"/>
          <w:marBottom w:val="0"/>
          <w:divBdr>
            <w:top w:val="none" w:sz="0" w:space="0" w:color="auto"/>
            <w:left w:val="none" w:sz="0" w:space="0" w:color="auto"/>
            <w:bottom w:val="none" w:sz="0" w:space="0" w:color="auto"/>
            <w:right w:val="none" w:sz="0" w:space="0" w:color="auto"/>
          </w:divBdr>
        </w:div>
      </w:divsChild>
    </w:div>
    <w:div w:id="1485974030">
      <w:bodyDiv w:val="1"/>
      <w:marLeft w:val="0"/>
      <w:marRight w:val="0"/>
      <w:marTop w:val="0"/>
      <w:marBottom w:val="0"/>
      <w:divBdr>
        <w:top w:val="none" w:sz="0" w:space="0" w:color="auto"/>
        <w:left w:val="none" w:sz="0" w:space="0" w:color="auto"/>
        <w:bottom w:val="none" w:sz="0" w:space="0" w:color="auto"/>
        <w:right w:val="none" w:sz="0" w:space="0" w:color="auto"/>
      </w:divBdr>
    </w:div>
    <w:div w:id="1502819609">
      <w:bodyDiv w:val="1"/>
      <w:marLeft w:val="0"/>
      <w:marRight w:val="0"/>
      <w:marTop w:val="0"/>
      <w:marBottom w:val="0"/>
      <w:divBdr>
        <w:top w:val="none" w:sz="0" w:space="0" w:color="auto"/>
        <w:left w:val="none" w:sz="0" w:space="0" w:color="auto"/>
        <w:bottom w:val="none" w:sz="0" w:space="0" w:color="auto"/>
        <w:right w:val="none" w:sz="0" w:space="0" w:color="auto"/>
      </w:divBdr>
    </w:div>
    <w:div w:id="1507094579">
      <w:bodyDiv w:val="1"/>
      <w:marLeft w:val="0"/>
      <w:marRight w:val="0"/>
      <w:marTop w:val="0"/>
      <w:marBottom w:val="0"/>
      <w:divBdr>
        <w:top w:val="none" w:sz="0" w:space="0" w:color="auto"/>
        <w:left w:val="none" w:sz="0" w:space="0" w:color="auto"/>
        <w:bottom w:val="none" w:sz="0" w:space="0" w:color="auto"/>
        <w:right w:val="none" w:sz="0" w:space="0" w:color="auto"/>
      </w:divBdr>
    </w:div>
    <w:div w:id="1511794786">
      <w:bodyDiv w:val="1"/>
      <w:marLeft w:val="0"/>
      <w:marRight w:val="0"/>
      <w:marTop w:val="0"/>
      <w:marBottom w:val="0"/>
      <w:divBdr>
        <w:top w:val="none" w:sz="0" w:space="0" w:color="auto"/>
        <w:left w:val="none" w:sz="0" w:space="0" w:color="auto"/>
        <w:bottom w:val="none" w:sz="0" w:space="0" w:color="auto"/>
        <w:right w:val="none" w:sz="0" w:space="0" w:color="auto"/>
      </w:divBdr>
    </w:div>
    <w:div w:id="1524398548">
      <w:bodyDiv w:val="1"/>
      <w:marLeft w:val="0"/>
      <w:marRight w:val="0"/>
      <w:marTop w:val="0"/>
      <w:marBottom w:val="0"/>
      <w:divBdr>
        <w:top w:val="none" w:sz="0" w:space="0" w:color="auto"/>
        <w:left w:val="none" w:sz="0" w:space="0" w:color="auto"/>
        <w:bottom w:val="none" w:sz="0" w:space="0" w:color="auto"/>
        <w:right w:val="none" w:sz="0" w:space="0" w:color="auto"/>
      </w:divBdr>
    </w:div>
    <w:div w:id="1534270347">
      <w:bodyDiv w:val="1"/>
      <w:marLeft w:val="0"/>
      <w:marRight w:val="0"/>
      <w:marTop w:val="0"/>
      <w:marBottom w:val="0"/>
      <w:divBdr>
        <w:top w:val="none" w:sz="0" w:space="0" w:color="auto"/>
        <w:left w:val="none" w:sz="0" w:space="0" w:color="auto"/>
        <w:bottom w:val="none" w:sz="0" w:space="0" w:color="auto"/>
        <w:right w:val="none" w:sz="0" w:space="0" w:color="auto"/>
      </w:divBdr>
      <w:divsChild>
        <w:div w:id="454372654">
          <w:marLeft w:val="0"/>
          <w:marRight w:val="0"/>
          <w:marTop w:val="0"/>
          <w:marBottom w:val="0"/>
          <w:divBdr>
            <w:top w:val="none" w:sz="0" w:space="0" w:color="auto"/>
            <w:left w:val="none" w:sz="0" w:space="0" w:color="auto"/>
            <w:bottom w:val="none" w:sz="0" w:space="0" w:color="auto"/>
            <w:right w:val="none" w:sz="0" w:space="0" w:color="auto"/>
          </w:divBdr>
        </w:div>
      </w:divsChild>
    </w:div>
    <w:div w:id="1535967900">
      <w:bodyDiv w:val="1"/>
      <w:marLeft w:val="0"/>
      <w:marRight w:val="0"/>
      <w:marTop w:val="0"/>
      <w:marBottom w:val="0"/>
      <w:divBdr>
        <w:top w:val="none" w:sz="0" w:space="0" w:color="auto"/>
        <w:left w:val="none" w:sz="0" w:space="0" w:color="auto"/>
        <w:bottom w:val="none" w:sz="0" w:space="0" w:color="auto"/>
        <w:right w:val="none" w:sz="0" w:space="0" w:color="auto"/>
      </w:divBdr>
      <w:divsChild>
        <w:div w:id="444545385">
          <w:marLeft w:val="0"/>
          <w:marRight w:val="0"/>
          <w:marTop w:val="0"/>
          <w:marBottom w:val="0"/>
          <w:divBdr>
            <w:top w:val="none" w:sz="0" w:space="0" w:color="auto"/>
            <w:left w:val="none" w:sz="0" w:space="0" w:color="auto"/>
            <w:bottom w:val="none" w:sz="0" w:space="0" w:color="auto"/>
            <w:right w:val="none" w:sz="0" w:space="0" w:color="auto"/>
          </w:divBdr>
          <w:divsChild>
            <w:div w:id="631322842">
              <w:marLeft w:val="0"/>
              <w:marRight w:val="0"/>
              <w:marTop w:val="0"/>
              <w:marBottom w:val="0"/>
              <w:divBdr>
                <w:top w:val="none" w:sz="0" w:space="0" w:color="auto"/>
                <w:left w:val="none" w:sz="0" w:space="0" w:color="auto"/>
                <w:bottom w:val="none" w:sz="0" w:space="0" w:color="auto"/>
                <w:right w:val="none" w:sz="0" w:space="0" w:color="auto"/>
              </w:divBdr>
              <w:divsChild>
                <w:div w:id="18633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2337">
      <w:bodyDiv w:val="1"/>
      <w:marLeft w:val="0"/>
      <w:marRight w:val="0"/>
      <w:marTop w:val="0"/>
      <w:marBottom w:val="0"/>
      <w:divBdr>
        <w:top w:val="none" w:sz="0" w:space="0" w:color="auto"/>
        <w:left w:val="none" w:sz="0" w:space="0" w:color="auto"/>
        <w:bottom w:val="none" w:sz="0" w:space="0" w:color="auto"/>
        <w:right w:val="none" w:sz="0" w:space="0" w:color="auto"/>
      </w:divBdr>
    </w:div>
    <w:div w:id="1570076162">
      <w:bodyDiv w:val="1"/>
      <w:marLeft w:val="0"/>
      <w:marRight w:val="0"/>
      <w:marTop w:val="0"/>
      <w:marBottom w:val="0"/>
      <w:divBdr>
        <w:top w:val="none" w:sz="0" w:space="0" w:color="auto"/>
        <w:left w:val="none" w:sz="0" w:space="0" w:color="auto"/>
        <w:bottom w:val="none" w:sz="0" w:space="0" w:color="auto"/>
        <w:right w:val="none" w:sz="0" w:space="0" w:color="auto"/>
      </w:divBdr>
      <w:divsChild>
        <w:div w:id="69086634">
          <w:marLeft w:val="0"/>
          <w:marRight w:val="0"/>
          <w:marTop w:val="0"/>
          <w:marBottom w:val="0"/>
          <w:divBdr>
            <w:top w:val="none" w:sz="0" w:space="0" w:color="auto"/>
            <w:left w:val="none" w:sz="0" w:space="0" w:color="auto"/>
            <w:bottom w:val="none" w:sz="0" w:space="0" w:color="auto"/>
            <w:right w:val="none" w:sz="0" w:space="0" w:color="auto"/>
          </w:divBdr>
        </w:div>
      </w:divsChild>
    </w:div>
    <w:div w:id="1607882602">
      <w:bodyDiv w:val="1"/>
      <w:marLeft w:val="0"/>
      <w:marRight w:val="0"/>
      <w:marTop w:val="0"/>
      <w:marBottom w:val="0"/>
      <w:divBdr>
        <w:top w:val="none" w:sz="0" w:space="0" w:color="auto"/>
        <w:left w:val="none" w:sz="0" w:space="0" w:color="auto"/>
        <w:bottom w:val="none" w:sz="0" w:space="0" w:color="auto"/>
        <w:right w:val="none" w:sz="0" w:space="0" w:color="auto"/>
      </w:divBdr>
    </w:div>
    <w:div w:id="1613508679">
      <w:bodyDiv w:val="1"/>
      <w:marLeft w:val="0"/>
      <w:marRight w:val="0"/>
      <w:marTop w:val="0"/>
      <w:marBottom w:val="0"/>
      <w:divBdr>
        <w:top w:val="none" w:sz="0" w:space="0" w:color="auto"/>
        <w:left w:val="none" w:sz="0" w:space="0" w:color="auto"/>
        <w:bottom w:val="none" w:sz="0" w:space="0" w:color="auto"/>
        <w:right w:val="none" w:sz="0" w:space="0" w:color="auto"/>
      </w:divBdr>
      <w:divsChild>
        <w:div w:id="648049711">
          <w:marLeft w:val="0"/>
          <w:marRight w:val="0"/>
          <w:marTop w:val="0"/>
          <w:marBottom w:val="0"/>
          <w:divBdr>
            <w:top w:val="none" w:sz="0" w:space="0" w:color="auto"/>
            <w:left w:val="none" w:sz="0" w:space="0" w:color="auto"/>
            <w:bottom w:val="none" w:sz="0" w:space="0" w:color="auto"/>
            <w:right w:val="none" w:sz="0" w:space="0" w:color="auto"/>
          </w:divBdr>
        </w:div>
      </w:divsChild>
    </w:div>
    <w:div w:id="1630672883">
      <w:bodyDiv w:val="1"/>
      <w:marLeft w:val="0"/>
      <w:marRight w:val="0"/>
      <w:marTop w:val="0"/>
      <w:marBottom w:val="0"/>
      <w:divBdr>
        <w:top w:val="none" w:sz="0" w:space="0" w:color="auto"/>
        <w:left w:val="none" w:sz="0" w:space="0" w:color="auto"/>
        <w:bottom w:val="none" w:sz="0" w:space="0" w:color="auto"/>
        <w:right w:val="none" w:sz="0" w:space="0" w:color="auto"/>
      </w:divBdr>
      <w:divsChild>
        <w:div w:id="89550808">
          <w:marLeft w:val="0"/>
          <w:marRight w:val="0"/>
          <w:marTop w:val="0"/>
          <w:marBottom w:val="0"/>
          <w:divBdr>
            <w:top w:val="none" w:sz="0" w:space="0" w:color="auto"/>
            <w:left w:val="none" w:sz="0" w:space="0" w:color="auto"/>
            <w:bottom w:val="none" w:sz="0" w:space="0" w:color="auto"/>
            <w:right w:val="none" w:sz="0" w:space="0" w:color="auto"/>
          </w:divBdr>
          <w:divsChild>
            <w:div w:id="418403387">
              <w:marLeft w:val="0"/>
              <w:marRight w:val="0"/>
              <w:marTop w:val="0"/>
              <w:marBottom w:val="0"/>
              <w:divBdr>
                <w:top w:val="none" w:sz="0" w:space="0" w:color="auto"/>
                <w:left w:val="none" w:sz="0" w:space="0" w:color="auto"/>
                <w:bottom w:val="none" w:sz="0" w:space="0" w:color="auto"/>
                <w:right w:val="none" w:sz="0" w:space="0" w:color="auto"/>
              </w:divBdr>
              <w:divsChild>
                <w:div w:id="1283224348">
                  <w:marLeft w:val="0"/>
                  <w:marRight w:val="0"/>
                  <w:marTop w:val="0"/>
                  <w:marBottom w:val="0"/>
                  <w:divBdr>
                    <w:top w:val="none" w:sz="0" w:space="0" w:color="auto"/>
                    <w:left w:val="none" w:sz="0" w:space="0" w:color="auto"/>
                    <w:bottom w:val="none" w:sz="0" w:space="0" w:color="auto"/>
                    <w:right w:val="none" w:sz="0" w:space="0" w:color="auto"/>
                  </w:divBdr>
                  <w:divsChild>
                    <w:div w:id="5473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5624">
          <w:marLeft w:val="0"/>
          <w:marRight w:val="0"/>
          <w:marTop w:val="0"/>
          <w:marBottom w:val="0"/>
          <w:divBdr>
            <w:top w:val="none" w:sz="0" w:space="0" w:color="auto"/>
            <w:left w:val="none" w:sz="0" w:space="0" w:color="auto"/>
            <w:bottom w:val="none" w:sz="0" w:space="0" w:color="auto"/>
            <w:right w:val="none" w:sz="0" w:space="0" w:color="auto"/>
          </w:divBdr>
          <w:divsChild>
            <w:div w:id="897784379">
              <w:marLeft w:val="0"/>
              <w:marRight w:val="0"/>
              <w:marTop w:val="0"/>
              <w:marBottom w:val="0"/>
              <w:divBdr>
                <w:top w:val="none" w:sz="0" w:space="0" w:color="auto"/>
                <w:left w:val="none" w:sz="0" w:space="0" w:color="auto"/>
                <w:bottom w:val="none" w:sz="0" w:space="0" w:color="auto"/>
                <w:right w:val="none" w:sz="0" w:space="0" w:color="auto"/>
              </w:divBdr>
              <w:divsChild>
                <w:div w:id="453452510">
                  <w:marLeft w:val="0"/>
                  <w:marRight w:val="0"/>
                  <w:marTop w:val="0"/>
                  <w:marBottom w:val="0"/>
                  <w:divBdr>
                    <w:top w:val="none" w:sz="0" w:space="0" w:color="auto"/>
                    <w:left w:val="none" w:sz="0" w:space="0" w:color="auto"/>
                    <w:bottom w:val="none" w:sz="0" w:space="0" w:color="auto"/>
                    <w:right w:val="none" w:sz="0" w:space="0" w:color="auto"/>
                  </w:divBdr>
                  <w:divsChild>
                    <w:div w:id="14724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73634">
      <w:bodyDiv w:val="1"/>
      <w:marLeft w:val="0"/>
      <w:marRight w:val="0"/>
      <w:marTop w:val="0"/>
      <w:marBottom w:val="0"/>
      <w:divBdr>
        <w:top w:val="none" w:sz="0" w:space="0" w:color="auto"/>
        <w:left w:val="none" w:sz="0" w:space="0" w:color="auto"/>
        <w:bottom w:val="none" w:sz="0" w:space="0" w:color="auto"/>
        <w:right w:val="none" w:sz="0" w:space="0" w:color="auto"/>
      </w:divBdr>
      <w:divsChild>
        <w:div w:id="1712266711">
          <w:marLeft w:val="0"/>
          <w:marRight w:val="0"/>
          <w:marTop w:val="0"/>
          <w:marBottom w:val="0"/>
          <w:divBdr>
            <w:top w:val="none" w:sz="0" w:space="0" w:color="auto"/>
            <w:left w:val="none" w:sz="0" w:space="0" w:color="auto"/>
            <w:bottom w:val="none" w:sz="0" w:space="0" w:color="auto"/>
            <w:right w:val="none" w:sz="0" w:space="0" w:color="auto"/>
          </w:divBdr>
        </w:div>
      </w:divsChild>
    </w:div>
    <w:div w:id="1649942297">
      <w:bodyDiv w:val="1"/>
      <w:marLeft w:val="0"/>
      <w:marRight w:val="0"/>
      <w:marTop w:val="0"/>
      <w:marBottom w:val="0"/>
      <w:divBdr>
        <w:top w:val="none" w:sz="0" w:space="0" w:color="auto"/>
        <w:left w:val="none" w:sz="0" w:space="0" w:color="auto"/>
        <w:bottom w:val="none" w:sz="0" w:space="0" w:color="auto"/>
        <w:right w:val="none" w:sz="0" w:space="0" w:color="auto"/>
      </w:divBdr>
    </w:div>
    <w:div w:id="1659113479">
      <w:bodyDiv w:val="1"/>
      <w:marLeft w:val="0"/>
      <w:marRight w:val="0"/>
      <w:marTop w:val="0"/>
      <w:marBottom w:val="0"/>
      <w:divBdr>
        <w:top w:val="none" w:sz="0" w:space="0" w:color="auto"/>
        <w:left w:val="none" w:sz="0" w:space="0" w:color="auto"/>
        <w:bottom w:val="none" w:sz="0" w:space="0" w:color="auto"/>
        <w:right w:val="none" w:sz="0" w:space="0" w:color="auto"/>
      </w:divBdr>
      <w:divsChild>
        <w:div w:id="118375038">
          <w:marLeft w:val="0"/>
          <w:marRight w:val="0"/>
          <w:marTop w:val="0"/>
          <w:marBottom w:val="0"/>
          <w:divBdr>
            <w:top w:val="none" w:sz="0" w:space="0" w:color="auto"/>
            <w:left w:val="none" w:sz="0" w:space="0" w:color="auto"/>
            <w:bottom w:val="none" w:sz="0" w:space="0" w:color="auto"/>
            <w:right w:val="none" w:sz="0" w:space="0" w:color="auto"/>
          </w:divBdr>
        </w:div>
        <w:div w:id="1714574581">
          <w:marLeft w:val="0"/>
          <w:marRight w:val="0"/>
          <w:marTop w:val="0"/>
          <w:marBottom w:val="0"/>
          <w:divBdr>
            <w:top w:val="none" w:sz="0" w:space="0" w:color="auto"/>
            <w:left w:val="none" w:sz="0" w:space="0" w:color="auto"/>
            <w:bottom w:val="none" w:sz="0" w:space="0" w:color="auto"/>
            <w:right w:val="none" w:sz="0" w:space="0" w:color="auto"/>
          </w:divBdr>
        </w:div>
        <w:div w:id="1906254056">
          <w:marLeft w:val="0"/>
          <w:marRight w:val="0"/>
          <w:marTop w:val="0"/>
          <w:marBottom w:val="0"/>
          <w:divBdr>
            <w:top w:val="none" w:sz="0" w:space="0" w:color="auto"/>
            <w:left w:val="none" w:sz="0" w:space="0" w:color="auto"/>
            <w:bottom w:val="none" w:sz="0" w:space="0" w:color="auto"/>
            <w:right w:val="none" w:sz="0" w:space="0" w:color="auto"/>
          </w:divBdr>
        </w:div>
      </w:divsChild>
    </w:div>
    <w:div w:id="1691489997">
      <w:bodyDiv w:val="1"/>
      <w:marLeft w:val="0"/>
      <w:marRight w:val="0"/>
      <w:marTop w:val="0"/>
      <w:marBottom w:val="0"/>
      <w:divBdr>
        <w:top w:val="none" w:sz="0" w:space="0" w:color="auto"/>
        <w:left w:val="none" w:sz="0" w:space="0" w:color="auto"/>
        <w:bottom w:val="none" w:sz="0" w:space="0" w:color="auto"/>
        <w:right w:val="none" w:sz="0" w:space="0" w:color="auto"/>
      </w:divBdr>
    </w:div>
    <w:div w:id="1723366657">
      <w:bodyDiv w:val="1"/>
      <w:marLeft w:val="0"/>
      <w:marRight w:val="0"/>
      <w:marTop w:val="0"/>
      <w:marBottom w:val="0"/>
      <w:divBdr>
        <w:top w:val="none" w:sz="0" w:space="0" w:color="auto"/>
        <w:left w:val="none" w:sz="0" w:space="0" w:color="auto"/>
        <w:bottom w:val="none" w:sz="0" w:space="0" w:color="auto"/>
        <w:right w:val="none" w:sz="0" w:space="0" w:color="auto"/>
      </w:divBdr>
    </w:div>
    <w:div w:id="1727680931">
      <w:bodyDiv w:val="1"/>
      <w:marLeft w:val="0"/>
      <w:marRight w:val="0"/>
      <w:marTop w:val="0"/>
      <w:marBottom w:val="0"/>
      <w:divBdr>
        <w:top w:val="none" w:sz="0" w:space="0" w:color="auto"/>
        <w:left w:val="none" w:sz="0" w:space="0" w:color="auto"/>
        <w:bottom w:val="none" w:sz="0" w:space="0" w:color="auto"/>
        <w:right w:val="none" w:sz="0" w:space="0" w:color="auto"/>
      </w:divBdr>
    </w:div>
    <w:div w:id="1749301178">
      <w:bodyDiv w:val="1"/>
      <w:marLeft w:val="0"/>
      <w:marRight w:val="0"/>
      <w:marTop w:val="0"/>
      <w:marBottom w:val="0"/>
      <w:divBdr>
        <w:top w:val="none" w:sz="0" w:space="0" w:color="auto"/>
        <w:left w:val="none" w:sz="0" w:space="0" w:color="auto"/>
        <w:bottom w:val="none" w:sz="0" w:space="0" w:color="auto"/>
        <w:right w:val="none" w:sz="0" w:space="0" w:color="auto"/>
      </w:divBdr>
      <w:divsChild>
        <w:div w:id="1651983670">
          <w:marLeft w:val="0"/>
          <w:marRight w:val="0"/>
          <w:marTop w:val="0"/>
          <w:marBottom w:val="0"/>
          <w:divBdr>
            <w:top w:val="none" w:sz="0" w:space="0" w:color="auto"/>
            <w:left w:val="none" w:sz="0" w:space="0" w:color="auto"/>
            <w:bottom w:val="none" w:sz="0" w:space="0" w:color="auto"/>
            <w:right w:val="none" w:sz="0" w:space="0" w:color="auto"/>
          </w:divBdr>
        </w:div>
      </w:divsChild>
    </w:div>
    <w:div w:id="1786850998">
      <w:bodyDiv w:val="1"/>
      <w:marLeft w:val="0"/>
      <w:marRight w:val="0"/>
      <w:marTop w:val="0"/>
      <w:marBottom w:val="0"/>
      <w:divBdr>
        <w:top w:val="none" w:sz="0" w:space="0" w:color="auto"/>
        <w:left w:val="none" w:sz="0" w:space="0" w:color="auto"/>
        <w:bottom w:val="none" w:sz="0" w:space="0" w:color="auto"/>
        <w:right w:val="none" w:sz="0" w:space="0" w:color="auto"/>
      </w:divBdr>
    </w:div>
    <w:div w:id="1798255845">
      <w:bodyDiv w:val="1"/>
      <w:marLeft w:val="0"/>
      <w:marRight w:val="0"/>
      <w:marTop w:val="0"/>
      <w:marBottom w:val="0"/>
      <w:divBdr>
        <w:top w:val="none" w:sz="0" w:space="0" w:color="auto"/>
        <w:left w:val="none" w:sz="0" w:space="0" w:color="auto"/>
        <w:bottom w:val="none" w:sz="0" w:space="0" w:color="auto"/>
        <w:right w:val="none" w:sz="0" w:space="0" w:color="auto"/>
      </w:divBdr>
      <w:divsChild>
        <w:div w:id="59521731">
          <w:marLeft w:val="547"/>
          <w:marRight w:val="0"/>
          <w:marTop w:val="0"/>
          <w:marBottom w:val="0"/>
          <w:divBdr>
            <w:top w:val="none" w:sz="0" w:space="0" w:color="auto"/>
            <w:left w:val="none" w:sz="0" w:space="0" w:color="auto"/>
            <w:bottom w:val="none" w:sz="0" w:space="0" w:color="auto"/>
            <w:right w:val="none" w:sz="0" w:space="0" w:color="auto"/>
          </w:divBdr>
        </w:div>
        <w:div w:id="286664915">
          <w:marLeft w:val="547"/>
          <w:marRight w:val="0"/>
          <w:marTop w:val="0"/>
          <w:marBottom w:val="0"/>
          <w:divBdr>
            <w:top w:val="none" w:sz="0" w:space="0" w:color="auto"/>
            <w:left w:val="none" w:sz="0" w:space="0" w:color="auto"/>
            <w:bottom w:val="none" w:sz="0" w:space="0" w:color="auto"/>
            <w:right w:val="none" w:sz="0" w:space="0" w:color="auto"/>
          </w:divBdr>
        </w:div>
        <w:div w:id="938176564">
          <w:marLeft w:val="547"/>
          <w:marRight w:val="0"/>
          <w:marTop w:val="0"/>
          <w:marBottom w:val="0"/>
          <w:divBdr>
            <w:top w:val="none" w:sz="0" w:space="0" w:color="auto"/>
            <w:left w:val="none" w:sz="0" w:space="0" w:color="auto"/>
            <w:bottom w:val="none" w:sz="0" w:space="0" w:color="auto"/>
            <w:right w:val="none" w:sz="0" w:space="0" w:color="auto"/>
          </w:divBdr>
        </w:div>
        <w:div w:id="1892107596">
          <w:marLeft w:val="547"/>
          <w:marRight w:val="0"/>
          <w:marTop w:val="0"/>
          <w:marBottom w:val="0"/>
          <w:divBdr>
            <w:top w:val="none" w:sz="0" w:space="0" w:color="auto"/>
            <w:left w:val="none" w:sz="0" w:space="0" w:color="auto"/>
            <w:bottom w:val="none" w:sz="0" w:space="0" w:color="auto"/>
            <w:right w:val="none" w:sz="0" w:space="0" w:color="auto"/>
          </w:divBdr>
        </w:div>
      </w:divsChild>
    </w:div>
    <w:div w:id="1815952458">
      <w:bodyDiv w:val="1"/>
      <w:marLeft w:val="0"/>
      <w:marRight w:val="0"/>
      <w:marTop w:val="0"/>
      <w:marBottom w:val="0"/>
      <w:divBdr>
        <w:top w:val="none" w:sz="0" w:space="0" w:color="auto"/>
        <w:left w:val="none" w:sz="0" w:space="0" w:color="auto"/>
        <w:bottom w:val="none" w:sz="0" w:space="0" w:color="auto"/>
        <w:right w:val="none" w:sz="0" w:space="0" w:color="auto"/>
      </w:divBdr>
    </w:div>
    <w:div w:id="1833837930">
      <w:bodyDiv w:val="1"/>
      <w:marLeft w:val="0"/>
      <w:marRight w:val="0"/>
      <w:marTop w:val="0"/>
      <w:marBottom w:val="0"/>
      <w:divBdr>
        <w:top w:val="none" w:sz="0" w:space="0" w:color="auto"/>
        <w:left w:val="none" w:sz="0" w:space="0" w:color="auto"/>
        <w:bottom w:val="none" w:sz="0" w:space="0" w:color="auto"/>
        <w:right w:val="none" w:sz="0" w:space="0" w:color="auto"/>
      </w:divBdr>
    </w:div>
    <w:div w:id="1847480065">
      <w:bodyDiv w:val="1"/>
      <w:marLeft w:val="0"/>
      <w:marRight w:val="0"/>
      <w:marTop w:val="0"/>
      <w:marBottom w:val="0"/>
      <w:divBdr>
        <w:top w:val="none" w:sz="0" w:space="0" w:color="auto"/>
        <w:left w:val="none" w:sz="0" w:space="0" w:color="auto"/>
        <w:bottom w:val="none" w:sz="0" w:space="0" w:color="auto"/>
        <w:right w:val="none" w:sz="0" w:space="0" w:color="auto"/>
      </w:divBdr>
    </w:div>
    <w:div w:id="1885866936">
      <w:bodyDiv w:val="1"/>
      <w:marLeft w:val="0"/>
      <w:marRight w:val="0"/>
      <w:marTop w:val="0"/>
      <w:marBottom w:val="0"/>
      <w:divBdr>
        <w:top w:val="none" w:sz="0" w:space="0" w:color="auto"/>
        <w:left w:val="none" w:sz="0" w:space="0" w:color="auto"/>
        <w:bottom w:val="none" w:sz="0" w:space="0" w:color="auto"/>
        <w:right w:val="none" w:sz="0" w:space="0" w:color="auto"/>
      </w:divBdr>
      <w:divsChild>
        <w:div w:id="1849128818">
          <w:marLeft w:val="0"/>
          <w:marRight w:val="0"/>
          <w:marTop w:val="0"/>
          <w:marBottom w:val="0"/>
          <w:divBdr>
            <w:top w:val="none" w:sz="0" w:space="0" w:color="auto"/>
            <w:left w:val="none" w:sz="0" w:space="0" w:color="auto"/>
            <w:bottom w:val="none" w:sz="0" w:space="0" w:color="auto"/>
            <w:right w:val="none" w:sz="0" w:space="0" w:color="auto"/>
          </w:divBdr>
        </w:div>
      </w:divsChild>
    </w:div>
    <w:div w:id="1886215745">
      <w:bodyDiv w:val="1"/>
      <w:marLeft w:val="0"/>
      <w:marRight w:val="0"/>
      <w:marTop w:val="0"/>
      <w:marBottom w:val="0"/>
      <w:divBdr>
        <w:top w:val="none" w:sz="0" w:space="0" w:color="auto"/>
        <w:left w:val="none" w:sz="0" w:space="0" w:color="auto"/>
        <w:bottom w:val="none" w:sz="0" w:space="0" w:color="auto"/>
        <w:right w:val="none" w:sz="0" w:space="0" w:color="auto"/>
      </w:divBdr>
    </w:div>
    <w:div w:id="1887519221">
      <w:bodyDiv w:val="1"/>
      <w:marLeft w:val="0"/>
      <w:marRight w:val="0"/>
      <w:marTop w:val="0"/>
      <w:marBottom w:val="0"/>
      <w:divBdr>
        <w:top w:val="none" w:sz="0" w:space="0" w:color="auto"/>
        <w:left w:val="none" w:sz="0" w:space="0" w:color="auto"/>
        <w:bottom w:val="none" w:sz="0" w:space="0" w:color="auto"/>
        <w:right w:val="none" w:sz="0" w:space="0" w:color="auto"/>
      </w:divBdr>
    </w:div>
    <w:div w:id="1891455052">
      <w:bodyDiv w:val="1"/>
      <w:marLeft w:val="0"/>
      <w:marRight w:val="0"/>
      <w:marTop w:val="0"/>
      <w:marBottom w:val="0"/>
      <w:divBdr>
        <w:top w:val="none" w:sz="0" w:space="0" w:color="auto"/>
        <w:left w:val="none" w:sz="0" w:space="0" w:color="auto"/>
        <w:bottom w:val="none" w:sz="0" w:space="0" w:color="auto"/>
        <w:right w:val="none" w:sz="0" w:space="0" w:color="auto"/>
      </w:divBdr>
    </w:div>
    <w:div w:id="1898710897">
      <w:bodyDiv w:val="1"/>
      <w:marLeft w:val="0"/>
      <w:marRight w:val="0"/>
      <w:marTop w:val="0"/>
      <w:marBottom w:val="0"/>
      <w:divBdr>
        <w:top w:val="none" w:sz="0" w:space="0" w:color="auto"/>
        <w:left w:val="none" w:sz="0" w:space="0" w:color="auto"/>
        <w:bottom w:val="none" w:sz="0" w:space="0" w:color="auto"/>
        <w:right w:val="none" w:sz="0" w:space="0" w:color="auto"/>
      </w:divBdr>
    </w:div>
    <w:div w:id="1935674073">
      <w:bodyDiv w:val="1"/>
      <w:marLeft w:val="0"/>
      <w:marRight w:val="0"/>
      <w:marTop w:val="0"/>
      <w:marBottom w:val="0"/>
      <w:divBdr>
        <w:top w:val="none" w:sz="0" w:space="0" w:color="auto"/>
        <w:left w:val="none" w:sz="0" w:space="0" w:color="auto"/>
        <w:bottom w:val="none" w:sz="0" w:space="0" w:color="auto"/>
        <w:right w:val="none" w:sz="0" w:space="0" w:color="auto"/>
      </w:divBdr>
    </w:div>
    <w:div w:id="1942060943">
      <w:bodyDiv w:val="1"/>
      <w:marLeft w:val="0"/>
      <w:marRight w:val="0"/>
      <w:marTop w:val="0"/>
      <w:marBottom w:val="0"/>
      <w:divBdr>
        <w:top w:val="none" w:sz="0" w:space="0" w:color="auto"/>
        <w:left w:val="none" w:sz="0" w:space="0" w:color="auto"/>
        <w:bottom w:val="none" w:sz="0" w:space="0" w:color="auto"/>
        <w:right w:val="none" w:sz="0" w:space="0" w:color="auto"/>
      </w:divBdr>
    </w:div>
    <w:div w:id="1956716124">
      <w:bodyDiv w:val="1"/>
      <w:marLeft w:val="0"/>
      <w:marRight w:val="0"/>
      <w:marTop w:val="0"/>
      <w:marBottom w:val="0"/>
      <w:divBdr>
        <w:top w:val="none" w:sz="0" w:space="0" w:color="auto"/>
        <w:left w:val="none" w:sz="0" w:space="0" w:color="auto"/>
        <w:bottom w:val="none" w:sz="0" w:space="0" w:color="auto"/>
        <w:right w:val="none" w:sz="0" w:space="0" w:color="auto"/>
      </w:divBdr>
    </w:div>
    <w:div w:id="2004620789">
      <w:bodyDiv w:val="1"/>
      <w:marLeft w:val="0"/>
      <w:marRight w:val="0"/>
      <w:marTop w:val="0"/>
      <w:marBottom w:val="0"/>
      <w:divBdr>
        <w:top w:val="none" w:sz="0" w:space="0" w:color="auto"/>
        <w:left w:val="none" w:sz="0" w:space="0" w:color="auto"/>
        <w:bottom w:val="none" w:sz="0" w:space="0" w:color="auto"/>
        <w:right w:val="none" w:sz="0" w:space="0" w:color="auto"/>
      </w:divBdr>
    </w:div>
    <w:div w:id="2023772733">
      <w:bodyDiv w:val="1"/>
      <w:marLeft w:val="0"/>
      <w:marRight w:val="0"/>
      <w:marTop w:val="0"/>
      <w:marBottom w:val="0"/>
      <w:divBdr>
        <w:top w:val="none" w:sz="0" w:space="0" w:color="auto"/>
        <w:left w:val="none" w:sz="0" w:space="0" w:color="auto"/>
        <w:bottom w:val="none" w:sz="0" w:space="0" w:color="auto"/>
        <w:right w:val="none" w:sz="0" w:space="0" w:color="auto"/>
      </w:divBdr>
    </w:div>
    <w:div w:id="2042778432">
      <w:bodyDiv w:val="1"/>
      <w:marLeft w:val="0"/>
      <w:marRight w:val="0"/>
      <w:marTop w:val="0"/>
      <w:marBottom w:val="0"/>
      <w:divBdr>
        <w:top w:val="none" w:sz="0" w:space="0" w:color="auto"/>
        <w:left w:val="none" w:sz="0" w:space="0" w:color="auto"/>
        <w:bottom w:val="none" w:sz="0" w:space="0" w:color="auto"/>
        <w:right w:val="none" w:sz="0" w:space="0" w:color="auto"/>
      </w:divBdr>
      <w:divsChild>
        <w:div w:id="196938232">
          <w:marLeft w:val="0"/>
          <w:marRight w:val="0"/>
          <w:marTop w:val="0"/>
          <w:marBottom w:val="0"/>
          <w:divBdr>
            <w:top w:val="none" w:sz="0" w:space="0" w:color="auto"/>
            <w:left w:val="none" w:sz="0" w:space="0" w:color="auto"/>
            <w:bottom w:val="none" w:sz="0" w:space="0" w:color="auto"/>
            <w:right w:val="none" w:sz="0" w:space="0" w:color="auto"/>
          </w:divBdr>
        </w:div>
      </w:divsChild>
    </w:div>
    <w:div w:id="2046516934">
      <w:bodyDiv w:val="1"/>
      <w:marLeft w:val="0"/>
      <w:marRight w:val="0"/>
      <w:marTop w:val="0"/>
      <w:marBottom w:val="0"/>
      <w:divBdr>
        <w:top w:val="none" w:sz="0" w:space="0" w:color="auto"/>
        <w:left w:val="none" w:sz="0" w:space="0" w:color="auto"/>
        <w:bottom w:val="none" w:sz="0" w:space="0" w:color="auto"/>
        <w:right w:val="none" w:sz="0" w:space="0" w:color="auto"/>
      </w:divBdr>
      <w:divsChild>
        <w:div w:id="1434202254">
          <w:marLeft w:val="0"/>
          <w:marRight w:val="0"/>
          <w:marTop w:val="0"/>
          <w:marBottom w:val="0"/>
          <w:divBdr>
            <w:top w:val="none" w:sz="0" w:space="0" w:color="auto"/>
            <w:left w:val="none" w:sz="0" w:space="0" w:color="auto"/>
            <w:bottom w:val="none" w:sz="0" w:space="0" w:color="auto"/>
            <w:right w:val="none" w:sz="0" w:space="0" w:color="auto"/>
          </w:divBdr>
        </w:div>
        <w:div w:id="1567571325">
          <w:marLeft w:val="0"/>
          <w:marRight w:val="0"/>
          <w:marTop w:val="0"/>
          <w:marBottom w:val="0"/>
          <w:divBdr>
            <w:top w:val="none" w:sz="0" w:space="0" w:color="auto"/>
            <w:left w:val="none" w:sz="0" w:space="0" w:color="auto"/>
            <w:bottom w:val="none" w:sz="0" w:space="0" w:color="auto"/>
            <w:right w:val="none" w:sz="0" w:space="0" w:color="auto"/>
          </w:divBdr>
        </w:div>
      </w:divsChild>
    </w:div>
    <w:div w:id="2076119623">
      <w:bodyDiv w:val="1"/>
      <w:marLeft w:val="0"/>
      <w:marRight w:val="0"/>
      <w:marTop w:val="0"/>
      <w:marBottom w:val="0"/>
      <w:divBdr>
        <w:top w:val="none" w:sz="0" w:space="0" w:color="auto"/>
        <w:left w:val="none" w:sz="0" w:space="0" w:color="auto"/>
        <w:bottom w:val="none" w:sz="0" w:space="0" w:color="auto"/>
        <w:right w:val="none" w:sz="0" w:space="0" w:color="auto"/>
      </w:divBdr>
      <w:divsChild>
        <w:div w:id="30570552">
          <w:marLeft w:val="0"/>
          <w:marRight w:val="0"/>
          <w:marTop w:val="0"/>
          <w:marBottom w:val="0"/>
          <w:divBdr>
            <w:top w:val="none" w:sz="0" w:space="0" w:color="auto"/>
            <w:left w:val="none" w:sz="0" w:space="0" w:color="auto"/>
            <w:bottom w:val="none" w:sz="0" w:space="0" w:color="auto"/>
            <w:right w:val="none" w:sz="0" w:space="0" w:color="auto"/>
          </w:divBdr>
        </w:div>
        <w:div w:id="140118388">
          <w:marLeft w:val="0"/>
          <w:marRight w:val="0"/>
          <w:marTop w:val="0"/>
          <w:marBottom w:val="0"/>
          <w:divBdr>
            <w:top w:val="none" w:sz="0" w:space="0" w:color="auto"/>
            <w:left w:val="none" w:sz="0" w:space="0" w:color="auto"/>
            <w:bottom w:val="none" w:sz="0" w:space="0" w:color="auto"/>
            <w:right w:val="none" w:sz="0" w:space="0" w:color="auto"/>
          </w:divBdr>
        </w:div>
        <w:div w:id="209613666">
          <w:marLeft w:val="0"/>
          <w:marRight w:val="0"/>
          <w:marTop w:val="0"/>
          <w:marBottom w:val="0"/>
          <w:divBdr>
            <w:top w:val="none" w:sz="0" w:space="0" w:color="auto"/>
            <w:left w:val="none" w:sz="0" w:space="0" w:color="auto"/>
            <w:bottom w:val="none" w:sz="0" w:space="0" w:color="auto"/>
            <w:right w:val="none" w:sz="0" w:space="0" w:color="auto"/>
          </w:divBdr>
        </w:div>
        <w:div w:id="236987791">
          <w:marLeft w:val="0"/>
          <w:marRight w:val="0"/>
          <w:marTop w:val="0"/>
          <w:marBottom w:val="0"/>
          <w:divBdr>
            <w:top w:val="none" w:sz="0" w:space="0" w:color="auto"/>
            <w:left w:val="none" w:sz="0" w:space="0" w:color="auto"/>
            <w:bottom w:val="none" w:sz="0" w:space="0" w:color="auto"/>
            <w:right w:val="none" w:sz="0" w:space="0" w:color="auto"/>
          </w:divBdr>
        </w:div>
        <w:div w:id="282150579">
          <w:marLeft w:val="0"/>
          <w:marRight w:val="0"/>
          <w:marTop w:val="0"/>
          <w:marBottom w:val="0"/>
          <w:divBdr>
            <w:top w:val="none" w:sz="0" w:space="0" w:color="auto"/>
            <w:left w:val="none" w:sz="0" w:space="0" w:color="auto"/>
            <w:bottom w:val="none" w:sz="0" w:space="0" w:color="auto"/>
            <w:right w:val="none" w:sz="0" w:space="0" w:color="auto"/>
          </w:divBdr>
        </w:div>
        <w:div w:id="329410710">
          <w:marLeft w:val="0"/>
          <w:marRight w:val="0"/>
          <w:marTop w:val="0"/>
          <w:marBottom w:val="0"/>
          <w:divBdr>
            <w:top w:val="none" w:sz="0" w:space="0" w:color="auto"/>
            <w:left w:val="none" w:sz="0" w:space="0" w:color="auto"/>
            <w:bottom w:val="none" w:sz="0" w:space="0" w:color="auto"/>
            <w:right w:val="none" w:sz="0" w:space="0" w:color="auto"/>
          </w:divBdr>
        </w:div>
        <w:div w:id="342056489">
          <w:marLeft w:val="0"/>
          <w:marRight w:val="0"/>
          <w:marTop w:val="0"/>
          <w:marBottom w:val="0"/>
          <w:divBdr>
            <w:top w:val="none" w:sz="0" w:space="0" w:color="auto"/>
            <w:left w:val="none" w:sz="0" w:space="0" w:color="auto"/>
            <w:bottom w:val="none" w:sz="0" w:space="0" w:color="auto"/>
            <w:right w:val="none" w:sz="0" w:space="0" w:color="auto"/>
          </w:divBdr>
        </w:div>
        <w:div w:id="355039041">
          <w:marLeft w:val="0"/>
          <w:marRight w:val="0"/>
          <w:marTop w:val="0"/>
          <w:marBottom w:val="0"/>
          <w:divBdr>
            <w:top w:val="none" w:sz="0" w:space="0" w:color="auto"/>
            <w:left w:val="none" w:sz="0" w:space="0" w:color="auto"/>
            <w:bottom w:val="none" w:sz="0" w:space="0" w:color="auto"/>
            <w:right w:val="none" w:sz="0" w:space="0" w:color="auto"/>
          </w:divBdr>
        </w:div>
        <w:div w:id="400908067">
          <w:marLeft w:val="0"/>
          <w:marRight w:val="0"/>
          <w:marTop w:val="0"/>
          <w:marBottom w:val="0"/>
          <w:divBdr>
            <w:top w:val="none" w:sz="0" w:space="0" w:color="auto"/>
            <w:left w:val="none" w:sz="0" w:space="0" w:color="auto"/>
            <w:bottom w:val="none" w:sz="0" w:space="0" w:color="auto"/>
            <w:right w:val="none" w:sz="0" w:space="0" w:color="auto"/>
          </w:divBdr>
        </w:div>
        <w:div w:id="514882540">
          <w:marLeft w:val="0"/>
          <w:marRight w:val="0"/>
          <w:marTop w:val="0"/>
          <w:marBottom w:val="0"/>
          <w:divBdr>
            <w:top w:val="none" w:sz="0" w:space="0" w:color="auto"/>
            <w:left w:val="none" w:sz="0" w:space="0" w:color="auto"/>
            <w:bottom w:val="none" w:sz="0" w:space="0" w:color="auto"/>
            <w:right w:val="none" w:sz="0" w:space="0" w:color="auto"/>
          </w:divBdr>
        </w:div>
        <w:div w:id="568881980">
          <w:marLeft w:val="0"/>
          <w:marRight w:val="0"/>
          <w:marTop w:val="0"/>
          <w:marBottom w:val="0"/>
          <w:divBdr>
            <w:top w:val="none" w:sz="0" w:space="0" w:color="auto"/>
            <w:left w:val="none" w:sz="0" w:space="0" w:color="auto"/>
            <w:bottom w:val="none" w:sz="0" w:space="0" w:color="auto"/>
            <w:right w:val="none" w:sz="0" w:space="0" w:color="auto"/>
          </w:divBdr>
        </w:div>
        <w:div w:id="593591058">
          <w:marLeft w:val="0"/>
          <w:marRight w:val="0"/>
          <w:marTop w:val="0"/>
          <w:marBottom w:val="0"/>
          <w:divBdr>
            <w:top w:val="none" w:sz="0" w:space="0" w:color="auto"/>
            <w:left w:val="none" w:sz="0" w:space="0" w:color="auto"/>
            <w:bottom w:val="none" w:sz="0" w:space="0" w:color="auto"/>
            <w:right w:val="none" w:sz="0" w:space="0" w:color="auto"/>
          </w:divBdr>
        </w:div>
        <w:div w:id="635450818">
          <w:marLeft w:val="0"/>
          <w:marRight w:val="0"/>
          <w:marTop w:val="0"/>
          <w:marBottom w:val="0"/>
          <w:divBdr>
            <w:top w:val="none" w:sz="0" w:space="0" w:color="auto"/>
            <w:left w:val="none" w:sz="0" w:space="0" w:color="auto"/>
            <w:bottom w:val="none" w:sz="0" w:space="0" w:color="auto"/>
            <w:right w:val="none" w:sz="0" w:space="0" w:color="auto"/>
          </w:divBdr>
        </w:div>
        <w:div w:id="649797359">
          <w:marLeft w:val="0"/>
          <w:marRight w:val="0"/>
          <w:marTop w:val="0"/>
          <w:marBottom w:val="0"/>
          <w:divBdr>
            <w:top w:val="none" w:sz="0" w:space="0" w:color="auto"/>
            <w:left w:val="none" w:sz="0" w:space="0" w:color="auto"/>
            <w:bottom w:val="none" w:sz="0" w:space="0" w:color="auto"/>
            <w:right w:val="none" w:sz="0" w:space="0" w:color="auto"/>
          </w:divBdr>
        </w:div>
        <w:div w:id="754210968">
          <w:marLeft w:val="0"/>
          <w:marRight w:val="0"/>
          <w:marTop w:val="0"/>
          <w:marBottom w:val="0"/>
          <w:divBdr>
            <w:top w:val="none" w:sz="0" w:space="0" w:color="auto"/>
            <w:left w:val="none" w:sz="0" w:space="0" w:color="auto"/>
            <w:bottom w:val="none" w:sz="0" w:space="0" w:color="auto"/>
            <w:right w:val="none" w:sz="0" w:space="0" w:color="auto"/>
          </w:divBdr>
        </w:div>
        <w:div w:id="815226683">
          <w:marLeft w:val="0"/>
          <w:marRight w:val="0"/>
          <w:marTop w:val="0"/>
          <w:marBottom w:val="0"/>
          <w:divBdr>
            <w:top w:val="none" w:sz="0" w:space="0" w:color="auto"/>
            <w:left w:val="none" w:sz="0" w:space="0" w:color="auto"/>
            <w:bottom w:val="none" w:sz="0" w:space="0" w:color="auto"/>
            <w:right w:val="none" w:sz="0" w:space="0" w:color="auto"/>
          </w:divBdr>
        </w:div>
        <w:div w:id="936668652">
          <w:marLeft w:val="0"/>
          <w:marRight w:val="0"/>
          <w:marTop w:val="0"/>
          <w:marBottom w:val="0"/>
          <w:divBdr>
            <w:top w:val="none" w:sz="0" w:space="0" w:color="auto"/>
            <w:left w:val="none" w:sz="0" w:space="0" w:color="auto"/>
            <w:bottom w:val="none" w:sz="0" w:space="0" w:color="auto"/>
            <w:right w:val="none" w:sz="0" w:space="0" w:color="auto"/>
          </w:divBdr>
        </w:div>
        <w:div w:id="940920720">
          <w:marLeft w:val="0"/>
          <w:marRight w:val="0"/>
          <w:marTop w:val="0"/>
          <w:marBottom w:val="0"/>
          <w:divBdr>
            <w:top w:val="none" w:sz="0" w:space="0" w:color="auto"/>
            <w:left w:val="none" w:sz="0" w:space="0" w:color="auto"/>
            <w:bottom w:val="none" w:sz="0" w:space="0" w:color="auto"/>
            <w:right w:val="none" w:sz="0" w:space="0" w:color="auto"/>
          </w:divBdr>
        </w:div>
        <w:div w:id="946084518">
          <w:marLeft w:val="0"/>
          <w:marRight w:val="0"/>
          <w:marTop w:val="0"/>
          <w:marBottom w:val="0"/>
          <w:divBdr>
            <w:top w:val="none" w:sz="0" w:space="0" w:color="auto"/>
            <w:left w:val="none" w:sz="0" w:space="0" w:color="auto"/>
            <w:bottom w:val="none" w:sz="0" w:space="0" w:color="auto"/>
            <w:right w:val="none" w:sz="0" w:space="0" w:color="auto"/>
          </w:divBdr>
        </w:div>
        <w:div w:id="1093162935">
          <w:marLeft w:val="0"/>
          <w:marRight w:val="0"/>
          <w:marTop w:val="0"/>
          <w:marBottom w:val="0"/>
          <w:divBdr>
            <w:top w:val="none" w:sz="0" w:space="0" w:color="auto"/>
            <w:left w:val="none" w:sz="0" w:space="0" w:color="auto"/>
            <w:bottom w:val="none" w:sz="0" w:space="0" w:color="auto"/>
            <w:right w:val="none" w:sz="0" w:space="0" w:color="auto"/>
          </w:divBdr>
        </w:div>
        <w:div w:id="1151213771">
          <w:marLeft w:val="0"/>
          <w:marRight w:val="0"/>
          <w:marTop w:val="0"/>
          <w:marBottom w:val="0"/>
          <w:divBdr>
            <w:top w:val="none" w:sz="0" w:space="0" w:color="auto"/>
            <w:left w:val="none" w:sz="0" w:space="0" w:color="auto"/>
            <w:bottom w:val="none" w:sz="0" w:space="0" w:color="auto"/>
            <w:right w:val="none" w:sz="0" w:space="0" w:color="auto"/>
          </w:divBdr>
        </w:div>
        <w:div w:id="1163351716">
          <w:marLeft w:val="0"/>
          <w:marRight w:val="0"/>
          <w:marTop w:val="0"/>
          <w:marBottom w:val="0"/>
          <w:divBdr>
            <w:top w:val="none" w:sz="0" w:space="0" w:color="auto"/>
            <w:left w:val="none" w:sz="0" w:space="0" w:color="auto"/>
            <w:bottom w:val="none" w:sz="0" w:space="0" w:color="auto"/>
            <w:right w:val="none" w:sz="0" w:space="0" w:color="auto"/>
          </w:divBdr>
        </w:div>
        <w:div w:id="1317224868">
          <w:marLeft w:val="0"/>
          <w:marRight w:val="0"/>
          <w:marTop w:val="0"/>
          <w:marBottom w:val="0"/>
          <w:divBdr>
            <w:top w:val="none" w:sz="0" w:space="0" w:color="auto"/>
            <w:left w:val="none" w:sz="0" w:space="0" w:color="auto"/>
            <w:bottom w:val="none" w:sz="0" w:space="0" w:color="auto"/>
            <w:right w:val="none" w:sz="0" w:space="0" w:color="auto"/>
          </w:divBdr>
        </w:div>
        <w:div w:id="1380399458">
          <w:marLeft w:val="0"/>
          <w:marRight w:val="0"/>
          <w:marTop w:val="0"/>
          <w:marBottom w:val="0"/>
          <w:divBdr>
            <w:top w:val="none" w:sz="0" w:space="0" w:color="auto"/>
            <w:left w:val="none" w:sz="0" w:space="0" w:color="auto"/>
            <w:bottom w:val="none" w:sz="0" w:space="0" w:color="auto"/>
            <w:right w:val="none" w:sz="0" w:space="0" w:color="auto"/>
          </w:divBdr>
        </w:div>
        <w:div w:id="1450121100">
          <w:marLeft w:val="0"/>
          <w:marRight w:val="0"/>
          <w:marTop w:val="0"/>
          <w:marBottom w:val="0"/>
          <w:divBdr>
            <w:top w:val="none" w:sz="0" w:space="0" w:color="auto"/>
            <w:left w:val="none" w:sz="0" w:space="0" w:color="auto"/>
            <w:bottom w:val="none" w:sz="0" w:space="0" w:color="auto"/>
            <w:right w:val="none" w:sz="0" w:space="0" w:color="auto"/>
          </w:divBdr>
        </w:div>
        <w:div w:id="1499492598">
          <w:marLeft w:val="0"/>
          <w:marRight w:val="0"/>
          <w:marTop w:val="0"/>
          <w:marBottom w:val="0"/>
          <w:divBdr>
            <w:top w:val="none" w:sz="0" w:space="0" w:color="auto"/>
            <w:left w:val="none" w:sz="0" w:space="0" w:color="auto"/>
            <w:bottom w:val="none" w:sz="0" w:space="0" w:color="auto"/>
            <w:right w:val="none" w:sz="0" w:space="0" w:color="auto"/>
          </w:divBdr>
        </w:div>
        <w:div w:id="1564440384">
          <w:marLeft w:val="0"/>
          <w:marRight w:val="0"/>
          <w:marTop w:val="0"/>
          <w:marBottom w:val="0"/>
          <w:divBdr>
            <w:top w:val="none" w:sz="0" w:space="0" w:color="auto"/>
            <w:left w:val="none" w:sz="0" w:space="0" w:color="auto"/>
            <w:bottom w:val="none" w:sz="0" w:space="0" w:color="auto"/>
            <w:right w:val="none" w:sz="0" w:space="0" w:color="auto"/>
          </w:divBdr>
        </w:div>
        <w:div w:id="1566993594">
          <w:marLeft w:val="0"/>
          <w:marRight w:val="0"/>
          <w:marTop w:val="0"/>
          <w:marBottom w:val="0"/>
          <w:divBdr>
            <w:top w:val="none" w:sz="0" w:space="0" w:color="auto"/>
            <w:left w:val="none" w:sz="0" w:space="0" w:color="auto"/>
            <w:bottom w:val="none" w:sz="0" w:space="0" w:color="auto"/>
            <w:right w:val="none" w:sz="0" w:space="0" w:color="auto"/>
          </w:divBdr>
        </w:div>
        <w:div w:id="1606838632">
          <w:marLeft w:val="0"/>
          <w:marRight w:val="0"/>
          <w:marTop w:val="0"/>
          <w:marBottom w:val="0"/>
          <w:divBdr>
            <w:top w:val="none" w:sz="0" w:space="0" w:color="auto"/>
            <w:left w:val="none" w:sz="0" w:space="0" w:color="auto"/>
            <w:bottom w:val="none" w:sz="0" w:space="0" w:color="auto"/>
            <w:right w:val="none" w:sz="0" w:space="0" w:color="auto"/>
          </w:divBdr>
        </w:div>
        <w:div w:id="1610352591">
          <w:marLeft w:val="0"/>
          <w:marRight w:val="0"/>
          <w:marTop w:val="0"/>
          <w:marBottom w:val="0"/>
          <w:divBdr>
            <w:top w:val="none" w:sz="0" w:space="0" w:color="auto"/>
            <w:left w:val="none" w:sz="0" w:space="0" w:color="auto"/>
            <w:bottom w:val="none" w:sz="0" w:space="0" w:color="auto"/>
            <w:right w:val="none" w:sz="0" w:space="0" w:color="auto"/>
          </w:divBdr>
        </w:div>
        <w:div w:id="1632664798">
          <w:marLeft w:val="0"/>
          <w:marRight w:val="0"/>
          <w:marTop w:val="0"/>
          <w:marBottom w:val="0"/>
          <w:divBdr>
            <w:top w:val="none" w:sz="0" w:space="0" w:color="auto"/>
            <w:left w:val="none" w:sz="0" w:space="0" w:color="auto"/>
            <w:bottom w:val="none" w:sz="0" w:space="0" w:color="auto"/>
            <w:right w:val="none" w:sz="0" w:space="0" w:color="auto"/>
          </w:divBdr>
        </w:div>
        <w:div w:id="1692216920">
          <w:marLeft w:val="0"/>
          <w:marRight w:val="0"/>
          <w:marTop w:val="0"/>
          <w:marBottom w:val="0"/>
          <w:divBdr>
            <w:top w:val="none" w:sz="0" w:space="0" w:color="auto"/>
            <w:left w:val="none" w:sz="0" w:space="0" w:color="auto"/>
            <w:bottom w:val="none" w:sz="0" w:space="0" w:color="auto"/>
            <w:right w:val="none" w:sz="0" w:space="0" w:color="auto"/>
          </w:divBdr>
        </w:div>
        <w:div w:id="1719738991">
          <w:marLeft w:val="0"/>
          <w:marRight w:val="0"/>
          <w:marTop w:val="0"/>
          <w:marBottom w:val="0"/>
          <w:divBdr>
            <w:top w:val="none" w:sz="0" w:space="0" w:color="auto"/>
            <w:left w:val="none" w:sz="0" w:space="0" w:color="auto"/>
            <w:bottom w:val="none" w:sz="0" w:space="0" w:color="auto"/>
            <w:right w:val="none" w:sz="0" w:space="0" w:color="auto"/>
          </w:divBdr>
        </w:div>
        <w:div w:id="1735816401">
          <w:marLeft w:val="0"/>
          <w:marRight w:val="0"/>
          <w:marTop w:val="0"/>
          <w:marBottom w:val="0"/>
          <w:divBdr>
            <w:top w:val="none" w:sz="0" w:space="0" w:color="auto"/>
            <w:left w:val="none" w:sz="0" w:space="0" w:color="auto"/>
            <w:bottom w:val="none" w:sz="0" w:space="0" w:color="auto"/>
            <w:right w:val="none" w:sz="0" w:space="0" w:color="auto"/>
          </w:divBdr>
        </w:div>
        <w:div w:id="1780640214">
          <w:marLeft w:val="0"/>
          <w:marRight w:val="0"/>
          <w:marTop w:val="0"/>
          <w:marBottom w:val="0"/>
          <w:divBdr>
            <w:top w:val="none" w:sz="0" w:space="0" w:color="auto"/>
            <w:left w:val="none" w:sz="0" w:space="0" w:color="auto"/>
            <w:bottom w:val="none" w:sz="0" w:space="0" w:color="auto"/>
            <w:right w:val="none" w:sz="0" w:space="0" w:color="auto"/>
          </w:divBdr>
        </w:div>
        <w:div w:id="1889755914">
          <w:marLeft w:val="0"/>
          <w:marRight w:val="0"/>
          <w:marTop w:val="0"/>
          <w:marBottom w:val="0"/>
          <w:divBdr>
            <w:top w:val="none" w:sz="0" w:space="0" w:color="auto"/>
            <w:left w:val="none" w:sz="0" w:space="0" w:color="auto"/>
            <w:bottom w:val="none" w:sz="0" w:space="0" w:color="auto"/>
            <w:right w:val="none" w:sz="0" w:space="0" w:color="auto"/>
          </w:divBdr>
        </w:div>
        <w:div w:id="1913197674">
          <w:marLeft w:val="0"/>
          <w:marRight w:val="0"/>
          <w:marTop w:val="0"/>
          <w:marBottom w:val="0"/>
          <w:divBdr>
            <w:top w:val="none" w:sz="0" w:space="0" w:color="auto"/>
            <w:left w:val="none" w:sz="0" w:space="0" w:color="auto"/>
            <w:bottom w:val="none" w:sz="0" w:space="0" w:color="auto"/>
            <w:right w:val="none" w:sz="0" w:space="0" w:color="auto"/>
          </w:divBdr>
        </w:div>
        <w:div w:id="1936592970">
          <w:marLeft w:val="0"/>
          <w:marRight w:val="0"/>
          <w:marTop w:val="0"/>
          <w:marBottom w:val="0"/>
          <w:divBdr>
            <w:top w:val="none" w:sz="0" w:space="0" w:color="auto"/>
            <w:left w:val="none" w:sz="0" w:space="0" w:color="auto"/>
            <w:bottom w:val="none" w:sz="0" w:space="0" w:color="auto"/>
            <w:right w:val="none" w:sz="0" w:space="0" w:color="auto"/>
          </w:divBdr>
        </w:div>
        <w:div w:id="2007173108">
          <w:marLeft w:val="0"/>
          <w:marRight w:val="0"/>
          <w:marTop w:val="0"/>
          <w:marBottom w:val="0"/>
          <w:divBdr>
            <w:top w:val="none" w:sz="0" w:space="0" w:color="auto"/>
            <w:left w:val="none" w:sz="0" w:space="0" w:color="auto"/>
            <w:bottom w:val="none" w:sz="0" w:space="0" w:color="auto"/>
            <w:right w:val="none" w:sz="0" w:space="0" w:color="auto"/>
          </w:divBdr>
        </w:div>
        <w:div w:id="2013294316">
          <w:marLeft w:val="0"/>
          <w:marRight w:val="0"/>
          <w:marTop w:val="0"/>
          <w:marBottom w:val="0"/>
          <w:divBdr>
            <w:top w:val="none" w:sz="0" w:space="0" w:color="auto"/>
            <w:left w:val="none" w:sz="0" w:space="0" w:color="auto"/>
            <w:bottom w:val="none" w:sz="0" w:space="0" w:color="auto"/>
            <w:right w:val="none" w:sz="0" w:space="0" w:color="auto"/>
          </w:divBdr>
        </w:div>
        <w:div w:id="2102677393">
          <w:marLeft w:val="0"/>
          <w:marRight w:val="0"/>
          <w:marTop w:val="0"/>
          <w:marBottom w:val="0"/>
          <w:divBdr>
            <w:top w:val="none" w:sz="0" w:space="0" w:color="auto"/>
            <w:left w:val="none" w:sz="0" w:space="0" w:color="auto"/>
            <w:bottom w:val="none" w:sz="0" w:space="0" w:color="auto"/>
            <w:right w:val="none" w:sz="0" w:space="0" w:color="auto"/>
          </w:divBdr>
        </w:div>
      </w:divsChild>
    </w:div>
    <w:div w:id="2077392127">
      <w:bodyDiv w:val="1"/>
      <w:marLeft w:val="0"/>
      <w:marRight w:val="0"/>
      <w:marTop w:val="0"/>
      <w:marBottom w:val="0"/>
      <w:divBdr>
        <w:top w:val="none" w:sz="0" w:space="0" w:color="auto"/>
        <w:left w:val="none" w:sz="0" w:space="0" w:color="auto"/>
        <w:bottom w:val="none" w:sz="0" w:space="0" w:color="auto"/>
        <w:right w:val="none" w:sz="0" w:space="0" w:color="auto"/>
      </w:divBdr>
    </w:div>
    <w:div w:id="2078434269">
      <w:bodyDiv w:val="1"/>
      <w:marLeft w:val="0"/>
      <w:marRight w:val="0"/>
      <w:marTop w:val="0"/>
      <w:marBottom w:val="0"/>
      <w:divBdr>
        <w:top w:val="none" w:sz="0" w:space="0" w:color="auto"/>
        <w:left w:val="none" w:sz="0" w:space="0" w:color="auto"/>
        <w:bottom w:val="none" w:sz="0" w:space="0" w:color="auto"/>
        <w:right w:val="none" w:sz="0" w:space="0" w:color="auto"/>
      </w:divBdr>
    </w:div>
    <w:div w:id="2110351618">
      <w:bodyDiv w:val="1"/>
      <w:marLeft w:val="0"/>
      <w:marRight w:val="0"/>
      <w:marTop w:val="0"/>
      <w:marBottom w:val="0"/>
      <w:divBdr>
        <w:top w:val="none" w:sz="0" w:space="0" w:color="auto"/>
        <w:left w:val="none" w:sz="0" w:space="0" w:color="auto"/>
        <w:bottom w:val="none" w:sz="0" w:space="0" w:color="auto"/>
        <w:right w:val="none" w:sz="0" w:space="0" w:color="auto"/>
      </w:divBdr>
    </w:div>
    <w:div w:id="2128162398">
      <w:bodyDiv w:val="1"/>
      <w:marLeft w:val="0"/>
      <w:marRight w:val="0"/>
      <w:marTop w:val="0"/>
      <w:marBottom w:val="0"/>
      <w:divBdr>
        <w:top w:val="none" w:sz="0" w:space="0" w:color="auto"/>
        <w:left w:val="none" w:sz="0" w:space="0" w:color="auto"/>
        <w:bottom w:val="none" w:sz="0" w:space="0" w:color="auto"/>
        <w:right w:val="none" w:sz="0" w:space="0" w:color="auto"/>
      </w:divBdr>
    </w:div>
    <w:div w:id="213655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wikipedia.org/wiki/M%C4%81ori_people" TargetMode="External"/><Relationship Id="rId24" Type="http://schemas.openxmlformats.org/officeDocument/2006/relationships/image" Target="media/image13.pn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nzetc.victoria.ac.nz/tm/scholarly/name-036430.html" TargetMode="External"/><Relationship Id="rId117" Type="http://schemas.openxmlformats.org/officeDocument/2006/relationships/hyperlink" Target="https://www.jw.org/en/jehovahs-witnesses/faq/how-many-jw/" TargetMode="External"/><Relationship Id="rId21" Type="http://schemas.openxmlformats.org/officeDocument/2006/relationships/hyperlink" Target="https://nzetc.victoria.ac.nz/tm/scholarly/name-411034.html" TargetMode="External"/><Relationship Id="rId42" Type="http://schemas.openxmlformats.org/officeDocument/2006/relationships/hyperlink" Target="https://nzetc.victoria.ac.nz/tm/scholarly/name-411034.html" TargetMode="External"/><Relationship Id="rId47" Type="http://schemas.openxmlformats.org/officeDocument/2006/relationships/hyperlink" Target="https://nzetc.victoria.ac.nz/tm/scholarly/name-036430.html" TargetMode="External"/><Relationship Id="rId63" Type="http://schemas.openxmlformats.org/officeDocument/2006/relationships/hyperlink" Target="https://nzetc.victoria.ac.nz/tm/scholarly/name-411034.html" TargetMode="External"/><Relationship Id="rId68" Type="http://schemas.openxmlformats.org/officeDocument/2006/relationships/hyperlink" Target="https://teara.govt.nz/en/child-abuse" TargetMode="External"/><Relationship Id="rId84" Type="http://schemas.openxmlformats.org/officeDocument/2006/relationships/hyperlink" Target="https://nzetc.victoria.ac.nz/tm/scholarly/name-036430.html" TargetMode="External"/><Relationship Id="rId89" Type="http://schemas.openxmlformats.org/officeDocument/2006/relationships/hyperlink" Target="https://teara.govt.nz/en/pacific-churches-in-new-zealand/page-2" TargetMode="External"/><Relationship Id="rId112" Type="http://schemas.openxmlformats.org/officeDocument/2006/relationships/hyperlink" Target="https://teara.govt.nz/en/disability-and-disability-organisations" TargetMode="External"/><Relationship Id="rId16" Type="http://schemas.openxmlformats.org/officeDocument/2006/relationships/hyperlink" Target="https://nzetc.victoria.ac.nz/tm/scholarly/name-463168.html" TargetMode="External"/><Relationship Id="rId107" Type="http://schemas.openxmlformats.org/officeDocument/2006/relationships/hyperlink" Target="https://paperspast.natlib.govt.nz/newspapers/CHP19660729.2.36?phrase=2&amp;query=New+Law+Reduces+Adoptions&amp;snippet=true" TargetMode="External"/><Relationship Id="rId11" Type="http://schemas.openxmlformats.org/officeDocument/2006/relationships/hyperlink" Target="http://www.TeAra.govt.nz/en/care-and-carers/page-4" TargetMode="External"/><Relationship Id="rId32" Type="http://schemas.openxmlformats.org/officeDocument/2006/relationships/hyperlink" Target="https://nzetc.victoria.ac.nz/tm/scholarly/name-036430.html" TargetMode="External"/><Relationship Id="rId37" Type="http://schemas.openxmlformats.org/officeDocument/2006/relationships/hyperlink" Target="https://www.mfat.govt.nz/en/about-us/mfat75/75-our-story/apia/" TargetMode="External"/><Relationship Id="rId53" Type="http://schemas.openxmlformats.org/officeDocument/2006/relationships/hyperlink" Target="https://nzetc.victoria.ac.nz/tm/scholarly/name-036430.html" TargetMode="External"/><Relationship Id="rId58" Type="http://schemas.openxmlformats.org/officeDocument/2006/relationships/hyperlink" Target="https://nzetc.victoria.ac.nz/tm/scholarly/name-463168.html" TargetMode="External"/><Relationship Id="rId74" Type="http://schemas.openxmlformats.org/officeDocument/2006/relationships/hyperlink" Target="https://nzetc.victoria.ac.nz/tm/scholarly/name-036430.html" TargetMode="External"/><Relationship Id="rId79" Type="http://schemas.openxmlformats.org/officeDocument/2006/relationships/hyperlink" Target="https://nzetc.victoria.ac.nz/tm/scholarly/name-463168.html" TargetMode="External"/><Relationship Id="rId102" Type="http://schemas.openxmlformats.org/officeDocument/2006/relationships/hyperlink" Target="https://www.publicservice.govt.nz/system/system-architecture-and-design/how-the-public-sector-is-organised" TargetMode="External"/><Relationship Id="rId123" Type="http://schemas.openxmlformats.org/officeDocument/2006/relationships/hyperlink" Target="https://www.education.govt.nz/school/new-zealands-network-of-schools/about/types-of-schools-and-year-levels/." TargetMode="External"/><Relationship Id="rId5" Type="http://schemas.openxmlformats.org/officeDocument/2006/relationships/hyperlink" Target="https://www.ashburn.co.nz/about/" TargetMode="External"/><Relationship Id="rId90" Type="http://schemas.openxmlformats.org/officeDocument/2006/relationships/hyperlink" Target="https://www.rbnz.govt.nz/monetary-policy/about-monetary-policy/inflation-calculator" TargetMode="External"/><Relationship Id="rId95" Type="http://schemas.openxmlformats.org/officeDocument/2006/relationships/hyperlink" Target="https://teara.govt.nz/en/anti-racism-and-treaty-of-waitangi-activism/page-5" TargetMode="External"/><Relationship Id="rId22" Type="http://schemas.openxmlformats.org/officeDocument/2006/relationships/hyperlink" Target="https://nzetc.victoria.ac.nz/tm/scholarly/name-463168.html" TargetMode="External"/><Relationship Id="rId27" Type="http://schemas.openxmlformats.org/officeDocument/2006/relationships/hyperlink" Target="https://nzetc.victoria.ac.nz/tm/scholarly/name-411034.html" TargetMode="External"/><Relationship Id="rId43" Type="http://schemas.openxmlformats.org/officeDocument/2006/relationships/hyperlink" Target="https://nzetc.victoria.ac.nz/tm/scholarly/name-463168.html" TargetMode="External"/><Relationship Id="rId48" Type="http://schemas.openxmlformats.org/officeDocument/2006/relationships/hyperlink" Target="https://nzetc.victoria.ac.nz/tm/scholarly/name-411034.html" TargetMode="External"/><Relationship Id="rId64" Type="http://schemas.openxmlformats.org/officeDocument/2006/relationships/hyperlink" Target="https://nzetc.victoria.ac.nz/tm/scholarly/name-463168.html" TargetMode="External"/><Relationship Id="rId69" Type="http://schemas.openxmlformats.org/officeDocument/2006/relationships/hyperlink" Target="https://teara.govt.nz/en/biographies/4m17/mackenzie-clutha-nantes" TargetMode="External"/><Relationship Id="rId113" Type="http://schemas.openxmlformats.org/officeDocument/2006/relationships/hyperlink" Target="https://www.blennz.school.nz/about-blennz/our-history/" TargetMode="External"/><Relationship Id="rId118" Type="http://schemas.openxmlformats.org/officeDocument/2006/relationships/hyperlink" Target="https://www.jw.org/en/news/region/new-zealand/Seventy-Five-Years-of-Legally-Establishing-the-Good-News-in-New-Zealand/" TargetMode="External"/><Relationship Id="rId80" Type="http://schemas.openxmlformats.org/officeDocument/2006/relationships/hyperlink" Target="https://nzetc.victoria.ac.nz/tm/scholarly/name-036430.html" TargetMode="External"/><Relationship Id="rId85" Type="http://schemas.openxmlformats.org/officeDocument/2006/relationships/hyperlink" Target="https://nzetc.victoria.ac.nz/tm/scholarly/name-463168.html" TargetMode="External"/><Relationship Id="rId12" Type="http://schemas.openxmlformats.org/officeDocument/2006/relationships/hyperlink" Target="http://www.TeAra.govt.nz/en/youth-offenders/page-2" TargetMode="External"/><Relationship Id="rId17" Type="http://schemas.openxmlformats.org/officeDocument/2006/relationships/hyperlink" Target="https://nzetc.victoria.ac.nz/tm/scholarly/name-036430.html" TargetMode="External"/><Relationship Id="rId33" Type="http://schemas.openxmlformats.org/officeDocument/2006/relationships/hyperlink" Target="https://www.mwwl.org.nz/about" TargetMode="External"/><Relationship Id="rId38" Type="http://schemas.openxmlformats.org/officeDocument/2006/relationships/hyperlink" Target="https://teara.govt.nz/en/childhood" TargetMode="External"/><Relationship Id="rId59" Type="http://schemas.openxmlformats.org/officeDocument/2006/relationships/hyperlink" Target="https://nzetc.victoria.ac.nz/tm/scholarly/name-036430.html" TargetMode="External"/><Relationship Id="rId103" Type="http://schemas.openxmlformats.org/officeDocument/2006/relationships/hyperlink" Target="https://www.publicservice.govt.nz/news/how-the-public-service-has-changed-over-time" TargetMode="External"/><Relationship Id="rId108" Type="http://schemas.openxmlformats.org/officeDocument/2006/relationships/hyperlink" Target="https://teara.govt.nz/en/youth-offenders/page-3" TargetMode="External"/><Relationship Id="rId124" Type="http://schemas.openxmlformats.org/officeDocument/2006/relationships/hyperlink" Target="https://teara.govt.nz/en/private-education/page-3" TargetMode="External"/><Relationship Id="rId54" Type="http://schemas.openxmlformats.org/officeDocument/2006/relationships/hyperlink" Target="https://nzetc.victoria.ac.nz/tm/scholarly/name-411034.html" TargetMode="External"/><Relationship Id="rId70" Type="http://schemas.openxmlformats.org/officeDocument/2006/relationships/hyperlink" Target="https://teara.govt.nz/en/disability-and-disability-organisations" TargetMode="External"/><Relationship Id="rId75" Type="http://schemas.openxmlformats.org/officeDocument/2006/relationships/hyperlink" Target="https://nzetc.victoria.ac.nz/tm/scholarly/name-463168.html" TargetMode="External"/><Relationship Id="rId91" Type="http://schemas.openxmlformats.org/officeDocument/2006/relationships/hyperlink" Target="https://www.acc.co.nz/about-us/who-we-are/our-history/" TargetMode="External"/><Relationship Id="rId96" Type="http://schemas.openxmlformats.org/officeDocument/2006/relationships/hyperlink" Target="https://teara.govt.nz/en/anti-racism-and-treaty-of-waitangi-activism/page-5" TargetMode="External"/><Relationship Id="rId1" Type="http://schemas.openxmlformats.org/officeDocument/2006/relationships/hyperlink" Target="http://www.TeAra.govt.nz/en/whakapapa-genealogy/page-1" TargetMode="External"/><Relationship Id="rId6" Type="http://schemas.openxmlformats.org/officeDocument/2006/relationships/hyperlink" Target="https://www.parliament.uk/about/living-heritage/transformingsociety/livinglearning/19thcentury/overview/poorlaw/" TargetMode="External"/><Relationship Id="rId23" Type="http://schemas.openxmlformats.org/officeDocument/2006/relationships/hyperlink" Target="https://nzetc.victoria.ac.nz/tm/scholarly/name-036430.html" TargetMode="External"/><Relationship Id="rId28" Type="http://schemas.openxmlformats.org/officeDocument/2006/relationships/hyperlink" Target="https://nzetc.victoria.ac.nz/tm/scholarly/name-463168.html" TargetMode="External"/><Relationship Id="rId49" Type="http://schemas.openxmlformats.org/officeDocument/2006/relationships/hyperlink" Target="https://nzetc.victoria.ac.nz/tm/scholarly/name-463168.html" TargetMode="External"/><Relationship Id="rId114" Type="http://schemas.openxmlformats.org/officeDocument/2006/relationships/hyperlink" Target="https://www.rbnz.govt.nz/monetary-policy/about-monetary-policy/inflation-calculator" TargetMode="External"/><Relationship Id="rId119" Type="http://schemas.openxmlformats.org/officeDocument/2006/relationships/hyperlink" Target="https://register.charities.govt.nz/CharitiesRegister/Search%20accessed%2024%20April%202024" TargetMode="External"/><Relationship Id="rId44" Type="http://schemas.openxmlformats.org/officeDocument/2006/relationships/hyperlink" Target="https://nzetc.victoria.ac.nz/tm/scholarly/name-036430.html" TargetMode="External"/><Relationship Id="rId60" Type="http://schemas.openxmlformats.org/officeDocument/2006/relationships/hyperlink" Target="https://nzetc.victoria.ac.nz/tm/scholarly/name-411034.html" TargetMode="External"/><Relationship Id="rId65" Type="http://schemas.openxmlformats.org/officeDocument/2006/relationships/hyperlink" Target="https://nzetc.victoria.ac.nz/tm/scholarly/name-036430.html" TargetMode="External"/><Relationship Id="rId81" Type="http://schemas.openxmlformats.org/officeDocument/2006/relationships/hyperlink" Target="https://nzetc.victoria.ac.nz/tm/scholarly/name-463168.html" TargetMode="External"/><Relationship Id="rId86" Type="http://schemas.openxmlformats.org/officeDocument/2006/relationships/hyperlink" Target="https://nzetc.victoria.ac.nz/tm/scholarly/name-036430.html" TargetMode="External"/><Relationship Id="rId13" Type="http://schemas.openxmlformats.org/officeDocument/2006/relationships/hyperlink" Target="https://teara.govt.nz/en/te-hauora-maori-i-mua-history-of-maori-health/page-3" TargetMode="External"/><Relationship Id="rId18" Type="http://schemas.openxmlformats.org/officeDocument/2006/relationships/hyperlink" Target="https://nzetc.victoria.ac.nz/tm/scholarly/name-411034.html" TargetMode="External"/><Relationship Id="rId39" Type="http://schemas.openxmlformats.org/officeDocument/2006/relationships/hyperlink" Target="https://nzetc.victoria.ac.nz/tm/scholarly/name-411034.html" TargetMode="External"/><Relationship Id="rId109" Type="http://schemas.openxmlformats.org/officeDocument/2006/relationships/hyperlink" Target="https://teara.govt.nz/en/mental-health-services/page-3" TargetMode="External"/><Relationship Id="rId34" Type="http://schemas.openxmlformats.org/officeDocument/2006/relationships/hyperlink" Target="https://teara.govt.nz/en/veterans-assistance/page-2" TargetMode="External"/><Relationship Id="rId50" Type="http://schemas.openxmlformats.org/officeDocument/2006/relationships/hyperlink" Target="https://nzetc.victoria.ac.nz/tm/scholarly/name-036430.html" TargetMode="External"/><Relationship Id="rId55" Type="http://schemas.openxmlformats.org/officeDocument/2006/relationships/hyperlink" Target="https://nzetc.victoria.ac.nz/tm/scholarly/name-463168.html" TargetMode="External"/><Relationship Id="rId76" Type="http://schemas.openxmlformats.org/officeDocument/2006/relationships/hyperlink" Target="https://nzetc.victoria.ac.nz/tm/scholarly/name-036430.html" TargetMode="External"/><Relationship Id="rId97" Type="http://schemas.openxmlformats.org/officeDocument/2006/relationships/hyperlink" Target="https://teara.govt.nz/en/te-tai/te-mana-o-te-reo-maori-nga-tamatoa" TargetMode="External"/><Relationship Id="rId104" Type="http://schemas.openxmlformats.org/officeDocument/2006/relationships/hyperlink" Target="https://www.oag.parliament.nz/about-us/what-we-do" TargetMode="External"/><Relationship Id="rId120" Type="http://schemas.openxmlformats.org/officeDocument/2006/relationships/hyperlink" Target="https://register.charities.govt.nz/Charity/CC29352" TargetMode="External"/><Relationship Id="rId125" Type="http://schemas.openxmlformats.org/officeDocument/2006/relationships/hyperlink" Target="https://teara.govt.nz/en/maori-education-matauranga/page-4" TargetMode="External"/><Relationship Id="rId7" Type="http://schemas.openxmlformats.org/officeDocument/2006/relationships/hyperlink" Target="http://www.TeAra.govt.nz/en/te-tango-whenua-maori-land-alienation" TargetMode="External"/><Relationship Id="rId71" Type="http://schemas.openxmlformats.org/officeDocument/2006/relationships/hyperlink" Target="https://teara.govt.nz/en/pacific-churches-in-new-zealand/page-2" TargetMode="External"/><Relationship Id="rId92" Type="http://schemas.openxmlformats.org/officeDocument/2006/relationships/hyperlink" Target="https://teara.govt.nz/en/photograph/26348/jane-and-james-ritchie" TargetMode="External"/><Relationship Id="rId2" Type="http://schemas.openxmlformats.org/officeDocument/2006/relationships/hyperlink" Target="http://www.marsdenarchive.otago.ac.nz/MS_0176_001" TargetMode="External"/><Relationship Id="rId29" Type="http://schemas.openxmlformats.org/officeDocument/2006/relationships/hyperlink" Target="https://nzetc.victoria.ac.nz/tm/scholarly/name-036430.html" TargetMode="External"/><Relationship Id="rId24" Type="http://schemas.openxmlformats.org/officeDocument/2006/relationships/hyperlink" Target="https://nzetc.victoria.ac.nz/tm/scholarly/name-411034.html" TargetMode="External"/><Relationship Id="rId40" Type="http://schemas.openxmlformats.org/officeDocument/2006/relationships/hyperlink" Target="https://nzetc.victoria.ac.nz/tm/scholarly/name-463168.html" TargetMode="External"/><Relationship Id="rId45" Type="http://schemas.openxmlformats.org/officeDocument/2006/relationships/hyperlink" Target="https://nzetc.victoria.ac.nz/tm/scholarly/name-411034.html" TargetMode="External"/><Relationship Id="rId66" Type="http://schemas.openxmlformats.org/officeDocument/2006/relationships/hyperlink" Target="https://www.acc.co.nz/about-us/who-we-are/our-history/" TargetMode="External"/><Relationship Id="rId87" Type="http://schemas.openxmlformats.org/officeDocument/2006/relationships/hyperlink" Target="https://nzetc.victoria.ac.nz/tm/scholarly/name-463168.html" TargetMode="External"/><Relationship Id="rId110" Type="http://schemas.openxmlformats.org/officeDocument/2006/relationships/hyperlink" Target="https://teara.govt.nz/en/care-and-carers/page-4" TargetMode="External"/><Relationship Id="rId115" Type="http://schemas.openxmlformats.org/officeDocument/2006/relationships/hyperlink" Target="https://www.rbnz.govt.nz/monetary-policy/about-monetary-policy/inflation-calculator" TargetMode="External"/><Relationship Id="rId61" Type="http://schemas.openxmlformats.org/officeDocument/2006/relationships/hyperlink" Target="https://nzetc.victoria.ac.nz/tm/scholarly/name-463168.html" TargetMode="External"/><Relationship Id="rId82" Type="http://schemas.openxmlformats.org/officeDocument/2006/relationships/hyperlink" Target="https://nzetc.victoria.ac.nz/tm/scholarly/name-036430.html" TargetMode="External"/><Relationship Id="rId19" Type="http://schemas.openxmlformats.org/officeDocument/2006/relationships/hyperlink" Target="https://nzetc.victoria.ac.nz/tm/scholarly/name-463168.html" TargetMode="External"/><Relationship Id="rId14" Type="http://schemas.openxmlformats.org/officeDocument/2006/relationships/hyperlink" Target="https://teara.govt.nz/en/te-hauora-maori-i-mua-history-of-maori-health/page-3" TargetMode="External"/><Relationship Id="rId30" Type="http://schemas.openxmlformats.org/officeDocument/2006/relationships/hyperlink" Target="https://nzetc.victoria.ac.nz/tm/scholarly/name-411034.html" TargetMode="External"/><Relationship Id="rId35" Type="http://schemas.openxmlformats.org/officeDocument/2006/relationships/hyperlink" Target="https://gg.govt.nz/office-governor-general/roles-and-functions-governor-general/constitutional-role/constitution/constitution" TargetMode="External"/><Relationship Id="rId56" Type="http://schemas.openxmlformats.org/officeDocument/2006/relationships/hyperlink" Target="https://nzetc.victoria.ac.nz/tm/scholarly/name-036430.html" TargetMode="External"/><Relationship Id="rId77" Type="http://schemas.openxmlformats.org/officeDocument/2006/relationships/hyperlink" Target="https://nzetc.victoria.ac.nz/tm/scholarly/name-463168.html" TargetMode="External"/><Relationship Id="rId100" Type="http://schemas.openxmlformats.org/officeDocument/2006/relationships/hyperlink" Target="https://advocacy.org.nz/about-the-advocacy-service/" TargetMode="External"/><Relationship Id="rId105" Type="http://schemas.openxmlformats.org/officeDocument/2006/relationships/hyperlink" Target="https://www.ombudsman.parliament.nz/about-ombudsman/past-present-and-future" TargetMode="External"/><Relationship Id="rId8" Type="http://schemas.openxmlformats.org/officeDocument/2006/relationships/hyperlink" Target="http://www.TeAra.govt.nz/en/te-tango-whenua-maori-land-alienation" TargetMode="External"/><Relationship Id="rId51" Type="http://schemas.openxmlformats.org/officeDocument/2006/relationships/hyperlink" Target="https://nzetc.victoria.ac.nz/tm/scholarly/name-411034.html" TargetMode="External"/><Relationship Id="rId72" Type="http://schemas.openxmlformats.org/officeDocument/2006/relationships/hyperlink" Target="https://teara.govt.nz/en/anti-racism-and-treaty-of-waitangi-activism/page-5" TargetMode="External"/><Relationship Id="rId93" Type="http://schemas.openxmlformats.org/officeDocument/2006/relationships/hyperlink" Target="https://teara.govt.nz/en/child-abuse" TargetMode="External"/><Relationship Id="rId98" Type="http://schemas.openxmlformats.org/officeDocument/2006/relationships/hyperlink" Target="https://www.deaf.org.nz/about/history/" TargetMode="External"/><Relationship Id="rId121" Type="http://schemas.openxmlformats.org/officeDocument/2006/relationships/hyperlink" Target="https://hbcht.org.nz/our-history/" TargetMode="External"/><Relationship Id="rId3" Type="http://schemas.openxmlformats.org/officeDocument/2006/relationships/hyperlink" Target="https://teara.govt.nz/en/biographies/1s11/shortland-edward" TargetMode="External"/><Relationship Id="rId25" Type="http://schemas.openxmlformats.org/officeDocument/2006/relationships/hyperlink" Target="https://nzetc.victoria.ac.nz/tm/scholarly/name-463168.html" TargetMode="External"/><Relationship Id="rId46" Type="http://schemas.openxmlformats.org/officeDocument/2006/relationships/hyperlink" Target="https://nzetc.victoria.ac.nz/tm/scholarly/name-463168.html" TargetMode="External"/><Relationship Id="rId67" Type="http://schemas.openxmlformats.org/officeDocument/2006/relationships/hyperlink" Target="https://teara.govt.nz/en/mental-health-services/page-2" TargetMode="External"/><Relationship Id="rId116" Type="http://schemas.openxmlformats.org/officeDocument/2006/relationships/hyperlink" Target="https://www.rbnz.govt.nz/monetary-policy/about-monetary-policy/inflation-calculator" TargetMode="External"/><Relationship Id="rId20" Type="http://schemas.openxmlformats.org/officeDocument/2006/relationships/hyperlink" Target="https://nzetc.victoria.ac.nz/tm/scholarly/name-036430.html" TargetMode="External"/><Relationship Id="rId41" Type="http://schemas.openxmlformats.org/officeDocument/2006/relationships/hyperlink" Target="https://nzetc.victoria.ac.nz/tm/scholarly/name-036430.html" TargetMode="External"/><Relationship Id="rId62" Type="http://schemas.openxmlformats.org/officeDocument/2006/relationships/hyperlink" Target="https://nzetc.victoria.ac.nz/tm/scholarly/name-036430.html" TargetMode="External"/><Relationship Id="rId83" Type="http://schemas.openxmlformats.org/officeDocument/2006/relationships/hyperlink" Target="https://nzetc.victoria.ac.nz/tm/scholarly/name-463168.html" TargetMode="External"/><Relationship Id="rId88" Type="http://schemas.openxmlformats.org/officeDocument/2006/relationships/hyperlink" Target="https://nzetc.victoria.ac.nz/tm/scholarly/name-036430.html" TargetMode="External"/><Relationship Id="rId111" Type="http://schemas.openxmlformats.org/officeDocument/2006/relationships/hyperlink" Target="https://teara.govt.nz/en/voluntary-welfare-organisations/page-4" TargetMode="External"/><Relationship Id="rId15" Type="http://schemas.openxmlformats.org/officeDocument/2006/relationships/hyperlink" Target="https://nzetc.victoria.ac.nz/tm/scholarly/name-411034.html" TargetMode="External"/><Relationship Id="rId36" Type="http://schemas.openxmlformats.org/officeDocument/2006/relationships/hyperlink" Target="https://teara.govt.nz/en/pacific-islands-and-new-zealand/page-5" TargetMode="External"/><Relationship Id="rId57" Type="http://schemas.openxmlformats.org/officeDocument/2006/relationships/hyperlink" Target="https://nzetc.victoria.ac.nz/tm/scholarly/name-411034.html" TargetMode="External"/><Relationship Id="rId106" Type="http://schemas.openxmlformats.org/officeDocument/2006/relationships/hyperlink" Target="https://teara.govt.nz/en/adoption/page-2" TargetMode="External"/><Relationship Id="rId10" Type="http://schemas.openxmlformats.org/officeDocument/2006/relationships/hyperlink" Target="https://www.sense.org.uk/information-and-advice/ableism-and-disablism" TargetMode="External"/><Relationship Id="rId31" Type="http://schemas.openxmlformats.org/officeDocument/2006/relationships/hyperlink" Target="https://nzetc.victoria.ac.nz/tm/scholarly/name-463168.html" TargetMode="External"/><Relationship Id="rId52" Type="http://schemas.openxmlformats.org/officeDocument/2006/relationships/hyperlink" Target="https://nzetc.victoria.ac.nz/tm/scholarly/name-463168.html" TargetMode="External"/><Relationship Id="rId73" Type="http://schemas.openxmlformats.org/officeDocument/2006/relationships/hyperlink" Target="https://nzetc.victoria.ac.nz/tm/scholarly/name-463168.html" TargetMode="External"/><Relationship Id="rId78" Type="http://schemas.openxmlformats.org/officeDocument/2006/relationships/hyperlink" Target="https://nzetc.victoria.ac.nz/tm/scholarly/name-036430.html" TargetMode="External"/><Relationship Id="rId94" Type="http://schemas.openxmlformats.org/officeDocument/2006/relationships/hyperlink" Target="https://www.ptsd.va.gov/professional/treat/essentials/history_ptsd.asp" TargetMode="External"/><Relationship Id="rId99" Type="http://schemas.openxmlformats.org/officeDocument/2006/relationships/hyperlink" Target="https://teara.govt.nz/en/disability-and-disability-organisations." TargetMode="External"/><Relationship Id="rId101" Type="http://schemas.openxmlformats.org/officeDocument/2006/relationships/hyperlink" Target="https://teara.govt.nz/en/interactive/28422/religious-adherence-1878-2013" TargetMode="External"/><Relationship Id="rId122" Type="http://schemas.openxmlformats.org/officeDocument/2006/relationships/hyperlink" Target="https://ahi.auckland.ac.nz/2021/08/05/help-where-help-was-needed-single-mothers-and-the-salvation-army-bethany-home-in-1960s-70s-auckland/" TargetMode="External"/><Relationship Id="rId4" Type="http://schemas.openxmlformats.org/officeDocument/2006/relationships/hyperlink" Target="https://nzhistory.govt.nz/culture/immigration/home-away-from-home/summary" TargetMode="External"/><Relationship Id="rId9" Type="http://schemas.openxmlformats.org/officeDocument/2006/relationships/hyperlink" Target="https://nmaahc.si.edu/learn/talking-about-race/topics/being-antiracist" TargetMode="External"/></Relationships>
</file>

<file path=word/documenttasks/documenttasks1.xml><?xml version="1.0" encoding="utf-8"?>
<t:Tasks xmlns:t="http://schemas.microsoft.com/office/tasks/2019/documenttasks" xmlns:oel="http://schemas.microsoft.com/office/2019/extlst">
  <t:Task id="{A85F1B5A-C8FF-4840-80BB-76921EB862B0}">
    <t:Anchor>
      <t:Comment id="667856738"/>
    </t:Anchor>
    <t:History>
      <t:Event id="{EA002067-9B1D-4EAB-98C1-63C6CB97CF2A}" time="2023-03-30T20:57:44.416Z">
        <t:Attribution userId="S::jessica.sebastian@abuseincare.org.nz::b670e40c-5ea0-4c39-8181-3145d232b19f" userProvider="AD" userName="Jessica Sebastian"/>
        <t:Anchor>
          <t:Comment id="1884849509"/>
        </t:Anchor>
        <t:Create/>
      </t:Event>
      <t:Event id="{500A3D86-2608-4DA6-BA74-91CD3C506888}" time="2023-03-30T20:57:44.416Z">
        <t:Attribution userId="S::jessica.sebastian@abuseincare.org.nz::b670e40c-5ea0-4c39-8181-3145d232b19f" userProvider="AD" userName="Jessica Sebastian"/>
        <t:Anchor>
          <t:Comment id="1884849509"/>
        </t:Anchor>
        <t:Assign userId="S::Frances.Dash@abuseincare.org.nz::e3b8b314-ce60-4ee5-9e46-8a242b965627" userProvider="AD" userName="Frances Dash"/>
      </t:Event>
      <t:Event id="{8ADECB83-F7A8-4009-B49B-CB3BF1FE6A59}" time="2023-03-30T20:57:44.416Z">
        <t:Attribution userId="S::jessica.sebastian@abuseincare.org.nz::b670e40c-5ea0-4c39-8181-3145d232b19f" userProvider="AD" userName="Jessica Sebastian"/>
        <t:Anchor>
          <t:Comment id="1884849509"/>
        </t:Anchor>
        <t:SetTitle title="@Frances Dash - check? :)"/>
      </t:Event>
    </t:History>
  </t:Task>
  <t:Task id="{5809E106-725D-4D0D-9290-C742708AB219}">
    <t:Anchor>
      <t:Comment id="6456905"/>
    </t:Anchor>
    <t:History>
      <t:Event id="{E444411D-9263-4C18-BBC1-190A7349E374}" time="2024-04-28T23:51:09.275Z">
        <t:Attribution userId="S::Sarah.Jardine@abuseincare.org.nz::a5244744-e5db-496c-ab23-bbafdbb45034" userProvider="AD" userName="Sarah Jardine"/>
        <t:Anchor>
          <t:Comment id="6456905"/>
        </t:Anchor>
        <t:Create/>
      </t:Event>
      <t:Event id="{657E8B64-608E-4A75-8131-D09901E83211}" time="2024-04-28T23:51:09.275Z">
        <t:Attribution userId="S::Sarah.Jardine@abuseincare.org.nz::a5244744-e5db-496c-ab23-bbafdbb45034" userProvider="AD" userName="Sarah Jardine"/>
        <t:Anchor>
          <t:Comment id="6456905"/>
        </t:Anchor>
        <t:Assign userId="S::Mel.Weddell@abuseincare.org.nz::02629cf0-9bbf-465d-b1b1-1824ed4212c0" userProvider="AD" userName="Mel Weddell"/>
      </t:Event>
      <t:Event id="{5E742819-9202-4978-B2CC-EA019E957BFF}" time="2024-04-28T23:51:09.275Z">
        <t:Attribution userId="S::Sarah.Jardine@abuseincare.org.nz::a5244744-e5db-496c-ab23-bbafdbb45034" userProvider="AD" userName="Sarah Jardine"/>
        <t:Anchor>
          <t:Comment id="6456905"/>
        </t:Anchor>
        <t:SetTitle title="@Mel Weddell I’ve noticed various ways to refer to this in this chapter - there’s somewhere else that says “in 2024’s money” or something..."/>
      </t:Event>
      <t:Event id="{7AE359A3-16E8-4F53-8528-BE60AFE187A3}" time="2024-04-30T03:10:54.031Z">
        <t:Attribution userId="S::Sarah.Jardine@abuseincare.org.nz::a5244744-e5db-496c-ab23-bbafdbb45034" userProvider="AD" userName="Sarah Jardine"/>
        <t:Progress percentComplete="100"/>
      </t:Event>
    </t:History>
  </t:Task>
</t:Task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p:properties xmlns:p="http://schemas.microsoft.com/office/2006/metadata/properties" xmlns:xsi="http://www.w3.org/2001/XMLSchema-instance" xmlns:pc="http://schemas.microsoft.com/office/infopath/2007/PartnerControls">
  <documentManagement>
    <SharedWithUsers xmlns="cca7bc15-23ab-440b-a49f-3d942a09fae4">
      <UserInfo>
        <DisplayName>Janet Dawson</DisplayName>
        <AccountId>40</AccountId>
        <AccountType/>
      </UserInfo>
      <UserInfo>
        <DisplayName>Wiremu Rikihana</DisplayName>
        <AccountId>21</AccountId>
        <AccountType/>
      </UserInfo>
      <UserInfo>
        <DisplayName>Sarah Neal</DisplayName>
        <AccountId>61</AccountId>
        <AccountType/>
      </UserInfo>
      <UserInfo>
        <DisplayName>Rebecca Bear</DisplayName>
        <AccountId>29</AccountId>
        <AccountType/>
      </UserInfo>
      <UserInfo>
        <DisplayName>Julia Harris</DisplayName>
        <AccountId>296</AccountId>
        <AccountType/>
      </UserInfo>
      <UserInfo>
        <DisplayName>SharingLinks.3b6fa041-d1b0-4423-8760-08e402a66280.OrganizationEdit.d40d32cc-2b44-4088-9360-356660144850</DisplayName>
        <AccountId>958</AccountId>
        <AccountType/>
      </UserInfo>
      <UserInfo>
        <DisplayName>Arrun Soma</DisplayName>
        <AccountId>48</AccountId>
        <AccountType/>
      </UserInfo>
      <UserInfo>
        <DisplayName>Kelly Curran</DisplayName>
        <AccountId>153</AccountId>
        <AccountType/>
      </UserInfo>
      <UserInfo>
        <DisplayName>Steph McKinlay</DisplayName>
        <AccountId>811</AccountId>
        <AccountType/>
      </UserInfo>
      <UserInfo>
        <DisplayName>Mel Weddell</DisplayName>
        <AccountId>267</AccountId>
        <AccountType/>
      </UserInfo>
      <UserInfo>
        <DisplayName>Rā Steer</DisplayName>
        <AccountId>981</AccountId>
        <AccountType/>
      </UserInfo>
      <UserInfo>
        <DisplayName>Kim Carter</DisplayName>
        <AccountId>696</AccountId>
        <AccountType/>
      </UserInfo>
      <UserInfo>
        <DisplayName>Winnie Bridie</DisplayName>
        <AccountId>82</AccountId>
        <AccountType/>
      </UserInfo>
      <UserInfo>
        <DisplayName>Mae Newey</DisplayName>
        <AccountId>379</AccountId>
        <AccountType/>
      </UserInfo>
      <UserInfo>
        <DisplayName>Jenny Coleman-Walker</DisplayName>
        <AccountId>266</AccountId>
        <AccountType/>
      </UserInfo>
      <UserInfo>
        <DisplayName>Sarah Jardine</DisplayName>
        <AccountId>908</AccountId>
        <AccountType/>
      </UserInfo>
      <UserInfo>
        <DisplayName>Te Arai McAdam</DisplayName>
        <AccountId>448</AccountId>
        <AccountType/>
      </UserInfo>
      <UserInfo>
        <DisplayName>Kate Clark</DisplayName>
        <AccountId>1039</AccountId>
        <AccountType/>
      </UserInfo>
      <UserInfo>
        <DisplayName>Ngawai McGregor</DisplayName>
        <AccountId>203</AccountId>
        <AccountType/>
      </UserInfo>
    </SharedWithUsers>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8" ma:contentTypeDescription="Create a new document." ma:contentTypeScope="" ma:versionID="d2cca36a50f0093d91f2cf298d1652f8">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0770ece49ffce1d81441cea9f1ed8f5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80B9E4-B905-4FBD-BCC9-3CDE43185C82}">
  <ds:schemaRefs>
    <ds:schemaRef ds:uri="http://schemas.microsoft.com/sharepoint/v3/contenttype/forms"/>
  </ds:schemaRefs>
</ds:datastoreItem>
</file>

<file path=customXml/itemProps2.xml><?xml version="1.0" encoding="utf-8"?>
<ds:datastoreItem xmlns:ds="http://schemas.openxmlformats.org/officeDocument/2006/customXml" ds:itemID="{F67F96FB-CB92-4C94-930B-775D7586DB2D}">
  <ds:schemaRefs>
    <ds:schemaRef ds:uri="http://schemas.openxmlformats.org/officeDocument/2006/bibliography"/>
  </ds:schemaRefs>
</ds:datastoreItem>
</file>

<file path=customXml/itemProps3.xml><?xml version="1.0" encoding="utf-8"?>
<ds:datastoreItem xmlns:ds="http://schemas.openxmlformats.org/officeDocument/2006/customXml" ds:itemID="{7DE908FD-B282-43DE-90C1-E6D956AA62CE}">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customXml/itemProps4.xml><?xml version="1.0" encoding="utf-8"?>
<ds:datastoreItem xmlns:ds="http://schemas.openxmlformats.org/officeDocument/2006/customXml" ds:itemID="{60C5653D-35F9-41CB-801C-D0F57EBE0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53493</Words>
  <Characters>304912</Characters>
  <Application>Microsoft Office Word</Application>
  <DocSecurity>4</DocSecurity>
  <Lines>2540</Lines>
  <Paragraphs>715</Paragraphs>
  <ScaleCrop>false</ScaleCrop>
  <Company>DIA</Company>
  <LinksUpToDate>false</LinksUpToDate>
  <CharactersWithSpaces>357690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Coleman-Walker</dc:creator>
  <cp:keywords/>
  <dc:description/>
  <cp:lastModifiedBy>Gail Connelly</cp:lastModifiedBy>
  <cp:revision>2</cp:revision>
  <cp:lastPrinted>2023-12-13T16:47:00Z</cp:lastPrinted>
  <dcterms:created xsi:type="dcterms:W3CDTF">2024-07-23T07:43:00Z</dcterms:created>
  <dcterms:modified xsi:type="dcterms:W3CDTF">2024-07-23T07:43:00Z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y fmtid="{D5CDD505-2E9C-101B-9397-08002B2CF9AE}" pid="4" name="GrammarlyDocumentId">
    <vt:lpwstr>73772366cd657508b4878442907c9b06ee193a2fcab8d2a2c6a6ab8122f623d0</vt:lpwstr>
  </property>
</Properties>
</file>